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91F2" w14:textId="0CCBD8B8" w:rsidR="0030747A" w:rsidRPr="00134692" w:rsidRDefault="00191A22" w:rsidP="0030747A">
      <w:pPr>
        <w:autoSpaceDE w:val="0"/>
        <w:autoSpaceDN w:val="0"/>
        <w:adjustRightInd w:val="0"/>
        <w:jc w:val="center"/>
        <w:rPr>
          <w:rFonts w:eastAsiaTheme="minorEastAsia"/>
          <w:color w:val="000000"/>
          <w:sz w:val="20"/>
          <w:szCs w:val="20"/>
          <w:lang w:val="tr-TR"/>
        </w:rPr>
      </w:pPr>
      <w:r w:rsidRPr="00C605C5">
        <w:rPr>
          <w:rFonts w:eastAsiaTheme="minorEastAsia"/>
          <w:b/>
          <w:bCs/>
          <w:color w:val="000000"/>
          <w:sz w:val="20"/>
          <w:szCs w:val="20"/>
          <w:lang w:val="tr-TR"/>
        </w:rPr>
        <w:t xml:space="preserve">  </w:t>
      </w:r>
      <w:r w:rsidR="00C12519" w:rsidRPr="00134692">
        <w:rPr>
          <w:rFonts w:eastAsiaTheme="minorEastAsia"/>
          <w:b/>
          <w:bCs/>
          <w:color w:val="000000"/>
          <w:sz w:val="20"/>
          <w:szCs w:val="20"/>
          <w:lang w:val="tr-TR"/>
        </w:rPr>
        <w:t xml:space="preserve">Dünya Bankası Grubu dokümanıdır. </w:t>
      </w:r>
    </w:p>
    <w:p w14:paraId="2AA2DBEA" w14:textId="0FF748F7" w:rsidR="0030747A" w:rsidRPr="00134692" w:rsidRDefault="0030747A" w:rsidP="0030747A">
      <w:pPr>
        <w:autoSpaceDE w:val="0"/>
        <w:autoSpaceDN w:val="0"/>
        <w:adjustRightInd w:val="0"/>
        <w:jc w:val="center"/>
        <w:rPr>
          <w:rFonts w:eastAsiaTheme="minorEastAsia"/>
          <w:color w:val="000000"/>
          <w:sz w:val="20"/>
          <w:szCs w:val="20"/>
          <w:lang w:val="tr-TR"/>
        </w:rPr>
      </w:pPr>
    </w:p>
    <w:p w14:paraId="44DB622B" w14:textId="77777777" w:rsidR="0030747A" w:rsidRPr="00134692" w:rsidRDefault="0030747A" w:rsidP="0030747A">
      <w:pPr>
        <w:autoSpaceDE w:val="0"/>
        <w:autoSpaceDN w:val="0"/>
        <w:adjustRightInd w:val="0"/>
        <w:jc w:val="center"/>
        <w:rPr>
          <w:rFonts w:eastAsiaTheme="minorEastAsia"/>
          <w:b/>
          <w:bCs/>
          <w:color w:val="000000"/>
          <w:sz w:val="23"/>
          <w:szCs w:val="23"/>
          <w:lang w:val="tr-TR"/>
        </w:rPr>
      </w:pPr>
    </w:p>
    <w:p w14:paraId="2F51F45F" w14:textId="77777777" w:rsidR="0030747A" w:rsidRPr="00134692" w:rsidRDefault="0030747A" w:rsidP="0030747A">
      <w:pPr>
        <w:autoSpaceDE w:val="0"/>
        <w:autoSpaceDN w:val="0"/>
        <w:adjustRightInd w:val="0"/>
        <w:jc w:val="center"/>
        <w:rPr>
          <w:rFonts w:eastAsiaTheme="minorEastAsia"/>
          <w:b/>
          <w:bCs/>
          <w:color w:val="000000"/>
          <w:sz w:val="23"/>
          <w:szCs w:val="23"/>
          <w:lang w:val="tr-TR"/>
        </w:rPr>
      </w:pPr>
    </w:p>
    <w:p w14:paraId="7618B7CD" w14:textId="7C5556F0" w:rsidR="0030747A" w:rsidRPr="00134692" w:rsidRDefault="00C12519" w:rsidP="0030747A">
      <w:pPr>
        <w:autoSpaceDE w:val="0"/>
        <w:autoSpaceDN w:val="0"/>
        <w:adjustRightInd w:val="0"/>
        <w:jc w:val="center"/>
        <w:rPr>
          <w:rFonts w:eastAsiaTheme="minorEastAsia"/>
          <w:color w:val="000000"/>
          <w:sz w:val="23"/>
          <w:szCs w:val="23"/>
          <w:lang w:val="tr-TR"/>
        </w:rPr>
      </w:pPr>
      <w:r w:rsidRPr="00134692">
        <w:rPr>
          <w:rFonts w:eastAsiaTheme="minorEastAsia"/>
          <w:b/>
          <w:bCs/>
          <w:color w:val="000000"/>
          <w:sz w:val="23"/>
          <w:szCs w:val="23"/>
          <w:lang w:val="tr-TR"/>
        </w:rPr>
        <w:t xml:space="preserve">SADECE RESMİ KULLANIM İÇİNDİR </w:t>
      </w:r>
    </w:p>
    <w:p w14:paraId="2D5024C4" w14:textId="77777777" w:rsidR="0030747A" w:rsidRPr="00134692" w:rsidRDefault="0030747A" w:rsidP="0030747A">
      <w:pPr>
        <w:autoSpaceDE w:val="0"/>
        <w:autoSpaceDN w:val="0"/>
        <w:adjustRightInd w:val="0"/>
        <w:jc w:val="right"/>
        <w:rPr>
          <w:rFonts w:eastAsiaTheme="minorEastAsia"/>
          <w:b/>
          <w:bCs/>
          <w:color w:val="000000"/>
          <w:sz w:val="23"/>
          <w:szCs w:val="23"/>
          <w:lang w:val="tr-TR"/>
        </w:rPr>
      </w:pPr>
    </w:p>
    <w:p w14:paraId="769F3F41" w14:textId="77777777" w:rsidR="0030747A" w:rsidRPr="00134692" w:rsidRDefault="0030747A" w:rsidP="0030747A">
      <w:pPr>
        <w:autoSpaceDE w:val="0"/>
        <w:autoSpaceDN w:val="0"/>
        <w:adjustRightInd w:val="0"/>
        <w:jc w:val="right"/>
        <w:rPr>
          <w:rFonts w:eastAsiaTheme="minorEastAsia"/>
          <w:b/>
          <w:bCs/>
          <w:sz w:val="23"/>
          <w:szCs w:val="23"/>
          <w:lang w:val="tr-TR"/>
        </w:rPr>
      </w:pPr>
    </w:p>
    <w:p w14:paraId="74A231A3" w14:textId="77777777" w:rsidR="00121A74" w:rsidRPr="00134692" w:rsidRDefault="00121A74" w:rsidP="0030747A">
      <w:pPr>
        <w:autoSpaceDE w:val="0"/>
        <w:autoSpaceDN w:val="0"/>
        <w:adjustRightInd w:val="0"/>
        <w:jc w:val="right"/>
        <w:rPr>
          <w:rFonts w:eastAsiaTheme="minorEastAsia"/>
          <w:b/>
          <w:bCs/>
          <w:sz w:val="23"/>
          <w:szCs w:val="23"/>
          <w:lang w:val="tr-TR"/>
        </w:rPr>
      </w:pPr>
    </w:p>
    <w:p w14:paraId="564A8876" w14:textId="260CF212" w:rsidR="0030747A" w:rsidRPr="00134692" w:rsidRDefault="0030747A" w:rsidP="0030747A">
      <w:pPr>
        <w:autoSpaceDE w:val="0"/>
        <w:autoSpaceDN w:val="0"/>
        <w:adjustRightInd w:val="0"/>
        <w:jc w:val="right"/>
        <w:rPr>
          <w:rFonts w:eastAsiaTheme="minorEastAsia"/>
          <w:sz w:val="23"/>
          <w:szCs w:val="23"/>
          <w:lang w:val="tr-TR"/>
        </w:rPr>
      </w:pPr>
      <w:r w:rsidRPr="00134692">
        <w:rPr>
          <w:rFonts w:eastAsiaTheme="minorEastAsia"/>
          <w:b/>
          <w:bCs/>
          <w:sz w:val="23"/>
          <w:szCs w:val="23"/>
          <w:lang w:val="tr-TR"/>
        </w:rPr>
        <w:t>R</w:t>
      </w:r>
      <w:r w:rsidR="00C12519" w:rsidRPr="00134692">
        <w:rPr>
          <w:rFonts w:eastAsiaTheme="minorEastAsia"/>
          <w:b/>
          <w:bCs/>
          <w:sz w:val="23"/>
          <w:szCs w:val="23"/>
          <w:lang w:val="tr-TR"/>
        </w:rPr>
        <w:t xml:space="preserve">apor </w:t>
      </w:r>
      <w:r w:rsidRPr="00134692">
        <w:rPr>
          <w:rFonts w:eastAsiaTheme="minorEastAsia"/>
          <w:b/>
          <w:bCs/>
          <w:sz w:val="23"/>
          <w:szCs w:val="23"/>
          <w:lang w:val="tr-TR"/>
        </w:rPr>
        <w:t xml:space="preserve">No. </w:t>
      </w:r>
      <w:r w:rsidR="00191A22" w:rsidRPr="00134692">
        <w:rPr>
          <w:rFonts w:eastAsiaTheme="minorEastAsia"/>
          <w:b/>
          <w:bCs/>
          <w:sz w:val="23"/>
          <w:szCs w:val="23"/>
          <w:lang w:val="tr-TR"/>
        </w:rPr>
        <w:t>11096-TR</w:t>
      </w:r>
    </w:p>
    <w:p w14:paraId="04620DC8" w14:textId="77777777" w:rsidR="0030747A" w:rsidRPr="00134692" w:rsidRDefault="0030747A" w:rsidP="0030747A">
      <w:pPr>
        <w:autoSpaceDE w:val="0"/>
        <w:autoSpaceDN w:val="0"/>
        <w:adjustRightInd w:val="0"/>
        <w:jc w:val="center"/>
        <w:rPr>
          <w:rFonts w:eastAsiaTheme="minorEastAsia"/>
          <w:b/>
          <w:bCs/>
          <w:sz w:val="23"/>
          <w:szCs w:val="23"/>
          <w:lang w:val="tr-TR"/>
        </w:rPr>
      </w:pPr>
    </w:p>
    <w:p w14:paraId="0D5741D7" w14:textId="77777777" w:rsidR="00121A74" w:rsidRPr="00134692" w:rsidRDefault="00121A74" w:rsidP="0030747A">
      <w:pPr>
        <w:autoSpaceDE w:val="0"/>
        <w:autoSpaceDN w:val="0"/>
        <w:adjustRightInd w:val="0"/>
        <w:jc w:val="center"/>
        <w:rPr>
          <w:rFonts w:eastAsiaTheme="minorEastAsia"/>
          <w:b/>
          <w:bCs/>
          <w:sz w:val="23"/>
          <w:szCs w:val="23"/>
          <w:lang w:val="tr-TR"/>
        </w:rPr>
      </w:pPr>
    </w:p>
    <w:p w14:paraId="67857FE3" w14:textId="77777777" w:rsidR="00121A74" w:rsidRPr="00134692" w:rsidRDefault="00121A74" w:rsidP="0030747A">
      <w:pPr>
        <w:autoSpaceDE w:val="0"/>
        <w:autoSpaceDN w:val="0"/>
        <w:adjustRightInd w:val="0"/>
        <w:jc w:val="center"/>
        <w:rPr>
          <w:rFonts w:eastAsiaTheme="minorEastAsia"/>
          <w:b/>
          <w:bCs/>
          <w:sz w:val="23"/>
          <w:szCs w:val="23"/>
          <w:lang w:val="tr-TR"/>
        </w:rPr>
      </w:pPr>
    </w:p>
    <w:p w14:paraId="40B76F3F" w14:textId="77777777" w:rsidR="0030747A" w:rsidRPr="00134692" w:rsidRDefault="0030747A" w:rsidP="0030747A">
      <w:pPr>
        <w:autoSpaceDE w:val="0"/>
        <w:autoSpaceDN w:val="0"/>
        <w:adjustRightInd w:val="0"/>
        <w:jc w:val="center"/>
        <w:rPr>
          <w:rFonts w:eastAsiaTheme="minorEastAsia"/>
          <w:b/>
          <w:bCs/>
          <w:sz w:val="23"/>
          <w:szCs w:val="23"/>
          <w:lang w:val="tr-TR"/>
        </w:rPr>
      </w:pPr>
    </w:p>
    <w:p w14:paraId="5833A990" w14:textId="5A420ED5" w:rsidR="0030747A" w:rsidRPr="00134692" w:rsidRDefault="00907724" w:rsidP="0030747A">
      <w:pPr>
        <w:autoSpaceDE w:val="0"/>
        <w:autoSpaceDN w:val="0"/>
        <w:adjustRightInd w:val="0"/>
        <w:jc w:val="center"/>
        <w:rPr>
          <w:rFonts w:eastAsiaTheme="minorEastAsia"/>
          <w:sz w:val="23"/>
          <w:szCs w:val="23"/>
          <w:lang w:val="tr-TR"/>
        </w:rPr>
      </w:pPr>
      <w:r w:rsidRPr="00134692">
        <w:rPr>
          <w:rFonts w:eastAsiaTheme="minorEastAsia"/>
          <w:b/>
          <w:bCs/>
          <w:sz w:val="23"/>
          <w:szCs w:val="23"/>
          <w:lang w:val="tr-TR"/>
        </w:rPr>
        <w:t xml:space="preserve">ULUSLARARASI İMAR VE KALKINMA BANKASI </w:t>
      </w:r>
    </w:p>
    <w:p w14:paraId="50FCE5CF" w14:textId="77777777" w:rsidR="0030747A" w:rsidRPr="00134692" w:rsidRDefault="0030747A" w:rsidP="0030747A">
      <w:pPr>
        <w:autoSpaceDE w:val="0"/>
        <w:autoSpaceDN w:val="0"/>
        <w:adjustRightInd w:val="0"/>
        <w:jc w:val="center"/>
        <w:rPr>
          <w:rFonts w:eastAsiaTheme="minorEastAsia"/>
          <w:b/>
          <w:bCs/>
          <w:sz w:val="23"/>
          <w:szCs w:val="23"/>
          <w:lang w:val="tr-TR"/>
        </w:rPr>
      </w:pPr>
    </w:p>
    <w:p w14:paraId="110910A4" w14:textId="735A0FE8" w:rsidR="0030747A" w:rsidRPr="00134692" w:rsidRDefault="00907724" w:rsidP="0030747A">
      <w:pPr>
        <w:autoSpaceDE w:val="0"/>
        <w:autoSpaceDN w:val="0"/>
        <w:adjustRightInd w:val="0"/>
        <w:jc w:val="center"/>
        <w:rPr>
          <w:rFonts w:eastAsiaTheme="minorEastAsia"/>
          <w:sz w:val="23"/>
          <w:szCs w:val="23"/>
          <w:lang w:val="tr-TR"/>
        </w:rPr>
      </w:pPr>
      <w:r w:rsidRPr="00134692">
        <w:rPr>
          <w:rFonts w:eastAsiaTheme="minorEastAsia"/>
          <w:b/>
          <w:bCs/>
          <w:sz w:val="23"/>
          <w:szCs w:val="23"/>
          <w:lang w:val="tr-TR"/>
        </w:rPr>
        <w:t xml:space="preserve">ULUSLARARASI </w:t>
      </w:r>
      <w:r w:rsidR="00E53D66" w:rsidRPr="00134692">
        <w:rPr>
          <w:rFonts w:eastAsiaTheme="minorEastAsia"/>
          <w:b/>
          <w:bCs/>
          <w:sz w:val="23"/>
          <w:szCs w:val="23"/>
          <w:lang w:val="tr-TR"/>
        </w:rPr>
        <w:t xml:space="preserve">FİNANS KURUMU </w:t>
      </w:r>
      <w:r w:rsidRPr="00134692">
        <w:rPr>
          <w:rFonts w:eastAsiaTheme="minorEastAsia"/>
          <w:b/>
          <w:bCs/>
          <w:sz w:val="23"/>
          <w:szCs w:val="23"/>
          <w:lang w:val="tr-TR"/>
        </w:rPr>
        <w:t>ve</w:t>
      </w:r>
    </w:p>
    <w:p w14:paraId="23D02046" w14:textId="77777777" w:rsidR="0030747A" w:rsidRPr="00134692" w:rsidRDefault="0030747A" w:rsidP="0030747A">
      <w:pPr>
        <w:autoSpaceDE w:val="0"/>
        <w:autoSpaceDN w:val="0"/>
        <w:adjustRightInd w:val="0"/>
        <w:jc w:val="center"/>
        <w:rPr>
          <w:rFonts w:eastAsiaTheme="minorEastAsia"/>
          <w:b/>
          <w:bCs/>
          <w:color w:val="000000"/>
          <w:sz w:val="23"/>
          <w:szCs w:val="23"/>
          <w:lang w:val="tr-TR"/>
        </w:rPr>
      </w:pPr>
    </w:p>
    <w:p w14:paraId="0272D5DB" w14:textId="061E9E0F" w:rsidR="0030747A" w:rsidRPr="00134692" w:rsidRDefault="00907724" w:rsidP="0030747A">
      <w:pPr>
        <w:autoSpaceDE w:val="0"/>
        <w:autoSpaceDN w:val="0"/>
        <w:adjustRightInd w:val="0"/>
        <w:jc w:val="center"/>
        <w:rPr>
          <w:rFonts w:eastAsiaTheme="minorEastAsia"/>
          <w:color w:val="000000"/>
          <w:sz w:val="23"/>
          <w:szCs w:val="23"/>
          <w:lang w:val="tr-TR"/>
        </w:rPr>
      </w:pPr>
      <w:r w:rsidRPr="00134692">
        <w:rPr>
          <w:rFonts w:eastAsiaTheme="minorEastAsia"/>
          <w:b/>
          <w:bCs/>
          <w:color w:val="000000"/>
          <w:sz w:val="23"/>
          <w:szCs w:val="23"/>
          <w:lang w:val="tr-TR"/>
        </w:rPr>
        <w:t xml:space="preserve">ÇOK TARAFLI YATIRIM GARANTİ AJANSI’NIN </w:t>
      </w:r>
    </w:p>
    <w:p w14:paraId="0A82DD6C" w14:textId="345CEB97" w:rsidR="0030747A" w:rsidRPr="00134692" w:rsidRDefault="0030747A" w:rsidP="0030747A">
      <w:pPr>
        <w:autoSpaceDE w:val="0"/>
        <w:autoSpaceDN w:val="0"/>
        <w:adjustRightInd w:val="0"/>
        <w:jc w:val="center"/>
        <w:rPr>
          <w:rFonts w:eastAsiaTheme="minorEastAsia"/>
          <w:b/>
          <w:bCs/>
          <w:color w:val="000000"/>
          <w:sz w:val="23"/>
          <w:szCs w:val="23"/>
          <w:lang w:val="tr-TR"/>
        </w:rPr>
      </w:pPr>
    </w:p>
    <w:p w14:paraId="6BC6DDBD" w14:textId="77777777" w:rsidR="00907724" w:rsidRPr="00134692" w:rsidRDefault="00907724" w:rsidP="0030747A">
      <w:pPr>
        <w:autoSpaceDE w:val="0"/>
        <w:autoSpaceDN w:val="0"/>
        <w:adjustRightInd w:val="0"/>
        <w:jc w:val="center"/>
        <w:rPr>
          <w:rFonts w:eastAsiaTheme="minorEastAsia"/>
          <w:b/>
          <w:bCs/>
          <w:color w:val="000000"/>
          <w:sz w:val="23"/>
          <w:szCs w:val="23"/>
          <w:lang w:val="tr-TR"/>
        </w:rPr>
      </w:pPr>
    </w:p>
    <w:p w14:paraId="2F04C0F6" w14:textId="2A032B76" w:rsidR="00907724" w:rsidRPr="00134692" w:rsidRDefault="00907724" w:rsidP="0030747A">
      <w:pPr>
        <w:autoSpaceDE w:val="0"/>
        <w:autoSpaceDN w:val="0"/>
        <w:adjustRightInd w:val="0"/>
        <w:jc w:val="center"/>
        <w:rPr>
          <w:rFonts w:eastAsiaTheme="minorEastAsia"/>
          <w:b/>
          <w:bCs/>
          <w:color w:val="000000"/>
          <w:sz w:val="23"/>
          <w:szCs w:val="23"/>
          <w:lang w:val="tr-TR"/>
        </w:rPr>
      </w:pPr>
      <w:r w:rsidRPr="00134692">
        <w:rPr>
          <w:rFonts w:eastAsiaTheme="minorEastAsia"/>
          <w:b/>
          <w:bCs/>
          <w:color w:val="000000"/>
          <w:sz w:val="23"/>
          <w:szCs w:val="23"/>
          <w:lang w:val="tr-TR"/>
        </w:rPr>
        <w:t xml:space="preserve">TÜRKİYE CUMHURİYETİ’NE YÖNELİK </w:t>
      </w:r>
    </w:p>
    <w:p w14:paraId="36AFB553" w14:textId="77777777" w:rsidR="00907724" w:rsidRPr="00134692" w:rsidRDefault="00907724" w:rsidP="0030747A">
      <w:pPr>
        <w:autoSpaceDE w:val="0"/>
        <w:autoSpaceDN w:val="0"/>
        <w:adjustRightInd w:val="0"/>
        <w:jc w:val="center"/>
        <w:rPr>
          <w:rFonts w:eastAsiaTheme="minorEastAsia"/>
          <w:b/>
          <w:bCs/>
          <w:color w:val="000000"/>
          <w:sz w:val="23"/>
          <w:szCs w:val="23"/>
          <w:lang w:val="tr-TR"/>
        </w:rPr>
      </w:pPr>
    </w:p>
    <w:p w14:paraId="0BCD0FFE" w14:textId="77777777" w:rsidR="00907724" w:rsidRPr="00134692" w:rsidRDefault="00907724" w:rsidP="0030747A">
      <w:pPr>
        <w:autoSpaceDE w:val="0"/>
        <w:autoSpaceDN w:val="0"/>
        <w:adjustRightInd w:val="0"/>
        <w:jc w:val="center"/>
        <w:rPr>
          <w:rFonts w:eastAsiaTheme="minorEastAsia"/>
          <w:b/>
          <w:bCs/>
          <w:color w:val="000000"/>
          <w:sz w:val="23"/>
          <w:szCs w:val="23"/>
          <w:lang w:val="tr-TR"/>
        </w:rPr>
      </w:pPr>
    </w:p>
    <w:p w14:paraId="1A5FBB94" w14:textId="74DCA50B" w:rsidR="00907724" w:rsidRPr="00134692" w:rsidRDefault="00907724" w:rsidP="0030747A">
      <w:pPr>
        <w:autoSpaceDE w:val="0"/>
        <w:autoSpaceDN w:val="0"/>
        <w:adjustRightInd w:val="0"/>
        <w:jc w:val="center"/>
        <w:rPr>
          <w:rFonts w:eastAsiaTheme="minorEastAsia"/>
          <w:b/>
          <w:bCs/>
          <w:color w:val="000000"/>
          <w:sz w:val="23"/>
          <w:szCs w:val="23"/>
          <w:lang w:val="tr-TR"/>
        </w:rPr>
      </w:pPr>
      <w:r w:rsidRPr="00134692">
        <w:rPr>
          <w:rFonts w:eastAsiaTheme="minorEastAsia"/>
          <w:b/>
          <w:bCs/>
          <w:color w:val="000000"/>
          <w:sz w:val="23"/>
          <w:szCs w:val="23"/>
          <w:lang w:val="tr-TR"/>
        </w:rPr>
        <w:t xml:space="preserve">2018 </w:t>
      </w:r>
      <w:r w:rsidR="001A381D" w:rsidRPr="00134692">
        <w:rPr>
          <w:rFonts w:eastAsiaTheme="minorEastAsia"/>
          <w:b/>
          <w:bCs/>
          <w:color w:val="000000"/>
          <w:sz w:val="23"/>
          <w:szCs w:val="23"/>
          <w:lang w:val="tr-TR"/>
        </w:rPr>
        <w:t xml:space="preserve">MY </w:t>
      </w:r>
      <w:r w:rsidRPr="00134692">
        <w:rPr>
          <w:rFonts w:eastAsiaTheme="minorEastAsia"/>
          <w:b/>
          <w:bCs/>
          <w:color w:val="000000"/>
          <w:sz w:val="23"/>
          <w:szCs w:val="23"/>
          <w:lang w:val="tr-TR"/>
        </w:rPr>
        <w:t xml:space="preserve">– 2021 MY DÖNEMİNİ KAPSAYAN </w:t>
      </w:r>
    </w:p>
    <w:p w14:paraId="1D368B96" w14:textId="77777777" w:rsidR="00907724" w:rsidRPr="00134692" w:rsidRDefault="00907724" w:rsidP="0030747A">
      <w:pPr>
        <w:autoSpaceDE w:val="0"/>
        <w:autoSpaceDN w:val="0"/>
        <w:adjustRightInd w:val="0"/>
        <w:jc w:val="center"/>
        <w:rPr>
          <w:rFonts w:eastAsiaTheme="minorEastAsia"/>
          <w:b/>
          <w:bCs/>
          <w:color w:val="000000"/>
          <w:sz w:val="23"/>
          <w:szCs w:val="23"/>
          <w:lang w:val="tr-TR"/>
        </w:rPr>
      </w:pPr>
    </w:p>
    <w:p w14:paraId="114A678C" w14:textId="77777777" w:rsidR="00907724" w:rsidRPr="00134692" w:rsidRDefault="00907724" w:rsidP="0030747A">
      <w:pPr>
        <w:autoSpaceDE w:val="0"/>
        <w:autoSpaceDN w:val="0"/>
        <w:adjustRightInd w:val="0"/>
        <w:jc w:val="center"/>
        <w:rPr>
          <w:rFonts w:eastAsiaTheme="minorEastAsia"/>
          <w:b/>
          <w:bCs/>
          <w:color w:val="000000"/>
          <w:sz w:val="23"/>
          <w:szCs w:val="23"/>
          <w:lang w:val="tr-TR"/>
        </w:rPr>
      </w:pPr>
    </w:p>
    <w:p w14:paraId="597527D1" w14:textId="11A20FF2" w:rsidR="0030747A" w:rsidRPr="00134692" w:rsidRDefault="00907724" w:rsidP="0030747A">
      <w:pPr>
        <w:autoSpaceDE w:val="0"/>
        <w:autoSpaceDN w:val="0"/>
        <w:adjustRightInd w:val="0"/>
        <w:jc w:val="center"/>
        <w:rPr>
          <w:rFonts w:eastAsiaTheme="minorEastAsia"/>
          <w:color w:val="000000"/>
          <w:sz w:val="23"/>
          <w:szCs w:val="23"/>
          <w:lang w:val="tr-TR"/>
        </w:rPr>
      </w:pPr>
      <w:r w:rsidRPr="00134692">
        <w:rPr>
          <w:rFonts w:eastAsiaTheme="minorEastAsia"/>
          <w:b/>
          <w:bCs/>
          <w:color w:val="000000"/>
          <w:sz w:val="23"/>
          <w:szCs w:val="23"/>
          <w:lang w:val="tr-TR"/>
        </w:rPr>
        <w:t xml:space="preserve">ÜLKE İŞBİRLİĞİ ÇERÇEVESİ </w:t>
      </w:r>
    </w:p>
    <w:p w14:paraId="7E855481" w14:textId="77777777" w:rsidR="0030747A" w:rsidRPr="00134692" w:rsidRDefault="0030747A" w:rsidP="0030747A">
      <w:pPr>
        <w:autoSpaceDE w:val="0"/>
        <w:autoSpaceDN w:val="0"/>
        <w:adjustRightInd w:val="0"/>
        <w:jc w:val="center"/>
        <w:rPr>
          <w:rFonts w:eastAsiaTheme="minorEastAsia"/>
          <w:b/>
          <w:bCs/>
          <w:color w:val="000000"/>
          <w:sz w:val="23"/>
          <w:szCs w:val="23"/>
          <w:lang w:val="tr-TR"/>
        </w:rPr>
      </w:pPr>
    </w:p>
    <w:p w14:paraId="6A344BA4" w14:textId="77777777" w:rsidR="0030747A" w:rsidRPr="00134692" w:rsidRDefault="0030747A" w:rsidP="0030747A">
      <w:pPr>
        <w:autoSpaceDE w:val="0"/>
        <w:autoSpaceDN w:val="0"/>
        <w:adjustRightInd w:val="0"/>
        <w:jc w:val="center"/>
        <w:rPr>
          <w:rFonts w:eastAsiaTheme="minorEastAsia"/>
          <w:b/>
          <w:bCs/>
          <w:color w:val="000000"/>
          <w:sz w:val="23"/>
          <w:szCs w:val="23"/>
          <w:lang w:val="tr-TR"/>
        </w:rPr>
      </w:pPr>
    </w:p>
    <w:p w14:paraId="7346C61D" w14:textId="0F0A42E8" w:rsidR="0030747A" w:rsidRPr="00134692" w:rsidRDefault="00907724" w:rsidP="0030747A">
      <w:pPr>
        <w:autoSpaceDE w:val="0"/>
        <w:autoSpaceDN w:val="0"/>
        <w:adjustRightInd w:val="0"/>
        <w:jc w:val="center"/>
        <w:rPr>
          <w:rFonts w:eastAsiaTheme="minorEastAsia"/>
          <w:color w:val="000000"/>
          <w:sz w:val="23"/>
          <w:szCs w:val="23"/>
          <w:lang w:val="tr-TR"/>
        </w:rPr>
      </w:pPr>
      <w:r w:rsidRPr="00134692">
        <w:rPr>
          <w:rFonts w:eastAsiaTheme="minorEastAsia"/>
          <w:b/>
          <w:bCs/>
          <w:color w:val="000000"/>
          <w:sz w:val="23"/>
          <w:szCs w:val="23"/>
          <w:lang w:val="tr-TR"/>
        </w:rPr>
        <w:t xml:space="preserve">28 Temmuz </w:t>
      </w:r>
      <w:r w:rsidR="00B3106B" w:rsidRPr="00134692">
        <w:rPr>
          <w:rFonts w:eastAsiaTheme="minorEastAsia"/>
          <w:b/>
          <w:bCs/>
          <w:color w:val="000000"/>
          <w:sz w:val="23"/>
          <w:szCs w:val="23"/>
          <w:lang w:val="tr-TR"/>
        </w:rPr>
        <w:t>2017</w:t>
      </w:r>
    </w:p>
    <w:p w14:paraId="7D2B4A2E" w14:textId="77777777" w:rsidR="0030747A" w:rsidRPr="00134692" w:rsidRDefault="0030747A" w:rsidP="0030747A">
      <w:pPr>
        <w:autoSpaceDE w:val="0"/>
        <w:autoSpaceDN w:val="0"/>
        <w:adjustRightInd w:val="0"/>
        <w:rPr>
          <w:rFonts w:eastAsiaTheme="minorEastAsia"/>
          <w:b/>
          <w:bCs/>
          <w:color w:val="000000"/>
          <w:sz w:val="23"/>
          <w:szCs w:val="23"/>
          <w:lang w:val="tr-TR"/>
        </w:rPr>
      </w:pPr>
    </w:p>
    <w:p w14:paraId="470FF862" w14:textId="77777777" w:rsidR="0030747A" w:rsidRPr="00134692" w:rsidRDefault="0030747A" w:rsidP="0030747A">
      <w:pPr>
        <w:autoSpaceDE w:val="0"/>
        <w:autoSpaceDN w:val="0"/>
        <w:adjustRightInd w:val="0"/>
        <w:rPr>
          <w:rFonts w:eastAsiaTheme="minorEastAsia"/>
          <w:b/>
          <w:bCs/>
          <w:color w:val="000000"/>
          <w:sz w:val="23"/>
          <w:szCs w:val="23"/>
          <w:lang w:val="tr-TR"/>
        </w:rPr>
      </w:pPr>
    </w:p>
    <w:p w14:paraId="4AB89288" w14:textId="77777777" w:rsidR="0030747A" w:rsidRPr="00134692" w:rsidRDefault="0030747A" w:rsidP="0030747A">
      <w:pPr>
        <w:autoSpaceDE w:val="0"/>
        <w:autoSpaceDN w:val="0"/>
        <w:adjustRightInd w:val="0"/>
        <w:rPr>
          <w:rFonts w:eastAsiaTheme="minorEastAsia"/>
          <w:b/>
          <w:bCs/>
          <w:color w:val="000000"/>
          <w:sz w:val="23"/>
          <w:szCs w:val="23"/>
          <w:lang w:val="tr-TR"/>
        </w:rPr>
      </w:pPr>
    </w:p>
    <w:p w14:paraId="07881CCE" w14:textId="77777777" w:rsidR="00121A74" w:rsidRPr="00134692" w:rsidRDefault="00121A74" w:rsidP="0030747A">
      <w:pPr>
        <w:autoSpaceDE w:val="0"/>
        <w:autoSpaceDN w:val="0"/>
        <w:adjustRightInd w:val="0"/>
        <w:rPr>
          <w:rFonts w:eastAsiaTheme="minorEastAsia"/>
          <w:b/>
          <w:bCs/>
          <w:color w:val="000000"/>
          <w:sz w:val="23"/>
          <w:szCs w:val="23"/>
          <w:lang w:val="tr-TR"/>
        </w:rPr>
      </w:pPr>
    </w:p>
    <w:p w14:paraId="0BC5CF8C" w14:textId="77777777" w:rsidR="00121A74" w:rsidRPr="00134692" w:rsidRDefault="00121A74" w:rsidP="0030747A">
      <w:pPr>
        <w:autoSpaceDE w:val="0"/>
        <w:autoSpaceDN w:val="0"/>
        <w:adjustRightInd w:val="0"/>
        <w:rPr>
          <w:rFonts w:eastAsiaTheme="minorEastAsia"/>
          <w:b/>
          <w:bCs/>
          <w:color w:val="000000"/>
          <w:sz w:val="23"/>
          <w:szCs w:val="23"/>
          <w:lang w:val="tr-TR"/>
        </w:rPr>
      </w:pPr>
    </w:p>
    <w:p w14:paraId="25DA3776" w14:textId="01BE8B87" w:rsidR="0030747A" w:rsidRPr="00134692" w:rsidRDefault="00E6446B" w:rsidP="0030747A">
      <w:pPr>
        <w:tabs>
          <w:tab w:val="left" w:pos="426"/>
        </w:tabs>
        <w:autoSpaceDE w:val="0"/>
        <w:autoSpaceDN w:val="0"/>
        <w:adjustRightInd w:val="0"/>
        <w:rPr>
          <w:rFonts w:eastAsia="SimSun"/>
          <w:b/>
          <w:bCs/>
          <w:color w:val="000000"/>
          <w:sz w:val="23"/>
          <w:szCs w:val="23"/>
          <w:lang w:val="tr-TR"/>
        </w:rPr>
      </w:pPr>
      <w:r w:rsidRPr="00134692">
        <w:rPr>
          <w:rFonts w:eastAsia="SimSun"/>
          <w:b/>
          <w:bCs/>
          <w:color w:val="000000"/>
          <w:sz w:val="23"/>
          <w:szCs w:val="23"/>
          <w:lang w:val="tr-TR"/>
        </w:rPr>
        <w:t>T</w:t>
      </w:r>
      <w:r w:rsidR="00907724" w:rsidRPr="00134692">
        <w:rPr>
          <w:rFonts w:eastAsia="SimSun"/>
          <w:b/>
          <w:bCs/>
          <w:color w:val="000000"/>
          <w:sz w:val="23"/>
          <w:szCs w:val="23"/>
          <w:lang w:val="tr-TR"/>
        </w:rPr>
        <w:t xml:space="preserve">ürkiye Ülke Yönetim Birimi </w:t>
      </w:r>
    </w:p>
    <w:p w14:paraId="3F8E6B5B" w14:textId="3638403E" w:rsidR="0030747A" w:rsidRPr="00134692" w:rsidRDefault="00907724" w:rsidP="0030747A">
      <w:pPr>
        <w:tabs>
          <w:tab w:val="left" w:pos="426"/>
        </w:tabs>
        <w:autoSpaceDE w:val="0"/>
        <w:autoSpaceDN w:val="0"/>
        <w:adjustRightInd w:val="0"/>
        <w:rPr>
          <w:rFonts w:eastAsia="SimSun"/>
          <w:b/>
          <w:bCs/>
          <w:color w:val="000000"/>
          <w:sz w:val="23"/>
          <w:szCs w:val="23"/>
          <w:lang w:val="tr-TR"/>
        </w:rPr>
      </w:pPr>
      <w:r w:rsidRPr="00134692">
        <w:rPr>
          <w:rFonts w:eastAsia="SimSun"/>
          <w:b/>
          <w:bCs/>
          <w:color w:val="000000"/>
          <w:sz w:val="23"/>
          <w:szCs w:val="23"/>
          <w:lang w:val="tr-TR"/>
        </w:rPr>
        <w:t xml:space="preserve">Avrupa ve Orta Asya </w:t>
      </w:r>
    </w:p>
    <w:p w14:paraId="55B95275" w14:textId="77777777" w:rsidR="0030747A" w:rsidRPr="00134692" w:rsidRDefault="0030747A" w:rsidP="0030747A">
      <w:pPr>
        <w:tabs>
          <w:tab w:val="left" w:pos="426"/>
        </w:tabs>
        <w:autoSpaceDE w:val="0"/>
        <w:autoSpaceDN w:val="0"/>
        <w:adjustRightInd w:val="0"/>
        <w:rPr>
          <w:rFonts w:eastAsia="SimSun"/>
          <w:b/>
          <w:bCs/>
          <w:color w:val="000000"/>
          <w:sz w:val="23"/>
          <w:szCs w:val="23"/>
          <w:lang w:val="tr-TR"/>
        </w:rPr>
      </w:pPr>
    </w:p>
    <w:p w14:paraId="419D2886" w14:textId="44767879" w:rsidR="0030747A" w:rsidRPr="00134692" w:rsidRDefault="00907724" w:rsidP="0030747A">
      <w:pPr>
        <w:tabs>
          <w:tab w:val="left" w:pos="426"/>
        </w:tabs>
        <w:autoSpaceDE w:val="0"/>
        <w:autoSpaceDN w:val="0"/>
        <w:adjustRightInd w:val="0"/>
        <w:rPr>
          <w:rFonts w:eastAsia="SimSun"/>
          <w:b/>
          <w:bCs/>
          <w:color w:val="000000"/>
          <w:sz w:val="23"/>
          <w:szCs w:val="23"/>
          <w:lang w:val="tr-TR"/>
        </w:rPr>
      </w:pPr>
      <w:r w:rsidRPr="00134692">
        <w:rPr>
          <w:rFonts w:eastAsia="SimSun"/>
          <w:b/>
          <w:bCs/>
          <w:color w:val="000000"/>
          <w:sz w:val="23"/>
          <w:szCs w:val="23"/>
          <w:lang w:val="tr-TR"/>
        </w:rPr>
        <w:t xml:space="preserve">Uluslararası Finans Kurumu </w:t>
      </w:r>
    </w:p>
    <w:p w14:paraId="4528643C" w14:textId="06339FF7" w:rsidR="0030747A" w:rsidRPr="00134692" w:rsidRDefault="00366D7A" w:rsidP="0030747A">
      <w:pPr>
        <w:tabs>
          <w:tab w:val="left" w:pos="426"/>
        </w:tabs>
        <w:autoSpaceDE w:val="0"/>
        <w:autoSpaceDN w:val="0"/>
        <w:adjustRightInd w:val="0"/>
        <w:rPr>
          <w:rFonts w:eastAsia="SimSun"/>
          <w:b/>
          <w:bCs/>
          <w:color w:val="000000"/>
          <w:sz w:val="23"/>
          <w:szCs w:val="23"/>
          <w:lang w:val="tr-TR"/>
        </w:rPr>
      </w:pPr>
      <w:r w:rsidRPr="00134692">
        <w:rPr>
          <w:rFonts w:eastAsia="SimSun"/>
          <w:b/>
          <w:bCs/>
          <w:color w:val="000000"/>
          <w:sz w:val="23"/>
          <w:szCs w:val="23"/>
          <w:lang w:val="tr-TR"/>
        </w:rPr>
        <w:t xml:space="preserve">Avrupa ve Orta Asya </w:t>
      </w:r>
    </w:p>
    <w:p w14:paraId="399A3D8B" w14:textId="77777777" w:rsidR="0030747A" w:rsidRPr="00134692" w:rsidRDefault="0030747A" w:rsidP="0030747A">
      <w:pPr>
        <w:tabs>
          <w:tab w:val="left" w:pos="426"/>
        </w:tabs>
        <w:autoSpaceDE w:val="0"/>
        <w:autoSpaceDN w:val="0"/>
        <w:adjustRightInd w:val="0"/>
        <w:rPr>
          <w:rFonts w:eastAsia="SimSun"/>
          <w:b/>
          <w:bCs/>
          <w:color w:val="000000"/>
          <w:sz w:val="23"/>
          <w:szCs w:val="23"/>
          <w:lang w:val="tr-TR"/>
        </w:rPr>
      </w:pPr>
    </w:p>
    <w:p w14:paraId="6D37DEFA" w14:textId="42041983" w:rsidR="0030747A" w:rsidRPr="00134692" w:rsidRDefault="00366D7A" w:rsidP="0030747A">
      <w:pPr>
        <w:tabs>
          <w:tab w:val="left" w:pos="426"/>
        </w:tabs>
        <w:autoSpaceDE w:val="0"/>
        <w:autoSpaceDN w:val="0"/>
        <w:adjustRightInd w:val="0"/>
        <w:rPr>
          <w:rFonts w:eastAsia="SimSun"/>
          <w:b/>
          <w:bCs/>
          <w:color w:val="000000"/>
          <w:sz w:val="23"/>
          <w:szCs w:val="23"/>
          <w:lang w:val="tr-TR"/>
        </w:rPr>
      </w:pPr>
      <w:r w:rsidRPr="00134692">
        <w:rPr>
          <w:rFonts w:eastAsia="SimSun"/>
          <w:b/>
          <w:bCs/>
          <w:color w:val="000000"/>
          <w:sz w:val="23"/>
          <w:szCs w:val="23"/>
          <w:lang w:val="tr-TR"/>
        </w:rPr>
        <w:t xml:space="preserve">Çok Taraflı Yatırım Garanti Ajansı </w:t>
      </w:r>
    </w:p>
    <w:p w14:paraId="137202BA" w14:textId="77777777" w:rsidR="0030747A" w:rsidRPr="00134692" w:rsidRDefault="0030747A" w:rsidP="0030747A">
      <w:pPr>
        <w:autoSpaceDE w:val="0"/>
        <w:autoSpaceDN w:val="0"/>
        <w:adjustRightInd w:val="0"/>
        <w:rPr>
          <w:rFonts w:eastAsiaTheme="minorEastAsia"/>
          <w:color w:val="000000"/>
          <w:sz w:val="23"/>
          <w:szCs w:val="23"/>
          <w:lang w:val="tr-TR"/>
        </w:rPr>
      </w:pPr>
    </w:p>
    <w:p w14:paraId="17DF4E3F" w14:textId="1CD48714" w:rsidR="0030747A" w:rsidRPr="00134692" w:rsidRDefault="001A381D" w:rsidP="00BF256D">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120"/>
        <w:rPr>
          <w:rFonts w:eastAsiaTheme="minorEastAsia"/>
          <w:color w:val="000000"/>
          <w:sz w:val="22"/>
          <w:szCs w:val="22"/>
          <w:lang w:val="tr-TR"/>
        </w:rPr>
      </w:pPr>
      <w:r w:rsidRPr="00134692">
        <w:rPr>
          <w:rFonts w:eastAsiaTheme="minorEastAsia"/>
          <w:color w:val="000000"/>
          <w:sz w:val="22"/>
          <w:lang w:val="tr-TR"/>
        </w:rPr>
        <w:t xml:space="preserve">Bu belge sınırlı dağıtıma sahiptir </w:t>
      </w:r>
      <w:r w:rsidR="0030747A" w:rsidRPr="00134692">
        <w:rPr>
          <w:rFonts w:eastAsiaTheme="minorEastAsia"/>
          <w:color w:val="000000"/>
          <w:sz w:val="22"/>
          <w:lang w:val="tr-TR"/>
        </w:rPr>
        <w:t xml:space="preserve"> </w:t>
      </w:r>
      <w:r w:rsidRPr="00134692">
        <w:rPr>
          <w:rFonts w:eastAsiaTheme="minorEastAsia"/>
          <w:color w:val="000000"/>
          <w:sz w:val="22"/>
          <w:lang w:val="tr-TR"/>
        </w:rPr>
        <w:t>ve alıcılar tarafından sadece resmi görevlerinin ifası sırasında kullanılabilir.</w:t>
      </w:r>
      <w:r w:rsidR="0030747A" w:rsidRPr="00134692">
        <w:rPr>
          <w:rFonts w:eastAsiaTheme="minorEastAsia"/>
          <w:color w:val="000000"/>
          <w:sz w:val="22"/>
          <w:lang w:val="tr-TR"/>
        </w:rPr>
        <w:t xml:space="preserve"> </w:t>
      </w:r>
      <w:r w:rsidRPr="00134692">
        <w:rPr>
          <w:rFonts w:eastAsiaTheme="minorEastAsia"/>
          <w:color w:val="000000"/>
          <w:sz w:val="22"/>
          <w:lang w:val="tr-TR"/>
        </w:rPr>
        <w:t>İçeriği Dünya Bankası Grubu’nun izni olmaksızın açıklanamaz</w:t>
      </w:r>
      <w:r w:rsidR="0030747A" w:rsidRPr="00134692">
        <w:rPr>
          <w:rFonts w:eastAsiaTheme="minorEastAsia"/>
          <w:color w:val="000000"/>
          <w:sz w:val="22"/>
          <w:lang w:val="tr-TR"/>
        </w:rPr>
        <w:t>.</w:t>
      </w:r>
      <w:r w:rsidR="0030747A" w:rsidRPr="00134692">
        <w:rPr>
          <w:rFonts w:eastAsiaTheme="minorEastAsia"/>
          <w:color w:val="000000"/>
          <w:sz w:val="22"/>
          <w:szCs w:val="22"/>
          <w:lang w:val="tr-TR"/>
        </w:rPr>
        <w:t xml:space="preserve"> </w:t>
      </w:r>
    </w:p>
    <w:p w14:paraId="6CC994F6" w14:textId="4A99F07B" w:rsidR="0030747A" w:rsidRPr="00134692" w:rsidRDefault="0030747A" w:rsidP="0030747A">
      <w:pPr>
        <w:autoSpaceDE w:val="0"/>
        <w:autoSpaceDN w:val="0"/>
        <w:adjustRightInd w:val="0"/>
        <w:jc w:val="both"/>
        <w:rPr>
          <w:rFonts w:eastAsiaTheme="minorEastAsia"/>
          <w:b/>
          <w:bCs/>
          <w:color w:val="000000"/>
          <w:sz w:val="23"/>
          <w:szCs w:val="23"/>
          <w:lang w:val="tr-TR"/>
        </w:rPr>
      </w:pPr>
    </w:p>
    <w:p w14:paraId="0EAB8065" w14:textId="7AA05752" w:rsidR="00907724" w:rsidRPr="00134692" w:rsidRDefault="00907724" w:rsidP="0030747A">
      <w:pPr>
        <w:autoSpaceDE w:val="0"/>
        <w:autoSpaceDN w:val="0"/>
        <w:adjustRightInd w:val="0"/>
        <w:jc w:val="both"/>
        <w:rPr>
          <w:rFonts w:eastAsiaTheme="minorEastAsia"/>
          <w:b/>
          <w:bCs/>
          <w:color w:val="000000"/>
          <w:sz w:val="23"/>
          <w:szCs w:val="23"/>
          <w:lang w:val="tr-TR"/>
        </w:rPr>
      </w:pPr>
    </w:p>
    <w:p w14:paraId="7442ECEE" w14:textId="77777777" w:rsidR="00907724" w:rsidRPr="00134692" w:rsidRDefault="00907724" w:rsidP="0030747A">
      <w:pPr>
        <w:autoSpaceDE w:val="0"/>
        <w:autoSpaceDN w:val="0"/>
        <w:adjustRightInd w:val="0"/>
        <w:jc w:val="both"/>
        <w:rPr>
          <w:rFonts w:eastAsiaTheme="minorEastAsia"/>
          <w:b/>
          <w:bCs/>
          <w:color w:val="000000"/>
          <w:sz w:val="23"/>
          <w:szCs w:val="23"/>
          <w:lang w:val="tr-TR"/>
        </w:rPr>
      </w:pPr>
    </w:p>
    <w:p w14:paraId="513614F5" w14:textId="54112A48" w:rsidR="0030747A" w:rsidRPr="00134692" w:rsidRDefault="001A381D" w:rsidP="0030747A">
      <w:pPr>
        <w:tabs>
          <w:tab w:val="left" w:pos="426"/>
        </w:tabs>
        <w:autoSpaceDE w:val="0"/>
        <w:autoSpaceDN w:val="0"/>
        <w:adjustRightInd w:val="0"/>
        <w:jc w:val="center"/>
        <w:rPr>
          <w:rFonts w:eastAsia="SimSun"/>
          <w:color w:val="000000"/>
          <w:sz w:val="23"/>
          <w:szCs w:val="23"/>
          <w:lang w:val="tr-TR"/>
        </w:rPr>
      </w:pPr>
      <w:r w:rsidRPr="00134692">
        <w:rPr>
          <w:rFonts w:eastAsia="SimSun"/>
          <w:b/>
          <w:bCs/>
          <w:color w:val="000000"/>
          <w:sz w:val="23"/>
          <w:szCs w:val="23"/>
          <w:lang w:val="tr-TR"/>
        </w:rPr>
        <w:lastRenderedPageBreak/>
        <w:t xml:space="preserve">KUR EŞDEĞERLERİ </w:t>
      </w:r>
    </w:p>
    <w:p w14:paraId="22CEE9E6" w14:textId="23B57815" w:rsidR="0030747A" w:rsidRPr="00134692" w:rsidRDefault="001A381D" w:rsidP="0030747A">
      <w:pPr>
        <w:tabs>
          <w:tab w:val="left" w:pos="426"/>
        </w:tabs>
        <w:autoSpaceDE w:val="0"/>
        <w:autoSpaceDN w:val="0"/>
        <w:adjustRightInd w:val="0"/>
        <w:jc w:val="center"/>
        <w:rPr>
          <w:rFonts w:eastAsia="SimSun"/>
          <w:color w:val="000000"/>
          <w:sz w:val="23"/>
          <w:szCs w:val="23"/>
          <w:lang w:val="tr-TR"/>
        </w:rPr>
      </w:pPr>
      <w:r w:rsidRPr="00134692">
        <w:rPr>
          <w:rFonts w:eastAsia="SimSun"/>
          <w:color w:val="000000"/>
          <w:sz w:val="23"/>
          <w:szCs w:val="23"/>
          <w:lang w:val="tr-TR"/>
        </w:rPr>
        <w:t xml:space="preserve">28 Temmuz 2017 itibariyle geçerli döviz kurları </w:t>
      </w:r>
    </w:p>
    <w:p w14:paraId="6DCF5DBE" w14:textId="3802557F" w:rsidR="0030747A" w:rsidRPr="00134692" w:rsidRDefault="00FF2EC3" w:rsidP="0030747A">
      <w:pPr>
        <w:tabs>
          <w:tab w:val="left" w:pos="426"/>
        </w:tabs>
        <w:autoSpaceDE w:val="0"/>
        <w:autoSpaceDN w:val="0"/>
        <w:adjustRightInd w:val="0"/>
        <w:jc w:val="center"/>
        <w:rPr>
          <w:rFonts w:eastAsia="SimSun"/>
          <w:color w:val="000000"/>
          <w:sz w:val="23"/>
          <w:szCs w:val="23"/>
          <w:lang w:val="tr-TR"/>
        </w:rPr>
      </w:pPr>
      <w:r w:rsidRPr="00134692">
        <w:rPr>
          <w:rFonts w:eastAsia="SimSun"/>
          <w:noProof/>
          <w:color w:val="000000"/>
          <w:sz w:val="23"/>
          <w:szCs w:val="23"/>
          <w:lang w:val="en-GB" w:eastAsia="en-GB"/>
        </w:rPr>
        <mc:AlternateContent>
          <mc:Choice Requires="wpi">
            <w:drawing>
              <wp:anchor distT="0" distB="0" distL="114300" distR="114300" simplePos="0" relativeHeight="251671552" behindDoc="0" locked="0" layoutInCell="1" allowOverlap="1" wp14:anchorId="3D754329" wp14:editId="49672CEF">
                <wp:simplePos x="0" y="0"/>
                <wp:positionH relativeFrom="column">
                  <wp:posOffset>2632062</wp:posOffset>
                </wp:positionH>
                <wp:positionV relativeFrom="paragraph">
                  <wp:posOffset>157851</wp:posOffset>
                </wp:positionV>
                <wp:extent cx="200" cy="200"/>
                <wp:effectExtent l="38100" t="38100" r="38100" b="38100"/>
                <wp:wrapNone/>
                <wp:docPr id="19" name="Ink 19"/>
                <wp:cNvGraphicFramePr/>
                <a:graphic xmlns:a="http://schemas.openxmlformats.org/drawingml/2006/main">
                  <a:graphicData uri="http://schemas.microsoft.com/office/word/2010/wordprocessingInk">
                    <w14:contentPart bwMode="auto" r:id="rId8">
                      <w14:nvContentPartPr>
                        <w14:cNvContentPartPr/>
                      </w14:nvContentPartPr>
                      <w14:xfrm>
                        <a:off x="0" y="0"/>
                        <a:ext cx="200" cy="200"/>
                      </w14:xfrm>
                    </w14:contentPart>
                  </a:graphicData>
                </a:graphic>
              </wp:anchor>
            </w:drawing>
          </mc:Choice>
          <mc:Fallback xmlns:mv="urn:schemas-microsoft-com:mac:vml" xmlns:mo="http://schemas.microsoft.com/office/mac/office/2008/main">
            <w:pict>
              <v:shapetype w14:anchorId="4B24C0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07.05pt;margin-top:12.25pt;width:.35pt;height:.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">
                <v:imagedata r:id="rId9" o:title=""/>
              </v:shape>
            </w:pict>
          </mc:Fallback>
        </mc:AlternateContent>
      </w:r>
      <w:r w:rsidR="001A381D" w:rsidRPr="00134692">
        <w:rPr>
          <w:rFonts w:eastAsia="SimSun"/>
          <w:color w:val="000000"/>
          <w:sz w:val="23"/>
          <w:szCs w:val="23"/>
          <w:lang w:val="tr-TR"/>
        </w:rPr>
        <w:t xml:space="preserve">Para Birimi </w:t>
      </w:r>
      <w:r w:rsidR="00E06ECC" w:rsidRPr="00134692">
        <w:rPr>
          <w:rFonts w:eastAsia="SimSun"/>
          <w:color w:val="000000"/>
          <w:sz w:val="23"/>
          <w:szCs w:val="23"/>
          <w:lang w:val="tr-TR"/>
        </w:rPr>
        <w:t>1 TL</w:t>
      </w:r>
      <w:r w:rsidR="0030747A" w:rsidRPr="00134692">
        <w:rPr>
          <w:rFonts w:eastAsia="SimSun"/>
          <w:color w:val="000000"/>
          <w:sz w:val="23"/>
          <w:szCs w:val="23"/>
          <w:lang w:val="tr-TR"/>
        </w:rPr>
        <w:t xml:space="preserve"> = </w:t>
      </w:r>
      <w:r w:rsidR="00E06ECC" w:rsidRPr="00134692">
        <w:rPr>
          <w:rFonts w:eastAsia="SimSun"/>
          <w:color w:val="000000"/>
          <w:sz w:val="23"/>
          <w:szCs w:val="23"/>
          <w:lang w:val="tr-TR"/>
        </w:rPr>
        <w:t>3</w:t>
      </w:r>
      <w:r w:rsidR="001A381D" w:rsidRPr="00134692">
        <w:rPr>
          <w:rFonts w:eastAsia="SimSun"/>
          <w:color w:val="000000"/>
          <w:sz w:val="23"/>
          <w:szCs w:val="23"/>
          <w:lang w:val="tr-TR"/>
        </w:rPr>
        <w:t>,</w:t>
      </w:r>
      <w:r w:rsidR="00E06ECC" w:rsidRPr="00134692">
        <w:rPr>
          <w:rFonts w:eastAsia="SimSun"/>
          <w:color w:val="000000"/>
          <w:sz w:val="23"/>
          <w:szCs w:val="23"/>
          <w:lang w:val="tr-TR"/>
        </w:rPr>
        <w:t>5</w:t>
      </w:r>
      <w:r w:rsidR="00CC301E" w:rsidRPr="00134692">
        <w:rPr>
          <w:rFonts w:eastAsia="SimSun"/>
          <w:color w:val="000000"/>
          <w:sz w:val="23"/>
          <w:szCs w:val="23"/>
          <w:lang w:val="tr-TR"/>
        </w:rPr>
        <w:t>6</w:t>
      </w:r>
      <w:r w:rsidR="00E06ECC" w:rsidRPr="00134692">
        <w:rPr>
          <w:rFonts w:eastAsia="SimSun"/>
          <w:color w:val="000000"/>
          <w:sz w:val="23"/>
          <w:szCs w:val="23"/>
          <w:lang w:val="tr-TR"/>
        </w:rPr>
        <w:t xml:space="preserve"> </w:t>
      </w:r>
      <w:r w:rsidR="001A381D" w:rsidRPr="00134692">
        <w:rPr>
          <w:rFonts w:eastAsia="SimSun"/>
          <w:color w:val="000000"/>
          <w:sz w:val="23"/>
          <w:szCs w:val="23"/>
          <w:lang w:val="tr-TR"/>
        </w:rPr>
        <w:t>ABD</w:t>
      </w:r>
      <w:r w:rsidR="0030747A" w:rsidRPr="00134692">
        <w:rPr>
          <w:rFonts w:eastAsia="SimSun"/>
          <w:color w:val="000000"/>
          <w:sz w:val="23"/>
          <w:szCs w:val="23"/>
          <w:lang w:val="tr-TR"/>
        </w:rPr>
        <w:t xml:space="preserve">$ </w:t>
      </w:r>
    </w:p>
    <w:p w14:paraId="5065218C" w14:textId="77777777" w:rsidR="0030747A" w:rsidRPr="00134692" w:rsidRDefault="0030747A" w:rsidP="0030747A">
      <w:pPr>
        <w:tabs>
          <w:tab w:val="left" w:pos="426"/>
        </w:tabs>
        <w:autoSpaceDE w:val="0"/>
        <w:autoSpaceDN w:val="0"/>
        <w:adjustRightInd w:val="0"/>
        <w:jc w:val="center"/>
        <w:rPr>
          <w:rFonts w:eastAsia="SimSun"/>
          <w:b/>
          <w:bCs/>
          <w:color w:val="000000"/>
          <w:sz w:val="23"/>
          <w:szCs w:val="23"/>
          <w:lang w:val="tr-TR"/>
        </w:rPr>
      </w:pPr>
    </w:p>
    <w:p w14:paraId="52C4C556" w14:textId="1B809B40" w:rsidR="0030747A" w:rsidRPr="00134692" w:rsidRDefault="001A381D" w:rsidP="0030747A">
      <w:pPr>
        <w:tabs>
          <w:tab w:val="left" w:pos="426"/>
        </w:tabs>
        <w:autoSpaceDE w:val="0"/>
        <w:autoSpaceDN w:val="0"/>
        <w:adjustRightInd w:val="0"/>
        <w:jc w:val="center"/>
        <w:rPr>
          <w:rFonts w:eastAsia="SimSun"/>
          <w:color w:val="000000"/>
          <w:sz w:val="23"/>
          <w:szCs w:val="23"/>
          <w:lang w:val="tr-TR"/>
        </w:rPr>
      </w:pPr>
      <w:r w:rsidRPr="00134692">
        <w:rPr>
          <w:rFonts w:eastAsia="SimSun"/>
          <w:b/>
          <w:bCs/>
          <w:color w:val="000000"/>
          <w:sz w:val="23"/>
          <w:szCs w:val="23"/>
          <w:lang w:val="tr-TR"/>
        </w:rPr>
        <w:t xml:space="preserve">MALİ YIL </w:t>
      </w:r>
    </w:p>
    <w:p w14:paraId="61D34709" w14:textId="5CB16693" w:rsidR="0030747A" w:rsidRPr="00134692" w:rsidRDefault="00FF2EC3" w:rsidP="0030747A">
      <w:pPr>
        <w:tabs>
          <w:tab w:val="left" w:pos="426"/>
        </w:tabs>
        <w:autoSpaceDE w:val="0"/>
        <w:autoSpaceDN w:val="0"/>
        <w:adjustRightInd w:val="0"/>
        <w:jc w:val="center"/>
        <w:rPr>
          <w:rFonts w:eastAsia="SimSun"/>
          <w:color w:val="000000"/>
          <w:sz w:val="23"/>
          <w:szCs w:val="23"/>
          <w:lang w:val="tr-TR"/>
        </w:rPr>
      </w:pPr>
      <w:r w:rsidRPr="00134692">
        <w:rPr>
          <w:rFonts w:eastAsia="SimSun"/>
          <w:noProof/>
          <w:color w:val="000000"/>
          <w:sz w:val="23"/>
          <w:szCs w:val="23"/>
          <w:lang w:val="en-GB" w:eastAsia="en-GB"/>
        </w:rPr>
        <mc:AlternateContent>
          <mc:Choice Requires="wpi">
            <w:drawing>
              <wp:anchor distT="0" distB="0" distL="114300" distR="114300" simplePos="0" relativeHeight="251666432" behindDoc="0" locked="0" layoutInCell="1" allowOverlap="1" wp14:anchorId="193E0324" wp14:editId="16339F66">
                <wp:simplePos x="0" y="0"/>
                <wp:positionH relativeFrom="column">
                  <wp:posOffset>3076148</wp:posOffset>
                </wp:positionH>
                <wp:positionV relativeFrom="paragraph">
                  <wp:posOffset>40250</wp:posOffset>
                </wp:positionV>
                <wp:extent cx="200" cy="199"/>
                <wp:effectExtent l="38100" t="38100" r="38100" b="38100"/>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200" cy="199"/>
                      </w14:xfrm>
                    </w14:contentPart>
                  </a:graphicData>
                </a:graphic>
              </wp:anchor>
            </w:drawing>
          </mc:Choice>
          <mc:Fallback xmlns:mv="urn:schemas-microsoft-com:mac:vml" xmlns:mo="http://schemas.microsoft.com/office/mac/office/2008/main">
            <w:pict>
              <v:shape w14:anchorId="7CECA73E" id="Ink 13" o:spid="_x0000_s1026" type="#_x0000_t75" style="position:absolute;margin-left:242pt;margin-top:2.95pt;width:.35pt;height:.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">
                <v:imagedata r:id="rId9" o:title=""/>
              </v:shape>
            </w:pict>
          </mc:Fallback>
        </mc:AlternateContent>
      </w:r>
      <w:r w:rsidRPr="00134692">
        <w:rPr>
          <w:rFonts w:eastAsia="SimSun"/>
          <w:noProof/>
          <w:color w:val="000000"/>
          <w:sz w:val="23"/>
          <w:szCs w:val="23"/>
          <w:lang w:val="en-GB" w:eastAsia="en-GB"/>
        </w:rPr>
        <mc:AlternateContent>
          <mc:Choice Requires="wpi">
            <w:drawing>
              <wp:anchor distT="0" distB="0" distL="114300" distR="114300" simplePos="0" relativeHeight="251665408" behindDoc="0" locked="0" layoutInCell="1" allowOverlap="1" wp14:anchorId="6423EFA1" wp14:editId="5576C5F9">
                <wp:simplePos x="0" y="0"/>
                <wp:positionH relativeFrom="column">
                  <wp:posOffset>3076148</wp:posOffset>
                </wp:positionH>
                <wp:positionV relativeFrom="paragraph">
                  <wp:posOffset>40250</wp:posOffset>
                </wp:positionV>
                <wp:extent cx="200" cy="199"/>
                <wp:effectExtent l="38100" t="38100" r="38100" b="38100"/>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200" cy="199"/>
                      </w14:xfrm>
                    </w14:contentPart>
                  </a:graphicData>
                </a:graphic>
              </wp:anchor>
            </w:drawing>
          </mc:Choice>
          <mc:Fallback xmlns:mv="urn:schemas-microsoft-com:mac:vml" xmlns:mo="http://schemas.microsoft.com/office/mac/office/2008/main">
            <w:pict>
              <v:shape w14:anchorId="7BEAE799" id="Ink 12" o:spid="_x0000_s1026" type="#_x0000_t75" style="position:absolute;margin-left:242pt;margin-top:2.95pt;width:.35pt;height:.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">
                <v:imagedata r:id="rId9" o:title=""/>
              </v:shape>
            </w:pict>
          </mc:Fallback>
        </mc:AlternateContent>
      </w:r>
      <w:r w:rsidRPr="00134692">
        <w:rPr>
          <w:rFonts w:eastAsia="SimSun"/>
          <w:noProof/>
          <w:color w:val="000000"/>
          <w:sz w:val="23"/>
          <w:szCs w:val="23"/>
          <w:lang w:val="en-GB" w:eastAsia="en-GB"/>
        </w:rPr>
        <mc:AlternateContent>
          <mc:Choice Requires="wpi">
            <w:drawing>
              <wp:anchor distT="0" distB="0" distL="114300" distR="114300" simplePos="0" relativeHeight="251664384" behindDoc="0" locked="0" layoutInCell="1" allowOverlap="1" wp14:anchorId="657F7885" wp14:editId="4895CAF5">
                <wp:simplePos x="0" y="0"/>
                <wp:positionH relativeFrom="column">
                  <wp:posOffset>3076148</wp:posOffset>
                </wp:positionH>
                <wp:positionV relativeFrom="paragraph">
                  <wp:posOffset>40250</wp:posOffset>
                </wp:positionV>
                <wp:extent cx="200" cy="199"/>
                <wp:effectExtent l="38100" t="38100" r="38100" b="38100"/>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200" cy="199"/>
                      </w14:xfrm>
                    </w14:contentPart>
                  </a:graphicData>
                </a:graphic>
              </wp:anchor>
            </w:drawing>
          </mc:Choice>
          <mc:Fallback xmlns:mv="urn:schemas-microsoft-com:mac:vml" xmlns:mo="http://schemas.microsoft.com/office/mac/office/2008/main">
            <w:pict>
              <v:shape w14:anchorId="2FBFD0F5" id="Ink 11" o:spid="_x0000_s1026" type="#_x0000_t75" style="position:absolute;margin-left:242pt;margin-top:2.95pt;width:.35pt;height:.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">
                <v:imagedata r:id="rId9" o:title=""/>
              </v:shape>
            </w:pict>
          </mc:Fallback>
        </mc:AlternateContent>
      </w:r>
      <w:r w:rsidRPr="00134692">
        <w:rPr>
          <w:rFonts w:eastAsia="SimSun"/>
          <w:noProof/>
          <w:color w:val="000000"/>
          <w:sz w:val="23"/>
          <w:szCs w:val="23"/>
          <w:lang w:val="en-GB" w:eastAsia="en-GB"/>
        </w:rPr>
        <mc:AlternateContent>
          <mc:Choice Requires="wpi">
            <w:drawing>
              <wp:anchor distT="0" distB="0" distL="114300" distR="114300" simplePos="0" relativeHeight="251663360" behindDoc="0" locked="0" layoutInCell="1" allowOverlap="1" wp14:anchorId="71C21EAE" wp14:editId="3597E941">
                <wp:simplePos x="0" y="0"/>
                <wp:positionH relativeFrom="column">
                  <wp:posOffset>2896356</wp:posOffset>
                </wp:positionH>
                <wp:positionV relativeFrom="paragraph">
                  <wp:posOffset>98382</wp:posOffset>
                </wp:positionV>
                <wp:extent cx="200" cy="200"/>
                <wp:effectExtent l="38100" t="38100" r="38100" b="3810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200" cy="200"/>
                      </w14:xfrm>
                    </w14:contentPart>
                  </a:graphicData>
                </a:graphic>
              </wp:anchor>
            </w:drawing>
          </mc:Choice>
          <mc:Fallback xmlns:mv="urn:schemas-microsoft-com:mac:vml" xmlns:mo="http://schemas.microsoft.com/office/mac/office/2008/main">
            <w:pict>
              <v:shape w14:anchorId="7B5DEA88" id="Ink 10" o:spid="_x0000_s1026" type="#_x0000_t75" style="position:absolute;margin-left:227.85pt;margin-top:7.55pt;width:.35pt;height:.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">
                <v:imagedata r:id="rId9" o:title=""/>
              </v:shape>
            </w:pict>
          </mc:Fallback>
        </mc:AlternateContent>
      </w:r>
      <w:r w:rsidR="001A381D" w:rsidRPr="00134692">
        <w:rPr>
          <w:rFonts w:eastAsia="SimSun"/>
          <w:color w:val="000000"/>
          <w:sz w:val="23"/>
          <w:szCs w:val="23"/>
          <w:lang w:val="tr-TR"/>
        </w:rPr>
        <w:t xml:space="preserve">1 Ocak – 31 Aralık </w:t>
      </w:r>
    </w:p>
    <w:p w14:paraId="01591976" w14:textId="77777777" w:rsidR="0030747A" w:rsidRPr="00134692" w:rsidRDefault="0030747A" w:rsidP="0030747A">
      <w:pPr>
        <w:tabs>
          <w:tab w:val="left" w:pos="426"/>
        </w:tabs>
        <w:autoSpaceDE w:val="0"/>
        <w:autoSpaceDN w:val="0"/>
        <w:adjustRightInd w:val="0"/>
        <w:jc w:val="center"/>
        <w:rPr>
          <w:rFonts w:eastAsia="SimSun"/>
          <w:b/>
          <w:bCs/>
          <w:color w:val="000000"/>
          <w:sz w:val="23"/>
          <w:szCs w:val="23"/>
          <w:lang w:val="tr-TR"/>
        </w:rPr>
      </w:pPr>
    </w:p>
    <w:p w14:paraId="52327AA4" w14:textId="58343815" w:rsidR="0030747A" w:rsidRPr="00134692" w:rsidRDefault="00FF2EC3" w:rsidP="0030747A">
      <w:pPr>
        <w:tabs>
          <w:tab w:val="left" w:pos="426"/>
        </w:tabs>
        <w:autoSpaceDE w:val="0"/>
        <w:autoSpaceDN w:val="0"/>
        <w:adjustRightInd w:val="0"/>
        <w:jc w:val="center"/>
        <w:rPr>
          <w:rFonts w:eastAsia="SimSun"/>
          <w:b/>
          <w:bCs/>
          <w:color w:val="000000"/>
          <w:sz w:val="23"/>
          <w:szCs w:val="23"/>
          <w:lang w:val="tr-TR"/>
        </w:rPr>
      </w:pPr>
      <w:r w:rsidRPr="00134692">
        <w:rPr>
          <w:rFonts w:eastAsia="SimSun"/>
          <w:b/>
          <w:bCs/>
          <w:noProof/>
          <w:color w:val="000000"/>
          <w:sz w:val="23"/>
          <w:szCs w:val="23"/>
          <w:lang w:val="en-GB" w:eastAsia="en-GB"/>
        </w:rPr>
        <mc:AlternateContent>
          <mc:Choice Requires="wpi">
            <w:drawing>
              <wp:anchor distT="0" distB="0" distL="114300" distR="114300" simplePos="0" relativeHeight="251670528" behindDoc="0" locked="0" layoutInCell="1" allowOverlap="1" wp14:anchorId="29A31D20" wp14:editId="1FDC2AB2">
                <wp:simplePos x="0" y="0"/>
                <wp:positionH relativeFrom="column">
                  <wp:posOffset>3107711</wp:posOffset>
                </wp:positionH>
                <wp:positionV relativeFrom="paragraph">
                  <wp:posOffset>15774</wp:posOffset>
                </wp:positionV>
                <wp:extent cx="200" cy="10987"/>
                <wp:effectExtent l="38100" t="38100" r="38100" b="46355"/>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200" cy="10987"/>
                      </w14:xfrm>
                    </w14:contentPart>
                  </a:graphicData>
                </a:graphic>
              </wp:anchor>
            </w:drawing>
          </mc:Choice>
          <mc:Fallback xmlns:mv="urn:schemas-microsoft-com:mac:vml" xmlns:mo="http://schemas.microsoft.com/office/mac/office/2008/main">
            <w:pict>
              <v:shape w14:anchorId="6C3C2D1A" id="Ink 18" o:spid="_x0000_s1026" type="#_x0000_t75" style="position:absolute;margin-left:244.5pt;margin-top:.9pt;width:.3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">
                <v:imagedata r:id="rId15" o:title=""/>
              </v:shape>
            </w:pict>
          </mc:Fallback>
        </mc:AlternateContent>
      </w:r>
      <w:r w:rsidRPr="00134692">
        <w:rPr>
          <w:rFonts w:eastAsia="SimSun"/>
          <w:b/>
          <w:bCs/>
          <w:noProof/>
          <w:color w:val="000000"/>
          <w:sz w:val="23"/>
          <w:szCs w:val="23"/>
          <w:lang w:val="en-GB" w:eastAsia="en-GB"/>
        </w:rPr>
        <mc:AlternateContent>
          <mc:Choice Requires="wpi">
            <w:drawing>
              <wp:anchor distT="0" distB="0" distL="114300" distR="114300" simplePos="0" relativeHeight="251669504" behindDoc="0" locked="0" layoutInCell="1" allowOverlap="1" wp14:anchorId="55E5003C" wp14:editId="5C5EBE76">
                <wp:simplePos x="0" y="0"/>
                <wp:positionH relativeFrom="column">
                  <wp:posOffset>3107711</wp:posOffset>
                </wp:positionH>
                <wp:positionV relativeFrom="paragraph">
                  <wp:posOffset>26761</wp:posOffset>
                </wp:positionV>
                <wp:extent cx="200" cy="200"/>
                <wp:effectExtent l="38100" t="38100" r="38100" b="38100"/>
                <wp:wrapNone/>
                <wp:docPr id="17" name="Ink 17"/>
                <wp:cNvGraphicFramePr/>
                <a:graphic xmlns:a="http://schemas.openxmlformats.org/drawingml/2006/main">
                  <a:graphicData uri="http://schemas.microsoft.com/office/word/2010/wordprocessingInk">
                    <w14:contentPart bwMode="auto" r:id="rId16">
                      <w14:nvContentPartPr>
                        <w14:cNvContentPartPr/>
                      </w14:nvContentPartPr>
                      <w14:xfrm>
                        <a:off x="0" y="0"/>
                        <a:ext cx="200" cy="200"/>
                      </w14:xfrm>
                    </w14:contentPart>
                  </a:graphicData>
                </a:graphic>
              </wp:anchor>
            </w:drawing>
          </mc:Choice>
          <mc:Fallback xmlns:mv="urn:schemas-microsoft-com:mac:vml" xmlns:mo="http://schemas.microsoft.com/office/mac/office/2008/main">
            <w:pict>
              <v:shape w14:anchorId="2B93D7BB" id="Ink 17" o:spid="_x0000_s1026" type="#_x0000_t75" style="position:absolute;margin-left:244.5pt;margin-top:1.9pt;width:.35pt;height:.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">
                <v:imagedata r:id="rId9" o:title=""/>
              </v:shape>
            </w:pict>
          </mc:Fallback>
        </mc:AlternateContent>
      </w:r>
      <w:r w:rsidRPr="00134692">
        <w:rPr>
          <w:rFonts w:eastAsia="SimSun"/>
          <w:b/>
          <w:bCs/>
          <w:noProof/>
          <w:color w:val="000000"/>
          <w:sz w:val="23"/>
          <w:szCs w:val="23"/>
          <w:lang w:val="en-GB" w:eastAsia="en-GB"/>
        </w:rPr>
        <mc:AlternateContent>
          <mc:Choice Requires="wpi">
            <w:drawing>
              <wp:anchor distT="0" distB="0" distL="114300" distR="114300" simplePos="0" relativeHeight="251668480" behindDoc="0" locked="0" layoutInCell="1" allowOverlap="1" wp14:anchorId="57388173" wp14:editId="39BD9FDE">
                <wp:simplePos x="0" y="0"/>
                <wp:positionH relativeFrom="column">
                  <wp:posOffset>3107711</wp:posOffset>
                </wp:positionH>
                <wp:positionV relativeFrom="paragraph">
                  <wp:posOffset>26761</wp:posOffset>
                </wp:positionV>
                <wp:extent cx="200" cy="200"/>
                <wp:effectExtent l="38100" t="38100" r="38100" b="3810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200" cy="200"/>
                      </w14:xfrm>
                    </w14:contentPart>
                  </a:graphicData>
                </a:graphic>
              </wp:anchor>
            </w:drawing>
          </mc:Choice>
          <mc:Fallback xmlns:mv="urn:schemas-microsoft-com:mac:vml" xmlns:mo="http://schemas.microsoft.com/office/mac/office/2008/main">
            <w:pict>
              <v:shape w14:anchorId="2080B7E8" id="Ink 15" o:spid="_x0000_s1026" type="#_x0000_t75" style="position:absolute;margin-left:244.5pt;margin-top:1.9pt;width:.35pt;height:.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">
                <v:imagedata r:id="rId9" o:title=""/>
              </v:shape>
            </w:pict>
          </mc:Fallback>
        </mc:AlternateContent>
      </w:r>
      <w:r w:rsidRPr="00134692">
        <w:rPr>
          <w:rFonts w:eastAsia="SimSun"/>
          <w:b/>
          <w:bCs/>
          <w:noProof/>
          <w:color w:val="000000"/>
          <w:sz w:val="23"/>
          <w:szCs w:val="23"/>
          <w:lang w:val="en-GB" w:eastAsia="en-GB"/>
        </w:rPr>
        <mc:AlternateContent>
          <mc:Choice Requires="wpi">
            <w:drawing>
              <wp:anchor distT="0" distB="0" distL="114300" distR="114300" simplePos="0" relativeHeight="251667456" behindDoc="0" locked="0" layoutInCell="1" allowOverlap="1" wp14:anchorId="7BFD629C" wp14:editId="3AAAC9D0">
                <wp:simplePos x="0" y="0"/>
                <wp:positionH relativeFrom="column">
                  <wp:posOffset>3155456</wp:posOffset>
                </wp:positionH>
                <wp:positionV relativeFrom="paragraph">
                  <wp:posOffset>5586</wp:posOffset>
                </wp:positionV>
                <wp:extent cx="200" cy="200"/>
                <wp:effectExtent l="38100" t="38100" r="38100" b="38100"/>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200" cy="200"/>
                      </w14:xfrm>
                    </w14:contentPart>
                  </a:graphicData>
                </a:graphic>
              </wp:anchor>
            </w:drawing>
          </mc:Choice>
          <mc:Fallback xmlns:mv="urn:schemas-microsoft-com:mac:vml" xmlns:mo="http://schemas.microsoft.com/office/mac/office/2008/main">
            <w:pict>
              <v:shape w14:anchorId="434780D0" id="Ink 14" o:spid="_x0000_s1026" type="#_x0000_t75" style="position:absolute;margin-left:248.25pt;margin-top:.25pt;width:.35pt;height:.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">
                <v:imagedata r:id="rId9" o:title=""/>
              </v:shape>
            </w:pict>
          </mc:Fallback>
        </mc:AlternateContent>
      </w:r>
      <w:r w:rsidR="001A381D" w:rsidRPr="00134692">
        <w:rPr>
          <w:rFonts w:eastAsia="SimSun"/>
          <w:b/>
          <w:bCs/>
          <w:color w:val="000000"/>
          <w:sz w:val="23"/>
          <w:szCs w:val="23"/>
          <w:lang w:val="tr-TR"/>
        </w:rPr>
        <w:t xml:space="preserve">KISALTMALAR </w:t>
      </w:r>
    </w:p>
    <w:p w14:paraId="7597B6F3" w14:textId="77777777" w:rsidR="0030747A" w:rsidRPr="00134692" w:rsidRDefault="0030747A" w:rsidP="0030747A">
      <w:pPr>
        <w:tabs>
          <w:tab w:val="left" w:pos="426"/>
        </w:tabs>
        <w:autoSpaceDE w:val="0"/>
        <w:autoSpaceDN w:val="0"/>
        <w:adjustRightInd w:val="0"/>
        <w:jc w:val="center"/>
        <w:rPr>
          <w:rFonts w:eastAsia="SimSun"/>
          <w:color w:val="000000"/>
          <w:sz w:val="23"/>
          <w:szCs w:val="23"/>
          <w:lang w:val="tr-TR"/>
        </w:rPr>
      </w:pPr>
    </w:p>
    <w:tbl>
      <w:tblPr>
        <w:tblStyle w:val="TabloKlavuzu"/>
        <w:tblW w:w="1104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320"/>
        <w:gridCol w:w="1004"/>
        <w:gridCol w:w="4819"/>
      </w:tblGrid>
      <w:tr w:rsidR="00F920A9" w:rsidRPr="001A4B94" w14:paraId="78C04E4F" w14:textId="77777777" w:rsidTr="001A4B94">
        <w:trPr>
          <w:trHeight w:val="234"/>
        </w:trPr>
        <w:tc>
          <w:tcPr>
            <w:tcW w:w="900" w:type="dxa"/>
          </w:tcPr>
          <w:p w14:paraId="5852779F" w14:textId="77777777"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34692">
              <w:rPr>
                <w:sz w:val="18"/>
                <w:szCs w:val="18"/>
                <w:lang w:val="tr-TR"/>
              </w:rPr>
              <w:t>ASA</w:t>
            </w:r>
          </w:p>
        </w:tc>
        <w:tc>
          <w:tcPr>
            <w:tcW w:w="4320" w:type="dxa"/>
          </w:tcPr>
          <w:p w14:paraId="6EC3E59A" w14:textId="64F98BE4" w:rsidR="00F920A9" w:rsidRPr="001A4B94" w:rsidRDefault="00385F13" w:rsidP="00F920A9">
            <w:pPr>
              <w:tabs>
                <w:tab w:val="left" w:pos="426"/>
              </w:tabs>
              <w:autoSpaceDE w:val="0"/>
              <w:autoSpaceDN w:val="0"/>
              <w:adjustRightInd w:val="0"/>
              <w:rPr>
                <w:rFonts w:eastAsia="SimSun"/>
                <w:color w:val="000000"/>
                <w:sz w:val="18"/>
                <w:szCs w:val="18"/>
                <w:lang w:val="tr-TR"/>
              </w:rPr>
            </w:pPr>
            <w:r w:rsidRPr="001A4B94">
              <w:rPr>
                <w:sz w:val="18"/>
                <w:szCs w:val="18"/>
                <w:lang w:val="tr-TR"/>
              </w:rPr>
              <w:t>Danışmanlık</w:t>
            </w:r>
            <w:r w:rsidR="001A381D" w:rsidRPr="001A4B94">
              <w:rPr>
                <w:sz w:val="18"/>
                <w:szCs w:val="18"/>
                <w:lang w:val="tr-TR"/>
              </w:rPr>
              <w:t xml:space="preserve"> </w:t>
            </w:r>
            <w:r w:rsidRPr="001A4B94">
              <w:rPr>
                <w:sz w:val="18"/>
                <w:szCs w:val="18"/>
                <w:lang w:val="tr-TR"/>
              </w:rPr>
              <w:t>Hizmetleri</w:t>
            </w:r>
            <w:r w:rsidR="001A381D" w:rsidRPr="001A4B94">
              <w:rPr>
                <w:sz w:val="18"/>
                <w:szCs w:val="18"/>
                <w:lang w:val="tr-TR"/>
              </w:rPr>
              <w:t xml:space="preserve"> ve Analitik Çalışmalar</w:t>
            </w:r>
          </w:p>
        </w:tc>
        <w:tc>
          <w:tcPr>
            <w:tcW w:w="1004" w:type="dxa"/>
          </w:tcPr>
          <w:p w14:paraId="6C4C32CA" w14:textId="32AE07E6"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IFC</w:t>
            </w:r>
          </w:p>
        </w:tc>
        <w:tc>
          <w:tcPr>
            <w:tcW w:w="4819" w:type="dxa"/>
          </w:tcPr>
          <w:p w14:paraId="42455450" w14:textId="59828F9B" w:rsidR="00F920A9" w:rsidRPr="001A4B94" w:rsidRDefault="00385F13" w:rsidP="00F920A9">
            <w:pPr>
              <w:tabs>
                <w:tab w:val="left" w:pos="426"/>
              </w:tabs>
              <w:autoSpaceDE w:val="0"/>
              <w:autoSpaceDN w:val="0"/>
              <w:adjustRightInd w:val="0"/>
              <w:rPr>
                <w:rFonts w:eastAsia="SimSun"/>
                <w:color w:val="000000"/>
                <w:sz w:val="18"/>
                <w:szCs w:val="18"/>
                <w:lang w:val="tr-TR"/>
              </w:rPr>
            </w:pPr>
            <w:r w:rsidRPr="001A4B94">
              <w:rPr>
                <w:sz w:val="20"/>
                <w:szCs w:val="20"/>
                <w:lang w:val="tr-TR"/>
              </w:rPr>
              <w:t>Uluslararası Finans Kurumu</w:t>
            </w:r>
          </w:p>
        </w:tc>
      </w:tr>
      <w:tr w:rsidR="00F920A9" w:rsidRPr="001A4B94" w14:paraId="5DB078FB" w14:textId="77777777" w:rsidTr="001A4B94">
        <w:trPr>
          <w:trHeight w:val="234"/>
        </w:trPr>
        <w:tc>
          <w:tcPr>
            <w:tcW w:w="900" w:type="dxa"/>
          </w:tcPr>
          <w:p w14:paraId="04893752" w14:textId="77777777"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B40</w:t>
            </w:r>
          </w:p>
        </w:tc>
        <w:tc>
          <w:tcPr>
            <w:tcW w:w="4320" w:type="dxa"/>
          </w:tcPr>
          <w:p w14:paraId="1F1BF9C4" w14:textId="0AE15708" w:rsidR="00F920A9" w:rsidRPr="001A4B94" w:rsidRDefault="001A381D" w:rsidP="00F920A9">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Nüfusun en alt yüzde 40’lık dilimi </w:t>
            </w:r>
          </w:p>
        </w:tc>
        <w:tc>
          <w:tcPr>
            <w:tcW w:w="1004" w:type="dxa"/>
          </w:tcPr>
          <w:p w14:paraId="0F4997CB" w14:textId="6510251A" w:rsidR="00F920A9" w:rsidRPr="001A4B94" w:rsidRDefault="00385F13"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UFK</w:t>
            </w:r>
          </w:p>
        </w:tc>
        <w:tc>
          <w:tcPr>
            <w:tcW w:w="4819" w:type="dxa"/>
          </w:tcPr>
          <w:p w14:paraId="1550F415" w14:textId="0C30B41D" w:rsidR="00F920A9" w:rsidRPr="001A4B94" w:rsidRDefault="00385F13" w:rsidP="00F920A9">
            <w:pPr>
              <w:tabs>
                <w:tab w:val="left" w:pos="426"/>
              </w:tabs>
              <w:autoSpaceDE w:val="0"/>
              <w:autoSpaceDN w:val="0"/>
              <w:adjustRightInd w:val="0"/>
              <w:rPr>
                <w:rFonts w:eastAsia="SimSun"/>
                <w:color w:val="000000"/>
                <w:sz w:val="18"/>
                <w:szCs w:val="18"/>
                <w:lang w:val="tr-TR"/>
              </w:rPr>
            </w:pPr>
            <w:r w:rsidRPr="001A4B94">
              <w:rPr>
                <w:sz w:val="20"/>
                <w:szCs w:val="20"/>
                <w:lang w:val="tr-TR"/>
              </w:rPr>
              <w:t>Uluslararası Finans Kuruluşu</w:t>
            </w:r>
          </w:p>
        </w:tc>
      </w:tr>
      <w:tr w:rsidR="00F920A9" w:rsidRPr="001A4B94" w14:paraId="02BA52E1" w14:textId="77777777" w:rsidTr="001A4B94">
        <w:trPr>
          <w:trHeight w:val="217"/>
        </w:trPr>
        <w:tc>
          <w:tcPr>
            <w:tcW w:w="900" w:type="dxa"/>
          </w:tcPr>
          <w:p w14:paraId="27A621E5" w14:textId="20711F4D" w:rsidR="00F920A9" w:rsidRPr="001A4B94" w:rsidRDefault="00F920A9" w:rsidP="00F920A9">
            <w:pPr>
              <w:tabs>
                <w:tab w:val="left" w:pos="426"/>
              </w:tabs>
              <w:autoSpaceDE w:val="0"/>
              <w:autoSpaceDN w:val="0"/>
              <w:adjustRightInd w:val="0"/>
              <w:jc w:val="center"/>
              <w:rPr>
                <w:sz w:val="18"/>
                <w:szCs w:val="18"/>
                <w:lang w:val="tr-TR"/>
              </w:rPr>
            </w:pPr>
            <w:r w:rsidRPr="001A4B94">
              <w:rPr>
                <w:sz w:val="18"/>
                <w:szCs w:val="18"/>
                <w:lang w:val="tr-TR"/>
              </w:rPr>
              <w:t>BOTAS</w:t>
            </w:r>
          </w:p>
        </w:tc>
        <w:tc>
          <w:tcPr>
            <w:tcW w:w="4320" w:type="dxa"/>
          </w:tcPr>
          <w:p w14:paraId="2B6F10BB" w14:textId="07A8CA08" w:rsidR="00F920A9" w:rsidRPr="001A4B94" w:rsidRDefault="001A381D" w:rsidP="00F920A9">
            <w:pPr>
              <w:tabs>
                <w:tab w:val="left" w:pos="426"/>
              </w:tabs>
              <w:autoSpaceDE w:val="0"/>
              <w:autoSpaceDN w:val="0"/>
              <w:adjustRightInd w:val="0"/>
              <w:rPr>
                <w:sz w:val="18"/>
                <w:szCs w:val="18"/>
                <w:lang w:val="tr-TR"/>
              </w:rPr>
            </w:pPr>
            <w:r w:rsidRPr="001A4B94">
              <w:rPr>
                <w:sz w:val="18"/>
                <w:szCs w:val="18"/>
                <w:lang w:val="tr-TR"/>
              </w:rPr>
              <w:t>Boru Hatları</w:t>
            </w:r>
            <w:r w:rsidR="00F920A9" w:rsidRPr="001A4B94">
              <w:rPr>
                <w:sz w:val="18"/>
                <w:szCs w:val="18"/>
                <w:lang w:val="tr-TR"/>
              </w:rPr>
              <w:t xml:space="preserve"> ile Petro Ta</w:t>
            </w:r>
            <w:r w:rsidRPr="001A4B94">
              <w:rPr>
                <w:sz w:val="18"/>
                <w:szCs w:val="18"/>
                <w:lang w:val="tr-TR"/>
              </w:rPr>
              <w:t>şı</w:t>
            </w:r>
            <w:r w:rsidR="00F920A9" w:rsidRPr="001A4B94">
              <w:rPr>
                <w:sz w:val="18"/>
                <w:szCs w:val="18"/>
                <w:lang w:val="tr-TR"/>
              </w:rPr>
              <w:t>ma A.</w:t>
            </w:r>
            <w:r w:rsidRPr="001A4B94">
              <w:rPr>
                <w:sz w:val="18"/>
                <w:szCs w:val="18"/>
                <w:lang w:val="tr-TR"/>
              </w:rPr>
              <w:t>Ş</w:t>
            </w:r>
            <w:r w:rsidR="00F920A9" w:rsidRPr="001A4B94">
              <w:rPr>
                <w:sz w:val="18"/>
                <w:szCs w:val="18"/>
                <w:lang w:val="tr-TR"/>
              </w:rPr>
              <w:t>.</w:t>
            </w:r>
          </w:p>
        </w:tc>
        <w:tc>
          <w:tcPr>
            <w:tcW w:w="1004" w:type="dxa"/>
          </w:tcPr>
          <w:p w14:paraId="5EE1A04C" w14:textId="1AF9249B" w:rsidR="00F920A9" w:rsidRPr="001A4B94" w:rsidRDefault="00F920A9" w:rsidP="00F920A9">
            <w:pPr>
              <w:tabs>
                <w:tab w:val="left" w:pos="426"/>
              </w:tabs>
              <w:autoSpaceDE w:val="0"/>
              <w:autoSpaceDN w:val="0"/>
              <w:adjustRightInd w:val="0"/>
              <w:jc w:val="center"/>
              <w:rPr>
                <w:sz w:val="18"/>
                <w:szCs w:val="18"/>
                <w:lang w:val="tr-TR"/>
              </w:rPr>
            </w:pPr>
            <w:r w:rsidRPr="001A4B94">
              <w:rPr>
                <w:sz w:val="18"/>
                <w:szCs w:val="18"/>
                <w:lang w:val="tr-TR"/>
              </w:rPr>
              <w:t>IMF</w:t>
            </w:r>
          </w:p>
        </w:tc>
        <w:tc>
          <w:tcPr>
            <w:tcW w:w="4819" w:type="dxa"/>
          </w:tcPr>
          <w:p w14:paraId="10CF7B4F" w14:textId="6EE495BC" w:rsidR="00F920A9" w:rsidRPr="001A4B94" w:rsidRDefault="00385F13" w:rsidP="00F920A9">
            <w:pPr>
              <w:tabs>
                <w:tab w:val="left" w:pos="426"/>
              </w:tabs>
              <w:autoSpaceDE w:val="0"/>
              <w:autoSpaceDN w:val="0"/>
              <w:adjustRightInd w:val="0"/>
              <w:rPr>
                <w:sz w:val="18"/>
                <w:szCs w:val="18"/>
                <w:lang w:val="tr-TR"/>
              </w:rPr>
            </w:pPr>
            <w:r w:rsidRPr="001A4B94">
              <w:rPr>
                <w:sz w:val="20"/>
                <w:szCs w:val="20"/>
                <w:lang w:val="tr-TR"/>
              </w:rPr>
              <w:t>Uluslararası Para Fonu</w:t>
            </w:r>
          </w:p>
        </w:tc>
      </w:tr>
      <w:tr w:rsidR="00F920A9" w:rsidRPr="001A4B94" w14:paraId="3EC4C4C9" w14:textId="77777777" w:rsidTr="001A4B94">
        <w:trPr>
          <w:trHeight w:val="217"/>
        </w:trPr>
        <w:tc>
          <w:tcPr>
            <w:tcW w:w="900" w:type="dxa"/>
          </w:tcPr>
          <w:p w14:paraId="2C35E8E8" w14:textId="6EE98EAC" w:rsidR="00F920A9" w:rsidRPr="001A4B94" w:rsidRDefault="00F920A9" w:rsidP="00F920A9">
            <w:pPr>
              <w:tabs>
                <w:tab w:val="left" w:pos="426"/>
              </w:tabs>
              <w:autoSpaceDE w:val="0"/>
              <w:autoSpaceDN w:val="0"/>
              <w:adjustRightInd w:val="0"/>
              <w:jc w:val="center"/>
              <w:rPr>
                <w:sz w:val="18"/>
                <w:szCs w:val="18"/>
                <w:lang w:val="tr-TR"/>
              </w:rPr>
            </w:pPr>
            <w:r w:rsidRPr="001A4B94">
              <w:rPr>
                <w:sz w:val="18"/>
                <w:szCs w:val="18"/>
                <w:lang w:val="tr-TR"/>
              </w:rPr>
              <w:t>CEM</w:t>
            </w:r>
          </w:p>
        </w:tc>
        <w:tc>
          <w:tcPr>
            <w:tcW w:w="4320" w:type="dxa"/>
          </w:tcPr>
          <w:p w14:paraId="2B34D557" w14:textId="02BFB975" w:rsidR="00F920A9" w:rsidRPr="001A4B94" w:rsidRDefault="001A381D" w:rsidP="00F920A9">
            <w:pPr>
              <w:tabs>
                <w:tab w:val="left" w:pos="426"/>
              </w:tabs>
              <w:autoSpaceDE w:val="0"/>
              <w:autoSpaceDN w:val="0"/>
              <w:adjustRightInd w:val="0"/>
              <w:rPr>
                <w:sz w:val="18"/>
                <w:szCs w:val="18"/>
                <w:lang w:val="tr-TR"/>
              </w:rPr>
            </w:pPr>
            <w:r w:rsidRPr="001A4B94">
              <w:rPr>
                <w:sz w:val="20"/>
                <w:szCs w:val="20"/>
                <w:lang w:val="tr-TR"/>
              </w:rPr>
              <w:t>Ülke Ekonomik Memorandumu</w:t>
            </w:r>
          </w:p>
        </w:tc>
        <w:tc>
          <w:tcPr>
            <w:tcW w:w="1004" w:type="dxa"/>
          </w:tcPr>
          <w:p w14:paraId="24E921E8" w14:textId="48492EA7" w:rsidR="00F920A9" w:rsidRPr="001A4B94" w:rsidRDefault="00F920A9" w:rsidP="00F920A9">
            <w:pPr>
              <w:tabs>
                <w:tab w:val="left" w:pos="426"/>
              </w:tabs>
              <w:autoSpaceDE w:val="0"/>
              <w:autoSpaceDN w:val="0"/>
              <w:adjustRightInd w:val="0"/>
              <w:jc w:val="center"/>
              <w:rPr>
                <w:sz w:val="18"/>
                <w:szCs w:val="18"/>
                <w:lang w:val="tr-TR"/>
              </w:rPr>
            </w:pPr>
            <w:r w:rsidRPr="001A4B94">
              <w:rPr>
                <w:sz w:val="18"/>
                <w:szCs w:val="18"/>
                <w:lang w:val="tr-TR"/>
              </w:rPr>
              <w:t>IPA</w:t>
            </w:r>
          </w:p>
        </w:tc>
        <w:tc>
          <w:tcPr>
            <w:tcW w:w="4819" w:type="dxa"/>
          </w:tcPr>
          <w:p w14:paraId="1EC676B5" w14:textId="56E3CFCE" w:rsidR="00F920A9" w:rsidRPr="001A4B94" w:rsidRDefault="00385F13" w:rsidP="00F920A9">
            <w:pPr>
              <w:tabs>
                <w:tab w:val="left" w:pos="426"/>
              </w:tabs>
              <w:autoSpaceDE w:val="0"/>
              <w:autoSpaceDN w:val="0"/>
              <w:adjustRightInd w:val="0"/>
              <w:rPr>
                <w:sz w:val="18"/>
                <w:szCs w:val="18"/>
                <w:lang w:val="tr-TR"/>
              </w:rPr>
            </w:pPr>
            <w:r w:rsidRPr="001A4B94">
              <w:rPr>
                <w:sz w:val="20"/>
                <w:szCs w:val="20"/>
                <w:lang w:val="tr-TR"/>
              </w:rPr>
              <w:t>Katılım Öncesi Yardım Aracı</w:t>
            </w:r>
          </w:p>
        </w:tc>
      </w:tr>
      <w:tr w:rsidR="00F920A9" w:rsidRPr="001A4B94" w14:paraId="1340F84E" w14:textId="77777777" w:rsidTr="001A4B94">
        <w:trPr>
          <w:trHeight w:val="217"/>
        </w:trPr>
        <w:tc>
          <w:tcPr>
            <w:tcW w:w="900" w:type="dxa"/>
          </w:tcPr>
          <w:p w14:paraId="0602FE25" w14:textId="2E255420" w:rsidR="00F920A9" w:rsidRPr="001A4B94" w:rsidRDefault="00F920A9" w:rsidP="00F920A9">
            <w:pPr>
              <w:tabs>
                <w:tab w:val="left" w:pos="426"/>
              </w:tabs>
              <w:autoSpaceDE w:val="0"/>
              <w:autoSpaceDN w:val="0"/>
              <w:adjustRightInd w:val="0"/>
              <w:jc w:val="center"/>
              <w:rPr>
                <w:sz w:val="18"/>
                <w:szCs w:val="18"/>
                <w:lang w:val="tr-TR"/>
              </w:rPr>
            </w:pPr>
            <w:r w:rsidRPr="001A4B94">
              <w:rPr>
                <w:sz w:val="18"/>
                <w:szCs w:val="18"/>
                <w:lang w:val="tr-TR"/>
              </w:rPr>
              <w:t>CLR</w:t>
            </w:r>
          </w:p>
        </w:tc>
        <w:tc>
          <w:tcPr>
            <w:tcW w:w="4320" w:type="dxa"/>
          </w:tcPr>
          <w:p w14:paraId="3BDC77A8" w14:textId="6AD7E541" w:rsidR="00F920A9" w:rsidRPr="001A4B94" w:rsidRDefault="001A381D" w:rsidP="00F920A9">
            <w:pPr>
              <w:tabs>
                <w:tab w:val="left" w:pos="426"/>
              </w:tabs>
              <w:autoSpaceDE w:val="0"/>
              <w:autoSpaceDN w:val="0"/>
              <w:adjustRightInd w:val="0"/>
              <w:rPr>
                <w:sz w:val="18"/>
                <w:szCs w:val="18"/>
                <w:lang w:val="tr-TR"/>
              </w:rPr>
            </w:pPr>
            <w:r w:rsidRPr="001A4B94">
              <w:rPr>
                <w:sz w:val="18"/>
                <w:szCs w:val="18"/>
                <w:lang w:val="tr-TR"/>
              </w:rPr>
              <w:t xml:space="preserve">Tamamlama ve Öğrenme İncelemesi </w:t>
            </w:r>
          </w:p>
        </w:tc>
        <w:tc>
          <w:tcPr>
            <w:tcW w:w="1004" w:type="dxa"/>
          </w:tcPr>
          <w:p w14:paraId="13E733F0" w14:textId="32BE7D31" w:rsidR="00F920A9" w:rsidRPr="001A4B94" w:rsidRDefault="00F920A9" w:rsidP="00F920A9">
            <w:pPr>
              <w:tabs>
                <w:tab w:val="left" w:pos="426"/>
              </w:tabs>
              <w:autoSpaceDE w:val="0"/>
              <w:autoSpaceDN w:val="0"/>
              <w:adjustRightInd w:val="0"/>
              <w:jc w:val="center"/>
              <w:rPr>
                <w:sz w:val="18"/>
                <w:szCs w:val="18"/>
                <w:lang w:val="tr-TR"/>
              </w:rPr>
            </w:pPr>
            <w:r w:rsidRPr="001A4B94">
              <w:rPr>
                <w:sz w:val="18"/>
                <w:szCs w:val="18"/>
                <w:lang w:val="tr-TR"/>
              </w:rPr>
              <w:t>IPARD</w:t>
            </w:r>
          </w:p>
        </w:tc>
        <w:tc>
          <w:tcPr>
            <w:tcW w:w="4819" w:type="dxa"/>
          </w:tcPr>
          <w:p w14:paraId="27C031BD" w14:textId="309A3522" w:rsidR="00F920A9" w:rsidRPr="001A4B94" w:rsidRDefault="00385F13" w:rsidP="00F920A9">
            <w:pPr>
              <w:tabs>
                <w:tab w:val="left" w:pos="426"/>
              </w:tabs>
              <w:autoSpaceDE w:val="0"/>
              <w:autoSpaceDN w:val="0"/>
              <w:adjustRightInd w:val="0"/>
              <w:rPr>
                <w:sz w:val="18"/>
                <w:szCs w:val="18"/>
                <w:lang w:val="tr-TR"/>
              </w:rPr>
            </w:pPr>
            <w:r w:rsidRPr="001A4B94">
              <w:rPr>
                <w:sz w:val="18"/>
                <w:szCs w:val="18"/>
                <w:lang w:val="tr-TR"/>
              </w:rPr>
              <w:t xml:space="preserve">Kırsal Kalkınma için </w:t>
            </w:r>
            <w:r w:rsidRPr="001A4B94">
              <w:rPr>
                <w:sz w:val="20"/>
                <w:szCs w:val="20"/>
                <w:lang w:val="tr-TR"/>
              </w:rPr>
              <w:t>Katılım Öncesi Yardım Aracı</w:t>
            </w:r>
            <w:r w:rsidRPr="001A4B94">
              <w:rPr>
                <w:sz w:val="18"/>
                <w:szCs w:val="18"/>
                <w:lang w:val="tr-TR"/>
              </w:rPr>
              <w:t xml:space="preserve"> </w:t>
            </w:r>
          </w:p>
        </w:tc>
      </w:tr>
      <w:tr w:rsidR="00F920A9" w:rsidRPr="001A4B94" w14:paraId="0B013B26" w14:textId="77777777" w:rsidTr="001A4B94">
        <w:trPr>
          <w:trHeight w:val="217"/>
        </w:trPr>
        <w:tc>
          <w:tcPr>
            <w:tcW w:w="900" w:type="dxa"/>
          </w:tcPr>
          <w:p w14:paraId="561E2D98" w14:textId="77777777"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CPF</w:t>
            </w:r>
          </w:p>
        </w:tc>
        <w:tc>
          <w:tcPr>
            <w:tcW w:w="4320" w:type="dxa"/>
          </w:tcPr>
          <w:p w14:paraId="5EC7F616" w14:textId="13A32760" w:rsidR="00F920A9" w:rsidRPr="001A4B94" w:rsidRDefault="004B6229" w:rsidP="00F920A9">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Ülke İşbirliği Çerçevesi </w:t>
            </w:r>
          </w:p>
        </w:tc>
        <w:tc>
          <w:tcPr>
            <w:tcW w:w="1004" w:type="dxa"/>
          </w:tcPr>
          <w:p w14:paraId="383889FA" w14:textId="2B4FF1A2"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MIGA</w:t>
            </w:r>
          </w:p>
        </w:tc>
        <w:tc>
          <w:tcPr>
            <w:tcW w:w="4819" w:type="dxa"/>
          </w:tcPr>
          <w:p w14:paraId="6C120972" w14:textId="316A3519" w:rsidR="00F920A9" w:rsidRPr="001A4B94" w:rsidRDefault="00385F13" w:rsidP="00F920A9">
            <w:pPr>
              <w:tabs>
                <w:tab w:val="left" w:pos="426"/>
              </w:tabs>
              <w:autoSpaceDE w:val="0"/>
              <w:autoSpaceDN w:val="0"/>
              <w:adjustRightInd w:val="0"/>
              <w:rPr>
                <w:sz w:val="18"/>
                <w:szCs w:val="18"/>
                <w:lang w:val="tr-TR"/>
              </w:rPr>
            </w:pPr>
            <w:r w:rsidRPr="001A4B94">
              <w:rPr>
                <w:sz w:val="20"/>
                <w:szCs w:val="20"/>
                <w:lang w:val="tr-TR"/>
              </w:rPr>
              <w:t xml:space="preserve">Çok </w:t>
            </w:r>
            <w:r w:rsidR="00C21378" w:rsidRPr="001A4B94">
              <w:rPr>
                <w:sz w:val="20"/>
                <w:szCs w:val="20"/>
                <w:lang w:val="tr-TR"/>
              </w:rPr>
              <w:t>T</w:t>
            </w:r>
            <w:r w:rsidRPr="001A4B94">
              <w:rPr>
                <w:sz w:val="20"/>
                <w:szCs w:val="20"/>
                <w:lang w:val="tr-TR"/>
              </w:rPr>
              <w:t>araflı Yatırım Garanti Ajansı</w:t>
            </w:r>
          </w:p>
        </w:tc>
      </w:tr>
      <w:tr w:rsidR="00F920A9" w:rsidRPr="001A4B94" w14:paraId="0067F3F2" w14:textId="77777777" w:rsidTr="001A4B94">
        <w:trPr>
          <w:trHeight w:val="234"/>
        </w:trPr>
        <w:tc>
          <w:tcPr>
            <w:tcW w:w="900" w:type="dxa"/>
          </w:tcPr>
          <w:p w14:paraId="4946E776" w14:textId="77777777"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CPS</w:t>
            </w:r>
          </w:p>
        </w:tc>
        <w:tc>
          <w:tcPr>
            <w:tcW w:w="4320" w:type="dxa"/>
          </w:tcPr>
          <w:p w14:paraId="402A7EB9" w14:textId="16F6F240" w:rsidR="00F920A9" w:rsidRPr="001A4B94" w:rsidRDefault="004B6229" w:rsidP="00F920A9">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Ülke İşbirliği Stratejisi </w:t>
            </w:r>
          </w:p>
        </w:tc>
        <w:tc>
          <w:tcPr>
            <w:tcW w:w="1004" w:type="dxa"/>
          </w:tcPr>
          <w:p w14:paraId="394C456A" w14:textId="0673AAB4"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M</w:t>
            </w:r>
            <w:r w:rsidR="00385F13" w:rsidRPr="001A4B94">
              <w:rPr>
                <w:sz w:val="18"/>
                <w:szCs w:val="18"/>
                <w:lang w:val="tr-TR"/>
              </w:rPr>
              <w:t xml:space="preserve">-KOBİ </w:t>
            </w:r>
          </w:p>
        </w:tc>
        <w:tc>
          <w:tcPr>
            <w:tcW w:w="4819" w:type="dxa"/>
          </w:tcPr>
          <w:p w14:paraId="3E0FD4EA" w14:textId="7663E99F" w:rsidR="00F920A9" w:rsidRPr="001A4B94" w:rsidRDefault="00F920A9" w:rsidP="00F920A9">
            <w:pPr>
              <w:tabs>
                <w:tab w:val="left" w:pos="426"/>
              </w:tabs>
              <w:autoSpaceDE w:val="0"/>
              <w:autoSpaceDN w:val="0"/>
              <w:adjustRightInd w:val="0"/>
              <w:rPr>
                <w:rFonts w:eastAsia="SimSun"/>
                <w:color w:val="000000"/>
                <w:sz w:val="18"/>
                <w:szCs w:val="18"/>
                <w:lang w:val="tr-TR"/>
              </w:rPr>
            </w:pPr>
            <w:r w:rsidRPr="001A4B94">
              <w:rPr>
                <w:sz w:val="18"/>
                <w:szCs w:val="18"/>
                <w:lang w:val="tr-TR"/>
              </w:rPr>
              <w:t>Mi</w:t>
            </w:r>
            <w:r w:rsidR="00385F13" w:rsidRPr="001A4B94">
              <w:rPr>
                <w:sz w:val="18"/>
                <w:szCs w:val="18"/>
                <w:lang w:val="tr-TR"/>
              </w:rPr>
              <w:t>k</w:t>
            </w:r>
            <w:r w:rsidRPr="001A4B94">
              <w:rPr>
                <w:sz w:val="18"/>
                <w:szCs w:val="18"/>
                <w:lang w:val="tr-TR"/>
              </w:rPr>
              <w:t xml:space="preserve">ro, </w:t>
            </w:r>
            <w:r w:rsidR="00385F13" w:rsidRPr="001A4B94">
              <w:rPr>
                <w:sz w:val="18"/>
                <w:szCs w:val="18"/>
                <w:lang w:val="tr-TR"/>
              </w:rPr>
              <w:t xml:space="preserve">Küçük ve Orta Büyüklükteki İşletmeler </w:t>
            </w:r>
          </w:p>
        </w:tc>
      </w:tr>
      <w:tr w:rsidR="00F920A9" w:rsidRPr="001A4B94" w14:paraId="7172A09E" w14:textId="77777777" w:rsidTr="001A4B94">
        <w:trPr>
          <w:trHeight w:val="234"/>
        </w:trPr>
        <w:tc>
          <w:tcPr>
            <w:tcW w:w="900" w:type="dxa"/>
          </w:tcPr>
          <w:p w14:paraId="2F0643B6" w14:textId="400E165C"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CTF</w:t>
            </w:r>
          </w:p>
        </w:tc>
        <w:tc>
          <w:tcPr>
            <w:tcW w:w="4320" w:type="dxa"/>
          </w:tcPr>
          <w:p w14:paraId="1E606AD2" w14:textId="5283C17E" w:rsidR="00F920A9" w:rsidRPr="001A4B94" w:rsidRDefault="004B6229" w:rsidP="00F920A9">
            <w:pPr>
              <w:tabs>
                <w:tab w:val="left" w:pos="426"/>
              </w:tabs>
              <w:autoSpaceDE w:val="0"/>
              <w:autoSpaceDN w:val="0"/>
              <w:adjustRightInd w:val="0"/>
              <w:rPr>
                <w:rFonts w:eastAsia="SimSun"/>
                <w:color w:val="000000"/>
                <w:sz w:val="18"/>
                <w:szCs w:val="18"/>
                <w:lang w:val="tr-TR"/>
              </w:rPr>
            </w:pPr>
            <w:r w:rsidRPr="001A4B94">
              <w:rPr>
                <w:rFonts w:eastAsia="SimSun"/>
                <w:color w:val="000000"/>
                <w:sz w:val="18"/>
                <w:szCs w:val="18"/>
                <w:lang w:val="tr-TR"/>
              </w:rPr>
              <w:t xml:space="preserve">Temiz </w:t>
            </w:r>
            <w:r w:rsidR="0021726E" w:rsidRPr="001A4B94">
              <w:rPr>
                <w:rFonts w:eastAsia="SimSun"/>
                <w:color w:val="000000"/>
                <w:sz w:val="18"/>
                <w:szCs w:val="18"/>
                <w:lang w:val="tr-TR"/>
              </w:rPr>
              <w:t>T</w:t>
            </w:r>
            <w:r w:rsidRPr="001A4B94">
              <w:rPr>
                <w:rFonts w:eastAsia="SimSun"/>
                <w:color w:val="000000"/>
                <w:sz w:val="18"/>
                <w:szCs w:val="18"/>
                <w:lang w:val="tr-TR"/>
              </w:rPr>
              <w:t xml:space="preserve">eknoloji Fonu </w:t>
            </w:r>
          </w:p>
        </w:tc>
        <w:tc>
          <w:tcPr>
            <w:tcW w:w="1004" w:type="dxa"/>
          </w:tcPr>
          <w:p w14:paraId="73EECA03" w14:textId="2C66E3BC" w:rsidR="00F920A9" w:rsidRPr="001A4B94" w:rsidRDefault="00385F13" w:rsidP="00F920A9">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 xml:space="preserve">BDFK </w:t>
            </w:r>
          </w:p>
        </w:tc>
        <w:tc>
          <w:tcPr>
            <w:tcW w:w="4819" w:type="dxa"/>
          </w:tcPr>
          <w:p w14:paraId="2AC8B91F" w14:textId="31DDFFD7" w:rsidR="00F920A9" w:rsidRPr="001A4B94" w:rsidRDefault="00385F13" w:rsidP="00F920A9">
            <w:pPr>
              <w:tabs>
                <w:tab w:val="left" w:pos="426"/>
              </w:tabs>
              <w:autoSpaceDE w:val="0"/>
              <w:autoSpaceDN w:val="0"/>
              <w:adjustRightInd w:val="0"/>
              <w:rPr>
                <w:rFonts w:eastAsia="SimSun"/>
                <w:color w:val="000000"/>
                <w:sz w:val="18"/>
                <w:szCs w:val="18"/>
                <w:lang w:val="tr-TR"/>
              </w:rPr>
            </w:pPr>
            <w:r w:rsidRPr="001A4B94">
              <w:rPr>
                <w:rFonts w:eastAsia="SimSun"/>
                <w:color w:val="000000"/>
                <w:sz w:val="18"/>
                <w:szCs w:val="18"/>
                <w:lang w:val="tr-TR"/>
              </w:rPr>
              <w:t xml:space="preserve">Banka Dışı Finansal Kuruluş </w:t>
            </w:r>
          </w:p>
        </w:tc>
      </w:tr>
      <w:tr w:rsidR="00F920A9" w:rsidRPr="001A4B94" w14:paraId="2603F1F8" w14:textId="77777777" w:rsidTr="001A4B94">
        <w:trPr>
          <w:trHeight w:val="234"/>
        </w:trPr>
        <w:tc>
          <w:tcPr>
            <w:tcW w:w="900" w:type="dxa"/>
          </w:tcPr>
          <w:p w14:paraId="4F99A0D1" w14:textId="53B1822F" w:rsidR="00F920A9" w:rsidRPr="001A4B94" w:rsidRDefault="004B6229" w:rsidP="00F920A9">
            <w:pPr>
              <w:tabs>
                <w:tab w:val="left" w:pos="426"/>
              </w:tabs>
              <w:autoSpaceDE w:val="0"/>
              <w:autoSpaceDN w:val="0"/>
              <w:adjustRightInd w:val="0"/>
              <w:jc w:val="center"/>
              <w:rPr>
                <w:sz w:val="18"/>
                <w:szCs w:val="18"/>
                <w:lang w:val="tr-TR"/>
              </w:rPr>
            </w:pPr>
            <w:r w:rsidRPr="001A4B94">
              <w:rPr>
                <w:sz w:val="18"/>
                <w:szCs w:val="18"/>
                <w:lang w:val="tr-TR"/>
              </w:rPr>
              <w:t>K</w:t>
            </w:r>
            <w:r w:rsidR="00F920A9" w:rsidRPr="001A4B94">
              <w:rPr>
                <w:sz w:val="18"/>
                <w:szCs w:val="18"/>
                <w:lang w:val="tr-TR"/>
              </w:rPr>
              <w:t>P</w:t>
            </w:r>
          </w:p>
        </w:tc>
        <w:tc>
          <w:tcPr>
            <w:tcW w:w="4320" w:type="dxa"/>
          </w:tcPr>
          <w:p w14:paraId="53BB4A1E" w14:textId="528266D1" w:rsidR="00F920A9" w:rsidRPr="001A4B94" w:rsidRDefault="004B6229" w:rsidP="00F920A9">
            <w:pPr>
              <w:tabs>
                <w:tab w:val="left" w:pos="426"/>
              </w:tabs>
              <w:autoSpaceDE w:val="0"/>
              <w:autoSpaceDN w:val="0"/>
              <w:adjustRightInd w:val="0"/>
              <w:rPr>
                <w:sz w:val="18"/>
                <w:szCs w:val="18"/>
                <w:lang w:val="tr-TR"/>
              </w:rPr>
            </w:pPr>
            <w:r w:rsidRPr="001A4B94">
              <w:rPr>
                <w:sz w:val="18"/>
                <w:szCs w:val="18"/>
                <w:lang w:val="tr-TR"/>
              </w:rPr>
              <w:t xml:space="preserve">Kalkınma Planı </w:t>
            </w:r>
          </w:p>
        </w:tc>
        <w:tc>
          <w:tcPr>
            <w:tcW w:w="1004" w:type="dxa"/>
          </w:tcPr>
          <w:p w14:paraId="531732B8" w14:textId="3686CA97" w:rsidR="00F920A9" w:rsidRPr="001A4B94" w:rsidRDefault="00385F13" w:rsidP="00F920A9">
            <w:pPr>
              <w:tabs>
                <w:tab w:val="left" w:pos="426"/>
              </w:tabs>
              <w:autoSpaceDE w:val="0"/>
              <w:autoSpaceDN w:val="0"/>
              <w:adjustRightInd w:val="0"/>
              <w:jc w:val="center"/>
              <w:rPr>
                <w:sz w:val="18"/>
                <w:szCs w:val="18"/>
                <w:lang w:val="tr-TR"/>
              </w:rPr>
            </w:pPr>
            <w:r w:rsidRPr="001A4B94">
              <w:rPr>
                <w:rFonts w:eastAsia="SimSun"/>
                <w:color w:val="000000"/>
                <w:sz w:val="18"/>
                <w:szCs w:val="18"/>
                <w:lang w:val="tr-TR"/>
              </w:rPr>
              <w:t>BOH</w:t>
            </w:r>
          </w:p>
        </w:tc>
        <w:tc>
          <w:tcPr>
            <w:tcW w:w="4819" w:type="dxa"/>
          </w:tcPr>
          <w:p w14:paraId="3C01A42C" w14:textId="3A8F9B92" w:rsidR="00F920A9" w:rsidRPr="001A4B94" w:rsidRDefault="00385F13" w:rsidP="00F920A9">
            <w:pPr>
              <w:tabs>
                <w:tab w:val="left" w:pos="426"/>
              </w:tabs>
              <w:autoSpaceDE w:val="0"/>
              <w:autoSpaceDN w:val="0"/>
              <w:adjustRightInd w:val="0"/>
              <w:rPr>
                <w:sz w:val="18"/>
                <w:szCs w:val="18"/>
                <w:lang w:val="tr-TR"/>
              </w:rPr>
            </w:pPr>
            <w:r w:rsidRPr="001A4B94">
              <w:rPr>
                <w:sz w:val="18"/>
                <w:szCs w:val="18"/>
                <w:lang w:val="tr-TR"/>
              </w:rPr>
              <w:t xml:space="preserve">Bulaşıcı Olmayan Hastalık </w:t>
            </w:r>
          </w:p>
        </w:tc>
      </w:tr>
      <w:tr w:rsidR="00F920A9" w:rsidRPr="001A4B94" w14:paraId="233E35A0" w14:textId="77777777" w:rsidTr="001A4B94">
        <w:trPr>
          <w:trHeight w:val="234"/>
        </w:trPr>
        <w:tc>
          <w:tcPr>
            <w:tcW w:w="900" w:type="dxa"/>
          </w:tcPr>
          <w:p w14:paraId="5588BCBE" w14:textId="7ED33FAD"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DPL</w:t>
            </w:r>
          </w:p>
        </w:tc>
        <w:tc>
          <w:tcPr>
            <w:tcW w:w="4320" w:type="dxa"/>
          </w:tcPr>
          <w:p w14:paraId="79BD9BDD" w14:textId="29B4A203" w:rsidR="00F920A9" w:rsidRPr="001A4B94" w:rsidRDefault="004B6229" w:rsidP="00F920A9">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Kalkınma Politikası Kredisi </w:t>
            </w:r>
          </w:p>
        </w:tc>
        <w:tc>
          <w:tcPr>
            <w:tcW w:w="1004" w:type="dxa"/>
          </w:tcPr>
          <w:p w14:paraId="7A115B20" w14:textId="5F6DFA48"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p>
        </w:tc>
        <w:tc>
          <w:tcPr>
            <w:tcW w:w="4819" w:type="dxa"/>
          </w:tcPr>
          <w:p w14:paraId="06E1E5EC" w14:textId="63877A5C" w:rsidR="00F920A9" w:rsidRPr="001A4B94" w:rsidRDefault="00F920A9" w:rsidP="00F920A9">
            <w:pPr>
              <w:tabs>
                <w:tab w:val="left" w:pos="426"/>
              </w:tabs>
              <w:autoSpaceDE w:val="0"/>
              <w:autoSpaceDN w:val="0"/>
              <w:adjustRightInd w:val="0"/>
              <w:rPr>
                <w:rFonts w:eastAsia="SimSun"/>
                <w:color w:val="000000"/>
                <w:sz w:val="18"/>
                <w:szCs w:val="18"/>
                <w:lang w:val="tr-TR"/>
              </w:rPr>
            </w:pPr>
          </w:p>
        </w:tc>
      </w:tr>
      <w:tr w:rsidR="00F920A9" w:rsidRPr="001A4B94" w14:paraId="6A3700B6" w14:textId="77777777" w:rsidTr="001A4B94">
        <w:trPr>
          <w:trHeight w:val="234"/>
        </w:trPr>
        <w:tc>
          <w:tcPr>
            <w:tcW w:w="900" w:type="dxa"/>
          </w:tcPr>
          <w:p w14:paraId="249BF905" w14:textId="49337AE2"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DPO</w:t>
            </w:r>
          </w:p>
        </w:tc>
        <w:tc>
          <w:tcPr>
            <w:tcW w:w="4320" w:type="dxa"/>
          </w:tcPr>
          <w:p w14:paraId="0EACE9A5" w14:textId="72E834E2" w:rsidR="00F920A9" w:rsidRPr="001A4B94" w:rsidRDefault="004B6229" w:rsidP="00F920A9">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Kalkınma Politikası Operasyonu </w:t>
            </w:r>
          </w:p>
        </w:tc>
        <w:tc>
          <w:tcPr>
            <w:tcW w:w="1004" w:type="dxa"/>
          </w:tcPr>
          <w:p w14:paraId="1A8C1498" w14:textId="0CA24C56" w:rsidR="00F920A9" w:rsidRPr="001A4B94" w:rsidRDefault="00F920A9" w:rsidP="00F920A9">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OECD</w:t>
            </w:r>
          </w:p>
        </w:tc>
        <w:tc>
          <w:tcPr>
            <w:tcW w:w="4819" w:type="dxa"/>
          </w:tcPr>
          <w:p w14:paraId="0AFEC0CC" w14:textId="23A2EE92" w:rsidR="00F920A9" w:rsidRPr="001A4B94" w:rsidRDefault="00B73253" w:rsidP="00385F13">
            <w:pPr>
              <w:tabs>
                <w:tab w:val="left" w:pos="900"/>
                <w:tab w:val="left" w:pos="1080"/>
              </w:tabs>
              <w:ind w:left="1170" w:hanging="1260"/>
              <w:rPr>
                <w:rFonts w:eastAsia="SimSun"/>
                <w:color w:val="000000"/>
                <w:sz w:val="18"/>
                <w:szCs w:val="18"/>
                <w:lang w:val="tr-TR"/>
              </w:rPr>
            </w:pPr>
            <w:r w:rsidRPr="001A4B94">
              <w:rPr>
                <w:sz w:val="20"/>
                <w:szCs w:val="20"/>
                <w:lang w:val="tr-TR"/>
              </w:rPr>
              <w:t xml:space="preserve">  </w:t>
            </w:r>
            <w:r w:rsidR="00385F13" w:rsidRPr="001A4B94">
              <w:rPr>
                <w:sz w:val="20"/>
                <w:szCs w:val="20"/>
                <w:lang w:val="tr-TR"/>
              </w:rPr>
              <w:t>Ekonomik İşbirliği ve Kalkınma</w:t>
            </w:r>
            <w:r w:rsidRPr="001A4B94">
              <w:rPr>
                <w:sz w:val="20"/>
                <w:szCs w:val="20"/>
                <w:lang w:val="tr-TR"/>
              </w:rPr>
              <w:t xml:space="preserve">  </w:t>
            </w:r>
            <w:r w:rsidR="00385F13" w:rsidRPr="001A4B94">
              <w:rPr>
                <w:sz w:val="20"/>
                <w:szCs w:val="20"/>
                <w:lang w:val="tr-TR"/>
              </w:rPr>
              <w:t>Örgütü</w:t>
            </w:r>
          </w:p>
        </w:tc>
      </w:tr>
      <w:tr w:rsidR="006A3654" w:rsidRPr="001A4B94" w14:paraId="76FCCAAF" w14:textId="77777777" w:rsidTr="001A4B94">
        <w:trPr>
          <w:trHeight w:val="89"/>
        </w:trPr>
        <w:tc>
          <w:tcPr>
            <w:tcW w:w="900" w:type="dxa"/>
          </w:tcPr>
          <w:p w14:paraId="1521AD05" w14:textId="4CBE3952" w:rsidR="006A3654" w:rsidRPr="001A4B94" w:rsidRDefault="006A3654" w:rsidP="006A3654">
            <w:pPr>
              <w:tabs>
                <w:tab w:val="left" w:pos="426"/>
              </w:tabs>
              <w:autoSpaceDE w:val="0"/>
              <w:autoSpaceDN w:val="0"/>
              <w:adjustRightInd w:val="0"/>
              <w:jc w:val="center"/>
              <w:rPr>
                <w:sz w:val="18"/>
                <w:szCs w:val="18"/>
                <w:lang w:val="tr-TR"/>
              </w:rPr>
            </w:pPr>
            <w:r w:rsidRPr="001A4B94">
              <w:rPr>
                <w:sz w:val="18"/>
                <w:szCs w:val="18"/>
                <w:lang w:val="tr-TR"/>
              </w:rPr>
              <w:t>EBRD</w:t>
            </w:r>
          </w:p>
        </w:tc>
        <w:tc>
          <w:tcPr>
            <w:tcW w:w="4320" w:type="dxa"/>
          </w:tcPr>
          <w:p w14:paraId="47F755BC" w14:textId="7909115E" w:rsidR="006A3654" w:rsidRPr="001A4B94" w:rsidRDefault="004B6229" w:rsidP="006A3654">
            <w:pPr>
              <w:tabs>
                <w:tab w:val="left" w:pos="426"/>
              </w:tabs>
              <w:autoSpaceDE w:val="0"/>
              <w:autoSpaceDN w:val="0"/>
              <w:adjustRightInd w:val="0"/>
              <w:rPr>
                <w:sz w:val="18"/>
                <w:szCs w:val="18"/>
                <w:lang w:val="tr-TR"/>
              </w:rPr>
            </w:pPr>
            <w:r w:rsidRPr="001A4B94">
              <w:rPr>
                <w:sz w:val="20"/>
                <w:szCs w:val="20"/>
                <w:lang w:val="tr-TR"/>
              </w:rPr>
              <w:t>Avrupa İmar ve Kalkınma Bankası</w:t>
            </w:r>
          </w:p>
        </w:tc>
        <w:tc>
          <w:tcPr>
            <w:tcW w:w="1004" w:type="dxa"/>
          </w:tcPr>
          <w:p w14:paraId="76A0DA9F" w14:textId="2C473508" w:rsidR="006A3654" w:rsidRPr="001A4B94" w:rsidRDefault="00385F13" w:rsidP="006A3654">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OSB</w:t>
            </w:r>
          </w:p>
        </w:tc>
        <w:tc>
          <w:tcPr>
            <w:tcW w:w="4819" w:type="dxa"/>
          </w:tcPr>
          <w:p w14:paraId="13EFF0FD" w14:textId="74A91A4C" w:rsidR="006A3654" w:rsidRPr="001A4B94" w:rsidRDefault="00B73253" w:rsidP="006A3654">
            <w:pPr>
              <w:tabs>
                <w:tab w:val="left" w:pos="426"/>
              </w:tabs>
              <w:autoSpaceDE w:val="0"/>
              <w:autoSpaceDN w:val="0"/>
              <w:adjustRightInd w:val="0"/>
              <w:rPr>
                <w:sz w:val="18"/>
                <w:szCs w:val="18"/>
                <w:lang w:val="tr-TR"/>
              </w:rPr>
            </w:pPr>
            <w:r w:rsidRPr="001A4B94">
              <w:rPr>
                <w:sz w:val="18"/>
                <w:szCs w:val="18"/>
                <w:lang w:val="tr-TR"/>
              </w:rPr>
              <w:t>Organize San</w:t>
            </w:r>
            <w:r w:rsidR="00E64342" w:rsidRPr="001A4B94">
              <w:rPr>
                <w:sz w:val="18"/>
                <w:szCs w:val="18"/>
                <w:lang w:val="tr-TR"/>
              </w:rPr>
              <w:t>a</w:t>
            </w:r>
            <w:r w:rsidRPr="001A4B94">
              <w:rPr>
                <w:sz w:val="18"/>
                <w:szCs w:val="18"/>
                <w:lang w:val="tr-TR"/>
              </w:rPr>
              <w:t xml:space="preserve">yi Bölgesi </w:t>
            </w:r>
          </w:p>
        </w:tc>
      </w:tr>
      <w:tr w:rsidR="006A3654" w:rsidRPr="001A4B94" w14:paraId="1A662BD4" w14:textId="77777777" w:rsidTr="001A4B94">
        <w:trPr>
          <w:trHeight w:val="89"/>
        </w:trPr>
        <w:tc>
          <w:tcPr>
            <w:tcW w:w="900" w:type="dxa"/>
          </w:tcPr>
          <w:p w14:paraId="5B234592" w14:textId="6899EDB3" w:rsidR="006A3654" w:rsidRPr="001A4B94" w:rsidRDefault="006A3654" w:rsidP="006A3654">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EC</w:t>
            </w:r>
          </w:p>
        </w:tc>
        <w:tc>
          <w:tcPr>
            <w:tcW w:w="4320" w:type="dxa"/>
          </w:tcPr>
          <w:p w14:paraId="7330CAC0" w14:textId="1CA52E7E" w:rsidR="006A3654" w:rsidRPr="001A4B94" w:rsidRDefault="004B6229" w:rsidP="006A3654">
            <w:pPr>
              <w:tabs>
                <w:tab w:val="left" w:pos="426"/>
              </w:tabs>
              <w:autoSpaceDE w:val="0"/>
              <w:autoSpaceDN w:val="0"/>
              <w:adjustRightInd w:val="0"/>
              <w:rPr>
                <w:rFonts w:eastAsia="SimSun"/>
                <w:color w:val="000000"/>
                <w:sz w:val="18"/>
                <w:szCs w:val="18"/>
                <w:lang w:val="tr-TR"/>
              </w:rPr>
            </w:pPr>
            <w:r w:rsidRPr="001A4B94">
              <w:rPr>
                <w:sz w:val="20"/>
                <w:szCs w:val="20"/>
                <w:lang w:val="tr-TR"/>
              </w:rPr>
              <w:t>Avrupa Komisyonu</w:t>
            </w:r>
          </w:p>
        </w:tc>
        <w:tc>
          <w:tcPr>
            <w:tcW w:w="1004" w:type="dxa"/>
          </w:tcPr>
          <w:p w14:paraId="31DF2A5A" w14:textId="26D459CA" w:rsidR="006A3654" w:rsidRPr="001A4B94" w:rsidRDefault="006A3654" w:rsidP="006A3654">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PforR</w:t>
            </w:r>
          </w:p>
        </w:tc>
        <w:tc>
          <w:tcPr>
            <w:tcW w:w="4819" w:type="dxa"/>
          </w:tcPr>
          <w:p w14:paraId="5968893F" w14:textId="67226854" w:rsidR="006A3654" w:rsidRPr="001A4B94" w:rsidRDefault="00B73253" w:rsidP="006A3654">
            <w:pPr>
              <w:tabs>
                <w:tab w:val="left" w:pos="426"/>
              </w:tabs>
              <w:autoSpaceDE w:val="0"/>
              <w:autoSpaceDN w:val="0"/>
              <w:adjustRightInd w:val="0"/>
              <w:rPr>
                <w:rFonts w:eastAsia="SimSun"/>
                <w:color w:val="000000"/>
                <w:sz w:val="18"/>
                <w:szCs w:val="18"/>
                <w:lang w:val="tr-TR"/>
              </w:rPr>
            </w:pPr>
            <w:r w:rsidRPr="001A4B94">
              <w:rPr>
                <w:rFonts w:eastAsia="SimSun"/>
                <w:color w:val="000000"/>
                <w:sz w:val="18"/>
                <w:szCs w:val="18"/>
                <w:lang w:val="tr-TR"/>
              </w:rPr>
              <w:t xml:space="preserve">Sonuca Odaklı Program </w:t>
            </w:r>
          </w:p>
        </w:tc>
      </w:tr>
      <w:tr w:rsidR="006A3654" w:rsidRPr="001A4B94" w14:paraId="399D1E1E" w14:textId="77777777" w:rsidTr="001A4B94">
        <w:trPr>
          <w:trHeight w:val="234"/>
        </w:trPr>
        <w:tc>
          <w:tcPr>
            <w:tcW w:w="900" w:type="dxa"/>
          </w:tcPr>
          <w:p w14:paraId="5CAC13BE" w14:textId="74D0FD5C" w:rsidR="006A3654" w:rsidRPr="001A4B94" w:rsidRDefault="006A3654" w:rsidP="006A3654">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ECA</w:t>
            </w:r>
          </w:p>
        </w:tc>
        <w:tc>
          <w:tcPr>
            <w:tcW w:w="4320" w:type="dxa"/>
          </w:tcPr>
          <w:p w14:paraId="507E54E9" w14:textId="51107B0B" w:rsidR="006A3654" w:rsidRPr="001A4B94" w:rsidRDefault="004B6229" w:rsidP="006A3654">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Avrupa ve Orta Asya </w:t>
            </w:r>
          </w:p>
        </w:tc>
        <w:tc>
          <w:tcPr>
            <w:tcW w:w="1004" w:type="dxa"/>
          </w:tcPr>
          <w:p w14:paraId="198C5646" w14:textId="067B6668" w:rsidR="006A3654" w:rsidRPr="001A4B94" w:rsidRDefault="006A3654" w:rsidP="006A3654">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PISA</w:t>
            </w:r>
          </w:p>
        </w:tc>
        <w:tc>
          <w:tcPr>
            <w:tcW w:w="4819" w:type="dxa"/>
          </w:tcPr>
          <w:p w14:paraId="37D676EC" w14:textId="25245957" w:rsidR="006A3654" w:rsidRPr="001A4B94" w:rsidRDefault="00E64342" w:rsidP="006A3654">
            <w:pPr>
              <w:tabs>
                <w:tab w:val="left" w:pos="426"/>
              </w:tabs>
              <w:autoSpaceDE w:val="0"/>
              <w:autoSpaceDN w:val="0"/>
              <w:adjustRightInd w:val="0"/>
              <w:rPr>
                <w:rFonts w:eastAsia="SimSun"/>
                <w:color w:val="000000"/>
                <w:sz w:val="18"/>
                <w:szCs w:val="18"/>
                <w:lang w:val="tr-TR"/>
              </w:rPr>
            </w:pPr>
            <w:r w:rsidRPr="001A4B94">
              <w:rPr>
                <w:rFonts w:eastAsia="SimSun"/>
                <w:color w:val="000000"/>
                <w:sz w:val="18"/>
                <w:szCs w:val="18"/>
                <w:lang w:val="tr-TR"/>
              </w:rPr>
              <w:t>Uluslararası</w:t>
            </w:r>
            <w:r w:rsidR="00B73253" w:rsidRPr="001A4B94">
              <w:rPr>
                <w:rFonts w:eastAsia="SimSun"/>
                <w:color w:val="000000"/>
                <w:sz w:val="18"/>
                <w:szCs w:val="18"/>
                <w:lang w:val="tr-TR"/>
              </w:rPr>
              <w:t xml:space="preserve"> Öğrenci Değerlendirme </w:t>
            </w:r>
            <w:r w:rsidR="006A3654" w:rsidRPr="001A4B94">
              <w:rPr>
                <w:rFonts w:eastAsia="SimSun"/>
                <w:color w:val="000000"/>
                <w:sz w:val="18"/>
                <w:szCs w:val="18"/>
                <w:lang w:val="tr-TR"/>
              </w:rPr>
              <w:t>Program</w:t>
            </w:r>
            <w:r w:rsidR="00B73253" w:rsidRPr="001A4B94">
              <w:rPr>
                <w:rFonts w:eastAsia="SimSun"/>
                <w:color w:val="000000"/>
                <w:sz w:val="18"/>
                <w:szCs w:val="18"/>
                <w:lang w:val="tr-TR"/>
              </w:rPr>
              <w:t>ı</w:t>
            </w:r>
            <w:r w:rsidR="006A3654" w:rsidRPr="001A4B94">
              <w:rPr>
                <w:rFonts w:eastAsia="SimSun"/>
                <w:color w:val="000000"/>
                <w:sz w:val="18"/>
                <w:szCs w:val="18"/>
                <w:lang w:val="tr-TR"/>
              </w:rPr>
              <w:t xml:space="preserve"> </w:t>
            </w:r>
          </w:p>
        </w:tc>
      </w:tr>
      <w:tr w:rsidR="006A3654" w:rsidRPr="001A4B94" w14:paraId="1BECD719" w14:textId="77777777" w:rsidTr="001A4B94">
        <w:trPr>
          <w:trHeight w:val="234"/>
        </w:trPr>
        <w:tc>
          <w:tcPr>
            <w:tcW w:w="900" w:type="dxa"/>
          </w:tcPr>
          <w:p w14:paraId="3C2C7086" w14:textId="68049293" w:rsidR="006A3654" w:rsidRPr="001A4B94" w:rsidRDefault="006A3654" w:rsidP="006A3654">
            <w:pPr>
              <w:tabs>
                <w:tab w:val="left" w:pos="426"/>
              </w:tabs>
              <w:autoSpaceDE w:val="0"/>
              <w:autoSpaceDN w:val="0"/>
              <w:adjustRightInd w:val="0"/>
              <w:jc w:val="center"/>
              <w:rPr>
                <w:sz w:val="18"/>
                <w:szCs w:val="18"/>
                <w:lang w:val="tr-TR"/>
              </w:rPr>
            </w:pPr>
            <w:r w:rsidRPr="001A4B94">
              <w:rPr>
                <w:sz w:val="18"/>
                <w:szCs w:val="18"/>
                <w:lang w:val="tr-TR"/>
              </w:rPr>
              <w:t xml:space="preserve">ESMAP </w:t>
            </w:r>
          </w:p>
        </w:tc>
        <w:tc>
          <w:tcPr>
            <w:tcW w:w="4320" w:type="dxa"/>
          </w:tcPr>
          <w:p w14:paraId="0FE5A27E" w14:textId="0D5FFB40" w:rsidR="006A3654" w:rsidRPr="001A4B94" w:rsidRDefault="006A3654" w:rsidP="006A3654">
            <w:pPr>
              <w:tabs>
                <w:tab w:val="left" w:pos="426"/>
              </w:tabs>
              <w:autoSpaceDE w:val="0"/>
              <w:autoSpaceDN w:val="0"/>
              <w:adjustRightInd w:val="0"/>
              <w:rPr>
                <w:sz w:val="18"/>
                <w:szCs w:val="18"/>
                <w:lang w:val="tr-TR"/>
              </w:rPr>
            </w:pPr>
            <w:r w:rsidRPr="001A4B94">
              <w:rPr>
                <w:sz w:val="18"/>
                <w:szCs w:val="18"/>
                <w:lang w:val="tr-TR"/>
              </w:rPr>
              <w:t>Ener</w:t>
            </w:r>
            <w:r w:rsidR="004B6229" w:rsidRPr="001A4B94">
              <w:rPr>
                <w:sz w:val="18"/>
                <w:szCs w:val="18"/>
                <w:lang w:val="tr-TR"/>
              </w:rPr>
              <w:t xml:space="preserve">ji Sektörü Yönetim Yardım </w:t>
            </w:r>
            <w:r w:rsidRPr="001A4B94">
              <w:rPr>
                <w:sz w:val="18"/>
                <w:szCs w:val="18"/>
                <w:lang w:val="tr-TR"/>
              </w:rPr>
              <w:t>Program</w:t>
            </w:r>
            <w:r w:rsidR="004B6229" w:rsidRPr="001A4B94">
              <w:rPr>
                <w:sz w:val="18"/>
                <w:szCs w:val="18"/>
                <w:lang w:val="tr-TR"/>
              </w:rPr>
              <w:t>ı</w:t>
            </w:r>
          </w:p>
        </w:tc>
        <w:tc>
          <w:tcPr>
            <w:tcW w:w="1004" w:type="dxa"/>
          </w:tcPr>
          <w:p w14:paraId="77977F22" w14:textId="6FEBED19" w:rsidR="006A3654" w:rsidRPr="001A4B94" w:rsidRDefault="006A3654" w:rsidP="006A3654">
            <w:pPr>
              <w:tabs>
                <w:tab w:val="left" w:pos="426"/>
              </w:tabs>
              <w:autoSpaceDE w:val="0"/>
              <w:autoSpaceDN w:val="0"/>
              <w:adjustRightInd w:val="0"/>
              <w:jc w:val="center"/>
              <w:rPr>
                <w:sz w:val="18"/>
                <w:szCs w:val="18"/>
                <w:lang w:val="tr-TR"/>
              </w:rPr>
            </w:pPr>
            <w:r w:rsidRPr="001A4B94">
              <w:rPr>
                <w:sz w:val="18"/>
                <w:szCs w:val="18"/>
                <w:lang w:val="tr-TR"/>
              </w:rPr>
              <w:t>PLR</w:t>
            </w:r>
          </w:p>
        </w:tc>
        <w:tc>
          <w:tcPr>
            <w:tcW w:w="4819" w:type="dxa"/>
          </w:tcPr>
          <w:p w14:paraId="09F52082" w14:textId="4A45B36B" w:rsidR="006A3654" w:rsidRPr="001A4B94" w:rsidRDefault="00B73253" w:rsidP="006A3654">
            <w:pPr>
              <w:tabs>
                <w:tab w:val="left" w:pos="426"/>
              </w:tabs>
              <w:autoSpaceDE w:val="0"/>
              <w:autoSpaceDN w:val="0"/>
              <w:adjustRightInd w:val="0"/>
              <w:rPr>
                <w:sz w:val="18"/>
                <w:szCs w:val="18"/>
                <w:lang w:val="tr-TR"/>
              </w:rPr>
            </w:pPr>
            <w:r w:rsidRPr="001A4B94">
              <w:rPr>
                <w:sz w:val="18"/>
                <w:szCs w:val="18"/>
                <w:lang w:val="tr-TR"/>
              </w:rPr>
              <w:t>Performans</w:t>
            </w:r>
            <w:r w:rsidR="006A3654" w:rsidRPr="001A4B94">
              <w:rPr>
                <w:sz w:val="18"/>
                <w:szCs w:val="18"/>
                <w:lang w:val="tr-TR"/>
              </w:rPr>
              <w:t xml:space="preserve"> </w:t>
            </w:r>
            <w:r w:rsidRPr="001A4B94">
              <w:rPr>
                <w:sz w:val="18"/>
                <w:szCs w:val="18"/>
                <w:lang w:val="tr-TR"/>
              </w:rPr>
              <w:t xml:space="preserve">ve Öğrenme İncelemesi </w:t>
            </w:r>
          </w:p>
        </w:tc>
      </w:tr>
      <w:tr w:rsidR="006A3654" w:rsidRPr="001A4B94" w14:paraId="4A14AD6E" w14:textId="77777777" w:rsidTr="001A4B94">
        <w:trPr>
          <w:trHeight w:val="234"/>
        </w:trPr>
        <w:tc>
          <w:tcPr>
            <w:tcW w:w="900" w:type="dxa"/>
          </w:tcPr>
          <w:p w14:paraId="5B992B54" w14:textId="3CA70AD1" w:rsidR="006A3654" w:rsidRPr="001A4B94" w:rsidRDefault="00C21378" w:rsidP="006A3654">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AB</w:t>
            </w:r>
          </w:p>
        </w:tc>
        <w:tc>
          <w:tcPr>
            <w:tcW w:w="4320" w:type="dxa"/>
          </w:tcPr>
          <w:p w14:paraId="1E202BD4" w14:textId="4278767B" w:rsidR="006A3654" w:rsidRPr="001A4B94" w:rsidRDefault="004B6229" w:rsidP="006A3654">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Avrupa Birliği </w:t>
            </w:r>
          </w:p>
        </w:tc>
        <w:tc>
          <w:tcPr>
            <w:tcW w:w="1004" w:type="dxa"/>
          </w:tcPr>
          <w:p w14:paraId="533E3696" w14:textId="7711C30F" w:rsidR="006A3654" w:rsidRPr="001A4B94" w:rsidRDefault="003B2B60" w:rsidP="006A3654">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KÖİ</w:t>
            </w:r>
          </w:p>
        </w:tc>
        <w:tc>
          <w:tcPr>
            <w:tcW w:w="4819" w:type="dxa"/>
          </w:tcPr>
          <w:p w14:paraId="14C0F8C7" w14:textId="562E9FCC" w:rsidR="006A3654" w:rsidRPr="001A4B94" w:rsidRDefault="003B2B60" w:rsidP="006A3654">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Kamu – Özel Sektör İşbirliği </w:t>
            </w:r>
          </w:p>
        </w:tc>
      </w:tr>
      <w:tr w:rsidR="006A3654" w:rsidRPr="001A4B94" w14:paraId="72145C23" w14:textId="77777777" w:rsidTr="001A4B94">
        <w:trPr>
          <w:trHeight w:val="234"/>
        </w:trPr>
        <w:tc>
          <w:tcPr>
            <w:tcW w:w="900" w:type="dxa"/>
          </w:tcPr>
          <w:p w14:paraId="6D9A1C17" w14:textId="21DB056B" w:rsidR="006A3654" w:rsidRPr="001A4B94" w:rsidRDefault="006A3654" w:rsidP="006A3654">
            <w:pPr>
              <w:tabs>
                <w:tab w:val="left" w:pos="426"/>
              </w:tabs>
              <w:autoSpaceDE w:val="0"/>
              <w:autoSpaceDN w:val="0"/>
              <w:adjustRightInd w:val="0"/>
              <w:jc w:val="center"/>
              <w:rPr>
                <w:sz w:val="18"/>
                <w:szCs w:val="18"/>
                <w:lang w:val="tr-TR"/>
              </w:rPr>
            </w:pPr>
            <w:r w:rsidRPr="001A4B94">
              <w:rPr>
                <w:sz w:val="18"/>
                <w:szCs w:val="18"/>
                <w:lang w:val="tr-TR"/>
              </w:rPr>
              <w:t>EUR</w:t>
            </w:r>
          </w:p>
        </w:tc>
        <w:tc>
          <w:tcPr>
            <w:tcW w:w="4320" w:type="dxa"/>
          </w:tcPr>
          <w:p w14:paraId="4C34A2FA" w14:textId="089BAB4C" w:rsidR="006A3654" w:rsidRPr="001A4B94" w:rsidRDefault="004B6229" w:rsidP="006A3654">
            <w:pPr>
              <w:tabs>
                <w:tab w:val="left" w:pos="426"/>
              </w:tabs>
              <w:autoSpaceDE w:val="0"/>
              <w:autoSpaceDN w:val="0"/>
              <w:adjustRightInd w:val="0"/>
              <w:rPr>
                <w:sz w:val="18"/>
                <w:szCs w:val="18"/>
                <w:lang w:val="tr-TR"/>
              </w:rPr>
            </w:pPr>
            <w:r w:rsidRPr="001A4B94">
              <w:rPr>
                <w:sz w:val="18"/>
                <w:szCs w:val="18"/>
                <w:lang w:val="tr-TR"/>
              </w:rPr>
              <w:t xml:space="preserve">Avro </w:t>
            </w:r>
          </w:p>
        </w:tc>
        <w:tc>
          <w:tcPr>
            <w:tcW w:w="1004" w:type="dxa"/>
          </w:tcPr>
          <w:p w14:paraId="1A5D3E25" w14:textId="62861F94" w:rsidR="006A3654" w:rsidRPr="001A4B94" w:rsidRDefault="006A3654" w:rsidP="006A3654">
            <w:pPr>
              <w:tabs>
                <w:tab w:val="left" w:pos="426"/>
              </w:tabs>
              <w:autoSpaceDE w:val="0"/>
              <w:autoSpaceDN w:val="0"/>
              <w:adjustRightInd w:val="0"/>
              <w:jc w:val="center"/>
              <w:rPr>
                <w:sz w:val="18"/>
                <w:szCs w:val="18"/>
                <w:lang w:val="tr-TR"/>
              </w:rPr>
            </w:pPr>
            <w:r w:rsidRPr="001A4B94">
              <w:rPr>
                <w:rFonts w:eastAsia="SimSun"/>
                <w:color w:val="000000"/>
                <w:sz w:val="18"/>
                <w:szCs w:val="18"/>
                <w:lang w:val="tr-TR"/>
              </w:rPr>
              <w:t>RAS</w:t>
            </w:r>
          </w:p>
        </w:tc>
        <w:tc>
          <w:tcPr>
            <w:tcW w:w="4819" w:type="dxa"/>
          </w:tcPr>
          <w:p w14:paraId="0625C572" w14:textId="41978614" w:rsidR="006A3654" w:rsidRPr="001A4B94" w:rsidRDefault="003B2B60" w:rsidP="006A3654">
            <w:pPr>
              <w:tabs>
                <w:tab w:val="left" w:pos="426"/>
              </w:tabs>
              <w:autoSpaceDE w:val="0"/>
              <w:autoSpaceDN w:val="0"/>
              <w:adjustRightInd w:val="0"/>
              <w:rPr>
                <w:sz w:val="18"/>
                <w:szCs w:val="18"/>
                <w:lang w:val="tr-TR"/>
              </w:rPr>
            </w:pPr>
            <w:r w:rsidRPr="001A4B94">
              <w:rPr>
                <w:rFonts w:eastAsia="SimSun"/>
                <w:color w:val="000000"/>
                <w:sz w:val="18"/>
                <w:szCs w:val="18"/>
                <w:lang w:val="tr-TR"/>
              </w:rPr>
              <w:t xml:space="preserve">Geri Ödenebilir Danışmanlık Hizmetleri </w:t>
            </w:r>
          </w:p>
        </w:tc>
      </w:tr>
      <w:tr w:rsidR="006A3654" w:rsidRPr="001A4B94" w14:paraId="72B14FD4" w14:textId="77777777" w:rsidTr="001A4B94">
        <w:trPr>
          <w:trHeight w:val="234"/>
        </w:trPr>
        <w:tc>
          <w:tcPr>
            <w:tcW w:w="900" w:type="dxa"/>
          </w:tcPr>
          <w:p w14:paraId="164E2536" w14:textId="065B31B9" w:rsidR="006A3654" w:rsidRPr="001A4B94" w:rsidRDefault="004B6229" w:rsidP="006A3654">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DYY</w:t>
            </w:r>
          </w:p>
        </w:tc>
        <w:tc>
          <w:tcPr>
            <w:tcW w:w="4320" w:type="dxa"/>
          </w:tcPr>
          <w:p w14:paraId="4EF650B3" w14:textId="0A5364EE" w:rsidR="006A3654" w:rsidRPr="001A4B94" w:rsidRDefault="004B6229" w:rsidP="006A3654">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Doğrudan Yabancı Yatırım </w:t>
            </w:r>
          </w:p>
        </w:tc>
        <w:tc>
          <w:tcPr>
            <w:tcW w:w="1004" w:type="dxa"/>
          </w:tcPr>
          <w:p w14:paraId="5A82B2D3" w14:textId="2DB0F01C" w:rsidR="006A3654" w:rsidRPr="001A4B94" w:rsidRDefault="006A3654" w:rsidP="006A3654">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SCD</w:t>
            </w:r>
          </w:p>
        </w:tc>
        <w:tc>
          <w:tcPr>
            <w:tcW w:w="4819" w:type="dxa"/>
          </w:tcPr>
          <w:p w14:paraId="631333A6" w14:textId="080CA003" w:rsidR="006A3654" w:rsidRPr="001A4B94" w:rsidRDefault="003B2B60" w:rsidP="006A3654">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Sistematik Ülke Değerlendirmesi </w:t>
            </w:r>
          </w:p>
        </w:tc>
      </w:tr>
      <w:tr w:rsidR="00A66E53" w:rsidRPr="001A4B94" w14:paraId="585655D3" w14:textId="77777777" w:rsidTr="001A4B94">
        <w:trPr>
          <w:trHeight w:val="234"/>
        </w:trPr>
        <w:tc>
          <w:tcPr>
            <w:tcW w:w="900" w:type="dxa"/>
          </w:tcPr>
          <w:p w14:paraId="175060C5" w14:textId="5E169271"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FSA</w:t>
            </w:r>
          </w:p>
        </w:tc>
        <w:tc>
          <w:tcPr>
            <w:tcW w:w="4320" w:type="dxa"/>
          </w:tcPr>
          <w:p w14:paraId="019D16A6" w14:textId="55DB814A" w:rsidR="00A66E53" w:rsidRPr="001A4B94" w:rsidRDefault="00385F13" w:rsidP="00A66E53">
            <w:pPr>
              <w:tabs>
                <w:tab w:val="left" w:pos="426"/>
              </w:tabs>
              <w:autoSpaceDE w:val="0"/>
              <w:autoSpaceDN w:val="0"/>
              <w:adjustRightInd w:val="0"/>
              <w:rPr>
                <w:rFonts w:eastAsia="SimSun"/>
                <w:color w:val="000000"/>
                <w:sz w:val="18"/>
                <w:szCs w:val="18"/>
                <w:lang w:val="tr-TR"/>
              </w:rPr>
            </w:pPr>
            <w:r w:rsidRPr="001A4B94">
              <w:rPr>
                <w:rFonts w:eastAsia="SimSun"/>
                <w:color w:val="000000"/>
                <w:sz w:val="18"/>
                <w:szCs w:val="18"/>
                <w:lang w:val="tr-TR"/>
              </w:rPr>
              <w:t>Finansal</w:t>
            </w:r>
            <w:r w:rsidR="004B6229" w:rsidRPr="001A4B94">
              <w:rPr>
                <w:rFonts w:eastAsia="SimSun"/>
                <w:color w:val="000000"/>
                <w:sz w:val="18"/>
                <w:szCs w:val="18"/>
                <w:lang w:val="tr-TR"/>
              </w:rPr>
              <w:t xml:space="preserve"> Sektör Değerlendirmesi </w:t>
            </w:r>
          </w:p>
        </w:tc>
        <w:tc>
          <w:tcPr>
            <w:tcW w:w="1004" w:type="dxa"/>
          </w:tcPr>
          <w:p w14:paraId="027A90CF" w14:textId="04632778"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SIDA</w:t>
            </w:r>
          </w:p>
        </w:tc>
        <w:tc>
          <w:tcPr>
            <w:tcW w:w="4819" w:type="dxa"/>
          </w:tcPr>
          <w:p w14:paraId="33121903" w14:textId="55F4BFC7" w:rsidR="00A66E53" w:rsidRPr="001A4B94" w:rsidRDefault="003B2B60" w:rsidP="00A66E53">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İsveç Uluslararası Kalkınma Ajansı </w:t>
            </w:r>
          </w:p>
        </w:tc>
      </w:tr>
      <w:tr w:rsidR="00A66E53" w:rsidRPr="001A4B94" w14:paraId="15887FBA" w14:textId="77777777" w:rsidTr="001A4B94">
        <w:trPr>
          <w:trHeight w:val="217"/>
        </w:trPr>
        <w:tc>
          <w:tcPr>
            <w:tcW w:w="900" w:type="dxa"/>
          </w:tcPr>
          <w:p w14:paraId="1F5FE988" w14:textId="3098C69B" w:rsidR="00A66E53" w:rsidRPr="001A4B94" w:rsidRDefault="00A66E53" w:rsidP="00A66E53">
            <w:pPr>
              <w:tabs>
                <w:tab w:val="left" w:pos="426"/>
              </w:tabs>
              <w:autoSpaceDE w:val="0"/>
              <w:autoSpaceDN w:val="0"/>
              <w:adjustRightInd w:val="0"/>
              <w:jc w:val="center"/>
              <w:rPr>
                <w:sz w:val="18"/>
                <w:szCs w:val="18"/>
                <w:lang w:val="tr-TR"/>
              </w:rPr>
            </w:pPr>
            <w:r w:rsidRPr="001A4B94">
              <w:rPr>
                <w:sz w:val="18"/>
                <w:szCs w:val="18"/>
                <w:lang w:val="tr-TR"/>
              </w:rPr>
              <w:t>FRiT</w:t>
            </w:r>
          </w:p>
        </w:tc>
        <w:tc>
          <w:tcPr>
            <w:tcW w:w="4320" w:type="dxa"/>
          </w:tcPr>
          <w:p w14:paraId="3D8ED289" w14:textId="0AE1649B" w:rsidR="00A66E53" w:rsidRPr="001A4B94" w:rsidRDefault="004B6229" w:rsidP="00A66E53">
            <w:pPr>
              <w:tabs>
                <w:tab w:val="left" w:pos="426"/>
              </w:tabs>
              <w:autoSpaceDE w:val="0"/>
              <w:autoSpaceDN w:val="0"/>
              <w:adjustRightInd w:val="0"/>
              <w:rPr>
                <w:sz w:val="18"/>
                <w:szCs w:val="18"/>
                <w:lang w:val="tr-TR"/>
              </w:rPr>
            </w:pPr>
            <w:r w:rsidRPr="001A4B94">
              <w:rPr>
                <w:sz w:val="18"/>
                <w:szCs w:val="18"/>
                <w:lang w:val="tr-TR"/>
              </w:rPr>
              <w:t xml:space="preserve">Türkiye’deki Sığınmacılara yönelik Fon </w:t>
            </w:r>
          </w:p>
        </w:tc>
        <w:tc>
          <w:tcPr>
            <w:tcW w:w="1004" w:type="dxa"/>
          </w:tcPr>
          <w:p w14:paraId="2B2F9A3A" w14:textId="71699C41" w:rsidR="00A66E53" w:rsidRPr="001A4B94" w:rsidRDefault="003B2B60" w:rsidP="00A66E53">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KİT</w:t>
            </w:r>
          </w:p>
        </w:tc>
        <w:tc>
          <w:tcPr>
            <w:tcW w:w="4819" w:type="dxa"/>
          </w:tcPr>
          <w:p w14:paraId="5C3C6F59" w14:textId="1BB388C3" w:rsidR="00A66E53" w:rsidRPr="001A4B94" w:rsidRDefault="003B2B60" w:rsidP="00A66E53">
            <w:pPr>
              <w:tabs>
                <w:tab w:val="left" w:pos="426"/>
              </w:tabs>
              <w:autoSpaceDE w:val="0"/>
              <w:autoSpaceDN w:val="0"/>
              <w:adjustRightInd w:val="0"/>
              <w:rPr>
                <w:rFonts w:eastAsia="MS Mincho"/>
                <w:lang w:val="tr-TR"/>
              </w:rPr>
            </w:pPr>
            <w:r w:rsidRPr="001A4B94">
              <w:rPr>
                <w:sz w:val="18"/>
                <w:szCs w:val="18"/>
                <w:lang w:val="tr-TR"/>
              </w:rPr>
              <w:t xml:space="preserve">Kamu İktisadi Teşebbüsü </w:t>
            </w:r>
          </w:p>
        </w:tc>
      </w:tr>
      <w:tr w:rsidR="00A66E53" w:rsidRPr="001A4B94" w14:paraId="356A3ADE" w14:textId="77777777" w:rsidTr="001A4B94">
        <w:trPr>
          <w:trHeight w:val="217"/>
        </w:trPr>
        <w:tc>
          <w:tcPr>
            <w:tcW w:w="900" w:type="dxa"/>
          </w:tcPr>
          <w:p w14:paraId="03276705" w14:textId="0F2D824A" w:rsidR="00A66E53" w:rsidRPr="001A4B94" w:rsidRDefault="004B6229" w:rsidP="00A66E53">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M</w:t>
            </w:r>
            <w:r w:rsidR="00A66E53" w:rsidRPr="001A4B94">
              <w:rPr>
                <w:sz w:val="18"/>
                <w:szCs w:val="18"/>
                <w:lang w:val="tr-TR"/>
              </w:rPr>
              <w:t>Y</w:t>
            </w:r>
          </w:p>
        </w:tc>
        <w:tc>
          <w:tcPr>
            <w:tcW w:w="4320" w:type="dxa"/>
          </w:tcPr>
          <w:p w14:paraId="19A7E111" w14:textId="6C82A5E5" w:rsidR="00A66E53" w:rsidRPr="001A4B94" w:rsidRDefault="004B6229" w:rsidP="00A66E53">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Mali Yıl </w:t>
            </w:r>
          </w:p>
        </w:tc>
        <w:tc>
          <w:tcPr>
            <w:tcW w:w="1004" w:type="dxa"/>
          </w:tcPr>
          <w:p w14:paraId="58721022" w14:textId="0303BFC8"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SORT</w:t>
            </w:r>
          </w:p>
        </w:tc>
        <w:tc>
          <w:tcPr>
            <w:tcW w:w="4819" w:type="dxa"/>
          </w:tcPr>
          <w:p w14:paraId="2AE1D9B8" w14:textId="1B364126" w:rsidR="00A66E53" w:rsidRPr="001A4B94" w:rsidRDefault="003B2B60" w:rsidP="00A66E53">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Sistematik Operasyonlar Risk Derecelendirme Aracı </w:t>
            </w:r>
          </w:p>
        </w:tc>
      </w:tr>
      <w:tr w:rsidR="00A66E53" w:rsidRPr="001A4B94" w14:paraId="39113B34" w14:textId="77777777" w:rsidTr="001A4B94">
        <w:trPr>
          <w:trHeight w:val="234"/>
        </w:trPr>
        <w:tc>
          <w:tcPr>
            <w:tcW w:w="900" w:type="dxa"/>
          </w:tcPr>
          <w:p w14:paraId="71B673AC" w14:textId="20EC4312" w:rsidR="00A66E53" w:rsidRPr="001A4B94" w:rsidRDefault="00A66E53" w:rsidP="00A66E53">
            <w:pPr>
              <w:tabs>
                <w:tab w:val="left" w:pos="426"/>
              </w:tabs>
              <w:autoSpaceDE w:val="0"/>
              <w:autoSpaceDN w:val="0"/>
              <w:adjustRightInd w:val="0"/>
              <w:jc w:val="center"/>
              <w:rPr>
                <w:sz w:val="18"/>
                <w:szCs w:val="18"/>
                <w:lang w:val="tr-TR"/>
              </w:rPr>
            </w:pPr>
            <w:r w:rsidRPr="001A4B94">
              <w:rPr>
                <w:sz w:val="18"/>
                <w:szCs w:val="18"/>
                <w:lang w:val="tr-TR"/>
              </w:rPr>
              <w:t>FSRU</w:t>
            </w:r>
          </w:p>
        </w:tc>
        <w:tc>
          <w:tcPr>
            <w:tcW w:w="4320" w:type="dxa"/>
          </w:tcPr>
          <w:p w14:paraId="7F80709C" w14:textId="1D574BE8" w:rsidR="00A66E53" w:rsidRPr="001A4B94" w:rsidRDefault="0077210A" w:rsidP="00A66E53">
            <w:pPr>
              <w:tabs>
                <w:tab w:val="left" w:pos="426"/>
              </w:tabs>
              <w:autoSpaceDE w:val="0"/>
              <w:autoSpaceDN w:val="0"/>
              <w:adjustRightInd w:val="0"/>
              <w:rPr>
                <w:sz w:val="18"/>
                <w:szCs w:val="18"/>
                <w:lang w:val="tr-TR"/>
              </w:rPr>
            </w:pPr>
            <w:r w:rsidRPr="001A4B94">
              <w:rPr>
                <w:rFonts w:eastAsia="SimSun"/>
                <w:color w:val="000000"/>
                <w:sz w:val="18"/>
                <w:szCs w:val="18"/>
                <w:lang w:val="tr-TR"/>
              </w:rPr>
              <w:t xml:space="preserve">Yüzer Depolamalı Gazlaştırma Ünitesi  </w:t>
            </w:r>
          </w:p>
        </w:tc>
        <w:tc>
          <w:tcPr>
            <w:tcW w:w="1004" w:type="dxa"/>
          </w:tcPr>
          <w:p w14:paraId="7D6D1CDC" w14:textId="70B9580A" w:rsidR="00A66E53" w:rsidRPr="001A4B94" w:rsidRDefault="003B2B60" w:rsidP="00A66E53">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GKSS</w:t>
            </w:r>
          </w:p>
        </w:tc>
        <w:tc>
          <w:tcPr>
            <w:tcW w:w="4819" w:type="dxa"/>
          </w:tcPr>
          <w:p w14:paraId="5DF91E6E" w14:textId="7A704BD2" w:rsidR="00A66E53" w:rsidRPr="001A4B94" w:rsidRDefault="003B2B60" w:rsidP="00A66E53">
            <w:pPr>
              <w:tabs>
                <w:tab w:val="left" w:pos="426"/>
              </w:tabs>
              <w:autoSpaceDE w:val="0"/>
              <w:autoSpaceDN w:val="0"/>
              <w:adjustRightInd w:val="0"/>
              <w:rPr>
                <w:rFonts w:eastAsia="SimSun"/>
                <w:color w:val="000000"/>
                <w:sz w:val="18"/>
                <w:szCs w:val="18"/>
                <w:lang w:val="tr-TR"/>
              </w:rPr>
            </w:pPr>
            <w:r w:rsidRPr="001A4B94">
              <w:rPr>
                <w:rFonts w:eastAsia="SimSun"/>
                <w:color w:val="000000"/>
                <w:sz w:val="18"/>
                <w:szCs w:val="18"/>
                <w:lang w:val="tr-TR"/>
              </w:rPr>
              <w:t xml:space="preserve">Geçici Koruma Sağlanan Suriyeliler </w:t>
            </w:r>
          </w:p>
        </w:tc>
      </w:tr>
      <w:tr w:rsidR="00A66E53" w:rsidRPr="001A4B94" w14:paraId="30925F67" w14:textId="77777777" w:rsidTr="001A4B94">
        <w:trPr>
          <w:trHeight w:val="234"/>
        </w:trPr>
        <w:tc>
          <w:tcPr>
            <w:tcW w:w="900" w:type="dxa"/>
          </w:tcPr>
          <w:p w14:paraId="47611404" w14:textId="3266E115" w:rsidR="00A66E53" w:rsidRPr="001A4B94" w:rsidRDefault="0077210A" w:rsidP="00A66E53">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GSYH</w:t>
            </w:r>
          </w:p>
        </w:tc>
        <w:tc>
          <w:tcPr>
            <w:tcW w:w="4320" w:type="dxa"/>
          </w:tcPr>
          <w:p w14:paraId="7249AE39" w14:textId="40D5F8AB" w:rsidR="00A66E53" w:rsidRPr="001A4B94" w:rsidRDefault="0077210A" w:rsidP="00A66E53">
            <w:pPr>
              <w:tabs>
                <w:tab w:val="left" w:pos="426"/>
              </w:tabs>
              <w:autoSpaceDE w:val="0"/>
              <w:autoSpaceDN w:val="0"/>
              <w:adjustRightInd w:val="0"/>
              <w:rPr>
                <w:rFonts w:eastAsia="SimSun"/>
                <w:color w:val="000000"/>
                <w:sz w:val="18"/>
                <w:szCs w:val="18"/>
                <w:lang w:val="tr-TR"/>
              </w:rPr>
            </w:pPr>
            <w:r w:rsidRPr="001A4B94">
              <w:rPr>
                <w:sz w:val="20"/>
                <w:szCs w:val="20"/>
                <w:lang w:val="tr-TR"/>
              </w:rPr>
              <w:t>Gayrisafi Yurtiçi Hasıla</w:t>
            </w:r>
          </w:p>
        </w:tc>
        <w:tc>
          <w:tcPr>
            <w:tcW w:w="1004" w:type="dxa"/>
          </w:tcPr>
          <w:p w14:paraId="0FADB992" w14:textId="75C32972" w:rsidR="00A66E53" w:rsidRPr="001A4B94" w:rsidRDefault="003B2B60" w:rsidP="00A66E53">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TY</w:t>
            </w:r>
          </w:p>
        </w:tc>
        <w:tc>
          <w:tcPr>
            <w:tcW w:w="4819" w:type="dxa"/>
          </w:tcPr>
          <w:p w14:paraId="16B4C911" w14:textId="17510468" w:rsidR="00A66E53" w:rsidRPr="001A4B94" w:rsidRDefault="003B2B60" w:rsidP="00A66E53">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Teknik Yardım </w:t>
            </w:r>
          </w:p>
        </w:tc>
      </w:tr>
      <w:tr w:rsidR="00A66E53" w:rsidRPr="001A4B94" w14:paraId="22DA48FE" w14:textId="77777777" w:rsidTr="001A4B94">
        <w:trPr>
          <w:trHeight w:val="234"/>
        </w:trPr>
        <w:tc>
          <w:tcPr>
            <w:tcW w:w="900" w:type="dxa"/>
          </w:tcPr>
          <w:p w14:paraId="7A62BE2B" w14:textId="138B39F1"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GEF</w:t>
            </w:r>
          </w:p>
        </w:tc>
        <w:tc>
          <w:tcPr>
            <w:tcW w:w="4320" w:type="dxa"/>
          </w:tcPr>
          <w:p w14:paraId="392669F6" w14:textId="2337C5DC" w:rsidR="00A66E53" w:rsidRPr="001A4B94" w:rsidRDefault="0077210A" w:rsidP="00A66E53">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Küresel Çevre Fonu </w:t>
            </w:r>
          </w:p>
        </w:tc>
        <w:tc>
          <w:tcPr>
            <w:tcW w:w="1004" w:type="dxa"/>
          </w:tcPr>
          <w:p w14:paraId="11BBE367" w14:textId="13E76D5E"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TANAP</w:t>
            </w:r>
          </w:p>
        </w:tc>
        <w:tc>
          <w:tcPr>
            <w:tcW w:w="4819" w:type="dxa"/>
          </w:tcPr>
          <w:p w14:paraId="700FA282" w14:textId="50D0C8DA" w:rsidR="00A66E53" w:rsidRPr="001A4B94" w:rsidRDefault="00A66E53" w:rsidP="00A66E53">
            <w:pPr>
              <w:tabs>
                <w:tab w:val="left" w:pos="426"/>
              </w:tabs>
              <w:autoSpaceDE w:val="0"/>
              <w:autoSpaceDN w:val="0"/>
              <w:adjustRightInd w:val="0"/>
              <w:rPr>
                <w:rFonts w:eastAsia="SimSun"/>
                <w:color w:val="000000"/>
                <w:sz w:val="18"/>
                <w:szCs w:val="18"/>
                <w:lang w:val="tr-TR"/>
              </w:rPr>
            </w:pPr>
            <w:r w:rsidRPr="001A4B94">
              <w:rPr>
                <w:rFonts w:eastAsia="SimSun"/>
                <w:color w:val="000000"/>
                <w:sz w:val="18"/>
                <w:szCs w:val="18"/>
                <w:lang w:val="tr-TR"/>
              </w:rPr>
              <w:t>Trans</w:t>
            </w:r>
            <w:r w:rsidR="003B2B60" w:rsidRPr="001A4B94">
              <w:rPr>
                <w:rFonts w:eastAsia="SimSun"/>
                <w:color w:val="000000"/>
                <w:sz w:val="18"/>
                <w:szCs w:val="18"/>
                <w:lang w:val="tr-TR"/>
              </w:rPr>
              <w:t xml:space="preserve"> Anadolu Boru Hattı </w:t>
            </w:r>
          </w:p>
        </w:tc>
      </w:tr>
      <w:tr w:rsidR="00A66E53" w:rsidRPr="001A4B94" w14:paraId="4BF6C7C6" w14:textId="77777777" w:rsidTr="001A4B94">
        <w:trPr>
          <w:trHeight w:val="188"/>
        </w:trPr>
        <w:tc>
          <w:tcPr>
            <w:tcW w:w="900" w:type="dxa"/>
          </w:tcPr>
          <w:p w14:paraId="61F87088" w14:textId="211EA08E" w:rsidR="00A66E53" w:rsidRPr="001A4B94" w:rsidRDefault="00A66E53" w:rsidP="00A66E53">
            <w:pPr>
              <w:tabs>
                <w:tab w:val="left" w:pos="426"/>
              </w:tabs>
              <w:autoSpaceDE w:val="0"/>
              <w:autoSpaceDN w:val="0"/>
              <w:adjustRightInd w:val="0"/>
              <w:jc w:val="center"/>
              <w:rPr>
                <w:sz w:val="18"/>
                <w:szCs w:val="18"/>
                <w:lang w:val="tr-TR"/>
              </w:rPr>
            </w:pPr>
            <w:r w:rsidRPr="001A4B94">
              <w:rPr>
                <w:sz w:val="18"/>
                <w:szCs w:val="18"/>
                <w:lang w:val="tr-TR"/>
              </w:rPr>
              <w:t>GFDRR</w:t>
            </w:r>
          </w:p>
        </w:tc>
        <w:tc>
          <w:tcPr>
            <w:tcW w:w="4320" w:type="dxa"/>
          </w:tcPr>
          <w:p w14:paraId="1301E9C0" w14:textId="4C05A6B6" w:rsidR="00A66E53" w:rsidRPr="001A4B94" w:rsidRDefault="0077210A" w:rsidP="00A66E53">
            <w:pPr>
              <w:tabs>
                <w:tab w:val="left" w:pos="426"/>
              </w:tabs>
              <w:autoSpaceDE w:val="0"/>
              <w:autoSpaceDN w:val="0"/>
              <w:adjustRightInd w:val="0"/>
              <w:rPr>
                <w:sz w:val="18"/>
                <w:szCs w:val="18"/>
                <w:lang w:val="tr-TR"/>
              </w:rPr>
            </w:pPr>
            <w:r w:rsidRPr="001A4B94">
              <w:rPr>
                <w:sz w:val="18"/>
                <w:szCs w:val="18"/>
                <w:lang w:val="tr-TR"/>
              </w:rPr>
              <w:t xml:space="preserve">Küresel Afet Azaltma ve </w:t>
            </w:r>
            <w:r w:rsidR="00385F13" w:rsidRPr="001A4B94">
              <w:rPr>
                <w:sz w:val="18"/>
                <w:szCs w:val="18"/>
                <w:lang w:val="tr-TR"/>
              </w:rPr>
              <w:t>İyileştirme</w:t>
            </w:r>
            <w:r w:rsidRPr="001A4B94">
              <w:rPr>
                <w:sz w:val="18"/>
                <w:szCs w:val="18"/>
                <w:lang w:val="tr-TR"/>
              </w:rPr>
              <w:t xml:space="preserve"> Fonu </w:t>
            </w:r>
          </w:p>
        </w:tc>
        <w:tc>
          <w:tcPr>
            <w:tcW w:w="1004" w:type="dxa"/>
          </w:tcPr>
          <w:p w14:paraId="4B712425" w14:textId="3E369689"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r w:rsidRPr="001A4B94">
              <w:rPr>
                <w:rFonts w:eastAsia="SimSun"/>
                <w:color w:val="000000"/>
                <w:sz w:val="18"/>
                <w:szCs w:val="18"/>
                <w:lang w:val="tr-TR"/>
              </w:rPr>
              <w:t>TIMSS</w:t>
            </w:r>
          </w:p>
        </w:tc>
        <w:tc>
          <w:tcPr>
            <w:tcW w:w="4819" w:type="dxa"/>
          </w:tcPr>
          <w:p w14:paraId="4E847E86" w14:textId="1610395C" w:rsidR="00A66E53" w:rsidRPr="001A4B94" w:rsidRDefault="00E64342" w:rsidP="00A66E53">
            <w:pPr>
              <w:tabs>
                <w:tab w:val="left" w:pos="426"/>
              </w:tabs>
              <w:autoSpaceDE w:val="0"/>
              <w:autoSpaceDN w:val="0"/>
              <w:adjustRightInd w:val="0"/>
              <w:rPr>
                <w:rFonts w:eastAsia="MS Mincho"/>
                <w:lang w:val="tr-TR"/>
              </w:rPr>
            </w:pPr>
            <w:r w:rsidRPr="001A4B94">
              <w:rPr>
                <w:rFonts w:eastAsia="SimSun"/>
                <w:color w:val="000000"/>
                <w:sz w:val="18"/>
                <w:szCs w:val="18"/>
                <w:lang w:val="tr-TR"/>
              </w:rPr>
              <w:t xml:space="preserve">Uluslararası Matematik ve Fen Çalışmalarında Eğilimler </w:t>
            </w:r>
          </w:p>
        </w:tc>
      </w:tr>
      <w:tr w:rsidR="00821D0C" w:rsidRPr="001A4B94" w14:paraId="1B7B7E01" w14:textId="77777777" w:rsidTr="001A4B94">
        <w:trPr>
          <w:trHeight w:val="188"/>
        </w:trPr>
        <w:tc>
          <w:tcPr>
            <w:tcW w:w="900" w:type="dxa"/>
          </w:tcPr>
          <w:p w14:paraId="11CDD7A1" w14:textId="181543F8" w:rsidR="00821D0C" w:rsidRPr="001A4B94" w:rsidRDefault="00821D0C" w:rsidP="00821D0C">
            <w:pPr>
              <w:tabs>
                <w:tab w:val="left" w:pos="426"/>
              </w:tabs>
              <w:autoSpaceDE w:val="0"/>
              <w:autoSpaceDN w:val="0"/>
              <w:adjustRightInd w:val="0"/>
              <w:jc w:val="center"/>
              <w:rPr>
                <w:sz w:val="18"/>
                <w:szCs w:val="18"/>
                <w:lang w:val="tr-TR"/>
              </w:rPr>
            </w:pPr>
            <w:r w:rsidRPr="001A4B94">
              <w:rPr>
                <w:sz w:val="18"/>
                <w:szCs w:val="18"/>
                <w:lang w:val="tr-TR"/>
              </w:rPr>
              <w:t>IBRD</w:t>
            </w:r>
          </w:p>
        </w:tc>
        <w:tc>
          <w:tcPr>
            <w:tcW w:w="4320" w:type="dxa"/>
          </w:tcPr>
          <w:p w14:paraId="20D5E8E6" w14:textId="01B17693" w:rsidR="00821D0C" w:rsidRPr="001A4B94" w:rsidRDefault="00821D0C" w:rsidP="00821D0C">
            <w:pPr>
              <w:tabs>
                <w:tab w:val="left" w:pos="426"/>
              </w:tabs>
              <w:autoSpaceDE w:val="0"/>
              <w:autoSpaceDN w:val="0"/>
              <w:adjustRightInd w:val="0"/>
              <w:rPr>
                <w:sz w:val="18"/>
                <w:szCs w:val="18"/>
                <w:lang w:val="tr-TR"/>
              </w:rPr>
            </w:pPr>
            <w:r w:rsidRPr="001A4B94">
              <w:rPr>
                <w:noProof/>
                <w:sz w:val="18"/>
                <w:szCs w:val="18"/>
                <w:lang w:val="en-GB" w:eastAsia="en-GB"/>
              </w:rPr>
              <mc:AlternateContent>
                <mc:Choice Requires="wpi">
                  <w:drawing>
                    <wp:anchor distT="0" distB="0" distL="114300" distR="114300" simplePos="0" relativeHeight="251724800" behindDoc="0" locked="0" layoutInCell="1" allowOverlap="1" wp14:anchorId="7AE8FA33" wp14:editId="56D37276">
                      <wp:simplePos x="0" y="0"/>
                      <wp:positionH relativeFrom="column">
                        <wp:posOffset>672957</wp:posOffset>
                      </wp:positionH>
                      <wp:positionV relativeFrom="paragraph">
                        <wp:posOffset>48584</wp:posOffset>
                      </wp:positionV>
                      <wp:extent cx="200" cy="200"/>
                      <wp:effectExtent l="38100" t="38100" r="38100" b="3810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200" cy="200"/>
                            </w14:xfrm>
                          </w14:contentPart>
                        </a:graphicData>
                      </a:graphic>
                    </wp:anchor>
                  </w:drawing>
                </mc:Choice>
                <mc:Fallback xmlns:mv="urn:schemas-microsoft-com:mac:vml" xmlns:mo="http://schemas.microsoft.com/office/mac/office/2008/main">
                  <w:pict>
                    <v:shape w14:anchorId="6D3B8C90" id="Ink 8" o:spid="_x0000_s1026" type="#_x0000_t75" style="position:absolute;margin-left:52.8pt;margin-top:3.65pt;width:.35pt;height:.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">
                      <v:imagedata r:id="rId9" o:title=""/>
                    </v:shape>
                  </w:pict>
                </mc:Fallback>
              </mc:AlternateContent>
            </w:r>
            <w:r w:rsidRPr="001A4B94">
              <w:rPr>
                <w:sz w:val="20"/>
                <w:szCs w:val="20"/>
                <w:lang w:val="tr-TR"/>
              </w:rPr>
              <w:t xml:space="preserve"> Uluslararası İmar ve Kalkınma Bankası</w:t>
            </w:r>
          </w:p>
        </w:tc>
        <w:tc>
          <w:tcPr>
            <w:tcW w:w="1004" w:type="dxa"/>
          </w:tcPr>
          <w:p w14:paraId="495475E1" w14:textId="2C846ED2" w:rsidR="00821D0C" w:rsidRPr="001A4B94" w:rsidRDefault="00E64342" w:rsidP="00821D0C">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D</w:t>
            </w:r>
            <w:r w:rsidR="00821D0C" w:rsidRPr="001A4B94">
              <w:rPr>
                <w:sz w:val="18"/>
                <w:szCs w:val="18"/>
                <w:lang w:val="tr-TR"/>
              </w:rPr>
              <w:t>B</w:t>
            </w:r>
          </w:p>
        </w:tc>
        <w:tc>
          <w:tcPr>
            <w:tcW w:w="4819" w:type="dxa"/>
          </w:tcPr>
          <w:p w14:paraId="483B06AA" w14:textId="358F4C61" w:rsidR="00821D0C" w:rsidRPr="001A4B94" w:rsidRDefault="00E64342" w:rsidP="00821D0C">
            <w:pPr>
              <w:tabs>
                <w:tab w:val="left" w:pos="426"/>
              </w:tabs>
              <w:autoSpaceDE w:val="0"/>
              <w:autoSpaceDN w:val="0"/>
              <w:adjustRightInd w:val="0"/>
              <w:rPr>
                <w:rFonts w:eastAsia="MS Mincho"/>
                <w:lang w:val="tr-TR"/>
              </w:rPr>
            </w:pPr>
            <w:r w:rsidRPr="001A4B94">
              <w:rPr>
                <w:sz w:val="18"/>
                <w:szCs w:val="18"/>
                <w:lang w:val="tr-TR"/>
              </w:rPr>
              <w:t xml:space="preserve">Dünya Bankası </w:t>
            </w:r>
          </w:p>
        </w:tc>
      </w:tr>
      <w:tr w:rsidR="00821D0C" w:rsidRPr="001A4B94" w14:paraId="0B4F48E5" w14:textId="77777777" w:rsidTr="001A4B94">
        <w:trPr>
          <w:trHeight w:val="207"/>
        </w:trPr>
        <w:tc>
          <w:tcPr>
            <w:tcW w:w="900" w:type="dxa"/>
          </w:tcPr>
          <w:p w14:paraId="2B2F042D" w14:textId="1AAFA2EA" w:rsidR="00821D0C" w:rsidRPr="001A4B94" w:rsidRDefault="00385F13" w:rsidP="00821D0C">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BİT</w:t>
            </w:r>
          </w:p>
        </w:tc>
        <w:tc>
          <w:tcPr>
            <w:tcW w:w="4320" w:type="dxa"/>
          </w:tcPr>
          <w:p w14:paraId="45C00C43" w14:textId="6BB8DE1C" w:rsidR="00821D0C" w:rsidRPr="001A4B94" w:rsidRDefault="00385F13" w:rsidP="00821D0C">
            <w:pPr>
              <w:tabs>
                <w:tab w:val="left" w:pos="426"/>
              </w:tabs>
              <w:autoSpaceDE w:val="0"/>
              <w:autoSpaceDN w:val="0"/>
              <w:adjustRightInd w:val="0"/>
              <w:rPr>
                <w:rFonts w:eastAsia="SimSun"/>
                <w:color w:val="000000"/>
                <w:sz w:val="18"/>
                <w:szCs w:val="18"/>
                <w:lang w:val="tr-TR"/>
              </w:rPr>
            </w:pPr>
            <w:r w:rsidRPr="001A4B94">
              <w:rPr>
                <w:sz w:val="18"/>
                <w:szCs w:val="18"/>
                <w:lang w:val="tr-TR"/>
              </w:rPr>
              <w:t xml:space="preserve">Bilgi ve İletişim Teknolojileri </w:t>
            </w:r>
          </w:p>
        </w:tc>
        <w:tc>
          <w:tcPr>
            <w:tcW w:w="1004" w:type="dxa"/>
          </w:tcPr>
          <w:p w14:paraId="73A33EFA" w14:textId="4B264583" w:rsidR="00821D0C" w:rsidRPr="001A4B94" w:rsidRDefault="00E64342" w:rsidP="00821D0C">
            <w:pPr>
              <w:tabs>
                <w:tab w:val="left" w:pos="426"/>
              </w:tabs>
              <w:autoSpaceDE w:val="0"/>
              <w:autoSpaceDN w:val="0"/>
              <w:adjustRightInd w:val="0"/>
              <w:jc w:val="center"/>
              <w:rPr>
                <w:rFonts w:eastAsia="SimSun"/>
                <w:color w:val="000000"/>
                <w:sz w:val="18"/>
                <w:szCs w:val="18"/>
                <w:lang w:val="tr-TR"/>
              </w:rPr>
            </w:pPr>
            <w:r w:rsidRPr="001A4B94">
              <w:rPr>
                <w:sz w:val="18"/>
                <w:szCs w:val="18"/>
                <w:lang w:val="tr-TR"/>
              </w:rPr>
              <w:t>D</w:t>
            </w:r>
            <w:r w:rsidR="00821D0C" w:rsidRPr="001A4B94">
              <w:rPr>
                <w:sz w:val="18"/>
                <w:szCs w:val="18"/>
                <w:lang w:val="tr-TR"/>
              </w:rPr>
              <w:t>BG</w:t>
            </w:r>
          </w:p>
        </w:tc>
        <w:tc>
          <w:tcPr>
            <w:tcW w:w="4819" w:type="dxa"/>
          </w:tcPr>
          <w:p w14:paraId="58B3F873" w14:textId="77F9CAAA" w:rsidR="00821D0C" w:rsidRPr="001A4B94" w:rsidRDefault="00E64342" w:rsidP="00821D0C">
            <w:pPr>
              <w:tabs>
                <w:tab w:val="left" w:pos="426"/>
              </w:tabs>
              <w:autoSpaceDE w:val="0"/>
              <w:autoSpaceDN w:val="0"/>
              <w:adjustRightInd w:val="0"/>
              <w:rPr>
                <w:rFonts w:eastAsia="SimSun"/>
                <w:color w:val="000000"/>
                <w:sz w:val="18"/>
                <w:szCs w:val="18"/>
                <w:lang w:val="tr-TR"/>
              </w:rPr>
            </w:pPr>
            <w:r w:rsidRPr="001A4B94">
              <w:rPr>
                <w:sz w:val="18"/>
                <w:szCs w:val="18"/>
                <w:lang w:val="tr-TR"/>
              </w:rPr>
              <w:t>Dünya Bankası Grubu</w:t>
            </w:r>
          </w:p>
        </w:tc>
      </w:tr>
      <w:tr w:rsidR="00A66E53" w:rsidRPr="001A4B94" w14:paraId="7A3AC41C" w14:textId="77777777" w:rsidTr="001A4B94">
        <w:trPr>
          <w:trHeight w:val="217"/>
        </w:trPr>
        <w:tc>
          <w:tcPr>
            <w:tcW w:w="900" w:type="dxa"/>
          </w:tcPr>
          <w:p w14:paraId="7BAC28FE" w14:textId="383C16D1"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p>
        </w:tc>
        <w:tc>
          <w:tcPr>
            <w:tcW w:w="4320" w:type="dxa"/>
          </w:tcPr>
          <w:p w14:paraId="16AD9422" w14:textId="790B0E9A" w:rsidR="00A66E53" w:rsidRPr="001A4B94" w:rsidRDefault="00A66E53" w:rsidP="00A66E53">
            <w:pPr>
              <w:tabs>
                <w:tab w:val="left" w:pos="426"/>
              </w:tabs>
              <w:autoSpaceDE w:val="0"/>
              <w:autoSpaceDN w:val="0"/>
              <w:adjustRightInd w:val="0"/>
              <w:rPr>
                <w:rFonts w:eastAsia="SimSun"/>
                <w:color w:val="000000"/>
                <w:sz w:val="18"/>
                <w:szCs w:val="18"/>
                <w:lang w:val="tr-TR"/>
              </w:rPr>
            </w:pPr>
          </w:p>
        </w:tc>
        <w:tc>
          <w:tcPr>
            <w:tcW w:w="1004" w:type="dxa"/>
          </w:tcPr>
          <w:p w14:paraId="1C189992" w14:textId="7C5EC358"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p>
        </w:tc>
        <w:tc>
          <w:tcPr>
            <w:tcW w:w="4819" w:type="dxa"/>
          </w:tcPr>
          <w:p w14:paraId="76C838DF" w14:textId="5A790765" w:rsidR="00A66E53" w:rsidRPr="001A4B94" w:rsidRDefault="00A66E53" w:rsidP="00A66E53">
            <w:pPr>
              <w:tabs>
                <w:tab w:val="left" w:pos="426"/>
              </w:tabs>
              <w:autoSpaceDE w:val="0"/>
              <w:autoSpaceDN w:val="0"/>
              <w:adjustRightInd w:val="0"/>
              <w:rPr>
                <w:rFonts w:eastAsia="SimSun"/>
                <w:color w:val="000000"/>
                <w:sz w:val="18"/>
                <w:szCs w:val="18"/>
                <w:lang w:val="tr-TR"/>
              </w:rPr>
            </w:pPr>
          </w:p>
        </w:tc>
      </w:tr>
      <w:tr w:rsidR="00A66E53" w:rsidRPr="001A4B94" w14:paraId="42395D5F" w14:textId="77777777" w:rsidTr="001A4B94">
        <w:trPr>
          <w:trHeight w:val="234"/>
        </w:trPr>
        <w:tc>
          <w:tcPr>
            <w:tcW w:w="900" w:type="dxa"/>
          </w:tcPr>
          <w:p w14:paraId="3B82652D" w14:textId="648C7DDC"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p>
        </w:tc>
        <w:tc>
          <w:tcPr>
            <w:tcW w:w="4320" w:type="dxa"/>
          </w:tcPr>
          <w:p w14:paraId="147044B2" w14:textId="6DC974A3" w:rsidR="00A66E53" w:rsidRPr="001A4B94" w:rsidRDefault="00A66E53" w:rsidP="00A66E53">
            <w:pPr>
              <w:tabs>
                <w:tab w:val="left" w:pos="426"/>
              </w:tabs>
              <w:autoSpaceDE w:val="0"/>
              <w:autoSpaceDN w:val="0"/>
              <w:adjustRightInd w:val="0"/>
              <w:rPr>
                <w:rFonts w:eastAsia="SimSun"/>
                <w:color w:val="000000"/>
                <w:sz w:val="18"/>
                <w:szCs w:val="18"/>
                <w:lang w:val="tr-TR"/>
              </w:rPr>
            </w:pPr>
          </w:p>
        </w:tc>
        <w:tc>
          <w:tcPr>
            <w:tcW w:w="1004" w:type="dxa"/>
          </w:tcPr>
          <w:p w14:paraId="32080FDF" w14:textId="40ED905F"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p>
        </w:tc>
        <w:tc>
          <w:tcPr>
            <w:tcW w:w="4819" w:type="dxa"/>
          </w:tcPr>
          <w:p w14:paraId="7A55A21E" w14:textId="24AA2BC5" w:rsidR="00A66E53" w:rsidRPr="001A4B94" w:rsidRDefault="00A66E53" w:rsidP="00A66E53">
            <w:pPr>
              <w:tabs>
                <w:tab w:val="left" w:pos="426"/>
              </w:tabs>
              <w:autoSpaceDE w:val="0"/>
              <w:autoSpaceDN w:val="0"/>
              <w:adjustRightInd w:val="0"/>
              <w:rPr>
                <w:rFonts w:eastAsia="SimSun"/>
                <w:color w:val="000000"/>
                <w:sz w:val="18"/>
                <w:szCs w:val="18"/>
                <w:lang w:val="tr-TR"/>
              </w:rPr>
            </w:pPr>
          </w:p>
        </w:tc>
      </w:tr>
      <w:tr w:rsidR="00A66E53" w:rsidRPr="001A4B94" w14:paraId="12536FBF" w14:textId="77777777" w:rsidTr="001A4B94">
        <w:trPr>
          <w:trHeight w:val="234"/>
        </w:trPr>
        <w:tc>
          <w:tcPr>
            <w:tcW w:w="900" w:type="dxa"/>
          </w:tcPr>
          <w:p w14:paraId="2DBFE4BF" w14:textId="4E5D8AE8" w:rsidR="00A66E53" w:rsidRPr="001A4B94" w:rsidRDefault="00A66E53" w:rsidP="00A66E53">
            <w:pPr>
              <w:tabs>
                <w:tab w:val="left" w:pos="426"/>
              </w:tabs>
              <w:autoSpaceDE w:val="0"/>
              <w:autoSpaceDN w:val="0"/>
              <w:adjustRightInd w:val="0"/>
              <w:jc w:val="center"/>
              <w:rPr>
                <w:rFonts w:eastAsia="SimSun"/>
                <w:color w:val="000000"/>
                <w:sz w:val="18"/>
                <w:szCs w:val="18"/>
                <w:lang w:val="tr-TR"/>
              </w:rPr>
            </w:pPr>
          </w:p>
        </w:tc>
        <w:tc>
          <w:tcPr>
            <w:tcW w:w="4320" w:type="dxa"/>
          </w:tcPr>
          <w:p w14:paraId="35B7480F" w14:textId="1A47C502" w:rsidR="00A66E53" w:rsidRPr="001A4B94" w:rsidRDefault="00A66E53" w:rsidP="00A66E53">
            <w:pPr>
              <w:tabs>
                <w:tab w:val="left" w:pos="426"/>
              </w:tabs>
              <w:autoSpaceDE w:val="0"/>
              <w:autoSpaceDN w:val="0"/>
              <w:adjustRightInd w:val="0"/>
              <w:rPr>
                <w:rFonts w:eastAsia="SimSun"/>
                <w:color w:val="000000"/>
                <w:sz w:val="18"/>
                <w:szCs w:val="18"/>
                <w:lang w:val="tr-TR"/>
              </w:rPr>
            </w:pPr>
          </w:p>
        </w:tc>
        <w:tc>
          <w:tcPr>
            <w:tcW w:w="1004" w:type="dxa"/>
          </w:tcPr>
          <w:p w14:paraId="535424AA" w14:textId="568E720F" w:rsidR="00A66E53" w:rsidRPr="001A4B94" w:rsidRDefault="00FF2EC3" w:rsidP="00A66E53">
            <w:pPr>
              <w:tabs>
                <w:tab w:val="left" w:pos="426"/>
              </w:tabs>
              <w:autoSpaceDE w:val="0"/>
              <w:autoSpaceDN w:val="0"/>
              <w:adjustRightInd w:val="0"/>
              <w:jc w:val="center"/>
              <w:rPr>
                <w:rFonts w:eastAsia="SimSun"/>
                <w:color w:val="000000"/>
                <w:sz w:val="18"/>
                <w:szCs w:val="18"/>
                <w:lang w:val="tr-TR"/>
              </w:rPr>
            </w:pPr>
            <w:r w:rsidRPr="001A4B94">
              <w:rPr>
                <w:rFonts w:eastAsia="SimSun"/>
                <w:noProof/>
                <w:color w:val="000000"/>
                <w:sz w:val="18"/>
                <w:szCs w:val="18"/>
                <w:lang w:val="en-GB" w:eastAsia="en-GB"/>
              </w:rPr>
              <mc:AlternateContent>
                <mc:Choice Requires="wpi">
                  <w:drawing>
                    <wp:anchor distT="0" distB="0" distL="114300" distR="114300" simplePos="0" relativeHeight="251658240" behindDoc="0" locked="0" layoutInCell="1" allowOverlap="1" wp14:anchorId="31BA8982" wp14:editId="1CD12B92">
                      <wp:simplePos x="0" y="0"/>
                      <wp:positionH relativeFrom="column">
                        <wp:posOffset>387512</wp:posOffset>
                      </wp:positionH>
                      <wp:positionV relativeFrom="paragraph">
                        <wp:posOffset>138167</wp:posOffset>
                      </wp:positionV>
                      <wp:extent cx="200" cy="199"/>
                      <wp:effectExtent l="38100" t="38100" r="38100" b="38100"/>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200" cy="199"/>
                            </w14:xfrm>
                          </w14:contentPart>
                        </a:graphicData>
                      </a:graphic>
                    </wp:anchor>
                  </w:drawing>
                </mc:Choice>
                <mc:Fallback xmlns:mv="urn:schemas-microsoft-com:mac:vml" xmlns:mo="http://schemas.microsoft.com/office/mac/office/2008/main">
                  <w:pict>
                    <v:shape w14:anchorId="4371E929" id="Ink 3" o:spid="_x0000_s1026" type="#_x0000_t75" style="position:absolute;margin-left:30.3pt;margin-top:10.7pt;width:.35pt;height:.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">
                      <v:imagedata r:id="rId9" o:title=""/>
                    </v:shape>
                  </w:pict>
                </mc:Fallback>
              </mc:AlternateContent>
            </w:r>
          </w:p>
        </w:tc>
        <w:tc>
          <w:tcPr>
            <w:tcW w:w="4819" w:type="dxa"/>
          </w:tcPr>
          <w:p w14:paraId="5E0F76F5" w14:textId="77777777" w:rsidR="00A66E53" w:rsidRPr="001A4B94" w:rsidRDefault="00A66E53" w:rsidP="00A66E53">
            <w:pPr>
              <w:tabs>
                <w:tab w:val="left" w:pos="426"/>
              </w:tabs>
              <w:autoSpaceDE w:val="0"/>
              <w:autoSpaceDN w:val="0"/>
              <w:adjustRightInd w:val="0"/>
              <w:rPr>
                <w:rFonts w:eastAsia="SimSun"/>
                <w:color w:val="000000"/>
                <w:sz w:val="18"/>
                <w:szCs w:val="18"/>
                <w:lang w:val="tr-TR"/>
              </w:rPr>
            </w:pPr>
          </w:p>
        </w:tc>
      </w:tr>
    </w:tbl>
    <w:p w14:paraId="3E60BC69" w14:textId="3B912E82" w:rsidR="0030747A" w:rsidRPr="001A4B94" w:rsidRDefault="00FF2EC3" w:rsidP="0030747A">
      <w:pPr>
        <w:autoSpaceDE w:val="0"/>
        <w:autoSpaceDN w:val="0"/>
        <w:adjustRightInd w:val="0"/>
        <w:jc w:val="center"/>
        <w:rPr>
          <w:rFonts w:eastAsiaTheme="minorEastAsia"/>
          <w:color w:val="000000"/>
          <w:sz w:val="23"/>
          <w:szCs w:val="23"/>
          <w:lang w:val="tr-TR"/>
        </w:rPr>
      </w:pPr>
      <w:r w:rsidRPr="001A4B94">
        <w:rPr>
          <w:rFonts w:eastAsiaTheme="minorEastAsia"/>
          <w:noProof/>
          <w:color w:val="000000"/>
          <w:sz w:val="23"/>
          <w:szCs w:val="23"/>
          <w:lang w:val="en-GB" w:eastAsia="en-GB"/>
        </w:rPr>
        <mc:AlternateContent>
          <mc:Choice Requires="wpi">
            <w:drawing>
              <wp:anchor distT="0" distB="0" distL="114300" distR="114300" simplePos="0" relativeHeight="251660288" behindDoc="0" locked="0" layoutInCell="1" allowOverlap="1" wp14:anchorId="05BF48EA" wp14:editId="1F814AF8">
                <wp:simplePos x="0" y="0"/>
                <wp:positionH relativeFrom="column">
                  <wp:posOffset>-195665</wp:posOffset>
                </wp:positionH>
                <wp:positionV relativeFrom="paragraph">
                  <wp:posOffset>105842</wp:posOffset>
                </wp:positionV>
                <wp:extent cx="199" cy="200"/>
                <wp:effectExtent l="38100" t="38100" r="38100" b="3810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199" cy="200"/>
                      </w14:xfrm>
                    </w14:contentPart>
                  </a:graphicData>
                </a:graphic>
              </wp:anchor>
            </w:drawing>
          </mc:Choice>
          <mc:Fallback xmlns:mv="urn:schemas-microsoft-com:mac:vml" xmlns:mo="http://schemas.microsoft.com/office/mac/office/2008/main">
            <w:pict>
              <v:shape w14:anchorId="58F6A956" id="Ink 6" o:spid="_x0000_s1026" type="#_x0000_t75" style="position:absolute;margin-left:-15.6pt;margin-top:8.15pt;width:.35pt;height:.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">
                <v:imagedata r:id="rId9" o:title=""/>
              </v:shape>
            </w:pict>
          </mc:Fallback>
        </mc:AlternateContent>
      </w:r>
      <w:r w:rsidRPr="001A4B94">
        <w:rPr>
          <w:rFonts w:eastAsiaTheme="minorEastAsia"/>
          <w:noProof/>
          <w:color w:val="000000"/>
          <w:sz w:val="23"/>
          <w:szCs w:val="23"/>
          <w:lang w:val="en-GB" w:eastAsia="en-GB"/>
        </w:rPr>
        <mc:AlternateContent>
          <mc:Choice Requires="wpi">
            <w:drawing>
              <wp:anchor distT="0" distB="0" distL="114300" distR="114300" simplePos="0" relativeHeight="251659264" behindDoc="0" locked="0" layoutInCell="1" allowOverlap="1" wp14:anchorId="00F1B6B4" wp14:editId="3E25D825">
                <wp:simplePos x="0" y="0"/>
                <wp:positionH relativeFrom="column">
                  <wp:posOffset>-327712</wp:posOffset>
                </wp:positionH>
                <wp:positionV relativeFrom="paragraph">
                  <wp:posOffset>190344</wp:posOffset>
                </wp:positionV>
                <wp:extent cx="199" cy="200"/>
                <wp:effectExtent l="38100" t="38100" r="38100" b="38100"/>
                <wp:wrapNone/>
                <wp:docPr id="5" name="Ink 5"/>
                <wp:cNvGraphicFramePr/>
                <a:graphic xmlns:a="http://schemas.openxmlformats.org/drawingml/2006/main">
                  <a:graphicData uri="http://schemas.microsoft.com/office/word/2010/wordprocessingInk">
                    <w14:contentPart bwMode="auto" r:id="rId22">
                      <w14:nvContentPartPr>
                        <w14:cNvContentPartPr/>
                      </w14:nvContentPartPr>
                      <w14:xfrm>
                        <a:off x="0" y="0"/>
                        <a:ext cx="199" cy="200"/>
                      </w14:xfrm>
                    </w14:contentPart>
                  </a:graphicData>
                </a:graphic>
              </wp:anchor>
            </w:drawing>
          </mc:Choice>
          <mc:Fallback xmlns:mv="urn:schemas-microsoft-com:mac:vml" xmlns:mo="http://schemas.microsoft.com/office/mac/office/2008/main">
            <w:pict>
              <v:shape w14:anchorId="0F59FC2D" id="Ink 5" o:spid="_x0000_s1026" type="#_x0000_t75" style="position:absolute;margin-left:-26pt;margin-top:14.8pt;width:.35pt;height:.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">
                <v:imagedata r:id="rId9" o:title=""/>
              </v:shape>
            </w:pict>
          </mc:Fallback>
        </mc:AlternateContent>
      </w:r>
    </w:p>
    <w:p w14:paraId="2445CC39" w14:textId="2D3687FD" w:rsidR="00D6467F" w:rsidRDefault="00D6467F" w:rsidP="0030747A">
      <w:pPr>
        <w:autoSpaceDE w:val="0"/>
        <w:autoSpaceDN w:val="0"/>
        <w:adjustRightInd w:val="0"/>
        <w:jc w:val="center"/>
        <w:rPr>
          <w:rFonts w:eastAsiaTheme="minorEastAsia"/>
          <w:color w:val="000000"/>
          <w:sz w:val="23"/>
          <w:szCs w:val="23"/>
          <w:lang w:val="tr-TR"/>
        </w:rPr>
      </w:pPr>
    </w:p>
    <w:p w14:paraId="200BC53C" w14:textId="77777777" w:rsidR="0092778F" w:rsidRPr="001A4B94" w:rsidRDefault="0092778F" w:rsidP="0030747A">
      <w:pPr>
        <w:autoSpaceDE w:val="0"/>
        <w:autoSpaceDN w:val="0"/>
        <w:adjustRightInd w:val="0"/>
        <w:jc w:val="center"/>
        <w:rPr>
          <w:rFonts w:eastAsiaTheme="minorEastAsia"/>
          <w:color w:val="000000"/>
          <w:sz w:val="23"/>
          <w:szCs w:val="23"/>
          <w:lang w:val="tr-TR"/>
        </w:rPr>
      </w:pPr>
    </w:p>
    <w:p w14:paraId="4E0D809B" w14:textId="77777777" w:rsidR="00D6467F" w:rsidRPr="001A4B94" w:rsidRDefault="00D6467F" w:rsidP="0030747A">
      <w:pPr>
        <w:autoSpaceDE w:val="0"/>
        <w:autoSpaceDN w:val="0"/>
        <w:adjustRightInd w:val="0"/>
        <w:jc w:val="center"/>
        <w:rPr>
          <w:rFonts w:eastAsiaTheme="minorEastAsia"/>
          <w:color w:val="000000"/>
          <w:sz w:val="23"/>
          <w:szCs w:val="23"/>
          <w:lang w:val="tr-TR"/>
        </w:rPr>
      </w:pPr>
    </w:p>
    <w:tbl>
      <w:tblPr>
        <w:tblpPr w:leftFromText="180" w:rightFromText="180" w:vertAnchor="text" w:horzAnchor="page" w:tblpX="1066" w:tblpY="-324"/>
        <w:tblW w:w="10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20"/>
        <w:gridCol w:w="2970"/>
        <w:gridCol w:w="2418"/>
        <w:gridCol w:w="2542"/>
      </w:tblGrid>
      <w:tr w:rsidR="002D5EB3" w:rsidRPr="001A4B94" w14:paraId="055A8671" w14:textId="77777777" w:rsidTr="00F920A9">
        <w:trPr>
          <w:trHeight w:val="298"/>
        </w:trPr>
        <w:tc>
          <w:tcPr>
            <w:tcW w:w="2420" w:type="dxa"/>
          </w:tcPr>
          <w:p w14:paraId="2028DBB1" w14:textId="77777777" w:rsidR="002D5EB3" w:rsidRPr="001A4B94" w:rsidRDefault="002D5EB3" w:rsidP="000C1BB7">
            <w:pPr>
              <w:autoSpaceDE w:val="0"/>
              <w:autoSpaceDN w:val="0"/>
              <w:adjustRightInd w:val="0"/>
              <w:rPr>
                <w:rFonts w:eastAsiaTheme="minorEastAsia"/>
                <w:color w:val="000000"/>
                <w:sz w:val="22"/>
                <w:szCs w:val="22"/>
                <w:lang w:val="tr-TR"/>
              </w:rPr>
            </w:pPr>
          </w:p>
        </w:tc>
        <w:tc>
          <w:tcPr>
            <w:tcW w:w="2970" w:type="dxa"/>
          </w:tcPr>
          <w:p w14:paraId="5A80DD15" w14:textId="77777777" w:rsidR="002D5EB3" w:rsidRPr="001A4B94" w:rsidRDefault="002D5EB3" w:rsidP="000C1BB7">
            <w:pPr>
              <w:autoSpaceDE w:val="0"/>
              <w:autoSpaceDN w:val="0"/>
              <w:adjustRightInd w:val="0"/>
              <w:rPr>
                <w:rFonts w:eastAsiaTheme="minorEastAsia"/>
                <w:color w:val="000000"/>
                <w:sz w:val="22"/>
                <w:szCs w:val="22"/>
                <w:lang w:val="tr-TR"/>
              </w:rPr>
            </w:pPr>
            <w:r w:rsidRPr="001A4B94">
              <w:rPr>
                <w:rFonts w:eastAsiaTheme="minorEastAsia"/>
                <w:b/>
                <w:bCs/>
                <w:color w:val="000000"/>
                <w:sz w:val="22"/>
                <w:szCs w:val="22"/>
                <w:lang w:val="tr-TR"/>
              </w:rPr>
              <w:t xml:space="preserve">IBRD </w:t>
            </w:r>
          </w:p>
        </w:tc>
        <w:tc>
          <w:tcPr>
            <w:tcW w:w="2418" w:type="dxa"/>
          </w:tcPr>
          <w:p w14:paraId="1CAE48EC" w14:textId="77777777" w:rsidR="002D5EB3" w:rsidRPr="001A4B94" w:rsidRDefault="002D5EB3" w:rsidP="000C1BB7">
            <w:pPr>
              <w:autoSpaceDE w:val="0"/>
              <w:autoSpaceDN w:val="0"/>
              <w:adjustRightInd w:val="0"/>
              <w:jc w:val="center"/>
              <w:rPr>
                <w:rFonts w:eastAsiaTheme="minorEastAsia"/>
                <w:color w:val="000000"/>
                <w:sz w:val="22"/>
                <w:szCs w:val="22"/>
                <w:lang w:val="tr-TR"/>
              </w:rPr>
            </w:pPr>
            <w:r w:rsidRPr="001A4B94">
              <w:rPr>
                <w:rFonts w:eastAsiaTheme="minorEastAsia"/>
                <w:b/>
                <w:bCs/>
                <w:color w:val="000000"/>
                <w:sz w:val="22"/>
                <w:szCs w:val="22"/>
                <w:lang w:val="tr-TR"/>
              </w:rPr>
              <w:t xml:space="preserve">IFC </w:t>
            </w:r>
          </w:p>
        </w:tc>
        <w:tc>
          <w:tcPr>
            <w:tcW w:w="2542" w:type="dxa"/>
          </w:tcPr>
          <w:p w14:paraId="6530347D" w14:textId="77777777" w:rsidR="002D5EB3" w:rsidRPr="001A4B94" w:rsidRDefault="002D5EB3" w:rsidP="000C1BB7">
            <w:pPr>
              <w:autoSpaceDE w:val="0"/>
              <w:autoSpaceDN w:val="0"/>
              <w:adjustRightInd w:val="0"/>
              <w:jc w:val="center"/>
              <w:rPr>
                <w:rFonts w:eastAsiaTheme="minorEastAsia"/>
                <w:color w:val="000000"/>
                <w:sz w:val="22"/>
                <w:szCs w:val="22"/>
                <w:lang w:val="tr-TR"/>
              </w:rPr>
            </w:pPr>
            <w:r w:rsidRPr="001A4B94">
              <w:rPr>
                <w:rFonts w:eastAsiaTheme="minorEastAsia"/>
                <w:b/>
                <w:bCs/>
                <w:color w:val="000000"/>
                <w:sz w:val="22"/>
                <w:szCs w:val="22"/>
                <w:lang w:val="tr-TR"/>
              </w:rPr>
              <w:t xml:space="preserve">MIGA </w:t>
            </w:r>
          </w:p>
        </w:tc>
      </w:tr>
      <w:tr w:rsidR="002D5EB3" w:rsidRPr="001A4B94" w14:paraId="4CF5E3C1" w14:textId="77777777" w:rsidTr="00F920A9">
        <w:trPr>
          <w:trHeight w:val="435"/>
        </w:trPr>
        <w:tc>
          <w:tcPr>
            <w:tcW w:w="2420" w:type="dxa"/>
          </w:tcPr>
          <w:p w14:paraId="7CE44728" w14:textId="328462DF" w:rsidR="002D5EB3" w:rsidRPr="001A4B94" w:rsidRDefault="00E64342" w:rsidP="000C1BB7">
            <w:pPr>
              <w:autoSpaceDE w:val="0"/>
              <w:autoSpaceDN w:val="0"/>
              <w:adjustRightInd w:val="0"/>
              <w:rPr>
                <w:rFonts w:eastAsiaTheme="minorEastAsia"/>
                <w:color w:val="000000"/>
                <w:sz w:val="22"/>
                <w:szCs w:val="22"/>
                <w:lang w:val="tr-TR"/>
              </w:rPr>
            </w:pPr>
            <w:r w:rsidRPr="001A4B94">
              <w:rPr>
                <w:rFonts w:eastAsiaTheme="minorEastAsia"/>
                <w:b/>
                <w:bCs/>
                <w:color w:val="000000"/>
                <w:sz w:val="22"/>
                <w:szCs w:val="22"/>
                <w:lang w:val="tr-TR"/>
              </w:rPr>
              <w:t>Başkan Yardımcısı</w:t>
            </w:r>
            <w:r w:rsidR="002D5EB3" w:rsidRPr="001A4B94">
              <w:rPr>
                <w:rFonts w:eastAsiaTheme="minorEastAsia"/>
                <w:b/>
                <w:bCs/>
                <w:color w:val="000000"/>
                <w:sz w:val="22"/>
                <w:szCs w:val="22"/>
                <w:lang w:val="tr-TR"/>
              </w:rPr>
              <w:t xml:space="preserve">: </w:t>
            </w:r>
          </w:p>
          <w:p w14:paraId="5C8ACCE1" w14:textId="426AA888" w:rsidR="002D5EB3" w:rsidRPr="001A4B94" w:rsidRDefault="00E64342" w:rsidP="000C1BB7">
            <w:pPr>
              <w:autoSpaceDE w:val="0"/>
              <w:autoSpaceDN w:val="0"/>
              <w:adjustRightInd w:val="0"/>
              <w:rPr>
                <w:rFonts w:eastAsiaTheme="minorEastAsia"/>
                <w:color w:val="000000"/>
                <w:sz w:val="22"/>
                <w:szCs w:val="22"/>
                <w:lang w:val="tr-TR"/>
              </w:rPr>
            </w:pPr>
            <w:r w:rsidRPr="001A4B94">
              <w:rPr>
                <w:rFonts w:eastAsiaTheme="minorEastAsia"/>
                <w:b/>
                <w:bCs/>
                <w:color w:val="000000"/>
                <w:sz w:val="22"/>
                <w:szCs w:val="22"/>
                <w:lang w:val="tr-TR"/>
              </w:rPr>
              <w:t>Direktör</w:t>
            </w:r>
            <w:r w:rsidR="002D5EB3" w:rsidRPr="001A4B94">
              <w:rPr>
                <w:rFonts w:eastAsiaTheme="minorEastAsia"/>
                <w:b/>
                <w:bCs/>
                <w:color w:val="000000"/>
                <w:sz w:val="22"/>
                <w:szCs w:val="22"/>
                <w:lang w:val="tr-TR"/>
              </w:rPr>
              <w:t xml:space="preserve">: </w:t>
            </w:r>
          </w:p>
          <w:p w14:paraId="014471AB" w14:textId="1C672391" w:rsidR="002D5EB3" w:rsidRPr="001A4B94" w:rsidRDefault="00FF2EC3" w:rsidP="000C1BB7">
            <w:pPr>
              <w:autoSpaceDE w:val="0"/>
              <w:autoSpaceDN w:val="0"/>
              <w:adjustRightInd w:val="0"/>
              <w:rPr>
                <w:rFonts w:eastAsiaTheme="minorEastAsia"/>
                <w:b/>
                <w:bCs/>
                <w:color w:val="000000"/>
                <w:sz w:val="22"/>
                <w:szCs w:val="22"/>
                <w:lang w:val="tr-TR"/>
              </w:rPr>
            </w:pPr>
            <w:r w:rsidRPr="001A4B94">
              <w:rPr>
                <w:rFonts w:eastAsiaTheme="minorEastAsia"/>
                <w:b/>
                <w:bCs/>
                <w:noProof/>
                <w:color w:val="000000"/>
                <w:sz w:val="22"/>
                <w:szCs w:val="22"/>
                <w:lang w:val="en-GB" w:eastAsia="en-GB"/>
              </w:rPr>
              <mc:AlternateContent>
                <mc:Choice Requires="wpi">
                  <w:drawing>
                    <wp:anchor distT="0" distB="0" distL="114300" distR="114300" simplePos="0" relativeHeight="251662336" behindDoc="0" locked="0" layoutInCell="1" allowOverlap="1" wp14:anchorId="1136DC63" wp14:editId="4CE1EB4B">
                      <wp:simplePos x="0" y="0"/>
                      <wp:positionH relativeFrom="column">
                        <wp:posOffset>822990</wp:posOffset>
                      </wp:positionH>
                      <wp:positionV relativeFrom="paragraph">
                        <wp:posOffset>99166</wp:posOffset>
                      </wp:positionV>
                      <wp:extent cx="200" cy="200"/>
                      <wp:effectExtent l="38100" t="38100" r="38100" b="38100"/>
                      <wp:wrapNone/>
                      <wp:docPr id="9" name="Ink 9"/>
                      <wp:cNvGraphicFramePr/>
                      <a:graphic xmlns:a="http://schemas.openxmlformats.org/drawingml/2006/main">
                        <a:graphicData uri="http://schemas.microsoft.com/office/word/2010/wordprocessingInk">
                          <w14:contentPart bwMode="auto" r:id="rId23">
                            <w14:nvContentPartPr>
                              <w14:cNvContentPartPr/>
                            </w14:nvContentPartPr>
                            <w14:xfrm>
                              <a:off x="0" y="0"/>
                              <a:ext cx="200" cy="200"/>
                            </w14:xfrm>
                          </w14:contentPart>
                        </a:graphicData>
                      </a:graphic>
                    </wp:anchor>
                  </w:drawing>
                </mc:Choice>
                <mc:Fallback xmlns:mv="urn:schemas-microsoft-com:mac:vml" xmlns:mo="http://schemas.microsoft.com/office/mac/office/2008/main">
                  <w:pict>
                    <v:shape w14:anchorId="0633EE70" id="Ink 9" o:spid="_x0000_s1026" type="#_x0000_t75" style="position:absolute;margin-left:64.6pt;margin-top:7.6pt;width:.35pt;height:.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">
                      <v:imagedata r:id="rId9" o:title=""/>
                    </v:shape>
                  </w:pict>
                </mc:Fallback>
              </mc:AlternateContent>
            </w:r>
            <w:r w:rsidR="00E64342" w:rsidRPr="001A4B94">
              <w:rPr>
                <w:rFonts w:eastAsiaTheme="minorEastAsia"/>
                <w:b/>
                <w:bCs/>
                <w:color w:val="000000"/>
                <w:sz w:val="22"/>
                <w:szCs w:val="22"/>
                <w:lang w:val="tr-TR"/>
              </w:rPr>
              <w:t>Görev Ekibi Lideri</w:t>
            </w:r>
            <w:r w:rsidR="002D5EB3" w:rsidRPr="001A4B94">
              <w:rPr>
                <w:rFonts w:eastAsiaTheme="minorEastAsia"/>
                <w:b/>
                <w:bCs/>
                <w:color w:val="000000"/>
                <w:sz w:val="22"/>
                <w:szCs w:val="22"/>
                <w:lang w:val="tr-TR"/>
              </w:rPr>
              <w:t xml:space="preserve">: </w:t>
            </w:r>
          </w:p>
          <w:p w14:paraId="53E2BD9C" w14:textId="38C49E3A" w:rsidR="00570B8D" w:rsidRPr="001A4B94" w:rsidRDefault="00E64342" w:rsidP="000C1BB7">
            <w:pPr>
              <w:autoSpaceDE w:val="0"/>
              <w:autoSpaceDN w:val="0"/>
              <w:adjustRightInd w:val="0"/>
              <w:rPr>
                <w:rFonts w:eastAsiaTheme="minorEastAsia"/>
                <w:b/>
                <w:color w:val="000000"/>
                <w:sz w:val="22"/>
                <w:szCs w:val="22"/>
                <w:lang w:val="tr-TR"/>
              </w:rPr>
            </w:pPr>
            <w:r w:rsidRPr="001A4B94">
              <w:rPr>
                <w:rFonts w:eastAsiaTheme="minorEastAsia"/>
                <w:b/>
                <w:color w:val="000000"/>
                <w:sz w:val="22"/>
                <w:szCs w:val="22"/>
                <w:lang w:val="tr-TR"/>
              </w:rPr>
              <w:t>Çekirdek Ekip Üyeleri</w:t>
            </w:r>
            <w:r w:rsidR="00306D96" w:rsidRPr="001A4B94">
              <w:rPr>
                <w:rFonts w:eastAsiaTheme="minorEastAsia"/>
                <w:b/>
                <w:color w:val="000000"/>
                <w:sz w:val="22"/>
                <w:szCs w:val="22"/>
                <w:lang w:val="tr-TR"/>
              </w:rPr>
              <w:t>:</w:t>
            </w:r>
          </w:p>
        </w:tc>
        <w:tc>
          <w:tcPr>
            <w:tcW w:w="2970" w:type="dxa"/>
          </w:tcPr>
          <w:p w14:paraId="3C90FCC3" w14:textId="77777777" w:rsidR="002D5EB3" w:rsidRPr="001A4B94" w:rsidRDefault="002D5EB3" w:rsidP="000C1BB7">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 xml:space="preserve">Cyril E. Muller </w:t>
            </w:r>
          </w:p>
          <w:p w14:paraId="213D9EAE" w14:textId="758A69F5" w:rsidR="002D5EB3" w:rsidRPr="001A4B94" w:rsidRDefault="00E6446B" w:rsidP="000C1BB7">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Johannes Zutt</w:t>
            </w:r>
          </w:p>
          <w:p w14:paraId="608418D3" w14:textId="77777777" w:rsidR="002D5EB3" w:rsidRPr="001A4B94" w:rsidRDefault="00E6446B" w:rsidP="00E6446B">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Eavan O’Halloran</w:t>
            </w:r>
          </w:p>
          <w:p w14:paraId="53FD4AE2" w14:textId="5C44B77E" w:rsidR="00E6446B" w:rsidRPr="001A4B94" w:rsidRDefault="00306D96" w:rsidP="00B3106B">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Ximena Del Carpio,</w:t>
            </w:r>
            <w:r w:rsidR="00E64342" w:rsidRPr="001A4B94">
              <w:rPr>
                <w:rFonts w:eastAsiaTheme="minorEastAsia"/>
                <w:color w:val="000000"/>
                <w:sz w:val="22"/>
                <w:szCs w:val="22"/>
                <w:lang w:val="tr-TR"/>
              </w:rPr>
              <w:t xml:space="preserve"> Tamara Sulukhia, Alper Ahmet Oğ</w:t>
            </w:r>
            <w:r w:rsidRPr="001A4B94">
              <w:rPr>
                <w:rFonts w:eastAsiaTheme="minorEastAsia"/>
                <w:color w:val="000000"/>
                <w:sz w:val="22"/>
                <w:szCs w:val="22"/>
                <w:lang w:val="tr-TR"/>
              </w:rPr>
              <w:t>uz, P. Facundo Cuevas, Tunya Celasin, Donato de Rosa</w:t>
            </w:r>
            <w:r w:rsidR="00E64342" w:rsidRPr="001A4B94">
              <w:rPr>
                <w:rFonts w:eastAsiaTheme="minorEastAsia"/>
                <w:color w:val="000000"/>
                <w:sz w:val="22"/>
                <w:szCs w:val="22"/>
                <w:lang w:val="tr-TR"/>
              </w:rPr>
              <w:t>, Pınar Yaş</w:t>
            </w:r>
            <w:r w:rsidR="00D6467F" w:rsidRPr="001A4B94">
              <w:rPr>
                <w:rFonts w:eastAsiaTheme="minorEastAsia"/>
                <w:color w:val="000000"/>
                <w:sz w:val="22"/>
                <w:szCs w:val="22"/>
                <w:lang w:val="tr-TR"/>
              </w:rPr>
              <w:t>ar</w:t>
            </w:r>
          </w:p>
        </w:tc>
        <w:tc>
          <w:tcPr>
            <w:tcW w:w="2418" w:type="dxa"/>
          </w:tcPr>
          <w:p w14:paraId="372E997E" w14:textId="77777777" w:rsidR="002D5EB3" w:rsidRPr="001A4B94" w:rsidRDefault="002D5EB3" w:rsidP="000C1BB7">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Dimitris Tsitsiragos Tomasz Telma</w:t>
            </w:r>
          </w:p>
          <w:p w14:paraId="11C34500" w14:textId="5CE32F7A" w:rsidR="002D5EB3" w:rsidRPr="001A4B94" w:rsidRDefault="005E5821" w:rsidP="00610E8D">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George Konda</w:t>
            </w:r>
            <w:r w:rsidR="00FF5753" w:rsidRPr="001A4B94">
              <w:rPr>
                <w:rFonts w:eastAsiaTheme="minorEastAsia"/>
                <w:color w:val="000000"/>
                <w:sz w:val="22"/>
                <w:szCs w:val="22"/>
                <w:lang w:val="tr-TR"/>
              </w:rPr>
              <w:t>, Aisha Williams</w:t>
            </w:r>
            <w:r w:rsidR="00626B0A" w:rsidRPr="001A4B94">
              <w:rPr>
                <w:rFonts w:eastAsiaTheme="minorEastAsia"/>
                <w:color w:val="000000"/>
                <w:sz w:val="22"/>
                <w:szCs w:val="22"/>
                <w:lang w:val="tr-TR"/>
              </w:rPr>
              <w:t>, Enrique Lora</w:t>
            </w:r>
          </w:p>
        </w:tc>
        <w:tc>
          <w:tcPr>
            <w:tcW w:w="2542" w:type="dxa"/>
          </w:tcPr>
          <w:p w14:paraId="576FE7E3" w14:textId="4EA0BD97" w:rsidR="002D5EB3" w:rsidRPr="001A4B94" w:rsidRDefault="00541E52" w:rsidP="000C1BB7">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Keiko Honda</w:t>
            </w:r>
          </w:p>
          <w:p w14:paraId="3C0389A6" w14:textId="77777777" w:rsidR="005E5821" w:rsidRPr="001A4B94" w:rsidRDefault="005E5821" w:rsidP="005E5821">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Merli Baroudi</w:t>
            </w:r>
          </w:p>
          <w:p w14:paraId="142AE73E" w14:textId="1ACDBA43" w:rsidR="005E5821" w:rsidRPr="001A4B94" w:rsidRDefault="005E5821" w:rsidP="00755A40">
            <w:pPr>
              <w:autoSpaceDE w:val="0"/>
              <w:autoSpaceDN w:val="0"/>
              <w:adjustRightInd w:val="0"/>
              <w:rPr>
                <w:rFonts w:eastAsiaTheme="minorEastAsia"/>
                <w:color w:val="000000"/>
                <w:sz w:val="22"/>
                <w:szCs w:val="22"/>
                <w:lang w:val="tr-TR"/>
              </w:rPr>
            </w:pPr>
            <w:r w:rsidRPr="001A4B94">
              <w:rPr>
                <w:rFonts w:eastAsiaTheme="minorEastAsia"/>
                <w:color w:val="000000"/>
                <w:sz w:val="22"/>
                <w:szCs w:val="22"/>
                <w:lang w:val="tr-TR"/>
              </w:rPr>
              <w:t>Gianfilippo Carbon</w:t>
            </w:r>
            <w:r w:rsidR="00755A40" w:rsidRPr="001A4B94">
              <w:rPr>
                <w:rFonts w:eastAsiaTheme="minorEastAsia"/>
                <w:color w:val="000000"/>
                <w:sz w:val="22"/>
                <w:szCs w:val="22"/>
                <w:lang w:val="tr-TR"/>
              </w:rPr>
              <w:t>i</w:t>
            </w:r>
          </w:p>
        </w:tc>
      </w:tr>
    </w:tbl>
    <w:p w14:paraId="1924DA69" w14:textId="6D0AD2C1" w:rsidR="0030747A" w:rsidRPr="001A4B94" w:rsidRDefault="00E64342">
      <w:pPr>
        <w:spacing w:after="160" w:line="259" w:lineRule="auto"/>
        <w:jc w:val="center"/>
        <w:rPr>
          <w:sz w:val="22"/>
          <w:szCs w:val="22"/>
          <w:lang w:val="tr-TR"/>
        </w:rPr>
      </w:pPr>
      <w:r w:rsidRPr="001A4B94">
        <w:rPr>
          <w:b/>
          <w:lang w:val="tr-TR"/>
        </w:rPr>
        <w:lastRenderedPageBreak/>
        <w:t xml:space="preserve">TÜRKİYE </w:t>
      </w:r>
      <w:r w:rsidR="00795DC3" w:rsidRPr="001A4B94">
        <w:rPr>
          <w:sz w:val="22"/>
          <w:szCs w:val="22"/>
          <w:lang w:val="tr-TR"/>
        </w:rPr>
        <w:t xml:space="preserve"> </w:t>
      </w:r>
      <w:r w:rsidRPr="001A4B94">
        <w:rPr>
          <w:rFonts w:eastAsiaTheme="minorEastAsia"/>
          <w:b/>
          <w:lang w:val="tr-TR"/>
        </w:rPr>
        <w:t xml:space="preserve">ÜLKE İŞBİRLİĞİ ÇERÇEVESİ </w:t>
      </w:r>
    </w:p>
    <w:sdt>
      <w:sdtPr>
        <w:rPr>
          <w:rFonts w:ascii="Times New Roman" w:eastAsia="Times New Roman" w:hAnsi="Times New Roman" w:cs="Times New Roman"/>
          <w:color w:val="auto"/>
          <w:sz w:val="24"/>
          <w:szCs w:val="24"/>
          <w:lang w:val="tr-TR"/>
        </w:rPr>
        <w:id w:val="1769269571"/>
        <w:docPartObj>
          <w:docPartGallery w:val="Table of Contents"/>
          <w:docPartUnique/>
        </w:docPartObj>
      </w:sdtPr>
      <w:sdtEndPr>
        <w:rPr>
          <w:b/>
          <w:bCs/>
        </w:rPr>
      </w:sdtEndPr>
      <w:sdtContent>
        <w:sdt>
          <w:sdtPr>
            <w:rPr>
              <w:rFonts w:ascii="Times New Roman" w:eastAsia="Times New Roman" w:hAnsi="Times New Roman" w:cs="Times New Roman"/>
              <w:color w:val="auto"/>
              <w:sz w:val="24"/>
              <w:szCs w:val="24"/>
              <w:lang w:val="tr-TR"/>
            </w:rPr>
            <w:id w:val="249705103"/>
            <w:docPartObj>
              <w:docPartGallery w:val="Table of Contents"/>
              <w:docPartUnique/>
            </w:docPartObj>
          </w:sdtPr>
          <w:sdtEndPr>
            <w:rPr>
              <w:b/>
              <w:bCs/>
            </w:rPr>
          </w:sdtEndPr>
          <w:sdtContent>
            <w:p w14:paraId="2124AD56" w14:textId="1DE6F884" w:rsidR="0030747A" w:rsidRPr="001A4B94" w:rsidRDefault="00E64342" w:rsidP="00403BB0">
              <w:pPr>
                <w:pStyle w:val="TBal"/>
                <w:jc w:val="center"/>
                <w:rPr>
                  <w:rFonts w:ascii="Times New Roman" w:hAnsi="Times New Roman" w:cs="Times New Roman"/>
                  <w:b/>
                  <w:color w:val="auto"/>
                  <w:lang w:val="tr-TR"/>
                </w:rPr>
              </w:pPr>
              <w:r w:rsidRPr="001A4B94">
                <w:rPr>
                  <w:rFonts w:ascii="Times New Roman" w:hAnsi="Times New Roman" w:cs="Times New Roman"/>
                  <w:b/>
                  <w:color w:val="auto"/>
                  <w:lang w:val="tr-TR"/>
                </w:rPr>
                <w:t>İçindekiler</w:t>
              </w:r>
            </w:p>
            <w:p w14:paraId="46301E4C" w14:textId="5009C057" w:rsidR="00403BB0" w:rsidRPr="001A4B94" w:rsidRDefault="00403BB0" w:rsidP="00403BB0">
              <w:pPr>
                <w:rPr>
                  <w:lang w:val="tr-TR"/>
                </w:rPr>
              </w:pPr>
            </w:p>
            <w:p w14:paraId="3F071237" w14:textId="77777777" w:rsidR="00403BB0" w:rsidRPr="001A4B94" w:rsidRDefault="00403BB0" w:rsidP="00403BB0">
              <w:pPr>
                <w:rPr>
                  <w:lang w:val="tr-TR"/>
                </w:rPr>
              </w:pPr>
            </w:p>
            <w:p w14:paraId="21FAFF71" w14:textId="18003FD1" w:rsidR="00752DF8" w:rsidRPr="001A4B94" w:rsidRDefault="0030747A">
              <w:pPr>
                <w:pStyle w:val="T1"/>
                <w:tabs>
                  <w:tab w:val="left" w:pos="480"/>
                </w:tabs>
                <w:rPr>
                  <w:rFonts w:asciiTheme="minorHAnsi" w:eastAsiaTheme="minorEastAsia" w:hAnsiTheme="minorHAnsi" w:cstheme="minorBidi"/>
                  <w:noProof/>
                  <w:sz w:val="22"/>
                  <w:szCs w:val="22"/>
                  <w:lang w:val="tr-TR" w:eastAsia="tr-TR"/>
                </w:rPr>
              </w:pPr>
              <w:r w:rsidRPr="001A4B94">
                <w:rPr>
                  <w:lang w:val="tr-TR"/>
                </w:rPr>
                <w:fldChar w:fldCharType="begin"/>
              </w:r>
              <w:r w:rsidRPr="001A4B94">
                <w:rPr>
                  <w:lang w:val="tr-TR"/>
                </w:rPr>
                <w:instrText xml:space="preserve"> TOC \o "1-3" \h \z \u </w:instrText>
              </w:r>
              <w:r w:rsidRPr="001A4B94">
                <w:rPr>
                  <w:lang w:val="tr-TR"/>
                </w:rPr>
                <w:fldChar w:fldCharType="separate"/>
              </w:r>
              <w:hyperlink w:anchor="_Toc494977319" w:history="1">
                <w:r w:rsidR="00752DF8" w:rsidRPr="001A4B94">
                  <w:rPr>
                    <w:rStyle w:val="Kpr"/>
                    <w:noProof/>
                    <w:lang w:val="tr-TR"/>
                  </w:rPr>
                  <w:t>I.</w:t>
                </w:r>
                <w:r w:rsidR="00752DF8" w:rsidRPr="001A4B94">
                  <w:rPr>
                    <w:rFonts w:asciiTheme="minorHAnsi" w:eastAsiaTheme="minorEastAsia" w:hAnsiTheme="minorHAnsi" w:cstheme="minorBidi"/>
                    <w:noProof/>
                    <w:sz w:val="22"/>
                    <w:szCs w:val="22"/>
                    <w:lang w:val="tr-TR" w:eastAsia="tr-TR"/>
                  </w:rPr>
                  <w:tab/>
                </w:r>
                <w:r w:rsidR="00752DF8" w:rsidRPr="001A4B94">
                  <w:rPr>
                    <w:rStyle w:val="Kpr"/>
                    <w:noProof/>
                    <w:lang w:val="tr-TR"/>
                  </w:rPr>
                  <w:t>GİRİŞ</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_Toc494977319 \h </w:instrText>
                </w:r>
                <w:r w:rsidR="00752DF8" w:rsidRPr="001A4B94">
                  <w:rPr>
                    <w:noProof/>
                    <w:webHidden/>
                    <w:lang w:val="tr-TR"/>
                  </w:rPr>
                </w:r>
                <w:r w:rsidR="00752DF8" w:rsidRPr="001A4B94">
                  <w:rPr>
                    <w:noProof/>
                    <w:webHidden/>
                    <w:lang w:val="tr-TR"/>
                  </w:rPr>
                  <w:fldChar w:fldCharType="separate"/>
                </w:r>
                <w:r w:rsidR="0092778F">
                  <w:rPr>
                    <w:noProof/>
                    <w:webHidden/>
                    <w:lang w:val="tr-TR"/>
                  </w:rPr>
                  <w:t>1</w:t>
                </w:r>
                <w:r w:rsidR="00752DF8" w:rsidRPr="001A4B94">
                  <w:rPr>
                    <w:noProof/>
                    <w:webHidden/>
                    <w:lang w:val="tr-TR"/>
                  </w:rPr>
                  <w:fldChar w:fldCharType="end"/>
                </w:r>
              </w:hyperlink>
            </w:p>
            <w:p w14:paraId="35264A9D" w14:textId="16ABBCE3" w:rsidR="00752DF8" w:rsidRPr="001A4B94" w:rsidRDefault="00362A26">
              <w:pPr>
                <w:pStyle w:val="T1"/>
                <w:rPr>
                  <w:rFonts w:asciiTheme="minorHAnsi" w:eastAsiaTheme="minorEastAsia" w:hAnsiTheme="minorHAnsi" w:cstheme="minorBidi"/>
                  <w:noProof/>
                  <w:sz w:val="22"/>
                  <w:szCs w:val="22"/>
                  <w:lang w:val="tr-TR" w:eastAsia="tr-TR"/>
                </w:rPr>
              </w:pPr>
              <w:hyperlink w:anchor="_Toc494977320" w:history="1">
                <w:r w:rsidR="00752DF8" w:rsidRPr="001A4B94">
                  <w:rPr>
                    <w:rStyle w:val="Kpr"/>
                    <w:noProof/>
                    <w:lang w:val="tr-TR"/>
                  </w:rPr>
                  <w:t>II. ÜLKE BAĞLAMI VE KALKINMA GÜNDEMİ</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_Toc494977320 \h </w:instrText>
                </w:r>
                <w:r w:rsidR="00752DF8" w:rsidRPr="001A4B94">
                  <w:rPr>
                    <w:noProof/>
                    <w:webHidden/>
                    <w:lang w:val="tr-TR"/>
                  </w:rPr>
                </w:r>
                <w:r w:rsidR="00752DF8" w:rsidRPr="001A4B94">
                  <w:rPr>
                    <w:noProof/>
                    <w:webHidden/>
                    <w:lang w:val="tr-TR"/>
                  </w:rPr>
                  <w:fldChar w:fldCharType="separate"/>
                </w:r>
                <w:r w:rsidR="0092778F">
                  <w:rPr>
                    <w:noProof/>
                    <w:webHidden/>
                    <w:lang w:val="tr-TR"/>
                  </w:rPr>
                  <w:t>1</w:t>
                </w:r>
                <w:r w:rsidR="00752DF8" w:rsidRPr="001A4B94">
                  <w:rPr>
                    <w:noProof/>
                    <w:webHidden/>
                    <w:lang w:val="tr-TR"/>
                  </w:rPr>
                  <w:fldChar w:fldCharType="end"/>
                </w:r>
              </w:hyperlink>
            </w:p>
            <w:p w14:paraId="190938F3" w14:textId="355279AC"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1" w:history="1">
                <w:r w:rsidR="00752DF8" w:rsidRPr="001A4B94">
                  <w:rPr>
                    <w:rStyle w:val="Kpr"/>
                    <w:noProof/>
                    <w:lang w:val="tr-TR"/>
                  </w:rPr>
                  <w:t>II.1 Toplumsal ve Siyasi Bağlam</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_Toc494977321 \h </w:instrText>
                </w:r>
                <w:r w:rsidR="00752DF8" w:rsidRPr="001A4B94">
                  <w:rPr>
                    <w:noProof/>
                    <w:webHidden/>
                    <w:lang w:val="tr-TR"/>
                  </w:rPr>
                </w:r>
                <w:r w:rsidR="00752DF8" w:rsidRPr="001A4B94">
                  <w:rPr>
                    <w:noProof/>
                    <w:webHidden/>
                    <w:lang w:val="tr-TR"/>
                  </w:rPr>
                  <w:fldChar w:fldCharType="separate"/>
                </w:r>
                <w:r w:rsidR="0092778F">
                  <w:rPr>
                    <w:noProof/>
                    <w:webHidden/>
                    <w:lang w:val="tr-TR"/>
                  </w:rPr>
                  <w:t>1</w:t>
                </w:r>
                <w:r w:rsidR="00752DF8" w:rsidRPr="001A4B94">
                  <w:rPr>
                    <w:noProof/>
                    <w:webHidden/>
                    <w:lang w:val="tr-TR"/>
                  </w:rPr>
                  <w:fldChar w:fldCharType="end"/>
                </w:r>
              </w:hyperlink>
            </w:p>
            <w:p w14:paraId="11DA7E30" w14:textId="0CA542E5"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2" w:history="1">
                <w:r w:rsidR="00752DF8" w:rsidRPr="001A4B94">
                  <w:rPr>
                    <w:rStyle w:val="Kpr"/>
                    <w:noProof/>
                    <w:lang w:val="tr-TR"/>
                  </w:rPr>
                  <w:t>II.2 Son Ekonomik Gelişmeler ve Beklentiler</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_Toc494977322 \h </w:instrText>
                </w:r>
                <w:r w:rsidR="00752DF8" w:rsidRPr="001A4B94">
                  <w:rPr>
                    <w:noProof/>
                    <w:webHidden/>
                    <w:lang w:val="tr-TR"/>
                  </w:rPr>
                </w:r>
                <w:r w:rsidR="00752DF8" w:rsidRPr="001A4B94">
                  <w:rPr>
                    <w:noProof/>
                    <w:webHidden/>
                    <w:lang w:val="tr-TR"/>
                  </w:rPr>
                  <w:fldChar w:fldCharType="separate"/>
                </w:r>
                <w:r w:rsidR="0092778F">
                  <w:rPr>
                    <w:noProof/>
                    <w:webHidden/>
                    <w:lang w:val="tr-TR"/>
                  </w:rPr>
                  <w:t>3</w:t>
                </w:r>
                <w:r w:rsidR="00752DF8" w:rsidRPr="001A4B94">
                  <w:rPr>
                    <w:noProof/>
                    <w:webHidden/>
                    <w:lang w:val="tr-TR"/>
                  </w:rPr>
                  <w:fldChar w:fldCharType="end"/>
                </w:r>
              </w:hyperlink>
            </w:p>
            <w:p w14:paraId="0627A03D" w14:textId="5661CF4D"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3" w:history="1">
                <w:r w:rsidR="00752DF8" w:rsidRPr="001A4B94">
                  <w:rPr>
                    <w:rStyle w:val="Kpr"/>
                    <w:noProof/>
                    <w:lang w:val="tr-TR"/>
                  </w:rPr>
                  <w:t>II.3 Yoksulluk ve paylaşılan refah</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_Toc494977323 \h </w:instrText>
                </w:r>
                <w:r w:rsidR="00752DF8" w:rsidRPr="001A4B94">
                  <w:rPr>
                    <w:noProof/>
                    <w:webHidden/>
                    <w:lang w:val="tr-TR"/>
                  </w:rPr>
                </w:r>
                <w:r w:rsidR="00752DF8" w:rsidRPr="001A4B94">
                  <w:rPr>
                    <w:noProof/>
                    <w:webHidden/>
                    <w:lang w:val="tr-TR"/>
                  </w:rPr>
                  <w:fldChar w:fldCharType="separate"/>
                </w:r>
                <w:r w:rsidR="0092778F">
                  <w:rPr>
                    <w:noProof/>
                    <w:webHidden/>
                    <w:lang w:val="tr-TR"/>
                  </w:rPr>
                  <w:t>7</w:t>
                </w:r>
                <w:r w:rsidR="00752DF8" w:rsidRPr="001A4B94">
                  <w:rPr>
                    <w:noProof/>
                    <w:webHidden/>
                    <w:lang w:val="tr-TR"/>
                  </w:rPr>
                  <w:fldChar w:fldCharType="end"/>
                </w:r>
              </w:hyperlink>
            </w:p>
            <w:p w14:paraId="393B071C" w14:textId="0B974502"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4" w:history="1">
                <w:r w:rsidR="00752DF8" w:rsidRPr="001A4B94">
                  <w:rPr>
                    <w:rStyle w:val="Kpr"/>
                    <w:noProof/>
                    <w:lang w:val="tr-TR"/>
                  </w:rPr>
                  <w:t>II.4 Kalkınma Zorlukları</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_Toc494977324 \h </w:instrText>
                </w:r>
                <w:r w:rsidR="00752DF8" w:rsidRPr="001A4B94">
                  <w:rPr>
                    <w:noProof/>
                    <w:webHidden/>
                    <w:lang w:val="tr-TR"/>
                  </w:rPr>
                </w:r>
                <w:r w:rsidR="00752DF8" w:rsidRPr="001A4B94">
                  <w:rPr>
                    <w:noProof/>
                    <w:webHidden/>
                    <w:lang w:val="tr-TR"/>
                  </w:rPr>
                  <w:fldChar w:fldCharType="separate"/>
                </w:r>
                <w:r w:rsidR="0092778F">
                  <w:rPr>
                    <w:noProof/>
                    <w:webHidden/>
                    <w:lang w:val="tr-TR"/>
                  </w:rPr>
                  <w:t>8</w:t>
                </w:r>
                <w:r w:rsidR="00752DF8" w:rsidRPr="001A4B94">
                  <w:rPr>
                    <w:noProof/>
                    <w:webHidden/>
                    <w:lang w:val="tr-TR"/>
                  </w:rPr>
                  <w:fldChar w:fldCharType="end"/>
                </w:r>
              </w:hyperlink>
            </w:p>
            <w:p w14:paraId="288C8F2F" w14:textId="5720C5F6" w:rsidR="00752DF8" w:rsidRPr="001A4B94" w:rsidRDefault="00362A26">
              <w:pPr>
                <w:pStyle w:val="T1"/>
                <w:rPr>
                  <w:rFonts w:asciiTheme="minorHAnsi" w:eastAsiaTheme="minorEastAsia" w:hAnsiTheme="minorHAnsi" w:cstheme="minorBidi"/>
                  <w:noProof/>
                  <w:sz w:val="22"/>
                  <w:szCs w:val="22"/>
                  <w:lang w:val="tr-TR" w:eastAsia="tr-TR"/>
                </w:rPr>
              </w:pPr>
              <w:hyperlink w:anchor="_Toc494977325" w:history="1">
                <w:r w:rsidR="00752DF8" w:rsidRPr="001A4B94">
                  <w:rPr>
                    <w:rStyle w:val="Kpr"/>
                    <w:noProof/>
                    <w:lang w:val="tr-TR"/>
                  </w:rPr>
                  <w:t>III. DÜNYA BANKASI GRUBU İŞBİRLİĞİ ÇERÇEVESİ</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_Toc494977325 \h </w:instrText>
                </w:r>
                <w:r w:rsidR="00752DF8" w:rsidRPr="001A4B94">
                  <w:rPr>
                    <w:noProof/>
                    <w:webHidden/>
                    <w:lang w:val="tr-TR"/>
                  </w:rPr>
                </w:r>
                <w:r w:rsidR="00752DF8" w:rsidRPr="001A4B94">
                  <w:rPr>
                    <w:noProof/>
                    <w:webHidden/>
                    <w:lang w:val="tr-TR"/>
                  </w:rPr>
                  <w:fldChar w:fldCharType="separate"/>
                </w:r>
                <w:r w:rsidR="0092778F">
                  <w:rPr>
                    <w:noProof/>
                    <w:webHidden/>
                    <w:lang w:val="tr-TR"/>
                  </w:rPr>
                  <w:t>10</w:t>
                </w:r>
                <w:r w:rsidR="00752DF8" w:rsidRPr="001A4B94">
                  <w:rPr>
                    <w:noProof/>
                    <w:webHidden/>
                    <w:lang w:val="tr-TR"/>
                  </w:rPr>
                  <w:fldChar w:fldCharType="end"/>
                </w:r>
              </w:hyperlink>
            </w:p>
            <w:p w14:paraId="335DBD51" w14:textId="7F05CA7E"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6" w:history="1">
                <w:r w:rsidR="00752DF8" w:rsidRPr="001A4B94">
                  <w:rPr>
                    <w:rStyle w:val="Kpr"/>
                    <w:noProof/>
                    <w:lang w:val="tr-TR"/>
                  </w:rPr>
                  <w:t>III.1. Hükümetin Programı ve Orta Vadeli Stratejisi</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_Toc494977326 \h </w:instrText>
                </w:r>
                <w:r w:rsidR="00752DF8" w:rsidRPr="001A4B94">
                  <w:rPr>
                    <w:noProof/>
                    <w:webHidden/>
                    <w:lang w:val="tr-TR"/>
                  </w:rPr>
                </w:r>
                <w:r w:rsidR="00752DF8" w:rsidRPr="001A4B94">
                  <w:rPr>
                    <w:noProof/>
                    <w:webHidden/>
                    <w:lang w:val="tr-TR"/>
                  </w:rPr>
                  <w:fldChar w:fldCharType="separate"/>
                </w:r>
                <w:r w:rsidR="0092778F">
                  <w:rPr>
                    <w:noProof/>
                    <w:webHidden/>
                    <w:lang w:val="tr-TR"/>
                  </w:rPr>
                  <w:t>10</w:t>
                </w:r>
                <w:r w:rsidR="00752DF8" w:rsidRPr="001A4B94">
                  <w:rPr>
                    <w:noProof/>
                    <w:webHidden/>
                    <w:lang w:val="tr-TR"/>
                  </w:rPr>
                  <w:fldChar w:fldCharType="end"/>
                </w:r>
              </w:hyperlink>
            </w:p>
            <w:p w14:paraId="2E348B97" w14:textId="3E3231DF"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7" w:history="1">
                <w:r w:rsidR="00752DF8" w:rsidRPr="001A4B94">
                  <w:rPr>
                    <w:rStyle w:val="Kpr"/>
                    <w:noProof/>
                    <w:lang w:val="tr-TR"/>
                  </w:rPr>
                  <w:t>III.2 CPS Tamamlama ve Öğrenme İncelemesinden   ve Bağımsız Değerlendirme Grubu (IEG) Değerlendirmelerinden Çıkarılan Dersler</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_Toc494977327 \h </w:instrText>
                </w:r>
                <w:r w:rsidR="00752DF8" w:rsidRPr="001A4B94">
                  <w:rPr>
                    <w:noProof/>
                    <w:webHidden/>
                    <w:lang w:val="tr-TR"/>
                  </w:rPr>
                </w:r>
                <w:r w:rsidR="00752DF8" w:rsidRPr="001A4B94">
                  <w:rPr>
                    <w:noProof/>
                    <w:webHidden/>
                    <w:lang w:val="tr-TR"/>
                  </w:rPr>
                  <w:fldChar w:fldCharType="separate"/>
                </w:r>
                <w:r w:rsidR="0092778F">
                  <w:rPr>
                    <w:noProof/>
                    <w:webHidden/>
                    <w:lang w:val="tr-TR"/>
                  </w:rPr>
                  <w:t>11</w:t>
                </w:r>
                <w:r w:rsidR="00752DF8" w:rsidRPr="001A4B94">
                  <w:rPr>
                    <w:noProof/>
                    <w:webHidden/>
                    <w:lang w:val="tr-TR"/>
                  </w:rPr>
                  <w:fldChar w:fldCharType="end"/>
                </w:r>
              </w:hyperlink>
            </w:p>
            <w:p w14:paraId="30DBFE6B" w14:textId="62FC5937"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8" w:history="1">
                <w:r w:rsidR="00752DF8" w:rsidRPr="001A4B94">
                  <w:rPr>
                    <w:rStyle w:val="Kpr"/>
                    <w:noProof/>
                    <w:lang w:val="tr-TR"/>
                  </w:rPr>
                  <w:t>III.3. 2018-21 MY dönemi için önerilen DBG Ülke İşbirliği Çerçevesi</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_Toc494977328 \h </w:instrText>
                </w:r>
                <w:r w:rsidR="00752DF8" w:rsidRPr="001A4B94">
                  <w:rPr>
                    <w:noProof/>
                    <w:webHidden/>
                    <w:lang w:val="tr-TR"/>
                  </w:rPr>
                </w:r>
                <w:r w:rsidR="00752DF8" w:rsidRPr="001A4B94">
                  <w:rPr>
                    <w:noProof/>
                    <w:webHidden/>
                    <w:lang w:val="tr-TR"/>
                  </w:rPr>
                  <w:fldChar w:fldCharType="separate"/>
                </w:r>
                <w:r w:rsidR="0092778F">
                  <w:rPr>
                    <w:noProof/>
                    <w:webHidden/>
                    <w:lang w:val="tr-TR"/>
                  </w:rPr>
                  <w:t>13</w:t>
                </w:r>
                <w:r w:rsidR="00752DF8" w:rsidRPr="001A4B94">
                  <w:rPr>
                    <w:noProof/>
                    <w:webHidden/>
                    <w:lang w:val="tr-TR"/>
                  </w:rPr>
                  <w:fldChar w:fldCharType="end"/>
                </w:r>
              </w:hyperlink>
            </w:p>
            <w:p w14:paraId="02BC0B31" w14:textId="696471A5" w:rsidR="00752DF8" w:rsidRPr="001A4B94" w:rsidRDefault="00362A26">
              <w:pPr>
                <w:pStyle w:val="T2"/>
                <w:rPr>
                  <w:rFonts w:asciiTheme="minorHAnsi" w:eastAsiaTheme="minorEastAsia" w:hAnsiTheme="minorHAnsi" w:cstheme="minorBidi"/>
                  <w:noProof/>
                  <w:sz w:val="22"/>
                  <w:szCs w:val="22"/>
                  <w:lang w:val="tr-TR" w:eastAsia="tr-TR"/>
                </w:rPr>
              </w:pPr>
              <w:hyperlink w:anchor="_Toc494977329" w:history="1">
                <w:r w:rsidR="00752DF8" w:rsidRPr="001A4B94">
                  <w:rPr>
                    <w:rStyle w:val="Kpr"/>
                    <w:noProof/>
                    <w:lang w:val="tr-TR"/>
                  </w:rPr>
                  <w:t>III.4 2018-21 MY Ülke İşbirliği Çerçevesinin Uygulanması</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_Toc494977329 \h </w:instrText>
                </w:r>
                <w:r w:rsidR="00752DF8" w:rsidRPr="001A4B94">
                  <w:rPr>
                    <w:noProof/>
                    <w:webHidden/>
                    <w:lang w:val="tr-TR"/>
                  </w:rPr>
                </w:r>
                <w:r w:rsidR="00752DF8" w:rsidRPr="001A4B94">
                  <w:rPr>
                    <w:noProof/>
                    <w:webHidden/>
                    <w:lang w:val="tr-TR"/>
                  </w:rPr>
                  <w:fldChar w:fldCharType="separate"/>
                </w:r>
                <w:r w:rsidR="0092778F">
                  <w:rPr>
                    <w:noProof/>
                    <w:webHidden/>
                    <w:lang w:val="tr-TR"/>
                  </w:rPr>
                  <w:t>26</w:t>
                </w:r>
                <w:r w:rsidR="00752DF8" w:rsidRPr="001A4B94">
                  <w:rPr>
                    <w:noProof/>
                    <w:webHidden/>
                    <w:lang w:val="tr-TR"/>
                  </w:rPr>
                  <w:fldChar w:fldCharType="end"/>
                </w:r>
              </w:hyperlink>
            </w:p>
            <w:p w14:paraId="030612BF" w14:textId="2A8356CA"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0" w:history="1">
                <w:r w:rsidR="00752DF8" w:rsidRPr="001A4B94">
                  <w:rPr>
                    <w:rStyle w:val="Kpr"/>
                    <w:noProof/>
                    <w:lang w:val="tr-TR"/>
                  </w:rPr>
                  <w:t>IV. ÜLKE İŞBİRLİĞİ ÇERÇEVESİ PROGRAMININ RİSKLERİNİN YÖNETİLMESİ</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_Toc494977330 \h </w:instrText>
                </w:r>
                <w:r w:rsidR="00752DF8" w:rsidRPr="001A4B94">
                  <w:rPr>
                    <w:noProof/>
                    <w:webHidden/>
                    <w:lang w:val="tr-TR"/>
                  </w:rPr>
                </w:r>
                <w:r w:rsidR="00752DF8" w:rsidRPr="001A4B94">
                  <w:rPr>
                    <w:noProof/>
                    <w:webHidden/>
                    <w:lang w:val="tr-TR"/>
                  </w:rPr>
                  <w:fldChar w:fldCharType="separate"/>
                </w:r>
                <w:r w:rsidR="0092778F">
                  <w:rPr>
                    <w:noProof/>
                    <w:webHidden/>
                    <w:lang w:val="tr-TR"/>
                  </w:rPr>
                  <w:t>30</w:t>
                </w:r>
                <w:r w:rsidR="00752DF8" w:rsidRPr="001A4B94">
                  <w:rPr>
                    <w:noProof/>
                    <w:webHidden/>
                    <w:lang w:val="tr-TR"/>
                  </w:rPr>
                  <w:fldChar w:fldCharType="end"/>
                </w:r>
              </w:hyperlink>
            </w:p>
            <w:p w14:paraId="1B09E8DB" w14:textId="042F6774"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1" w:history="1">
                <w:r w:rsidR="00752DF8" w:rsidRPr="001A4B94">
                  <w:rPr>
                    <w:rStyle w:val="Kpr"/>
                    <w:noProof/>
                    <w:lang w:val="tr-TR"/>
                  </w:rPr>
                  <w:t>Ek 1.  Ülke İşbirliği Çerçevesi Sonuç Matrisi</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_Toc494977331 \h </w:instrText>
                </w:r>
                <w:r w:rsidR="00752DF8" w:rsidRPr="001A4B94">
                  <w:rPr>
                    <w:noProof/>
                    <w:webHidden/>
                    <w:lang w:val="tr-TR"/>
                  </w:rPr>
                </w:r>
                <w:r w:rsidR="00752DF8" w:rsidRPr="001A4B94">
                  <w:rPr>
                    <w:noProof/>
                    <w:webHidden/>
                    <w:lang w:val="tr-TR"/>
                  </w:rPr>
                  <w:fldChar w:fldCharType="separate"/>
                </w:r>
                <w:r w:rsidR="0092778F">
                  <w:rPr>
                    <w:noProof/>
                    <w:webHidden/>
                    <w:lang w:val="tr-TR"/>
                  </w:rPr>
                  <w:t>33</w:t>
                </w:r>
                <w:r w:rsidR="00752DF8" w:rsidRPr="001A4B94">
                  <w:rPr>
                    <w:noProof/>
                    <w:webHidden/>
                    <w:lang w:val="tr-TR"/>
                  </w:rPr>
                  <w:fldChar w:fldCharType="end"/>
                </w:r>
              </w:hyperlink>
            </w:p>
            <w:p w14:paraId="6636DE43" w14:textId="528A8506"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2" w:history="1">
                <w:r w:rsidR="00752DF8" w:rsidRPr="001A4B94">
                  <w:rPr>
                    <w:rStyle w:val="Kpr"/>
                    <w:noProof/>
                    <w:lang w:val="tr-TR"/>
                  </w:rPr>
                  <w:t>Ek 2. CPS (2012 MY – 2016 MY) Tamamlama ve Öğrenme İnceleme Raporu</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_Toc494977332 \h </w:instrText>
                </w:r>
                <w:r w:rsidR="00752DF8" w:rsidRPr="001A4B94">
                  <w:rPr>
                    <w:noProof/>
                    <w:webHidden/>
                    <w:lang w:val="tr-TR"/>
                  </w:rPr>
                </w:r>
                <w:r w:rsidR="00752DF8" w:rsidRPr="001A4B94">
                  <w:rPr>
                    <w:noProof/>
                    <w:webHidden/>
                    <w:lang w:val="tr-TR"/>
                  </w:rPr>
                  <w:fldChar w:fldCharType="separate"/>
                </w:r>
                <w:r w:rsidR="0092778F">
                  <w:rPr>
                    <w:noProof/>
                    <w:webHidden/>
                    <w:lang w:val="tr-TR"/>
                  </w:rPr>
                  <w:t>46</w:t>
                </w:r>
                <w:r w:rsidR="00752DF8" w:rsidRPr="001A4B94">
                  <w:rPr>
                    <w:noProof/>
                    <w:webHidden/>
                    <w:lang w:val="tr-TR"/>
                  </w:rPr>
                  <w:fldChar w:fldCharType="end"/>
                </w:r>
              </w:hyperlink>
            </w:p>
            <w:p w14:paraId="61F99830" w14:textId="145D2C3B"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3" w:history="1">
                <w:r w:rsidR="00752DF8" w:rsidRPr="001A4B94">
                  <w:rPr>
                    <w:rStyle w:val="Kpr"/>
                    <w:noProof/>
                    <w:lang w:val="tr-TR"/>
                  </w:rPr>
                  <w:t>Ek 3.  Banka Portföy Performansı ve Yönetimi ile ilgili Seçilen Göstergeler</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_Toc494977333 \h </w:instrText>
                </w:r>
                <w:r w:rsidR="00752DF8" w:rsidRPr="001A4B94">
                  <w:rPr>
                    <w:noProof/>
                    <w:webHidden/>
                    <w:lang w:val="tr-TR"/>
                  </w:rPr>
                </w:r>
                <w:r w:rsidR="00752DF8" w:rsidRPr="001A4B94">
                  <w:rPr>
                    <w:noProof/>
                    <w:webHidden/>
                    <w:lang w:val="tr-TR"/>
                  </w:rPr>
                  <w:fldChar w:fldCharType="separate"/>
                </w:r>
                <w:r w:rsidR="0092778F">
                  <w:rPr>
                    <w:noProof/>
                    <w:webHidden/>
                    <w:lang w:val="tr-TR"/>
                  </w:rPr>
                  <w:t>75</w:t>
                </w:r>
                <w:r w:rsidR="00752DF8" w:rsidRPr="001A4B94">
                  <w:rPr>
                    <w:noProof/>
                    <w:webHidden/>
                    <w:lang w:val="tr-TR"/>
                  </w:rPr>
                  <w:fldChar w:fldCharType="end"/>
                </w:r>
              </w:hyperlink>
            </w:p>
            <w:p w14:paraId="3F506033" w14:textId="050770E1"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4" w:history="1">
                <w:r w:rsidR="00752DF8" w:rsidRPr="001A4B94">
                  <w:rPr>
                    <w:rStyle w:val="Kpr"/>
                    <w:noProof/>
                    <w:lang w:val="tr-TR"/>
                  </w:rPr>
                  <w:t>Ek 4. Operasyonlar Portföyü (IBRD/IDA ve Hibeler)</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_Toc494977334 \h </w:instrText>
                </w:r>
                <w:r w:rsidR="00752DF8" w:rsidRPr="001A4B94">
                  <w:rPr>
                    <w:noProof/>
                    <w:webHidden/>
                    <w:lang w:val="tr-TR"/>
                  </w:rPr>
                </w:r>
                <w:r w:rsidR="00752DF8" w:rsidRPr="001A4B94">
                  <w:rPr>
                    <w:noProof/>
                    <w:webHidden/>
                    <w:lang w:val="tr-TR"/>
                  </w:rPr>
                  <w:fldChar w:fldCharType="separate"/>
                </w:r>
                <w:r w:rsidR="0092778F">
                  <w:rPr>
                    <w:noProof/>
                    <w:webHidden/>
                    <w:lang w:val="tr-TR"/>
                  </w:rPr>
                  <w:t>76</w:t>
                </w:r>
                <w:r w:rsidR="00752DF8" w:rsidRPr="001A4B94">
                  <w:rPr>
                    <w:noProof/>
                    <w:webHidden/>
                    <w:lang w:val="tr-TR"/>
                  </w:rPr>
                  <w:fldChar w:fldCharType="end"/>
                </w:r>
              </w:hyperlink>
            </w:p>
            <w:p w14:paraId="09875A8C" w14:textId="5DC7EB51"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5" w:history="1">
                <w:r w:rsidR="00752DF8" w:rsidRPr="001A4B94">
                  <w:rPr>
                    <w:rStyle w:val="Kpr"/>
                    <w:noProof/>
                    <w:lang w:val="tr-TR"/>
                  </w:rPr>
                  <w:t>Ek 5. Taahhüt Edilen ve Kullandırılan  Yatırım Portföyü</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_Toc494977335 \h </w:instrText>
                </w:r>
                <w:r w:rsidR="00752DF8" w:rsidRPr="001A4B94">
                  <w:rPr>
                    <w:noProof/>
                    <w:webHidden/>
                    <w:lang w:val="tr-TR"/>
                  </w:rPr>
                </w:r>
                <w:r w:rsidR="00752DF8" w:rsidRPr="001A4B94">
                  <w:rPr>
                    <w:noProof/>
                    <w:webHidden/>
                    <w:lang w:val="tr-TR"/>
                  </w:rPr>
                  <w:fldChar w:fldCharType="separate"/>
                </w:r>
                <w:r w:rsidR="0092778F">
                  <w:rPr>
                    <w:noProof/>
                    <w:webHidden/>
                    <w:lang w:val="tr-TR"/>
                  </w:rPr>
                  <w:t>77</w:t>
                </w:r>
                <w:r w:rsidR="00752DF8" w:rsidRPr="001A4B94">
                  <w:rPr>
                    <w:noProof/>
                    <w:webHidden/>
                    <w:lang w:val="tr-TR"/>
                  </w:rPr>
                  <w:fldChar w:fldCharType="end"/>
                </w:r>
              </w:hyperlink>
            </w:p>
            <w:p w14:paraId="28A9746B" w14:textId="0C089F90"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6" w:history="1">
                <w:r w:rsidR="00752DF8" w:rsidRPr="001A4B94">
                  <w:rPr>
                    <w:rStyle w:val="Kpr"/>
                    <w:noProof/>
                    <w:lang w:val="tr-TR"/>
                  </w:rPr>
                  <w:t>Ek 6. MIGA Aktif Garantiler</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_Toc494977336 \h </w:instrText>
                </w:r>
                <w:r w:rsidR="00752DF8" w:rsidRPr="001A4B94">
                  <w:rPr>
                    <w:noProof/>
                    <w:webHidden/>
                    <w:lang w:val="tr-TR"/>
                  </w:rPr>
                </w:r>
                <w:r w:rsidR="00752DF8" w:rsidRPr="001A4B94">
                  <w:rPr>
                    <w:noProof/>
                    <w:webHidden/>
                    <w:lang w:val="tr-TR"/>
                  </w:rPr>
                  <w:fldChar w:fldCharType="separate"/>
                </w:r>
                <w:r w:rsidR="0092778F">
                  <w:rPr>
                    <w:noProof/>
                    <w:webHidden/>
                    <w:lang w:val="tr-TR"/>
                  </w:rPr>
                  <w:t>80</w:t>
                </w:r>
                <w:r w:rsidR="00752DF8" w:rsidRPr="001A4B94">
                  <w:rPr>
                    <w:noProof/>
                    <w:webHidden/>
                    <w:lang w:val="tr-TR"/>
                  </w:rPr>
                  <w:fldChar w:fldCharType="end"/>
                </w:r>
              </w:hyperlink>
            </w:p>
            <w:p w14:paraId="07E3F242" w14:textId="0192D4D8"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7" w:history="1">
                <w:r w:rsidR="00752DF8" w:rsidRPr="001A4B94">
                  <w:rPr>
                    <w:rStyle w:val="Kpr"/>
                    <w:noProof/>
                    <w:lang w:val="tr-TR"/>
                  </w:rPr>
                  <w:t>Ek 7. Ülke Toplumsal Cinsiyet Değerlendirmesi 2016 – Özet Not</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_Toc494977337 \h </w:instrText>
                </w:r>
                <w:r w:rsidR="00752DF8" w:rsidRPr="001A4B94">
                  <w:rPr>
                    <w:noProof/>
                    <w:webHidden/>
                    <w:lang w:val="tr-TR"/>
                  </w:rPr>
                </w:r>
                <w:r w:rsidR="00752DF8" w:rsidRPr="001A4B94">
                  <w:rPr>
                    <w:noProof/>
                    <w:webHidden/>
                    <w:lang w:val="tr-TR"/>
                  </w:rPr>
                  <w:fldChar w:fldCharType="separate"/>
                </w:r>
                <w:r w:rsidR="0092778F">
                  <w:rPr>
                    <w:noProof/>
                    <w:webHidden/>
                    <w:lang w:val="tr-TR"/>
                  </w:rPr>
                  <w:t>81</w:t>
                </w:r>
                <w:r w:rsidR="00752DF8" w:rsidRPr="001A4B94">
                  <w:rPr>
                    <w:noProof/>
                    <w:webHidden/>
                    <w:lang w:val="tr-TR"/>
                  </w:rPr>
                  <w:fldChar w:fldCharType="end"/>
                </w:r>
              </w:hyperlink>
            </w:p>
            <w:p w14:paraId="4ED18918" w14:textId="5EB2FB29" w:rsidR="00752DF8" w:rsidRPr="001A4B94" w:rsidRDefault="00362A26">
              <w:pPr>
                <w:pStyle w:val="T1"/>
                <w:rPr>
                  <w:rFonts w:asciiTheme="minorHAnsi" w:eastAsiaTheme="minorEastAsia" w:hAnsiTheme="minorHAnsi" w:cstheme="minorBidi"/>
                  <w:noProof/>
                  <w:sz w:val="22"/>
                  <w:szCs w:val="22"/>
                  <w:lang w:val="tr-TR" w:eastAsia="tr-TR"/>
                </w:rPr>
              </w:pPr>
              <w:hyperlink w:anchor="_Toc494977338" w:history="1">
                <w:r w:rsidR="00752DF8" w:rsidRPr="001A4B94">
                  <w:rPr>
                    <w:rStyle w:val="Kpr"/>
                    <w:noProof/>
                    <w:lang w:val="tr-TR"/>
                  </w:rPr>
                  <w:t>Ek 8. Türkiye 2018 – 21 MY CPF için Vatandaş Katılımı Yok Haritası</w:t>
                </w:r>
                <w:r w:rsidR="00752DF8" w:rsidRPr="001A4B94">
                  <w:rPr>
                    <w:noProof/>
                    <w:webHidden/>
                    <w:lang w:val="tr-TR"/>
                  </w:rPr>
                  <w:tab/>
                </w:r>
                <w:r w:rsidR="00752DF8" w:rsidRPr="001A4B94">
                  <w:rPr>
                    <w:noProof/>
                    <w:webHidden/>
                    <w:lang w:val="tr-TR"/>
                  </w:rPr>
                  <w:fldChar w:fldCharType="begin"/>
                </w:r>
                <w:r w:rsidR="00752DF8" w:rsidRPr="001A4B94">
                  <w:rPr>
                    <w:noProof/>
                    <w:webHidden/>
                    <w:lang w:val="tr-TR"/>
                  </w:rPr>
                  <w:instrText xml:space="preserve"> PAGEREF _Toc494977338 \h </w:instrText>
                </w:r>
                <w:r w:rsidR="00752DF8" w:rsidRPr="001A4B94">
                  <w:rPr>
                    <w:noProof/>
                    <w:webHidden/>
                    <w:lang w:val="tr-TR"/>
                  </w:rPr>
                </w:r>
                <w:r w:rsidR="00752DF8" w:rsidRPr="001A4B94">
                  <w:rPr>
                    <w:noProof/>
                    <w:webHidden/>
                    <w:lang w:val="tr-TR"/>
                  </w:rPr>
                  <w:fldChar w:fldCharType="separate"/>
                </w:r>
                <w:r w:rsidR="0092778F">
                  <w:rPr>
                    <w:noProof/>
                    <w:webHidden/>
                    <w:lang w:val="tr-TR"/>
                  </w:rPr>
                  <w:t>84</w:t>
                </w:r>
                <w:r w:rsidR="00752DF8" w:rsidRPr="001A4B94">
                  <w:rPr>
                    <w:noProof/>
                    <w:webHidden/>
                    <w:lang w:val="tr-TR"/>
                  </w:rPr>
                  <w:fldChar w:fldCharType="end"/>
                </w:r>
              </w:hyperlink>
            </w:p>
            <w:p w14:paraId="416BDEF4" w14:textId="038BB713" w:rsidR="0030747A" w:rsidRPr="001A4B94" w:rsidRDefault="0030747A">
              <w:pPr>
                <w:rPr>
                  <w:lang w:val="tr-TR"/>
                </w:rPr>
              </w:pPr>
              <w:r w:rsidRPr="001A4B94">
                <w:rPr>
                  <w:b/>
                  <w:bCs/>
                  <w:lang w:val="tr-TR"/>
                </w:rPr>
                <w:fldChar w:fldCharType="end"/>
              </w:r>
            </w:p>
          </w:sdtContent>
        </w:sdt>
      </w:sdtContent>
    </w:sdt>
    <w:p w14:paraId="104382B1" w14:textId="77777777" w:rsidR="00C369E8" w:rsidRPr="001A4B94" w:rsidRDefault="00C369E8" w:rsidP="0030747A">
      <w:pPr>
        <w:rPr>
          <w:sz w:val="22"/>
          <w:szCs w:val="22"/>
          <w:lang w:val="tr-TR"/>
        </w:rPr>
        <w:sectPr w:rsidR="00C369E8" w:rsidRPr="001A4B94" w:rsidSect="00C369E8">
          <w:footerReference w:type="default" r:id="rId24"/>
          <w:footerReference w:type="first" r:id="rId25"/>
          <w:pgSz w:w="12240" w:h="15840"/>
          <w:pgMar w:top="1440" w:right="1440" w:bottom="1440" w:left="1440" w:header="720" w:footer="720" w:gutter="0"/>
          <w:pgNumType w:fmt="lowerRoman"/>
          <w:cols w:space="720"/>
          <w:titlePg/>
          <w:docGrid w:linePitch="360"/>
        </w:sectPr>
      </w:pPr>
    </w:p>
    <w:p w14:paraId="7CEDFCD7" w14:textId="42421F24" w:rsidR="0030747A" w:rsidRPr="001A4B94" w:rsidRDefault="0030747A" w:rsidP="00BF256D">
      <w:pPr>
        <w:rPr>
          <w:sz w:val="23"/>
          <w:szCs w:val="23"/>
          <w:lang w:val="tr-TR"/>
        </w:rPr>
      </w:pPr>
    </w:p>
    <w:p w14:paraId="34435DBB" w14:textId="08908BF0" w:rsidR="00DC1AEA" w:rsidRPr="001A4B94" w:rsidRDefault="00C6343D" w:rsidP="00525148">
      <w:pPr>
        <w:pStyle w:val="Normail1"/>
        <w:numPr>
          <w:ilvl w:val="0"/>
          <w:numId w:val="0"/>
        </w:numPr>
        <w:ind w:left="900"/>
        <w:jc w:val="center"/>
        <w:rPr>
          <w:rFonts w:eastAsiaTheme="minorEastAsia"/>
          <w:b/>
          <w:sz w:val="23"/>
          <w:szCs w:val="23"/>
          <w:lang w:val="tr-TR"/>
        </w:rPr>
      </w:pPr>
      <w:r w:rsidRPr="001A4B94">
        <w:rPr>
          <w:rFonts w:eastAsiaTheme="minorEastAsia"/>
          <w:b/>
          <w:sz w:val="23"/>
          <w:szCs w:val="23"/>
          <w:lang w:val="tr-TR"/>
        </w:rPr>
        <w:t xml:space="preserve">TÜRKİYE </w:t>
      </w:r>
      <w:r w:rsidR="00F25566" w:rsidRPr="001A4B94">
        <w:rPr>
          <w:rFonts w:eastAsiaTheme="minorEastAsia"/>
          <w:b/>
          <w:sz w:val="23"/>
          <w:szCs w:val="23"/>
          <w:lang w:val="tr-TR"/>
        </w:rPr>
        <w:t xml:space="preserve">ÜLKE İŞBİRLİĞİ ÇERÇEVESİ </w:t>
      </w:r>
      <w:r w:rsidR="007C55C0" w:rsidRPr="001A4B94">
        <w:rPr>
          <w:rFonts w:eastAsiaTheme="minorEastAsia"/>
          <w:b/>
          <w:sz w:val="23"/>
          <w:szCs w:val="23"/>
          <w:lang w:val="tr-TR"/>
        </w:rPr>
        <w:t>(</w:t>
      </w:r>
      <w:r w:rsidR="00F25566" w:rsidRPr="001A4B94">
        <w:rPr>
          <w:rFonts w:eastAsiaTheme="minorEastAsia"/>
          <w:b/>
          <w:sz w:val="23"/>
          <w:szCs w:val="23"/>
          <w:lang w:val="tr-TR"/>
        </w:rPr>
        <w:t>2018-21 MY</w:t>
      </w:r>
      <w:r w:rsidR="007C55C0" w:rsidRPr="001A4B94">
        <w:rPr>
          <w:rFonts w:eastAsiaTheme="minorEastAsia"/>
          <w:b/>
          <w:sz w:val="23"/>
          <w:szCs w:val="23"/>
          <w:lang w:val="tr-TR"/>
        </w:rPr>
        <w:t>)</w:t>
      </w:r>
    </w:p>
    <w:p w14:paraId="31264B8D" w14:textId="25AF29AD" w:rsidR="0030747A" w:rsidRPr="001A4B94" w:rsidRDefault="00F25566" w:rsidP="00C24F8F">
      <w:pPr>
        <w:pStyle w:val="Balk1"/>
        <w:numPr>
          <w:ilvl w:val="0"/>
          <w:numId w:val="4"/>
        </w:numPr>
        <w:ind w:left="720" w:hanging="270"/>
        <w:jc w:val="center"/>
        <w:rPr>
          <w:rFonts w:ascii="Times New Roman" w:eastAsiaTheme="minorEastAsia" w:hAnsi="Times New Roman" w:cs="Times New Roman"/>
          <w:b/>
          <w:color w:val="auto"/>
          <w:sz w:val="23"/>
          <w:szCs w:val="23"/>
          <w:lang w:val="tr-TR"/>
        </w:rPr>
      </w:pPr>
      <w:bookmarkStart w:id="0" w:name="_Toc494977319"/>
      <w:r w:rsidRPr="001A4B94">
        <w:rPr>
          <w:rFonts w:ascii="Times New Roman" w:eastAsiaTheme="minorEastAsia" w:hAnsi="Times New Roman" w:cs="Times New Roman"/>
          <w:b/>
          <w:color w:val="auto"/>
          <w:sz w:val="23"/>
          <w:szCs w:val="23"/>
          <w:lang w:val="tr-TR"/>
        </w:rPr>
        <w:t>GİRİŞ</w:t>
      </w:r>
      <w:bookmarkEnd w:id="0"/>
    </w:p>
    <w:p w14:paraId="52B1CE24" w14:textId="77777777" w:rsidR="0030747A" w:rsidRPr="001A4B94" w:rsidRDefault="0030747A" w:rsidP="00957CEE">
      <w:pPr>
        <w:pStyle w:val="Balk2"/>
        <w:jc w:val="center"/>
        <w:rPr>
          <w:rFonts w:ascii="Times New Roman" w:eastAsiaTheme="minorEastAsia" w:hAnsi="Times New Roman" w:cs="Times New Roman"/>
          <w:b/>
          <w:color w:val="auto"/>
          <w:sz w:val="23"/>
          <w:szCs w:val="23"/>
          <w:lang w:val="tr-TR"/>
        </w:rPr>
      </w:pPr>
    </w:p>
    <w:p w14:paraId="0A3E0F60" w14:textId="5271FC39" w:rsidR="0030747A" w:rsidRPr="001A4B94" w:rsidRDefault="00F25566" w:rsidP="00CB533A">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bCs/>
          <w:sz w:val="23"/>
          <w:szCs w:val="23"/>
          <w:lang w:val="tr-TR"/>
        </w:rPr>
      </w:pPr>
      <w:r w:rsidRPr="001A4B94">
        <w:rPr>
          <w:rFonts w:ascii="Times New Roman" w:hAnsi="Times New Roman"/>
          <w:b/>
          <w:bCs/>
          <w:sz w:val="23"/>
          <w:szCs w:val="23"/>
          <w:lang w:val="tr-TR"/>
        </w:rPr>
        <w:t xml:space="preserve">Türkiye için hazırlanan bu Ülke İşbirliği Çerçevesi </w:t>
      </w:r>
      <w:r w:rsidR="005E5821" w:rsidRPr="001A4B94">
        <w:rPr>
          <w:rFonts w:ascii="Times New Roman" w:hAnsi="Times New Roman"/>
          <w:b/>
          <w:bCs/>
          <w:sz w:val="23"/>
          <w:szCs w:val="23"/>
          <w:lang w:val="tr-TR"/>
        </w:rPr>
        <w:t xml:space="preserve">(CPF) </w:t>
      </w:r>
      <w:r w:rsidRPr="001A4B94">
        <w:rPr>
          <w:rFonts w:ascii="Times New Roman" w:hAnsi="Times New Roman"/>
          <w:b/>
          <w:bCs/>
          <w:sz w:val="23"/>
          <w:szCs w:val="23"/>
          <w:lang w:val="tr-TR"/>
        </w:rPr>
        <w:t>2018 – 2021 MY dönemini kapsamaktadır</w:t>
      </w:r>
      <w:r w:rsidR="005E5821" w:rsidRPr="001A4B94">
        <w:rPr>
          <w:rFonts w:ascii="Times New Roman" w:hAnsi="Times New Roman"/>
          <w:b/>
          <w:bCs/>
          <w:sz w:val="23"/>
          <w:szCs w:val="23"/>
          <w:lang w:val="tr-TR"/>
        </w:rPr>
        <w:t>.</w:t>
      </w:r>
      <w:r w:rsidR="005E5821" w:rsidRPr="001A4B94">
        <w:rPr>
          <w:rFonts w:ascii="Times New Roman" w:hAnsi="Times New Roman"/>
          <w:bCs/>
          <w:sz w:val="23"/>
          <w:szCs w:val="23"/>
          <w:lang w:val="tr-TR"/>
        </w:rPr>
        <w:t xml:space="preserve">  </w:t>
      </w:r>
      <w:r w:rsidR="00C21378" w:rsidRPr="001A4B94">
        <w:rPr>
          <w:rFonts w:ascii="Times New Roman" w:hAnsi="Times New Roman"/>
          <w:bCs/>
          <w:sz w:val="23"/>
          <w:szCs w:val="23"/>
          <w:lang w:val="tr-TR"/>
        </w:rPr>
        <w:t xml:space="preserve">Bu CPF, </w:t>
      </w:r>
      <w:r w:rsidRPr="001A4B94">
        <w:rPr>
          <w:rFonts w:ascii="Times New Roman" w:hAnsi="Times New Roman"/>
          <w:bCs/>
          <w:sz w:val="23"/>
          <w:szCs w:val="23"/>
          <w:lang w:val="tr-TR"/>
        </w:rPr>
        <w:t xml:space="preserve">Türkiye’nin 10. Kalkınma Planının amaçları ile uyumludur ve Şubat 2017’de tamamlanan Dünya Bankası Grubu </w:t>
      </w:r>
      <w:r w:rsidR="005E5821" w:rsidRPr="001A4B94">
        <w:rPr>
          <w:rFonts w:ascii="Times New Roman" w:hAnsi="Times New Roman"/>
          <w:bCs/>
          <w:sz w:val="23"/>
          <w:szCs w:val="23"/>
          <w:lang w:val="tr-TR"/>
        </w:rPr>
        <w:t xml:space="preserve">(WBG) </w:t>
      </w:r>
      <w:r w:rsidRPr="001A4B94">
        <w:rPr>
          <w:rFonts w:ascii="Times New Roman" w:hAnsi="Times New Roman"/>
          <w:bCs/>
          <w:sz w:val="23"/>
          <w:szCs w:val="23"/>
          <w:lang w:val="tr-TR"/>
        </w:rPr>
        <w:t xml:space="preserve">Sistematik Ülke Değerlendirmesinin </w:t>
      </w:r>
      <w:r w:rsidR="005E5821" w:rsidRPr="001A4B94">
        <w:rPr>
          <w:rFonts w:ascii="Times New Roman" w:hAnsi="Times New Roman"/>
          <w:bCs/>
          <w:sz w:val="23"/>
          <w:szCs w:val="23"/>
          <w:lang w:val="tr-TR"/>
        </w:rPr>
        <w:t xml:space="preserve">(SCD) </w:t>
      </w:r>
      <w:r w:rsidRPr="001A4B94">
        <w:rPr>
          <w:rFonts w:ascii="Times New Roman" w:hAnsi="Times New Roman"/>
          <w:bCs/>
          <w:sz w:val="23"/>
          <w:szCs w:val="23"/>
          <w:lang w:val="tr-TR"/>
        </w:rPr>
        <w:t>bulguları</w:t>
      </w:r>
      <w:r w:rsidR="00701610" w:rsidRPr="001A4B94">
        <w:rPr>
          <w:rFonts w:ascii="Times New Roman" w:hAnsi="Times New Roman"/>
          <w:bCs/>
          <w:sz w:val="23"/>
          <w:szCs w:val="23"/>
          <w:lang w:val="tr-TR"/>
        </w:rPr>
        <w:t>nı esas almaktadır</w:t>
      </w:r>
      <w:r w:rsidR="005E5821" w:rsidRPr="001A4B94">
        <w:rPr>
          <w:rFonts w:ascii="Times New Roman" w:hAnsi="Times New Roman"/>
          <w:bCs/>
          <w:sz w:val="23"/>
          <w:szCs w:val="23"/>
          <w:lang w:val="tr-TR"/>
        </w:rPr>
        <w:t>.  CPF</w:t>
      </w:r>
      <w:r w:rsidR="00701610" w:rsidRPr="001A4B94">
        <w:rPr>
          <w:rFonts w:ascii="Times New Roman" w:hAnsi="Times New Roman"/>
          <w:bCs/>
          <w:sz w:val="23"/>
          <w:szCs w:val="23"/>
          <w:lang w:val="tr-TR"/>
        </w:rPr>
        <w:t>, mevcut programın temellerini</w:t>
      </w:r>
      <w:r w:rsidR="005E5821" w:rsidRPr="001A4B94">
        <w:rPr>
          <w:rFonts w:ascii="Times New Roman" w:hAnsi="Times New Roman"/>
          <w:bCs/>
          <w:sz w:val="23"/>
          <w:szCs w:val="23"/>
          <w:lang w:val="tr-TR"/>
        </w:rPr>
        <w:t xml:space="preserve"> </w:t>
      </w:r>
      <w:r w:rsidR="00701610" w:rsidRPr="001A4B94">
        <w:rPr>
          <w:rFonts w:ascii="Times New Roman" w:hAnsi="Times New Roman"/>
          <w:bCs/>
          <w:sz w:val="23"/>
          <w:szCs w:val="23"/>
          <w:lang w:val="tr-TR"/>
        </w:rPr>
        <w:t>esas alarak</w:t>
      </w:r>
      <w:r w:rsidR="001454D4" w:rsidRPr="001A4B94">
        <w:rPr>
          <w:rFonts w:ascii="Times New Roman" w:hAnsi="Times New Roman"/>
          <w:bCs/>
          <w:sz w:val="23"/>
          <w:szCs w:val="23"/>
          <w:lang w:val="tr-TR"/>
        </w:rPr>
        <w:t>,</w:t>
      </w:r>
      <w:r w:rsidR="00701610" w:rsidRPr="001A4B94">
        <w:rPr>
          <w:rFonts w:ascii="Times New Roman" w:hAnsi="Times New Roman"/>
          <w:bCs/>
          <w:sz w:val="23"/>
          <w:szCs w:val="23"/>
          <w:lang w:val="tr-TR"/>
        </w:rPr>
        <w:t xml:space="preserve"> </w:t>
      </w:r>
      <w:r w:rsidR="001454D4" w:rsidRPr="001A4B94">
        <w:rPr>
          <w:rFonts w:ascii="Times New Roman" w:hAnsi="Times New Roman"/>
          <w:bCs/>
          <w:sz w:val="23"/>
          <w:szCs w:val="23"/>
          <w:lang w:val="tr-TR"/>
        </w:rPr>
        <w:t xml:space="preserve">Dünya </w:t>
      </w:r>
      <w:r w:rsidR="000B28BC" w:rsidRPr="001A4B94">
        <w:rPr>
          <w:rFonts w:ascii="Times New Roman" w:hAnsi="Times New Roman"/>
          <w:bCs/>
          <w:sz w:val="23"/>
          <w:szCs w:val="23"/>
          <w:lang w:val="tr-TR"/>
        </w:rPr>
        <w:t>B</w:t>
      </w:r>
      <w:r w:rsidR="001454D4" w:rsidRPr="001A4B94">
        <w:rPr>
          <w:rFonts w:ascii="Times New Roman" w:hAnsi="Times New Roman"/>
          <w:bCs/>
          <w:sz w:val="23"/>
          <w:szCs w:val="23"/>
          <w:lang w:val="tr-TR"/>
        </w:rPr>
        <w:t>ankası Grubu’nun halih</w:t>
      </w:r>
      <w:r w:rsidR="000B28BC" w:rsidRPr="001A4B94">
        <w:rPr>
          <w:rFonts w:ascii="Times New Roman" w:hAnsi="Times New Roman"/>
          <w:bCs/>
          <w:sz w:val="23"/>
          <w:szCs w:val="23"/>
          <w:lang w:val="tr-TR"/>
        </w:rPr>
        <w:t>a</w:t>
      </w:r>
      <w:r w:rsidR="001454D4" w:rsidRPr="001A4B94">
        <w:rPr>
          <w:rFonts w:ascii="Times New Roman" w:hAnsi="Times New Roman"/>
          <w:bCs/>
          <w:sz w:val="23"/>
          <w:szCs w:val="23"/>
          <w:lang w:val="tr-TR"/>
        </w:rPr>
        <w:t xml:space="preserve">zırda aktif olduğu alanlardaki kilit kazanımlarını birleştirerek </w:t>
      </w:r>
      <w:r w:rsidR="00701610" w:rsidRPr="001A4B94">
        <w:rPr>
          <w:rFonts w:ascii="Times New Roman" w:hAnsi="Times New Roman"/>
          <w:bCs/>
          <w:sz w:val="23"/>
          <w:szCs w:val="23"/>
          <w:lang w:val="tr-TR"/>
        </w:rPr>
        <w:t>ve</w:t>
      </w:r>
      <w:r w:rsidR="001454D4" w:rsidRPr="001A4B94">
        <w:rPr>
          <w:rFonts w:ascii="Times New Roman" w:hAnsi="Times New Roman"/>
          <w:bCs/>
          <w:sz w:val="23"/>
          <w:szCs w:val="23"/>
          <w:lang w:val="tr-TR"/>
        </w:rPr>
        <w:t xml:space="preserve"> </w:t>
      </w:r>
      <w:r w:rsidR="000D4EF1" w:rsidRPr="001A4B94">
        <w:rPr>
          <w:rFonts w:ascii="Times New Roman" w:hAnsi="Times New Roman"/>
          <w:bCs/>
          <w:sz w:val="23"/>
          <w:szCs w:val="23"/>
          <w:lang w:val="tr-TR"/>
        </w:rPr>
        <w:t xml:space="preserve">Dünya Bankası Grubu’nun ikiz hedeflerini oluşturan aşırı yoksulluğun azaltmasını ve paylaşılan refahı </w:t>
      </w:r>
      <w:r w:rsidR="003C4914" w:rsidRPr="001A4B94">
        <w:rPr>
          <w:rFonts w:ascii="Times New Roman" w:hAnsi="Times New Roman"/>
          <w:bCs/>
          <w:sz w:val="23"/>
          <w:szCs w:val="23"/>
          <w:lang w:val="tr-TR"/>
        </w:rPr>
        <w:t>arttırılmasını</w:t>
      </w:r>
      <w:r w:rsidR="000D4EF1" w:rsidRPr="001A4B94">
        <w:rPr>
          <w:rFonts w:ascii="Times New Roman" w:hAnsi="Times New Roman"/>
          <w:bCs/>
          <w:sz w:val="23"/>
          <w:szCs w:val="23"/>
          <w:lang w:val="tr-TR"/>
        </w:rPr>
        <w:t xml:space="preserve"> sağlayacak alanlarda program</w:t>
      </w:r>
      <w:r w:rsidR="007327AC" w:rsidRPr="001A4B94">
        <w:rPr>
          <w:rFonts w:ascii="Times New Roman" w:hAnsi="Times New Roman"/>
          <w:bCs/>
          <w:sz w:val="23"/>
          <w:szCs w:val="23"/>
          <w:lang w:val="tr-TR"/>
        </w:rPr>
        <w:t>ı</w:t>
      </w:r>
      <w:r w:rsidR="000D4EF1" w:rsidRPr="001A4B94">
        <w:rPr>
          <w:rFonts w:ascii="Times New Roman" w:hAnsi="Times New Roman"/>
          <w:bCs/>
          <w:sz w:val="23"/>
          <w:szCs w:val="23"/>
          <w:lang w:val="tr-TR"/>
        </w:rPr>
        <w:t xml:space="preserve"> daha da geliştirerek Türkiye’nin kalkınma amaçlarına ulaşmasına yardımcı olmayı amaçlamaktadır</w:t>
      </w:r>
      <w:r w:rsidR="005E5821" w:rsidRPr="001A4B94">
        <w:rPr>
          <w:rFonts w:ascii="Times New Roman" w:hAnsi="Times New Roman"/>
          <w:bCs/>
          <w:sz w:val="23"/>
          <w:szCs w:val="23"/>
          <w:lang w:val="tr-TR"/>
        </w:rPr>
        <w:t>.</w:t>
      </w:r>
      <w:r w:rsidR="00580078" w:rsidRPr="001A4B94">
        <w:rPr>
          <w:rFonts w:ascii="Times New Roman" w:hAnsi="Times New Roman"/>
          <w:bCs/>
          <w:sz w:val="23"/>
          <w:szCs w:val="23"/>
          <w:lang w:val="tr-TR"/>
        </w:rPr>
        <w:t xml:space="preserve">  </w:t>
      </w:r>
      <w:r w:rsidR="00580078" w:rsidRPr="001A4B94">
        <w:rPr>
          <w:rFonts w:ascii="Times New Roman" w:hAnsi="Times New Roman"/>
          <w:sz w:val="23"/>
          <w:szCs w:val="23"/>
          <w:lang w:val="tr-TR"/>
        </w:rPr>
        <w:t>CPF</w:t>
      </w:r>
      <w:r w:rsidR="000D4EF1" w:rsidRPr="001A4B94">
        <w:rPr>
          <w:rFonts w:ascii="Times New Roman" w:hAnsi="Times New Roman"/>
          <w:sz w:val="23"/>
          <w:szCs w:val="23"/>
          <w:lang w:val="tr-TR"/>
        </w:rPr>
        <w:t xml:space="preserve">, </w:t>
      </w:r>
      <w:r w:rsidR="000A335C" w:rsidRPr="001A4B94">
        <w:rPr>
          <w:rFonts w:ascii="Times New Roman" w:hAnsi="Times New Roman"/>
          <w:sz w:val="23"/>
          <w:szCs w:val="23"/>
          <w:lang w:val="tr-TR"/>
        </w:rPr>
        <w:t>Dünya Bankası Grubu’nun programı</w:t>
      </w:r>
      <w:r w:rsidR="007327AC" w:rsidRPr="001A4B94">
        <w:rPr>
          <w:rFonts w:ascii="Times New Roman" w:hAnsi="Times New Roman"/>
          <w:sz w:val="23"/>
          <w:szCs w:val="23"/>
          <w:lang w:val="tr-TR"/>
        </w:rPr>
        <w:t>na</w:t>
      </w:r>
      <w:r w:rsidR="000A335C" w:rsidRPr="001A4B94">
        <w:rPr>
          <w:rFonts w:ascii="Times New Roman" w:hAnsi="Times New Roman"/>
          <w:sz w:val="23"/>
          <w:szCs w:val="23"/>
          <w:lang w:val="tr-TR"/>
        </w:rPr>
        <w:t xml:space="preserve"> yönelik olarak Türkiye ölçeğinde bir orta gelirli ülke için uygun esnek bir </w:t>
      </w:r>
      <w:r w:rsidR="003C4914" w:rsidRPr="001A4B94">
        <w:rPr>
          <w:rFonts w:ascii="Times New Roman" w:hAnsi="Times New Roman"/>
          <w:sz w:val="23"/>
          <w:szCs w:val="23"/>
          <w:lang w:val="tr-TR"/>
        </w:rPr>
        <w:t>yaklaşım ortaya koymakta ve değişen ülke ve bölge koşullarını dikkate almaktadır</w:t>
      </w:r>
      <w:r w:rsidR="00580078" w:rsidRPr="001A4B94">
        <w:rPr>
          <w:rFonts w:ascii="Times New Roman" w:hAnsi="Times New Roman"/>
          <w:sz w:val="23"/>
          <w:szCs w:val="23"/>
          <w:lang w:val="tr-TR"/>
        </w:rPr>
        <w:t>.</w:t>
      </w:r>
    </w:p>
    <w:p w14:paraId="09E0969E" w14:textId="77777777" w:rsidR="0030747A" w:rsidRPr="001A4B94" w:rsidRDefault="0030747A" w:rsidP="0030747A">
      <w:pPr>
        <w:tabs>
          <w:tab w:val="left" w:pos="426"/>
        </w:tabs>
        <w:autoSpaceDE w:val="0"/>
        <w:autoSpaceDN w:val="0"/>
        <w:adjustRightInd w:val="0"/>
        <w:contextualSpacing/>
        <w:jc w:val="both"/>
        <w:rPr>
          <w:rFonts w:eastAsia="Calibri"/>
          <w:bCs/>
          <w:sz w:val="23"/>
          <w:szCs w:val="23"/>
          <w:lang w:val="tr-TR"/>
        </w:rPr>
      </w:pPr>
    </w:p>
    <w:p w14:paraId="655C8F7C" w14:textId="79E5F63D" w:rsidR="0030747A" w:rsidRPr="001A4B94" w:rsidRDefault="003C4914" w:rsidP="00CB533A">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color w:val="000000"/>
          <w:sz w:val="23"/>
          <w:szCs w:val="23"/>
          <w:lang w:val="tr-TR"/>
        </w:rPr>
      </w:pPr>
      <w:r w:rsidRPr="001A4B94">
        <w:rPr>
          <w:rFonts w:ascii="Times New Roman" w:hAnsi="Times New Roman"/>
          <w:b/>
          <w:bCs/>
          <w:sz w:val="23"/>
          <w:szCs w:val="23"/>
          <w:lang w:val="tr-TR"/>
        </w:rPr>
        <w:t>CPF için tercih edilen önceliklerin ve amaçların belirlenmesinde, hem SCD hem de CPF hazırlıkları kapsamında benimsenen geniş bir istişareye dayalı yaklaşım esas alınmıştır</w:t>
      </w:r>
      <w:r w:rsidR="005E5821" w:rsidRPr="001A4B94">
        <w:rPr>
          <w:rFonts w:ascii="Times New Roman" w:hAnsi="Times New Roman"/>
          <w:b/>
          <w:bCs/>
          <w:sz w:val="23"/>
          <w:szCs w:val="23"/>
          <w:lang w:val="tr-TR"/>
        </w:rPr>
        <w:t xml:space="preserve">.   </w:t>
      </w:r>
      <w:r w:rsidR="00580078" w:rsidRPr="001A4B94">
        <w:rPr>
          <w:rFonts w:ascii="Times New Roman" w:hAnsi="Times New Roman"/>
          <w:bCs/>
          <w:sz w:val="23"/>
          <w:szCs w:val="23"/>
          <w:lang w:val="tr-TR"/>
        </w:rPr>
        <w:t xml:space="preserve">SCD </w:t>
      </w:r>
      <w:r w:rsidRPr="001A4B94">
        <w:rPr>
          <w:rFonts w:ascii="Times New Roman" w:hAnsi="Times New Roman"/>
          <w:bCs/>
          <w:sz w:val="23"/>
          <w:szCs w:val="23"/>
          <w:lang w:val="tr-TR"/>
        </w:rPr>
        <w:t>Türkiye’deki u</w:t>
      </w:r>
      <w:r w:rsidR="00950D32" w:rsidRPr="001A4B94">
        <w:rPr>
          <w:rFonts w:ascii="Times New Roman" w:hAnsi="Times New Roman"/>
          <w:bCs/>
          <w:sz w:val="23"/>
          <w:szCs w:val="23"/>
          <w:lang w:val="tr-TR"/>
        </w:rPr>
        <w:t>z</w:t>
      </w:r>
      <w:r w:rsidRPr="001A4B94">
        <w:rPr>
          <w:rFonts w:ascii="Times New Roman" w:hAnsi="Times New Roman"/>
          <w:bCs/>
          <w:sz w:val="23"/>
          <w:szCs w:val="23"/>
          <w:lang w:val="tr-TR"/>
        </w:rPr>
        <w:t>manlar, akademisyenler, özel sektör temsilcileri, y</w:t>
      </w:r>
      <w:r w:rsidR="009A62D2" w:rsidRPr="001A4B94">
        <w:rPr>
          <w:rFonts w:ascii="Times New Roman" w:hAnsi="Times New Roman"/>
          <w:bCs/>
          <w:sz w:val="23"/>
          <w:szCs w:val="23"/>
          <w:lang w:val="tr-TR"/>
        </w:rPr>
        <w:t>a</w:t>
      </w:r>
      <w:r w:rsidRPr="001A4B94">
        <w:rPr>
          <w:rFonts w:ascii="Times New Roman" w:hAnsi="Times New Roman"/>
          <w:bCs/>
          <w:sz w:val="23"/>
          <w:szCs w:val="23"/>
          <w:lang w:val="tr-TR"/>
        </w:rPr>
        <w:t>tırımcılar ve sivil toplum aktörleri ile y</w:t>
      </w:r>
      <w:r w:rsidR="009A62D2" w:rsidRPr="001A4B94">
        <w:rPr>
          <w:rFonts w:ascii="Times New Roman" w:hAnsi="Times New Roman"/>
          <w:bCs/>
          <w:sz w:val="23"/>
          <w:szCs w:val="23"/>
          <w:lang w:val="tr-TR"/>
        </w:rPr>
        <w:t>apılan birkaç tartışma turu son</w:t>
      </w:r>
      <w:r w:rsidRPr="001A4B94">
        <w:rPr>
          <w:rFonts w:ascii="Times New Roman" w:hAnsi="Times New Roman"/>
          <w:bCs/>
          <w:sz w:val="23"/>
          <w:szCs w:val="23"/>
          <w:lang w:val="tr-TR"/>
        </w:rPr>
        <w:t>r</w:t>
      </w:r>
      <w:r w:rsidR="009A62D2" w:rsidRPr="001A4B94">
        <w:rPr>
          <w:rFonts w:ascii="Times New Roman" w:hAnsi="Times New Roman"/>
          <w:bCs/>
          <w:sz w:val="23"/>
          <w:szCs w:val="23"/>
          <w:lang w:val="tr-TR"/>
        </w:rPr>
        <w:t>a</w:t>
      </w:r>
      <w:r w:rsidRPr="001A4B94">
        <w:rPr>
          <w:rFonts w:ascii="Times New Roman" w:hAnsi="Times New Roman"/>
          <w:bCs/>
          <w:sz w:val="23"/>
          <w:szCs w:val="23"/>
          <w:lang w:val="tr-TR"/>
        </w:rPr>
        <w:t>sında hazırlanmıştır</w:t>
      </w:r>
      <w:r w:rsidR="00580078" w:rsidRPr="001A4B94">
        <w:rPr>
          <w:rFonts w:ascii="Times New Roman" w:hAnsi="Times New Roman"/>
          <w:bCs/>
          <w:sz w:val="23"/>
          <w:szCs w:val="23"/>
          <w:lang w:val="tr-TR"/>
        </w:rPr>
        <w:t xml:space="preserve">. </w:t>
      </w:r>
      <w:r w:rsidR="009A62D2" w:rsidRPr="001A4B94">
        <w:rPr>
          <w:rFonts w:ascii="Times New Roman" w:hAnsi="Times New Roman"/>
          <w:bCs/>
          <w:sz w:val="23"/>
          <w:szCs w:val="23"/>
          <w:lang w:val="tr-TR"/>
        </w:rPr>
        <w:t>CPF, kapsadığı dönem için Dünya Bankası Grubu’nun Türkiye’deki rolü ile ilgili olarak Hükümet ile gerçekleştirilen stratejik istişarelerden yararlanmıştır ve bu programın müşteri talebi ile uyumlaştırılmasına olanak tanımıştır</w:t>
      </w:r>
      <w:r w:rsidR="005E5821" w:rsidRPr="001A4B94">
        <w:rPr>
          <w:rFonts w:ascii="Times New Roman" w:hAnsi="Times New Roman"/>
          <w:sz w:val="23"/>
          <w:szCs w:val="23"/>
          <w:lang w:val="tr-TR"/>
        </w:rPr>
        <w:t xml:space="preserve">.  </w:t>
      </w:r>
      <w:r w:rsidR="009A62D2" w:rsidRPr="001A4B94">
        <w:rPr>
          <w:rFonts w:ascii="Times New Roman" w:hAnsi="Times New Roman"/>
          <w:sz w:val="23"/>
          <w:szCs w:val="23"/>
          <w:lang w:val="tr-TR"/>
        </w:rPr>
        <w:t>Ayrıca çeşitli paydaşlar, özel sektör temsilcileri ve kalkınma ortakl</w:t>
      </w:r>
      <w:r w:rsidR="00076289" w:rsidRPr="001A4B94">
        <w:rPr>
          <w:rFonts w:ascii="Times New Roman" w:hAnsi="Times New Roman"/>
          <w:sz w:val="23"/>
          <w:szCs w:val="23"/>
          <w:lang w:val="tr-TR"/>
        </w:rPr>
        <w:t>a</w:t>
      </w:r>
      <w:r w:rsidR="009A62D2" w:rsidRPr="001A4B94">
        <w:rPr>
          <w:rFonts w:ascii="Times New Roman" w:hAnsi="Times New Roman"/>
          <w:sz w:val="23"/>
          <w:szCs w:val="23"/>
          <w:lang w:val="tr-TR"/>
        </w:rPr>
        <w:t>rı ile yapılan tartışmalardan da faydalanılmış, bunl</w:t>
      </w:r>
      <w:r w:rsidR="00076289" w:rsidRPr="001A4B94">
        <w:rPr>
          <w:rFonts w:ascii="Times New Roman" w:hAnsi="Times New Roman"/>
          <w:sz w:val="23"/>
          <w:szCs w:val="23"/>
          <w:lang w:val="tr-TR"/>
        </w:rPr>
        <w:t>a</w:t>
      </w:r>
      <w:r w:rsidR="009A62D2" w:rsidRPr="001A4B94">
        <w:rPr>
          <w:rFonts w:ascii="Times New Roman" w:hAnsi="Times New Roman"/>
          <w:sz w:val="23"/>
          <w:szCs w:val="23"/>
          <w:lang w:val="tr-TR"/>
        </w:rPr>
        <w:t xml:space="preserve">rın sağladıkları geri bildirimler </w:t>
      </w:r>
      <w:r w:rsidR="00120238" w:rsidRPr="001A4B94">
        <w:rPr>
          <w:rFonts w:ascii="Times New Roman" w:hAnsi="Times New Roman"/>
          <w:sz w:val="23"/>
          <w:szCs w:val="23"/>
          <w:lang w:val="tr-TR"/>
        </w:rPr>
        <w:t>CPF tasarımına yansıtılmıştır</w:t>
      </w:r>
      <w:r w:rsidR="005E5821" w:rsidRPr="001A4B94">
        <w:rPr>
          <w:rFonts w:ascii="Times New Roman" w:hAnsi="Times New Roman"/>
          <w:sz w:val="23"/>
          <w:szCs w:val="23"/>
          <w:lang w:val="tr-TR"/>
        </w:rPr>
        <w:t xml:space="preserve">. </w:t>
      </w:r>
      <w:r w:rsidR="008D0674" w:rsidRPr="001A4B94">
        <w:rPr>
          <w:rFonts w:ascii="Times New Roman" w:hAnsi="Times New Roman"/>
          <w:sz w:val="23"/>
          <w:szCs w:val="23"/>
          <w:lang w:val="tr-TR"/>
        </w:rPr>
        <w:t xml:space="preserve"> </w:t>
      </w:r>
    </w:p>
    <w:p w14:paraId="11B2C908" w14:textId="77777777" w:rsidR="001A0127" w:rsidRPr="001A4B94" w:rsidRDefault="001A0127" w:rsidP="001A0127">
      <w:pPr>
        <w:pStyle w:val="ListeParagraf"/>
        <w:tabs>
          <w:tab w:val="left" w:pos="426"/>
        </w:tabs>
        <w:autoSpaceDE w:val="0"/>
        <w:autoSpaceDN w:val="0"/>
        <w:adjustRightInd w:val="0"/>
        <w:spacing w:after="0" w:line="240" w:lineRule="auto"/>
        <w:ind w:left="0"/>
        <w:jc w:val="both"/>
        <w:rPr>
          <w:rFonts w:ascii="Times New Roman" w:hAnsi="Times New Roman"/>
          <w:color w:val="000000"/>
          <w:sz w:val="23"/>
          <w:szCs w:val="23"/>
          <w:lang w:val="tr-TR"/>
        </w:rPr>
      </w:pPr>
    </w:p>
    <w:p w14:paraId="3F746D60" w14:textId="295511CD" w:rsidR="0030747A" w:rsidRPr="001A4B94" w:rsidRDefault="0030747A" w:rsidP="0030747A">
      <w:pPr>
        <w:pStyle w:val="Balk1"/>
        <w:jc w:val="center"/>
        <w:rPr>
          <w:rFonts w:ascii="Times New Roman" w:eastAsiaTheme="minorEastAsia" w:hAnsi="Times New Roman" w:cs="Times New Roman"/>
          <w:b/>
          <w:color w:val="auto"/>
          <w:sz w:val="23"/>
          <w:szCs w:val="23"/>
          <w:lang w:val="tr-TR"/>
        </w:rPr>
      </w:pPr>
      <w:bookmarkStart w:id="1" w:name="_Toc494977320"/>
      <w:r w:rsidRPr="001A4B94">
        <w:rPr>
          <w:rFonts w:ascii="Times New Roman" w:eastAsiaTheme="minorEastAsia" w:hAnsi="Times New Roman" w:cs="Times New Roman"/>
          <w:b/>
          <w:color w:val="auto"/>
          <w:sz w:val="23"/>
          <w:szCs w:val="23"/>
          <w:lang w:val="tr-TR"/>
        </w:rPr>
        <w:t>II.</w:t>
      </w:r>
      <w:r w:rsidRPr="001A4B94">
        <w:rPr>
          <w:rFonts w:ascii="Times New Roman" w:hAnsi="Times New Roman" w:cs="Times New Roman"/>
          <w:b/>
          <w:color w:val="auto"/>
          <w:sz w:val="23"/>
          <w:szCs w:val="23"/>
          <w:lang w:val="tr-TR"/>
        </w:rPr>
        <w:t xml:space="preserve"> </w:t>
      </w:r>
      <w:r w:rsidR="00120238" w:rsidRPr="001A4B94">
        <w:rPr>
          <w:rFonts w:ascii="Times New Roman" w:eastAsiaTheme="minorEastAsia" w:hAnsi="Times New Roman" w:cs="Times New Roman"/>
          <w:b/>
          <w:color w:val="auto"/>
          <w:sz w:val="23"/>
          <w:szCs w:val="23"/>
          <w:lang w:val="tr-TR"/>
        </w:rPr>
        <w:t>ÜLKE BAĞLAMI VE KALKINMA GÜNDEMİ</w:t>
      </w:r>
      <w:bookmarkEnd w:id="1"/>
      <w:r w:rsidR="00120238" w:rsidRPr="001A4B94">
        <w:rPr>
          <w:rFonts w:ascii="Times New Roman" w:eastAsiaTheme="minorEastAsia" w:hAnsi="Times New Roman" w:cs="Times New Roman"/>
          <w:b/>
          <w:color w:val="auto"/>
          <w:sz w:val="23"/>
          <w:szCs w:val="23"/>
          <w:lang w:val="tr-TR"/>
        </w:rPr>
        <w:t xml:space="preserve"> </w:t>
      </w:r>
    </w:p>
    <w:p w14:paraId="7094C72D" w14:textId="77777777" w:rsidR="0030747A" w:rsidRPr="001A4B94" w:rsidRDefault="0030747A" w:rsidP="0030747A">
      <w:pPr>
        <w:widowControl w:val="0"/>
        <w:tabs>
          <w:tab w:val="left" w:pos="426"/>
        </w:tabs>
        <w:autoSpaceDE w:val="0"/>
        <w:autoSpaceDN w:val="0"/>
        <w:adjustRightInd w:val="0"/>
        <w:ind w:left="775"/>
        <w:contextualSpacing/>
        <w:jc w:val="center"/>
        <w:rPr>
          <w:color w:val="000000"/>
          <w:sz w:val="23"/>
          <w:szCs w:val="23"/>
          <w:lang w:val="tr-TR"/>
        </w:rPr>
      </w:pPr>
    </w:p>
    <w:p w14:paraId="16A9F83F" w14:textId="7D459706" w:rsidR="0030747A" w:rsidRPr="001A4B94" w:rsidRDefault="009D0C79" w:rsidP="0030747A">
      <w:pPr>
        <w:pStyle w:val="Balk2"/>
        <w:rPr>
          <w:rFonts w:ascii="Times New Roman" w:hAnsi="Times New Roman" w:cs="Times New Roman"/>
          <w:b/>
          <w:i/>
          <w:iCs/>
          <w:color w:val="auto"/>
          <w:sz w:val="23"/>
          <w:szCs w:val="23"/>
          <w:lang w:val="tr-TR"/>
        </w:rPr>
      </w:pPr>
      <w:bookmarkStart w:id="2" w:name="_Toc494977321"/>
      <w:r w:rsidRPr="001A4B94">
        <w:rPr>
          <w:rFonts w:ascii="Times New Roman" w:hAnsi="Times New Roman" w:cs="Times New Roman"/>
          <w:b/>
          <w:i/>
          <w:color w:val="auto"/>
          <w:sz w:val="23"/>
          <w:szCs w:val="23"/>
          <w:lang w:val="tr-TR"/>
        </w:rPr>
        <w:t>II</w:t>
      </w:r>
      <w:r w:rsidR="0030747A" w:rsidRPr="001A4B94">
        <w:rPr>
          <w:rFonts w:ascii="Times New Roman" w:hAnsi="Times New Roman" w:cs="Times New Roman"/>
          <w:b/>
          <w:i/>
          <w:color w:val="auto"/>
          <w:sz w:val="23"/>
          <w:szCs w:val="23"/>
          <w:lang w:val="tr-TR"/>
        </w:rPr>
        <w:t xml:space="preserve">.1 </w:t>
      </w:r>
      <w:r w:rsidR="00120238" w:rsidRPr="001A4B94">
        <w:rPr>
          <w:rFonts w:ascii="Times New Roman" w:hAnsi="Times New Roman" w:cs="Times New Roman"/>
          <w:b/>
          <w:i/>
          <w:color w:val="auto"/>
          <w:sz w:val="23"/>
          <w:szCs w:val="23"/>
          <w:lang w:val="tr-TR"/>
        </w:rPr>
        <w:t>Toplumsal ve Siyasi Bağlam</w:t>
      </w:r>
      <w:bookmarkEnd w:id="2"/>
      <w:r w:rsidR="00120238" w:rsidRPr="001A4B94">
        <w:rPr>
          <w:rFonts w:ascii="Times New Roman" w:hAnsi="Times New Roman" w:cs="Times New Roman"/>
          <w:b/>
          <w:i/>
          <w:color w:val="auto"/>
          <w:sz w:val="23"/>
          <w:szCs w:val="23"/>
          <w:lang w:val="tr-TR"/>
        </w:rPr>
        <w:t xml:space="preserve"> </w:t>
      </w:r>
    </w:p>
    <w:p w14:paraId="11A535C6" w14:textId="77777777" w:rsidR="0030747A" w:rsidRPr="001A4B94" w:rsidRDefault="0030747A" w:rsidP="0030747A">
      <w:pPr>
        <w:widowControl w:val="0"/>
        <w:autoSpaceDE w:val="0"/>
        <w:autoSpaceDN w:val="0"/>
        <w:adjustRightInd w:val="0"/>
        <w:jc w:val="both"/>
        <w:rPr>
          <w:i/>
          <w:color w:val="000080"/>
          <w:sz w:val="23"/>
          <w:szCs w:val="23"/>
          <w:lang w:val="tr-TR"/>
        </w:rPr>
      </w:pPr>
    </w:p>
    <w:p w14:paraId="21E23554" w14:textId="37463C4D" w:rsidR="00DF18D1" w:rsidRPr="001A4B94" w:rsidRDefault="00E73E9C" w:rsidP="00DF18D1">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T</w:t>
      </w:r>
      <w:r w:rsidR="0089358C" w:rsidRPr="001A4B94">
        <w:rPr>
          <w:rFonts w:ascii="Times New Roman" w:hAnsi="Times New Roman"/>
          <w:b/>
          <w:sz w:val="23"/>
          <w:szCs w:val="23"/>
          <w:lang w:val="tr-TR"/>
        </w:rPr>
        <w:t>ürkiye 2000’li yılların başlarından bu ya</w:t>
      </w:r>
      <w:r w:rsidR="00950D32" w:rsidRPr="001A4B94">
        <w:rPr>
          <w:rFonts w:ascii="Times New Roman" w:hAnsi="Times New Roman"/>
          <w:b/>
          <w:sz w:val="23"/>
          <w:szCs w:val="23"/>
          <w:lang w:val="tr-TR"/>
        </w:rPr>
        <w:t>na</w:t>
      </w:r>
      <w:r w:rsidR="0089358C" w:rsidRPr="001A4B94">
        <w:rPr>
          <w:rFonts w:ascii="Times New Roman" w:hAnsi="Times New Roman"/>
          <w:b/>
          <w:sz w:val="23"/>
          <w:szCs w:val="23"/>
          <w:lang w:val="tr-TR"/>
        </w:rPr>
        <w:t xml:space="preserve"> övgüyü hak eden ekonomik ve sosyal kalkınma sonuçl</w:t>
      </w:r>
      <w:r w:rsidR="00F87E78" w:rsidRPr="001A4B94">
        <w:rPr>
          <w:rFonts w:ascii="Times New Roman" w:hAnsi="Times New Roman"/>
          <w:b/>
          <w:sz w:val="23"/>
          <w:szCs w:val="23"/>
          <w:lang w:val="tr-TR"/>
        </w:rPr>
        <w:t>a</w:t>
      </w:r>
      <w:r w:rsidR="0089358C" w:rsidRPr="001A4B94">
        <w:rPr>
          <w:rFonts w:ascii="Times New Roman" w:hAnsi="Times New Roman"/>
          <w:b/>
          <w:sz w:val="23"/>
          <w:szCs w:val="23"/>
          <w:lang w:val="tr-TR"/>
        </w:rPr>
        <w:t xml:space="preserve">rı elde etmiştir ve </w:t>
      </w:r>
      <w:r w:rsidR="00541E52" w:rsidRPr="001A4B94">
        <w:rPr>
          <w:rFonts w:ascii="Times New Roman" w:hAnsi="Times New Roman"/>
          <w:b/>
          <w:sz w:val="23"/>
          <w:szCs w:val="23"/>
          <w:lang w:val="tr-TR"/>
        </w:rPr>
        <w:t xml:space="preserve"> </w:t>
      </w:r>
      <w:r w:rsidR="0089358C" w:rsidRPr="001A4B94">
        <w:rPr>
          <w:rFonts w:ascii="Times New Roman" w:hAnsi="Times New Roman"/>
          <w:b/>
          <w:sz w:val="23"/>
          <w:szCs w:val="23"/>
          <w:lang w:val="tr-TR"/>
        </w:rPr>
        <w:t xml:space="preserve">bu performansı ülkeyi </w:t>
      </w:r>
      <w:r w:rsidR="000405BB" w:rsidRPr="001A4B94">
        <w:rPr>
          <w:rFonts w:ascii="Times New Roman" w:hAnsi="Times New Roman"/>
          <w:b/>
          <w:sz w:val="23"/>
          <w:szCs w:val="23"/>
          <w:lang w:val="tr-TR"/>
        </w:rPr>
        <w:t xml:space="preserve">dünyanın 17. büyük ekonomisi haline getirerek küresel </w:t>
      </w:r>
      <w:r w:rsidR="009A4328" w:rsidRPr="001A4B94">
        <w:rPr>
          <w:rFonts w:ascii="Times New Roman" w:hAnsi="Times New Roman"/>
          <w:b/>
          <w:sz w:val="23"/>
          <w:szCs w:val="23"/>
          <w:lang w:val="tr-TR"/>
        </w:rPr>
        <w:t>mevcudiyetini daha da sağlamlaştırmıştır</w:t>
      </w:r>
      <w:r w:rsidRPr="001A4B94">
        <w:rPr>
          <w:rFonts w:ascii="Times New Roman" w:hAnsi="Times New Roman"/>
          <w:sz w:val="23"/>
          <w:szCs w:val="23"/>
          <w:lang w:val="tr-TR"/>
        </w:rPr>
        <w:t>.</w:t>
      </w:r>
      <w:r w:rsidRPr="001A4B94">
        <w:rPr>
          <w:rFonts w:ascii="Times New Roman" w:hAnsi="Times New Roman"/>
          <w:b/>
          <w:sz w:val="23"/>
          <w:szCs w:val="23"/>
          <w:lang w:val="tr-TR"/>
        </w:rPr>
        <w:t xml:space="preserve">  </w:t>
      </w:r>
      <w:r w:rsidR="009A4328" w:rsidRPr="001A4B94">
        <w:rPr>
          <w:rFonts w:ascii="Times New Roman" w:hAnsi="Times New Roman"/>
          <w:sz w:val="23"/>
          <w:szCs w:val="23"/>
          <w:lang w:val="tr-TR"/>
        </w:rPr>
        <w:t>Makroekonomik istikrar</w:t>
      </w:r>
      <w:r w:rsidR="00820564" w:rsidRPr="001A4B94">
        <w:rPr>
          <w:rFonts w:ascii="Times New Roman" w:hAnsi="Times New Roman"/>
          <w:sz w:val="23"/>
          <w:szCs w:val="23"/>
          <w:lang w:val="tr-TR"/>
        </w:rPr>
        <w:t xml:space="preserve">, </w:t>
      </w:r>
      <w:r w:rsidR="009A4328" w:rsidRPr="001A4B94">
        <w:rPr>
          <w:rFonts w:ascii="Times New Roman" w:hAnsi="Times New Roman"/>
          <w:sz w:val="23"/>
          <w:szCs w:val="23"/>
          <w:lang w:val="tr-TR"/>
        </w:rPr>
        <w:t>finansal sektör reform</w:t>
      </w:r>
      <w:r w:rsidR="00950D32" w:rsidRPr="001A4B94">
        <w:rPr>
          <w:rFonts w:ascii="Times New Roman" w:hAnsi="Times New Roman"/>
          <w:sz w:val="23"/>
          <w:szCs w:val="23"/>
          <w:lang w:val="tr-TR"/>
        </w:rPr>
        <w:t>u</w:t>
      </w:r>
      <w:r w:rsidR="00820564" w:rsidRPr="001A4B94">
        <w:rPr>
          <w:rFonts w:ascii="Times New Roman" w:hAnsi="Times New Roman"/>
          <w:sz w:val="23"/>
          <w:szCs w:val="23"/>
          <w:lang w:val="tr-TR"/>
        </w:rPr>
        <w:t xml:space="preserve">, </w:t>
      </w:r>
      <w:r w:rsidR="009A4328" w:rsidRPr="001A4B94">
        <w:rPr>
          <w:rFonts w:ascii="Times New Roman" w:hAnsi="Times New Roman"/>
          <w:sz w:val="23"/>
          <w:szCs w:val="23"/>
          <w:lang w:val="tr-TR"/>
        </w:rPr>
        <w:t>Avrupa Birliği (AB) ile yakınlaşan ekonomik bağlar ve ekonominin önemli bir bölümünün tarım ekonomisin</w:t>
      </w:r>
      <w:r w:rsidR="00F87E78" w:rsidRPr="001A4B94">
        <w:rPr>
          <w:rFonts w:ascii="Times New Roman" w:hAnsi="Times New Roman"/>
          <w:sz w:val="23"/>
          <w:szCs w:val="23"/>
          <w:lang w:val="tr-TR"/>
        </w:rPr>
        <w:t>d</w:t>
      </w:r>
      <w:r w:rsidR="009A4328" w:rsidRPr="001A4B94">
        <w:rPr>
          <w:rFonts w:ascii="Times New Roman" w:hAnsi="Times New Roman"/>
          <w:sz w:val="23"/>
          <w:szCs w:val="23"/>
          <w:lang w:val="tr-TR"/>
        </w:rPr>
        <w:t>en imalat ve hizmetl</w:t>
      </w:r>
      <w:r w:rsidR="00F87E78" w:rsidRPr="001A4B94">
        <w:rPr>
          <w:rFonts w:ascii="Times New Roman" w:hAnsi="Times New Roman"/>
          <w:sz w:val="23"/>
          <w:szCs w:val="23"/>
          <w:lang w:val="tr-TR"/>
        </w:rPr>
        <w:t>e</w:t>
      </w:r>
      <w:r w:rsidR="009A4328" w:rsidRPr="001A4B94">
        <w:rPr>
          <w:rFonts w:ascii="Times New Roman" w:hAnsi="Times New Roman"/>
          <w:sz w:val="23"/>
          <w:szCs w:val="23"/>
          <w:lang w:val="tr-TR"/>
        </w:rPr>
        <w:t>r ekonomisine dönüşümü</w:t>
      </w:r>
      <w:r w:rsidR="00950D32" w:rsidRPr="001A4B94">
        <w:rPr>
          <w:rFonts w:ascii="Times New Roman" w:hAnsi="Times New Roman"/>
          <w:sz w:val="23"/>
          <w:szCs w:val="23"/>
          <w:lang w:val="tr-TR"/>
        </w:rPr>
        <w:t>,</w:t>
      </w:r>
      <w:r w:rsidR="009A4328" w:rsidRPr="001A4B94">
        <w:rPr>
          <w:rFonts w:ascii="Times New Roman" w:hAnsi="Times New Roman"/>
          <w:sz w:val="23"/>
          <w:szCs w:val="23"/>
          <w:lang w:val="tr-TR"/>
        </w:rPr>
        <w:t xml:space="preserve"> Türkiye’nin büy</w:t>
      </w:r>
      <w:r w:rsidR="00F87E78" w:rsidRPr="001A4B94">
        <w:rPr>
          <w:rFonts w:ascii="Times New Roman" w:hAnsi="Times New Roman"/>
          <w:sz w:val="23"/>
          <w:szCs w:val="23"/>
          <w:lang w:val="tr-TR"/>
        </w:rPr>
        <w:t>ü</w:t>
      </w:r>
      <w:r w:rsidR="009A4328" w:rsidRPr="001A4B94">
        <w:rPr>
          <w:rFonts w:ascii="Times New Roman" w:hAnsi="Times New Roman"/>
          <w:sz w:val="23"/>
          <w:szCs w:val="23"/>
          <w:lang w:val="tr-TR"/>
        </w:rPr>
        <w:t>me performansına katkıda bulunan faktörler olmuştur</w:t>
      </w:r>
      <w:r w:rsidR="00496259" w:rsidRPr="001A4B94">
        <w:rPr>
          <w:rFonts w:ascii="Times New Roman" w:hAnsi="Times New Roman"/>
          <w:sz w:val="23"/>
          <w:szCs w:val="23"/>
          <w:lang w:val="tr-TR"/>
        </w:rPr>
        <w:t xml:space="preserve">.  </w:t>
      </w:r>
      <w:r w:rsidR="009A4328" w:rsidRPr="001A4B94">
        <w:rPr>
          <w:rFonts w:ascii="Times New Roman" w:hAnsi="Times New Roman"/>
          <w:sz w:val="23"/>
          <w:szCs w:val="23"/>
          <w:lang w:val="tr-TR"/>
        </w:rPr>
        <w:t>Yapılan geniş kapsamlı reformlar dinamik bir özel sektörü desteklemiş</w:t>
      </w:r>
      <w:r w:rsidR="00D5763E" w:rsidRPr="001A4B94">
        <w:rPr>
          <w:rFonts w:ascii="Times New Roman" w:hAnsi="Times New Roman"/>
          <w:sz w:val="23"/>
          <w:szCs w:val="23"/>
          <w:lang w:val="tr-TR"/>
        </w:rPr>
        <w:t>,</w:t>
      </w:r>
      <w:r w:rsidR="00496259" w:rsidRPr="001A4B94">
        <w:rPr>
          <w:rFonts w:ascii="Times New Roman" w:hAnsi="Times New Roman"/>
          <w:sz w:val="23"/>
          <w:szCs w:val="23"/>
          <w:lang w:val="tr-TR"/>
        </w:rPr>
        <w:t xml:space="preserve"> </w:t>
      </w:r>
      <w:r w:rsidR="009A4328" w:rsidRPr="001A4B94">
        <w:rPr>
          <w:rFonts w:ascii="Times New Roman" w:hAnsi="Times New Roman"/>
          <w:sz w:val="23"/>
          <w:szCs w:val="23"/>
          <w:lang w:val="tr-TR"/>
        </w:rPr>
        <w:t>ülkeyi dış ticarete açmış</w:t>
      </w:r>
      <w:r w:rsidR="007C55C0" w:rsidRPr="001A4B94">
        <w:rPr>
          <w:rFonts w:ascii="Times New Roman" w:hAnsi="Times New Roman"/>
          <w:sz w:val="23"/>
          <w:szCs w:val="23"/>
          <w:lang w:val="tr-TR"/>
        </w:rPr>
        <w:t xml:space="preserve">, </w:t>
      </w:r>
      <w:r w:rsidR="009A4328" w:rsidRPr="001A4B94">
        <w:rPr>
          <w:rFonts w:ascii="Times New Roman" w:hAnsi="Times New Roman"/>
          <w:sz w:val="23"/>
          <w:szCs w:val="23"/>
          <w:lang w:val="tr-TR"/>
        </w:rPr>
        <w:t>önemli altyapı yatırımlarını teşvik etmiş ve bir yandan gelirleri yükseltirken aynı zamanda sosyal göstergelerin OECD normlarına daha fazla yakınlaşmasını sağlamıştır</w:t>
      </w:r>
      <w:r w:rsidR="00496259" w:rsidRPr="001A4B94">
        <w:rPr>
          <w:rFonts w:ascii="Times New Roman" w:hAnsi="Times New Roman"/>
          <w:sz w:val="23"/>
          <w:szCs w:val="23"/>
          <w:lang w:val="tr-TR"/>
        </w:rPr>
        <w:t xml:space="preserve">.  </w:t>
      </w:r>
      <w:r w:rsidR="00820564" w:rsidRPr="001A4B94">
        <w:rPr>
          <w:rFonts w:ascii="Times New Roman" w:hAnsi="Times New Roman"/>
          <w:sz w:val="23"/>
          <w:szCs w:val="23"/>
          <w:lang w:val="tr-TR"/>
        </w:rPr>
        <w:t>T</w:t>
      </w:r>
      <w:r w:rsidR="00A3756A" w:rsidRPr="001A4B94">
        <w:rPr>
          <w:rFonts w:ascii="Times New Roman" w:hAnsi="Times New Roman"/>
          <w:sz w:val="23"/>
          <w:szCs w:val="23"/>
          <w:lang w:val="tr-TR"/>
        </w:rPr>
        <w:t xml:space="preserve">ürkiye’nin kişi başına düşen milli geliri </w:t>
      </w:r>
      <w:r w:rsidR="00016B48" w:rsidRPr="001A4B94">
        <w:rPr>
          <w:rFonts w:ascii="Times New Roman" w:hAnsi="Times New Roman"/>
          <w:sz w:val="23"/>
          <w:szCs w:val="23"/>
          <w:lang w:val="tr-TR"/>
        </w:rPr>
        <w:t>2001 yılında 3.115 $ iken</w:t>
      </w:r>
      <w:r w:rsidR="00950D32" w:rsidRPr="001A4B94">
        <w:rPr>
          <w:rFonts w:ascii="Times New Roman" w:hAnsi="Times New Roman"/>
          <w:sz w:val="23"/>
          <w:szCs w:val="23"/>
          <w:lang w:val="tr-TR"/>
        </w:rPr>
        <w:t>,</w:t>
      </w:r>
      <w:r w:rsidR="00016B48" w:rsidRPr="001A4B94">
        <w:rPr>
          <w:rFonts w:ascii="Times New Roman" w:hAnsi="Times New Roman"/>
          <w:sz w:val="23"/>
          <w:szCs w:val="23"/>
          <w:lang w:val="tr-TR"/>
        </w:rPr>
        <w:t xml:space="preserve"> 2015 itibariyle 11.000 $’a yükselmiştir</w:t>
      </w:r>
      <w:r w:rsidR="00541E52" w:rsidRPr="001A4B94">
        <w:rPr>
          <w:rFonts w:ascii="Times New Roman" w:hAnsi="Times New Roman"/>
          <w:sz w:val="23"/>
          <w:szCs w:val="23"/>
          <w:lang w:val="tr-TR"/>
        </w:rPr>
        <w:t xml:space="preserve">: </w:t>
      </w:r>
      <w:r w:rsidR="00321CB0" w:rsidRPr="001A4B94">
        <w:rPr>
          <w:rFonts w:ascii="Times New Roman" w:hAnsi="Times New Roman"/>
          <w:sz w:val="23"/>
          <w:szCs w:val="23"/>
          <w:lang w:val="tr-TR"/>
        </w:rPr>
        <w:t>yoksulluk insidansı yarıdan daha aza inmiş, aşırı yoksulluk ise daha da çarpıcı bir şekilde azalmıştır</w:t>
      </w:r>
      <w:r w:rsidR="00496259" w:rsidRPr="001A4B94">
        <w:rPr>
          <w:rFonts w:ascii="Times New Roman" w:hAnsi="Times New Roman"/>
          <w:sz w:val="23"/>
          <w:szCs w:val="23"/>
          <w:lang w:val="tr-TR"/>
        </w:rPr>
        <w:t>.</w:t>
      </w:r>
      <w:r w:rsidRPr="001A4B94">
        <w:rPr>
          <w:rFonts w:ascii="Times New Roman" w:hAnsi="Times New Roman"/>
          <w:sz w:val="23"/>
          <w:szCs w:val="23"/>
          <w:lang w:val="tr-TR"/>
        </w:rPr>
        <w:t xml:space="preserve">  </w:t>
      </w:r>
      <w:r w:rsidR="00874BFD" w:rsidRPr="001A4B94">
        <w:rPr>
          <w:rFonts w:ascii="Times New Roman" w:hAnsi="Times New Roman"/>
          <w:sz w:val="23"/>
          <w:szCs w:val="23"/>
          <w:lang w:val="tr-TR"/>
        </w:rPr>
        <w:t>T</w:t>
      </w:r>
      <w:r w:rsidR="00321CB0" w:rsidRPr="001A4B94">
        <w:rPr>
          <w:rFonts w:ascii="Times New Roman" w:hAnsi="Times New Roman"/>
          <w:sz w:val="23"/>
          <w:szCs w:val="23"/>
          <w:lang w:val="tr-TR"/>
        </w:rPr>
        <w:t xml:space="preserve">ürkiye’nin kalkınma başarıları haklı bir şekilde takdir görmüştür ve birçok ülke Türkiye’nin kalkınma modelini ilham kaynağı olarak görmektedir. </w:t>
      </w:r>
    </w:p>
    <w:p w14:paraId="0038F712" w14:textId="77777777" w:rsidR="00DF18D1" w:rsidRPr="001A4B94" w:rsidRDefault="00DF18D1" w:rsidP="00DF18D1">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4CCC9CC6" w14:textId="16FCE6CC" w:rsidR="0017181B" w:rsidRPr="001A4B94" w:rsidRDefault="0017181B" w:rsidP="0087193B">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bCs/>
          <w:sz w:val="24"/>
          <w:szCs w:val="24"/>
          <w:lang w:val="tr-TR"/>
        </w:rPr>
        <w:t>Önümüzdeki dönem için, Türkiye siyasi, ekonomik ve güvenlikle ilgili zorluklarla karşı karşıyadır.</w:t>
      </w:r>
      <w:r w:rsidRPr="001A4B94">
        <w:rPr>
          <w:rFonts w:ascii="Times New Roman" w:hAnsi="Times New Roman"/>
          <w:sz w:val="24"/>
          <w:szCs w:val="24"/>
          <w:lang w:val="tr-TR"/>
        </w:rPr>
        <w:t xml:space="preserve">  Son yıllarda, bir ülkenin kurumlarının kalitesi ile ilgili yaygın olarak kabul görmüş çeşitli göstergeler (İş Yapma Kolaylığı Endeksi, Yolsuzluk Algıları Endeksi ve Dünya Ekonomik Forumu’nun Rekabetçilik Endeksi gibi) Türkiye’nin yüksek gelirli ülkelerin sahip olduğu seviyelerin altında kaldığını ve “sınıra uzaklığın” genişlemekte olduğunu göstermektedir. 2015 </w:t>
      </w:r>
      <w:r w:rsidRPr="001A4B94">
        <w:rPr>
          <w:rFonts w:ascii="Times New Roman" w:hAnsi="Times New Roman"/>
          <w:sz w:val="24"/>
          <w:szCs w:val="24"/>
          <w:lang w:val="tr-TR"/>
        </w:rPr>
        <w:lastRenderedPageBreak/>
        <w:t>yılının başlarından bu yana, Türkiye uzun süren bir seçim döngüsü (Haziran ve Kasım 2015’te gerçekleşen genel seçimler), Mayıs 2016’da gerçekleşen kabinede görev değişimi ve Temmuz 2016’da gerçekleşen başarısız darbe girişimi dahil olmak üzere bir dizi siyasi zorluk yaşamıştır. Başarısız darbe girişimi sonrasında, hükümet terör örgütleriyle ilişkili olduğunu tespit ettiği kamu görevlilerinin görevden uzaklaştırılması ve bazı kuruluşların varlıklarının devri dahil olmak üzere terörizmle mücadele için gerekli olan önlemlerinin alınabilmesi amacıyla bir olağanüstü hal ilan etmiştir. Nisan 2017’de, seçmenler icracı bir cumhurbaşkanlığı sistemi oluşturacak ve Devletin organları arasındaki ilişkilerde önemli değişiklikler getirecek bir dizi anayasal reformu onaylamıştır.</w:t>
      </w:r>
    </w:p>
    <w:p w14:paraId="356AFE0C" w14:textId="77777777" w:rsidR="0017181B" w:rsidRPr="001A4B94" w:rsidRDefault="0017181B" w:rsidP="0017181B">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01D53D7B" w14:textId="4B64EC9C" w:rsidR="0087193B" w:rsidRPr="001A4B94" w:rsidRDefault="00321CB0" w:rsidP="0087193B">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 xml:space="preserve">Bölgesel dinamikler ve </w:t>
      </w:r>
      <w:r w:rsidR="00E8516E" w:rsidRPr="001A4B94">
        <w:rPr>
          <w:rFonts w:ascii="Times New Roman" w:hAnsi="Times New Roman"/>
          <w:b/>
          <w:sz w:val="23"/>
          <w:szCs w:val="23"/>
          <w:lang w:val="tr-TR"/>
        </w:rPr>
        <w:t>Suriye’deki çatı</w:t>
      </w:r>
      <w:r w:rsidR="00D90578" w:rsidRPr="001A4B94">
        <w:rPr>
          <w:rFonts w:ascii="Times New Roman" w:hAnsi="Times New Roman"/>
          <w:b/>
          <w:sz w:val="23"/>
          <w:szCs w:val="23"/>
          <w:lang w:val="tr-TR"/>
        </w:rPr>
        <w:t>ş</w:t>
      </w:r>
      <w:r w:rsidR="00E8516E" w:rsidRPr="001A4B94">
        <w:rPr>
          <w:rFonts w:ascii="Times New Roman" w:hAnsi="Times New Roman"/>
          <w:b/>
          <w:sz w:val="23"/>
          <w:szCs w:val="23"/>
          <w:lang w:val="tr-TR"/>
        </w:rPr>
        <w:t>maların etkileri de önemli zorluklar doğurmaktadır</w:t>
      </w:r>
      <w:r w:rsidR="00B73927" w:rsidRPr="001A4B94">
        <w:rPr>
          <w:rFonts w:ascii="Times New Roman" w:hAnsi="Times New Roman"/>
          <w:b/>
          <w:sz w:val="23"/>
          <w:szCs w:val="23"/>
          <w:lang w:val="tr-TR"/>
        </w:rPr>
        <w:t>.</w:t>
      </w:r>
      <w:r w:rsidR="00B73927" w:rsidRPr="001A4B94">
        <w:rPr>
          <w:rFonts w:ascii="Times New Roman" w:hAnsi="Times New Roman"/>
          <w:sz w:val="23"/>
          <w:szCs w:val="23"/>
          <w:lang w:val="tr-TR"/>
        </w:rPr>
        <w:t xml:space="preserve"> </w:t>
      </w:r>
      <w:r w:rsidR="00E8516E" w:rsidRPr="001A4B94">
        <w:rPr>
          <w:rFonts w:ascii="Times New Roman" w:hAnsi="Times New Roman"/>
          <w:sz w:val="23"/>
          <w:szCs w:val="23"/>
          <w:lang w:val="tr-TR"/>
        </w:rPr>
        <w:t>Türkiye Hükümeti Geçici Koruma Sağlanan Suriyeli (GKSS) statüsü verilen yaklaşık 3 milyon Suriyeliye ev sahipliği yapmaktadır</w:t>
      </w:r>
      <w:r w:rsidR="00574EE2" w:rsidRPr="001A4B94">
        <w:rPr>
          <w:rFonts w:ascii="Times New Roman" w:hAnsi="Times New Roman"/>
          <w:sz w:val="23"/>
          <w:szCs w:val="23"/>
          <w:lang w:val="tr-TR"/>
        </w:rPr>
        <w:t>. T</w:t>
      </w:r>
      <w:r w:rsidR="00030D3C" w:rsidRPr="001A4B94">
        <w:rPr>
          <w:rFonts w:ascii="Times New Roman" w:hAnsi="Times New Roman"/>
          <w:sz w:val="23"/>
          <w:szCs w:val="23"/>
          <w:lang w:val="tr-TR"/>
        </w:rPr>
        <w:t xml:space="preserve">ürkiye, kayıt, dolaşım özgürlüğü, sağlık ve eğitim hizmetleri, yasal istihdam  beklentileri dahil olmak üzere GKSS’lerin ihtiyaçlarını  kendi kanunlarına tabi olarak ve çoğunlukla giderlerini kendi üstlenerek karşılamaktadır </w:t>
      </w:r>
      <w:r w:rsidR="00574EE2" w:rsidRPr="001A4B94">
        <w:rPr>
          <w:rFonts w:ascii="Times New Roman" w:hAnsi="Times New Roman"/>
          <w:sz w:val="23"/>
          <w:szCs w:val="23"/>
          <w:lang w:val="tr-TR"/>
        </w:rPr>
        <w:t>(</w:t>
      </w:r>
      <w:r w:rsidR="00030D3C" w:rsidRPr="001A4B94">
        <w:rPr>
          <w:rFonts w:ascii="Times New Roman" w:hAnsi="Times New Roman"/>
          <w:sz w:val="23"/>
          <w:szCs w:val="23"/>
          <w:lang w:val="tr-TR"/>
        </w:rPr>
        <w:t>GKSS’lerin yüzde 10’dan azı kamplarda barındırılmakt</w:t>
      </w:r>
      <w:r w:rsidR="00D90578" w:rsidRPr="001A4B94">
        <w:rPr>
          <w:rFonts w:ascii="Times New Roman" w:hAnsi="Times New Roman"/>
          <w:sz w:val="23"/>
          <w:szCs w:val="23"/>
          <w:lang w:val="tr-TR"/>
        </w:rPr>
        <w:t>a</w:t>
      </w:r>
      <w:r w:rsidR="00030D3C" w:rsidRPr="001A4B94">
        <w:rPr>
          <w:rFonts w:ascii="Times New Roman" w:hAnsi="Times New Roman"/>
          <w:sz w:val="23"/>
          <w:szCs w:val="23"/>
          <w:lang w:val="tr-TR"/>
        </w:rPr>
        <w:t>dır</w:t>
      </w:r>
      <w:r w:rsidR="00574EE2" w:rsidRPr="001A4B94">
        <w:rPr>
          <w:rFonts w:ascii="Times New Roman" w:hAnsi="Times New Roman"/>
          <w:sz w:val="23"/>
          <w:szCs w:val="23"/>
          <w:lang w:val="tr-TR"/>
        </w:rPr>
        <w:t>)</w:t>
      </w:r>
      <w:r w:rsidR="0093001D" w:rsidRPr="001A4B94">
        <w:rPr>
          <w:rFonts w:ascii="Times New Roman" w:hAnsi="Times New Roman"/>
          <w:sz w:val="23"/>
          <w:szCs w:val="23"/>
          <w:lang w:val="tr-TR"/>
        </w:rPr>
        <w:t>.</w:t>
      </w:r>
      <w:r w:rsidR="003447F7" w:rsidRPr="001A4B94">
        <w:rPr>
          <w:rFonts w:ascii="Times New Roman" w:hAnsi="Times New Roman"/>
          <w:sz w:val="23"/>
          <w:szCs w:val="23"/>
          <w:lang w:val="tr-TR"/>
        </w:rPr>
        <w:t xml:space="preserve"> </w:t>
      </w:r>
      <w:r w:rsidR="00030D3C" w:rsidRPr="001A4B94">
        <w:rPr>
          <w:rFonts w:ascii="Times New Roman" w:hAnsi="Times New Roman"/>
          <w:sz w:val="23"/>
          <w:szCs w:val="23"/>
          <w:lang w:val="tr-TR"/>
        </w:rPr>
        <w:t>Bu takdire şayan yaklaşıma rağmen</w:t>
      </w:r>
      <w:r w:rsidR="00C24259" w:rsidRPr="001A4B94">
        <w:rPr>
          <w:rFonts w:ascii="Times New Roman" w:hAnsi="Times New Roman"/>
          <w:sz w:val="23"/>
          <w:szCs w:val="23"/>
          <w:lang w:val="tr-TR"/>
        </w:rPr>
        <w:t xml:space="preserve">, </w:t>
      </w:r>
      <w:r w:rsidR="00D90578" w:rsidRPr="001A4B94">
        <w:rPr>
          <w:rFonts w:ascii="Times New Roman" w:hAnsi="Times New Roman"/>
          <w:sz w:val="23"/>
          <w:szCs w:val="23"/>
          <w:lang w:val="tr-TR"/>
        </w:rPr>
        <w:t>bu kadar çok sayıda GKSS’l</w:t>
      </w:r>
      <w:r w:rsidR="006D59AD" w:rsidRPr="001A4B94">
        <w:rPr>
          <w:rFonts w:ascii="Times New Roman" w:hAnsi="Times New Roman"/>
          <w:sz w:val="23"/>
          <w:szCs w:val="23"/>
          <w:lang w:val="tr-TR"/>
        </w:rPr>
        <w:t>nin</w:t>
      </w:r>
      <w:r w:rsidR="00D90578" w:rsidRPr="001A4B94">
        <w:rPr>
          <w:rFonts w:ascii="Times New Roman" w:hAnsi="Times New Roman"/>
          <w:sz w:val="23"/>
          <w:szCs w:val="23"/>
          <w:lang w:val="tr-TR"/>
        </w:rPr>
        <w:t xml:space="preserve"> mevcudiyeti hizmetler ve işgücü piyasası üzerinde baskılar yaratmaktadır</w:t>
      </w:r>
      <w:r w:rsidR="00C24259" w:rsidRPr="001A4B94">
        <w:rPr>
          <w:rFonts w:ascii="Times New Roman" w:hAnsi="Times New Roman"/>
          <w:sz w:val="23"/>
          <w:szCs w:val="23"/>
          <w:lang w:val="tr-TR"/>
        </w:rPr>
        <w:t xml:space="preserve">. </w:t>
      </w:r>
      <w:r w:rsidR="00D90578" w:rsidRPr="001A4B94">
        <w:rPr>
          <w:rFonts w:ascii="Times New Roman" w:hAnsi="Times New Roman"/>
          <w:sz w:val="23"/>
          <w:szCs w:val="23"/>
          <w:lang w:val="tr-TR"/>
        </w:rPr>
        <w:t>Aynı  zamanda</w:t>
      </w:r>
      <w:r w:rsidR="00B73927" w:rsidRPr="001A4B94">
        <w:rPr>
          <w:rFonts w:ascii="Times New Roman" w:hAnsi="Times New Roman"/>
          <w:sz w:val="23"/>
          <w:szCs w:val="23"/>
          <w:lang w:val="tr-TR"/>
        </w:rPr>
        <w:t xml:space="preserve">, </w:t>
      </w:r>
      <w:r w:rsidR="006D59AD" w:rsidRPr="001A4B94">
        <w:rPr>
          <w:rFonts w:ascii="Times New Roman" w:hAnsi="Times New Roman"/>
          <w:sz w:val="23"/>
          <w:szCs w:val="23"/>
          <w:lang w:val="tr-TR"/>
        </w:rPr>
        <w:t>O</w:t>
      </w:r>
      <w:r w:rsidR="00D90578" w:rsidRPr="001A4B94">
        <w:rPr>
          <w:rFonts w:ascii="Times New Roman" w:hAnsi="Times New Roman"/>
          <w:sz w:val="23"/>
          <w:szCs w:val="23"/>
          <w:lang w:val="tr-TR"/>
        </w:rPr>
        <w:t xml:space="preserve">rta Doğu bölgesindeki jeopolitik çalkantılar ve bunun Türkiye’nin doğu ve güneydoğu bölgelerinde yarattığı sonuçlar </w:t>
      </w:r>
      <w:r w:rsidR="006D59AD" w:rsidRPr="001A4B94">
        <w:rPr>
          <w:rFonts w:ascii="Times New Roman" w:hAnsi="Times New Roman"/>
          <w:sz w:val="23"/>
          <w:szCs w:val="23"/>
          <w:lang w:val="tr-TR"/>
        </w:rPr>
        <w:t>b</w:t>
      </w:r>
      <w:r w:rsidR="00D90578" w:rsidRPr="001A4B94">
        <w:rPr>
          <w:rFonts w:ascii="Times New Roman" w:hAnsi="Times New Roman"/>
          <w:sz w:val="23"/>
          <w:szCs w:val="23"/>
          <w:lang w:val="tr-TR"/>
        </w:rPr>
        <w:t>azı bölgelerde yerel ekonomileri etkilemiş, turizmi  durgunlaştırmış ve yatırımlar üzerinde caydırıcı bir etki yaratmıştır</w:t>
      </w:r>
      <w:r w:rsidR="0093001D" w:rsidRPr="001A4B94">
        <w:rPr>
          <w:rFonts w:ascii="Times New Roman" w:hAnsi="Times New Roman"/>
          <w:sz w:val="23"/>
          <w:szCs w:val="23"/>
          <w:lang w:val="tr-TR"/>
        </w:rPr>
        <w:t xml:space="preserve">.  </w:t>
      </w:r>
    </w:p>
    <w:p w14:paraId="59ABB9A6" w14:textId="77777777" w:rsidR="0087193B" w:rsidRPr="001A4B94" w:rsidRDefault="0087193B" w:rsidP="0087193B">
      <w:pPr>
        <w:pStyle w:val="ListeParagraf"/>
        <w:rPr>
          <w:rFonts w:ascii="Times New Roman" w:hAnsi="Times New Roman"/>
          <w:b/>
          <w:sz w:val="23"/>
          <w:szCs w:val="23"/>
          <w:lang w:val="tr-TR"/>
        </w:rPr>
      </w:pPr>
    </w:p>
    <w:p w14:paraId="0F35BF11" w14:textId="1E4DE90F" w:rsidR="0087193B" w:rsidRPr="001A4B94" w:rsidRDefault="007907FB" w:rsidP="00B112FD">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T</w:t>
      </w:r>
      <w:r w:rsidR="00302BC0" w:rsidRPr="001A4B94">
        <w:rPr>
          <w:rFonts w:ascii="Times New Roman" w:hAnsi="Times New Roman"/>
          <w:b/>
          <w:sz w:val="23"/>
          <w:szCs w:val="23"/>
          <w:lang w:val="tr-TR"/>
        </w:rPr>
        <w:t xml:space="preserve">ürkiye’nin AB </w:t>
      </w:r>
      <w:r w:rsidR="004B7713" w:rsidRPr="001A4B94">
        <w:rPr>
          <w:rFonts w:ascii="Times New Roman" w:hAnsi="Times New Roman"/>
          <w:b/>
          <w:sz w:val="23"/>
          <w:szCs w:val="23"/>
          <w:lang w:val="tr-TR"/>
        </w:rPr>
        <w:t>i</w:t>
      </w:r>
      <w:r w:rsidR="00302BC0" w:rsidRPr="001A4B94">
        <w:rPr>
          <w:rFonts w:ascii="Times New Roman" w:hAnsi="Times New Roman"/>
          <w:b/>
          <w:sz w:val="23"/>
          <w:szCs w:val="23"/>
          <w:lang w:val="tr-TR"/>
        </w:rPr>
        <w:t>le ilişkilerine inişler ve çıkışlar damgasını vurmuştur</w:t>
      </w:r>
      <w:r w:rsidR="00A165B7" w:rsidRPr="001A4B94">
        <w:rPr>
          <w:rFonts w:ascii="Times New Roman" w:hAnsi="Times New Roman"/>
          <w:b/>
          <w:sz w:val="23"/>
          <w:szCs w:val="23"/>
          <w:lang w:val="tr-TR"/>
        </w:rPr>
        <w:t>.</w:t>
      </w:r>
      <w:r w:rsidR="00720B7C" w:rsidRPr="001A4B94">
        <w:rPr>
          <w:rFonts w:ascii="Times New Roman" w:hAnsi="Times New Roman"/>
          <w:sz w:val="23"/>
          <w:szCs w:val="23"/>
          <w:lang w:val="tr-TR"/>
        </w:rPr>
        <w:t xml:space="preserve"> </w:t>
      </w:r>
      <w:r w:rsidR="00620D57" w:rsidRPr="001A4B94">
        <w:rPr>
          <w:rFonts w:ascii="Times New Roman" w:hAnsi="Times New Roman"/>
          <w:sz w:val="23"/>
          <w:szCs w:val="23"/>
          <w:lang w:val="tr-TR"/>
        </w:rPr>
        <w:t>Türkiye 1995 yılında imzalanan Gümrük Birliği Anlaşmasından bu yana</w:t>
      </w:r>
      <w:r w:rsidR="004B7713" w:rsidRPr="001A4B94">
        <w:rPr>
          <w:rFonts w:ascii="Times New Roman" w:hAnsi="Times New Roman"/>
          <w:sz w:val="23"/>
          <w:szCs w:val="23"/>
          <w:lang w:val="tr-TR"/>
        </w:rPr>
        <w:t xml:space="preserve"> AB ile olan ekonomik bağlarınd</w:t>
      </w:r>
      <w:r w:rsidR="00620D57" w:rsidRPr="001A4B94">
        <w:rPr>
          <w:rFonts w:ascii="Times New Roman" w:hAnsi="Times New Roman"/>
          <w:sz w:val="23"/>
          <w:szCs w:val="23"/>
          <w:lang w:val="tr-TR"/>
        </w:rPr>
        <w:t>a</w:t>
      </w:r>
      <w:r w:rsidR="004B7713" w:rsidRPr="001A4B94">
        <w:rPr>
          <w:rFonts w:ascii="Times New Roman" w:hAnsi="Times New Roman"/>
          <w:sz w:val="23"/>
          <w:szCs w:val="23"/>
          <w:lang w:val="tr-TR"/>
        </w:rPr>
        <w:t>n</w:t>
      </w:r>
      <w:r w:rsidR="00620D57" w:rsidRPr="001A4B94">
        <w:rPr>
          <w:rFonts w:ascii="Times New Roman" w:hAnsi="Times New Roman"/>
          <w:sz w:val="23"/>
          <w:szCs w:val="23"/>
          <w:lang w:val="tr-TR"/>
        </w:rPr>
        <w:t xml:space="preserve"> önemli ölçüde faydalanmıştır</w:t>
      </w:r>
      <w:r w:rsidRPr="001A4B94">
        <w:rPr>
          <w:rFonts w:ascii="Times New Roman" w:hAnsi="Times New Roman"/>
          <w:sz w:val="23"/>
          <w:szCs w:val="23"/>
          <w:lang w:val="tr-TR"/>
        </w:rPr>
        <w:t>.  2005</w:t>
      </w:r>
      <w:r w:rsidR="00620D57" w:rsidRPr="001A4B94">
        <w:rPr>
          <w:rFonts w:ascii="Times New Roman" w:hAnsi="Times New Roman"/>
          <w:sz w:val="23"/>
          <w:szCs w:val="23"/>
          <w:lang w:val="tr-TR"/>
        </w:rPr>
        <w:t xml:space="preserve"> yılında</w:t>
      </w:r>
      <w:r w:rsidRPr="001A4B94">
        <w:rPr>
          <w:rFonts w:ascii="Times New Roman" w:hAnsi="Times New Roman"/>
          <w:sz w:val="23"/>
          <w:szCs w:val="23"/>
          <w:lang w:val="tr-TR"/>
        </w:rPr>
        <w:t xml:space="preserve">, </w:t>
      </w:r>
      <w:r w:rsidR="00620D57" w:rsidRPr="001A4B94">
        <w:rPr>
          <w:rFonts w:ascii="Times New Roman" w:hAnsi="Times New Roman"/>
          <w:sz w:val="23"/>
          <w:szCs w:val="23"/>
          <w:lang w:val="tr-TR"/>
        </w:rPr>
        <w:t>AB ile katılım müzakereleri başlamıştır ve bu süreç reform yolu için bir çıpa, uzun vadeli hedefleri için de güçlü bir pozitif gösterge işlevi görmüştür</w:t>
      </w:r>
      <w:r w:rsidR="004B7713" w:rsidRPr="001A4B94">
        <w:rPr>
          <w:rFonts w:ascii="Times New Roman" w:hAnsi="Times New Roman"/>
          <w:sz w:val="23"/>
          <w:szCs w:val="23"/>
          <w:lang w:val="tr-TR"/>
        </w:rPr>
        <w:t xml:space="preserve">. </w:t>
      </w:r>
      <w:r w:rsidR="00620D57" w:rsidRPr="001A4B94">
        <w:rPr>
          <w:rFonts w:ascii="Times New Roman" w:hAnsi="Times New Roman"/>
          <w:sz w:val="23"/>
          <w:szCs w:val="23"/>
          <w:lang w:val="tr-TR"/>
        </w:rPr>
        <w:t>2010’lu yıllar</w:t>
      </w:r>
      <w:r w:rsidR="004B7713" w:rsidRPr="001A4B94">
        <w:rPr>
          <w:rFonts w:ascii="Times New Roman" w:hAnsi="Times New Roman"/>
          <w:sz w:val="23"/>
          <w:szCs w:val="23"/>
          <w:lang w:val="tr-TR"/>
        </w:rPr>
        <w:t>ın başlarınd</w:t>
      </w:r>
      <w:r w:rsidR="00620D57" w:rsidRPr="001A4B94">
        <w:rPr>
          <w:rFonts w:ascii="Times New Roman" w:hAnsi="Times New Roman"/>
          <w:sz w:val="23"/>
          <w:szCs w:val="23"/>
          <w:lang w:val="tr-TR"/>
        </w:rPr>
        <w:t>a</w:t>
      </w:r>
      <w:r w:rsidR="004B7713" w:rsidRPr="001A4B94">
        <w:rPr>
          <w:rFonts w:ascii="Times New Roman" w:hAnsi="Times New Roman"/>
          <w:sz w:val="23"/>
          <w:szCs w:val="23"/>
          <w:lang w:val="tr-TR"/>
        </w:rPr>
        <w:t>n</w:t>
      </w:r>
      <w:r w:rsidR="00620D57" w:rsidRPr="001A4B94">
        <w:rPr>
          <w:rFonts w:ascii="Times New Roman" w:hAnsi="Times New Roman"/>
          <w:sz w:val="23"/>
          <w:szCs w:val="23"/>
          <w:lang w:val="tr-TR"/>
        </w:rPr>
        <w:t xml:space="preserve"> bu yana AB müzakereleri yavaşlamasına rağmen</w:t>
      </w:r>
      <w:r w:rsidR="00A65A6E" w:rsidRPr="001A4B94">
        <w:rPr>
          <w:rFonts w:ascii="Times New Roman" w:hAnsi="Times New Roman"/>
          <w:sz w:val="23"/>
          <w:szCs w:val="23"/>
          <w:lang w:val="tr-TR"/>
        </w:rPr>
        <w:t xml:space="preserve">, </w:t>
      </w:r>
      <w:r w:rsidR="00620D57" w:rsidRPr="001A4B94">
        <w:rPr>
          <w:rFonts w:ascii="Times New Roman" w:hAnsi="Times New Roman"/>
          <w:sz w:val="23"/>
          <w:szCs w:val="23"/>
          <w:lang w:val="tr-TR"/>
        </w:rPr>
        <w:t>2015/16 yıllarında katılım sürecinde iki yeni fasıl daha müzakerelere açılmıştır</w:t>
      </w:r>
      <w:r w:rsidR="00934303" w:rsidRPr="001A4B94">
        <w:rPr>
          <w:rFonts w:ascii="Times New Roman" w:hAnsi="Times New Roman"/>
          <w:sz w:val="23"/>
          <w:szCs w:val="23"/>
          <w:lang w:val="tr-TR"/>
        </w:rPr>
        <w:t xml:space="preserve">. </w:t>
      </w:r>
      <w:r w:rsidR="00B73927" w:rsidRPr="001A4B94">
        <w:rPr>
          <w:rFonts w:ascii="Times New Roman" w:hAnsi="Times New Roman"/>
          <w:sz w:val="23"/>
          <w:szCs w:val="23"/>
          <w:lang w:val="tr-TR"/>
        </w:rPr>
        <w:t>2015</w:t>
      </w:r>
      <w:r w:rsidR="00620D57" w:rsidRPr="001A4B94">
        <w:rPr>
          <w:rFonts w:ascii="Times New Roman" w:hAnsi="Times New Roman"/>
          <w:sz w:val="23"/>
          <w:szCs w:val="23"/>
          <w:lang w:val="tr-TR"/>
        </w:rPr>
        <w:t xml:space="preserve"> yılının sonlarında</w:t>
      </w:r>
      <w:r w:rsidR="00737DD7" w:rsidRPr="001A4B94">
        <w:rPr>
          <w:rFonts w:ascii="Times New Roman" w:hAnsi="Times New Roman"/>
          <w:sz w:val="23"/>
          <w:szCs w:val="23"/>
          <w:lang w:val="tr-TR"/>
        </w:rPr>
        <w:t xml:space="preserve">, </w:t>
      </w:r>
      <w:r w:rsidR="005A1AAD" w:rsidRPr="001A4B94">
        <w:rPr>
          <w:rFonts w:ascii="Times New Roman" w:hAnsi="Times New Roman"/>
          <w:sz w:val="23"/>
          <w:szCs w:val="23"/>
          <w:lang w:val="tr-TR"/>
        </w:rPr>
        <w:t>Türkiye’den Avrupa’ya çok sayıda GKSS ge</w:t>
      </w:r>
      <w:r w:rsidR="004B7713" w:rsidRPr="001A4B94">
        <w:rPr>
          <w:rFonts w:ascii="Times New Roman" w:hAnsi="Times New Roman"/>
          <w:sz w:val="23"/>
          <w:szCs w:val="23"/>
          <w:lang w:val="tr-TR"/>
        </w:rPr>
        <w:t>çişind</w:t>
      </w:r>
      <w:r w:rsidR="005A1AAD" w:rsidRPr="001A4B94">
        <w:rPr>
          <w:rFonts w:ascii="Times New Roman" w:hAnsi="Times New Roman"/>
          <w:sz w:val="23"/>
          <w:szCs w:val="23"/>
          <w:lang w:val="tr-TR"/>
        </w:rPr>
        <w:t>e</w:t>
      </w:r>
      <w:r w:rsidR="004B7713" w:rsidRPr="001A4B94">
        <w:rPr>
          <w:rFonts w:ascii="Times New Roman" w:hAnsi="Times New Roman"/>
          <w:sz w:val="23"/>
          <w:szCs w:val="23"/>
          <w:lang w:val="tr-TR"/>
        </w:rPr>
        <w:t>n</w:t>
      </w:r>
      <w:r w:rsidR="005A1AAD" w:rsidRPr="001A4B94">
        <w:rPr>
          <w:rFonts w:ascii="Times New Roman" w:hAnsi="Times New Roman"/>
          <w:sz w:val="23"/>
          <w:szCs w:val="23"/>
          <w:lang w:val="tr-TR"/>
        </w:rPr>
        <w:t xml:space="preserve"> kaynaklanan krizin daha hızlı bir ilerleme için bir teşvik sunduğu görü</w:t>
      </w:r>
      <w:r w:rsidR="00195C0E" w:rsidRPr="001A4B94">
        <w:rPr>
          <w:rFonts w:ascii="Times New Roman" w:hAnsi="Times New Roman"/>
          <w:sz w:val="23"/>
          <w:szCs w:val="23"/>
          <w:lang w:val="tr-TR"/>
        </w:rPr>
        <w:t>l</w:t>
      </w:r>
      <w:r w:rsidR="005A1AAD" w:rsidRPr="001A4B94">
        <w:rPr>
          <w:rFonts w:ascii="Times New Roman" w:hAnsi="Times New Roman"/>
          <w:sz w:val="23"/>
          <w:szCs w:val="23"/>
          <w:lang w:val="tr-TR"/>
        </w:rPr>
        <w:t xml:space="preserve">müştür. Türkiye Avrupa’ya düzensiz göç geçişini durdurmak için daha fazla </w:t>
      </w:r>
      <w:r w:rsidR="00737DD7" w:rsidRPr="001A4B94">
        <w:rPr>
          <w:rFonts w:ascii="Times New Roman" w:hAnsi="Times New Roman"/>
          <w:sz w:val="23"/>
          <w:szCs w:val="23"/>
          <w:lang w:val="tr-TR"/>
        </w:rPr>
        <w:t xml:space="preserve"> </w:t>
      </w:r>
      <w:r w:rsidR="004B7713" w:rsidRPr="001A4B94">
        <w:rPr>
          <w:rFonts w:ascii="Times New Roman" w:hAnsi="Times New Roman"/>
          <w:sz w:val="23"/>
          <w:szCs w:val="23"/>
          <w:lang w:val="tr-TR"/>
        </w:rPr>
        <w:t>çalış</w:t>
      </w:r>
      <w:r w:rsidR="005A1AAD" w:rsidRPr="001A4B94">
        <w:rPr>
          <w:rFonts w:ascii="Times New Roman" w:hAnsi="Times New Roman"/>
          <w:sz w:val="23"/>
          <w:szCs w:val="23"/>
          <w:lang w:val="tr-TR"/>
        </w:rPr>
        <w:t>m</w:t>
      </w:r>
      <w:r w:rsidR="004B7713" w:rsidRPr="001A4B94">
        <w:rPr>
          <w:rFonts w:ascii="Times New Roman" w:hAnsi="Times New Roman"/>
          <w:sz w:val="23"/>
          <w:szCs w:val="23"/>
          <w:lang w:val="tr-TR"/>
        </w:rPr>
        <w:t>a</w:t>
      </w:r>
      <w:r w:rsidR="005A1AAD" w:rsidRPr="001A4B94">
        <w:rPr>
          <w:rFonts w:ascii="Times New Roman" w:hAnsi="Times New Roman"/>
          <w:sz w:val="23"/>
          <w:szCs w:val="23"/>
          <w:lang w:val="tr-TR"/>
        </w:rPr>
        <w:t xml:space="preserve"> yapmayı kabul ederken, AB </w:t>
      </w:r>
      <w:r w:rsidR="007D6138" w:rsidRPr="001A4B94">
        <w:rPr>
          <w:rFonts w:ascii="Times New Roman" w:hAnsi="Times New Roman"/>
          <w:sz w:val="23"/>
          <w:szCs w:val="23"/>
          <w:lang w:val="tr-TR"/>
        </w:rPr>
        <w:t xml:space="preserve">bir insani yardım </w:t>
      </w:r>
      <w:r w:rsidR="004B7713" w:rsidRPr="001A4B94">
        <w:rPr>
          <w:rFonts w:ascii="Times New Roman" w:hAnsi="Times New Roman"/>
          <w:sz w:val="23"/>
          <w:szCs w:val="23"/>
          <w:lang w:val="tr-TR"/>
        </w:rPr>
        <w:t>p</w:t>
      </w:r>
      <w:r w:rsidR="007D6138" w:rsidRPr="001A4B94">
        <w:rPr>
          <w:rFonts w:ascii="Times New Roman" w:hAnsi="Times New Roman"/>
          <w:sz w:val="23"/>
          <w:szCs w:val="23"/>
          <w:lang w:val="tr-TR"/>
        </w:rPr>
        <w:t>rogramı kapsa</w:t>
      </w:r>
      <w:r w:rsidR="004B7713" w:rsidRPr="001A4B94">
        <w:rPr>
          <w:rFonts w:ascii="Times New Roman" w:hAnsi="Times New Roman"/>
          <w:sz w:val="23"/>
          <w:szCs w:val="23"/>
          <w:lang w:val="tr-TR"/>
        </w:rPr>
        <w:t>m</w:t>
      </w:r>
      <w:r w:rsidR="007D6138" w:rsidRPr="001A4B94">
        <w:rPr>
          <w:rFonts w:ascii="Times New Roman" w:hAnsi="Times New Roman"/>
          <w:sz w:val="23"/>
          <w:szCs w:val="23"/>
          <w:lang w:val="tr-TR"/>
        </w:rPr>
        <w:t>ında Türkiye’den GKSS kabul etmeyi, Gümrük Birliğin</w:t>
      </w:r>
      <w:r w:rsidR="00C5690A" w:rsidRPr="001A4B94">
        <w:rPr>
          <w:rFonts w:ascii="Times New Roman" w:hAnsi="Times New Roman"/>
          <w:sz w:val="23"/>
          <w:szCs w:val="23"/>
          <w:lang w:val="tr-TR"/>
        </w:rPr>
        <w:t xml:space="preserve">in güncelleştirilmesi çalışmalarını, AB müzakere sürecini ve </w:t>
      </w:r>
      <w:r w:rsidR="00B112FD" w:rsidRPr="001A4B94">
        <w:rPr>
          <w:rFonts w:ascii="Times New Roman" w:hAnsi="Times New Roman"/>
          <w:sz w:val="23"/>
          <w:szCs w:val="23"/>
          <w:lang w:val="tr-TR"/>
        </w:rPr>
        <w:t xml:space="preserve">Türklerin vizesiz bir şekilde Avrupa’ya girişine olanak tanınması sürecini </w:t>
      </w:r>
      <w:r w:rsidR="00C5690A" w:rsidRPr="001A4B94">
        <w:rPr>
          <w:rFonts w:ascii="Times New Roman" w:hAnsi="Times New Roman"/>
          <w:sz w:val="23"/>
          <w:szCs w:val="23"/>
          <w:lang w:val="tr-TR"/>
        </w:rPr>
        <w:t xml:space="preserve">hızlandırmayı  </w:t>
      </w:r>
      <w:r w:rsidR="007D6138" w:rsidRPr="001A4B94">
        <w:rPr>
          <w:rFonts w:ascii="Times New Roman" w:hAnsi="Times New Roman"/>
          <w:sz w:val="23"/>
          <w:szCs w:val="23"/>
          <w:lang w:val="tr-TR"/>
        </w:rPr>
        <w:t>kabul etmiştir</w:t>
      </w:r>
      <w:r w:rsidR="00737DD7" w:rsidRPr="001A4B94">
        <w:rPr>
          <w:rFonts w:ascii="Times New Roman" w:hAnsi="Times New Roman"/>
          <w:sz w:val="23"/>
          <w:szCs w:val="23"/>
          <w:lang w:val="tr-TR"/>
        </w:rPr>
        <w:t xml:space="preserve">. </w:t>
      </w:r>
      <w:r w:rsidR="00B112FD" w:rsidRPr="001A4B94">
        <w:rPr>
          <w:rFonts w:ascii="Times New Roman" w:hAnsi="Times New Roman"/>
          <w:sz w:val="23"/>
          <w:szCs w:val="23"/>
          <w:lang w:val="tr-TR"/>
        </w:rPr>
        <w:t>AB ayrıca Türkiye’de barındırılan GKSS’ler için 6 milyar €’luk bir yardım sağlamayı da taahhüt etmiştir</w:t>
      </w:r>
      <w:r w:rsidR="00574EE2" w:rsidRPr="001A4B94">
        <w:rPr>
          <w:rFonts w:ascii="Times New Roman" w:hAnsi="Times New Roman"/>
          <w:sz w:val="23"/>
          <w:szCs w:val="23"/>
          <w:lang w:val="tr-TR"/>
        </w:rPr>
        <w:t xml:space="preserve">. </w:t>
      </w:r>
      <w:r w:rsidR="00B112FD" w:rsidRPr="001A4B94">
        <w:rPr>
          <w:rFonts w:ascii="Times New Roman" w:hAnsi="Times New Roman"/>
          <w:sz w:val="23"/>
          <w:szCs w:val="23"/>
          <w:lang w:val="tr-TR"/>
        </w:rPr>
        <w:t>Türkiye’den Y</w:t>
      </w:r>
      <w:r w:rsidR="004B7713" w:rsidRPr="001A4B94">
        <w:rPr>
          <w:rFonts w:ascii="Times New Roman" w:hAnsi="Times New Roman"/>
          <w:sz w:val="23"/>
          <w:szCs w:val="23"/>
          <w:lang w:val="tr-TR"/>
        </w:rPr>
        <w:t>u</w:t>
      </w:r>
      <w:r w:rsidR="00B112FD" w:rsidRPr="001A4B94">
        <w:rPr>
          <w:rFonts w:ascii="Times New Roman" w:hAnsi="Times New Roman"/>
          <w:sz w:val="23"/>
          <w:szCs w:val="23"/>
          <w:lang w:val="tr-TR"/>
        </w:rPr>
        <w:t>nanistan’a düzensiz geçişler önemli ölçüde azalmış olmasına ve 3 milyar € tutarında bir AB desteği taahhüt edilmesine rağmen,</w:t>
      </w:r>
      <w:r w:rsidR="00B112FD" w:rsidRPr="001A4B94">
        <w:rPr>
          <w:rFonts w:ascii="Times New Roman" w:hAnsi="Times New Roman"/>
          <w:b/>
          <w:sz w:val="23"/>
          <w:szCs w:val="23"/>
          <w:lang w:val="tr-TR"/>
        </w:rPr>
        <w:t xml:space="preserve"> Türk vatandaşlarının AB’nin </w:t>
      </w:r>
      <w:r w:rsidR="00B112FD" w:rsidRPr="001A4B94">
        <w:rPr>
          <w:rFonts w:ascii="Times New Roman" w:hAnsi="Times New Roman"/>
          <w:sz w:val="23"/>
          <w:szCs w:val="23"/>
          <w:lang w:val="tr-TR"/>
        </w:rPr>
        <w:t xml:space="preserve">Schengen bölgesine vizesiz girişi </w:t>
      </w:r>
      <w:r w:rsidR="009F3D02" w:rsidRPr="001A4B94">
        <w:rPr>
          <w:rFonts w:ascii="Times New Roman" w:hAnsi="Times New Roman"/>
          <w:sz w:val="23"/>
          <w:szCs w:val="23"/>
          <w:lang w:val="tr-TR"/>
        </w:rPr>
        <w:t>konusundaki ve GKSS’lerin AB’de iskanına yönelik Gönüllü İnsani Kabul Programındaki ilerleme yavaş kalmıştır</w:t>
      </w:r>
      <w:r w:rsidR="00E65B28" w:rsidRPr="001A4B94">
        <w:rPr>
          <w:rFonts w:ascii="Times New Roman" w:hAnsi="Times New Roman"/>
          <w:sz w:val="23"/>
          <w:szCs w:val="23"/>
          <w:lang w:val="tr-TR"/>
        </w:rPr>
        <w:t>.</w:t>
      </w:r>
      <w:r w:rsidR="0093001D" w:rsidRPr="001A4B94">
        <w:rPr>
          <w:rFonts w:ascii="Times New Roman" w:hAnsi="Times New Roman"/>
          <w:sz w:val="23"/>
          <w:szCs w:val="23"/>
          <w:lang w:val="tr-TR"/>
        </w:rPr>
        <w:t xml:space="preserve"> </w:t>
      </w:r>
      <w:r w:rsidR="009F3D02" w:rsidRPr="001A4B94">
        <w:rPr>
          <w:rFonts w:ascii="Times New Roman" w:hAnsi="Times New Roman"/>
          <w:sz w:val="23"/>
          <w:szCs w:val="23"/>
          <w:lang w:val="tr-TR"/>
        </w:rPr>
        <w:t xml:space="preserve">Bu durumda bile, AB halen Türkiye’nin en büyük ticaret ve kalkınma ortağı olduğu ve ticaret hacminde neredeyse yarı </w:t>
      </w:r>
      <w:r w:rsidR="004B7713" w:rsidRPr="001A4B94">
        <w:rPr>
          <w:rFonts w:ascii="Times New Roman" w:hAnsi="Times New Roman"/>
          <w:sz w:val="23"/>
          <w:szCs w:val="23"/>
          <w:lang w:val="tr-TR"/>
        </w:rPr>
        <w:t>y</w:t>
      </w:r>
      <w:r w:rsidR="009F3D02" w:rsidRPr="001A4B94">
        <w:rPr>
          <w:rFonts w:ascii="Times New Roman" w:hAnsi="Times New Roman"/>
          <w:sz w:val="23"/>
          <w:szCs w:val="23"/>
          <w:lang w:val="tr-TR"/>
        </w:rPr>
        <w:t>a</w:t>
      </w:r>
      <w:r w:rsidR="004B7713" w:rsidRPr="001A4B94">
        <w:rPr>
          <w:rFonts w:ascii="Times New Roman" w:hAnsi="Times New Roman"/>
          <w:sz w:val="23"/>
          <w:szCs w:val="23"/>
          <w:lang w:val="tr-TR"/>
        </w:rPr>
        <w:t>r</w:t>
      </w:r>
      <w:r w:rsidR="009F3D02" w:rsidRPr="001A4B94">
        <w:rPr>
          <w:rFonts w:ascii="Times New Roman" w:hAnsi="Times New Roman"/>
          <w:sz w:val="23"/>
          <w:szCs w:val="23"/>
          <w:lang w:val="tr-TR"/>
        </w:rPr>
        <w:t>ı</w:t>
      </w:r>
      <w:r w:rsidR="004B7713" w:rsidRPr="001A4B94">
        <w:rPr>
          <w:rFonts w:ascii="Times New Roman" w:hAnsi="Times New Roman"/>
          <w:sz w:val="23"/>
          <w:szCs w:val="23"/>
          <w:lang w:val="tr-TR"/>
        </w:rPr>
        <w:t>y</w:t>
      </w:r>
      <w:r w:rsidR="009F3D02" w:rsidRPr="001A4B94">
        <w:rPr>
          <w:rFonts w:ascii="Times New Roman" w:hAnsi="Times New Roman"/>
          <w:sz w:val="23"/>
          <w:szCs w:val="23"/>
          <w:lang w:val="tr-TR"/>
        </w:rPr>
        <w:t>a bir paya sahip olduğu  için</w:t>
      </w:r>
      <w:r w:rsidR="001F4545" w:rsidRPr="001A4B94">
        <w:rPr>
          <w:rFonts w:ascii="Times New Roman" w:hAnsi="Times New Roman"/>
          <w:sz w:val="23"/>
          <w:szCs w:val="23"/>
          <w:lang w:val="tr-TR"/>
        </w:rPr>
        <w:t>,</w:t>
      </w:r>
      <w:r w:rsidR="003B3BA7" w:rsidRPr="001A4B94">
        <w:rPr>
          <w:rFonts w:ascii="Times New Roman" w:hAnsi="Times New Roman"/>
          <w:sz w:val="23"/>
          <w:szCs w:val="23"/>
          <w:lang w:val="tr-TR"/>
        </w:rPr>
        <w:t xml:space="preserve"> </w:t>
      </w:r>
      <w:r w:rsidR="009F3D02" w:rsidRPr="001A4B94">
        <w:rPr>
          <w:rFonts w:ascii="Times New Roman" w:hAnsi="Times New Roman"/>
          <w:sz w:val="23"/>
          <w:szCs w:val="23"/>
          <w:lang w:val="tr-TR"/>
        </w:rPr>
        <w:t>AB’nin ticaret ve y</w:t>
      </w:r>
      <w:r w:rsidR="004B7713" w:rsidRPr="001A4B94">
        <w:rPr>
          <w:rFonts w:ascii="Times New Roman" w:hAnsi="Times New Roman"/>
          <w:sz w:val="23"/>
          <w:szCs w:val="23"/>
          <w:lang w:val="tr-TR"/>
        </w:rPr>
        <w:t>a</w:t>
      </w:r>
      <w:r w:rsidR="009F3D02" w:rsidRPr="001A4B94">
        <w:rPr>
          <w:rFonts w:ascii="Times New Roman" w:hAnsi="Times New Roman"/>
          <w:sz w:val="23"/>
          <w:szCs w:val="23"/>
          <w:lang w:val="tr-TR"/>
        </w:rPr>
        <w:t>tırım standartları ile uyumlaşma Türkiye’nin reform gündeminin en önemli maddesi olmaya devam edecektir.</w:t>
      </w:r>
    </w:p>
    <w:p w14:paraId="53F70967" w14:textId="77777777" w:rsidR="0087193B" w:rsidRPr="001A4B94" w:rsidRDefault="0087193B" w:rsidP="0087193B">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585F0DE0" w14:textId="44373642" w:rsidR="009E05E1" w:rsidRPr="001A4B94" w:rsidRDefault="004B7713" w:rsidP="00321CB0">
      <w:pPr>
        <w:pStyle w:val="ListeParagraf"/>
        <w:numPr>
          <w:ilvl w:val="0"/>
          <w:numId w:val="2"/>
        </w:numPr>
        <w:tabs>
          <w:tab w:val="left" w:pos="426"/>
        </w:tabs>
        <w:autoSpaceDE w:val="0"/>
        <w:autoSpaceDN w:val="0"/>
        <w:adjustRightInd w:val="0"/>
        <w:spacing w:after="160" w:line="259" w:lineRule="auto"/>
        <w:ind w:left="0" w:firstLine="0"/>
        <w:jc w:val="both"/>
        <w:rPr>
          <w:rFonts w:eastAsiaTheme="majorEastAsia"/>
          <w:b/>
          <w:i/>
          <w:sz w:val="23"/>
          <w:szCs w:val="23"/>
          <w:lang w:val="tr-TR"/>
        </w:rPr>
      </w:pPr>
      <w:r w:rsidRPr="001A4B94">
        <w:rPr>
          <w:rFonts w:ascii="Times New Roman" w:hAnsi="Times New Roman"/>
          <w:b/>
          <w:sz w:val="23"/>
          <w:szCs w:val="23"/>
          <w:lang w:val="tr-TR"/>
        </w:rPr>
        <w:t>Bu zorlu ortamda bile, Türkiye’nin kalkınma temelleri halen sağlamlığını korumaktadır</w:t>
      </w:r>
      <w:r w:rsidR="003B3BA7" w:rsidRPr="001A4B94">
        <w:rPr>
          <w:rFonts w:ascii="Times New Roman" w:hAnsi="Times New Roman"/>
          <w:b/>
          <w:sz w:val="23"/>
          <w:szCs w:val="23"/>
          <w:lang w:val="tr-TR"/>
        </w:rPr>
        <w:t>.</w:t>
      </w:r>
      <w:r w:rsidR="003B3BA7" w:rsidRPr="001A4B94">
        <w:rPr>
          <w:rFonts w:ascii="Times New Roman" w:hAnsi="Times New Roman"/>
          <w:sz w:val="23"/>
          <w:szCs w:val="23"/>
          <w:lang w:val="tr-TR"/>
        </w:rPr>
        <w:t xml:space="preserve">  </w:t>
      </w:r>
      <w:r w:rsidRPr="001A4B94">
        <w:rPr>
          <w:rFonts w:ascii="Times New Roman" w:hAnsi="Times New Roman"/>
          <w:sz w:val="23"/>
          <w:szCs w:val="23"/>
          <w:lang w:val="tr-TR"/>
        </w:rPr>
        <w:t>Asya ile Avrupa’nın kesişme noktasında yer alan</w:t>
      </w:r>
      <w:r w:rsidR="00443ACB" w:rsidRPr="001A4B94">
        <w:rPr>
          <w:rFonts w:ascii="Times New Roman" w:hAnsi="Times New Roman"/>
          <w:sz w:val="23"/>
          <w:szCs w:val="23"/>
          <w:lang w:val="tr-TR"/>
        </w:rPr>
        <w:t>,</w:t>
      </w:r>
      <w:r w:rsidRPr="001A4B94">
        <w:rPr>
          <w:rFonts w:ascii="Times New Roman" w:hAnsi="Times New Roman"/>
          <w:sz w:val="23"/>
          <w:szCs w:val="23"/>
          <w:lang w:val="tr-TR"/>
        </w:rPr>
        <w:t xml:space="preserve"> </w:t>
      </w:r>
      <w:r w:rsidR="00443ACB" w:rsidRPr="001A4B94">
        <w:rPr>
          <w:rFonts w:ascii="Times New Roman" w:hAnsi="Times New Roman"/>
          <w:sz w:val="23"/>
          <w:szCs w:val="23"/>
          <w:lang w:val="tr-TR"/>
        </w:rPr>
        <w:t xml:space="preserve">dinamik bir özel sektöre ve genç bir nüfusa sahip olan ve AB’ye katılım sürecinde olan Türkiye </w:t>
      </w:r>
      <w:r w:rsidR="00A165B7" w:rsidRPr="001A4B94">
        <w:rPr>
          <w:rFonts w:ascii="Times New Roman" w:hAnsi="Times New Roman"/>
          <w:sz w:val="23"/>
          <w:szCs w:val="23"/>
          <w:lang w:val="tr-TR"/>
        </w:rPr>
        <w:t xml:space="preserve"> </w:t>
      </w:r>
      <w:r w:rsidR="00443ACB" w:rsidRPr="001A4B94">
        <w:rPr>
          <w:rFonts w:ascii="Times New Roman" w:hAnsi="Times New Roman"/>
          <w:sz w:val="23"/>
          <w:szCs w:val="23"/>
          <w:lang w:val="tr-TR"/>
        </w:rPr>
        <w:t>küresel yatırımcıları çekmeye devam etmektedir</w:t>
      </w:r>
      <w:r w:rsidR="003B3BA7" w:rsidRPr="001A4B94">
        <w:rPr>
          <w:rFonts w:ascii="Times New Roman" w:hAnsi="Times New Roman"/>
          <w:sz w:val="23"/>
          <w:szCs w:val="23"/>
          <w:lang w:val="tr-TR"/>
        </w:rPr>
        <w:t xml:space="preserve">.  </w:t>
      </w:r>
      <w:r w:rsidR="00443ACB" w:rsidRPr="001A4B94">
        <w:rPr>
          <w:rFonts w:ascii="Times New Roman" w:hAnsi="Times New Roman"/>
          <w:sz w:val="23"/>
          <w:szCs w:val="23"/>
          <w:lang w:val="tr-TR"/>
        </w:rPr>
        <w:t>Güçlü makroekonomik yönetim Türkiye’nin küresel finansal krizi nispeten iyi bir şekilde atlatmasını sağlamıştır</w:t>
      </w:r>
      <w:r w:rsidR="003B3BA7" w:rsidRPr="001A4B94">
        <w:rPr>
          <w:rFonts w:ascii="Times New Roman" w:hAnsi="Times New Roman"/>
          <w:sz w:val="23"/>
          <w:szCs w:val="23"/>
          <w:lang w:val="tr-TR"/>
        </w:rPr>
        <w:t xml:space="preserve">.  </w:t>
      </w:r>
      <w:r w:rsidR="00443ACB" w:rsidRPr="001A4B94">
        <w:rPr>
          <w:rFonts w:ascii="Times New Roman" w:hAnsi="Times New Roman"/>
          <w:sz w:val="23"/>
          <w:szCs w:val="23"/>
          <w:lang w:val="tr-TR"/>
        </w:rPr>
        <w:t>Ancak geçmişteki başarılar gelecekteki başarıyı garanti etmez</w:t>
      </w:r>
      <w:r w:rsidR="003B3BA7" w:rsidRPr="001A4B94">
        <w:rPr>
          <w:rFonts w:ascii="Times New Roman" w:hAnsi="Times New Roman"/>
          <w:sz w:val="23"/>
          <w:szCs w:val="23"/>
          <w:lang w:val="tr-TR"/>
        </w:rPr>
        <w:t xml:space="preserve">.  </w:t>
      </w:r>
      <w:r w:rsidR="00443ACB" w:rsidRPr="001A4B94">
        <w:rPr>
          <w:rFonts w:ascii="Times New Roman" w:hAnsi="Times New Roman"/>
          <w:sz w:val="23"/>
          <w:szCs w:val="23"/>
          <w:lang w:val="tr-TR"/>
        </w:rPr>
        <w:t xml:space="preserve">Mevcut siyasi, sosyal ve ekonomik zorluklar ile ne kadar iyi baş edebileceğini, ne kadar yabancı ve yerli yatırım çekmeye </w:t>
      </w:r>
      <w:r w:rsidR="00443ACB" w:rsidRPr="001A4B94">
        <w:rPr>
          <w:rFonts w:ascii="Times New Roman" w:hAnsi="Times New Roman"/>
          <w:sz w:val="23"/>
          <w:szCs w:val="23"/>
          <w:lang w:val="tr-TR"/>
        </w:rPr>
        <w:lastRenderedPageBreak/>
        <w:t>devam ede</w:t>
      </w:r>
      <w:r w:rsidR="00976205" w:rsidRPr="001A4B94">
        <w:rPr>
          <w:rFonts w:ascii="Times New Roman" w:hAnsi="Times New Roman"/>
          <w:sz w:val="23"/>
          <w:szCs w:val="23"/>
          <w:lang w:val="tr-TR"/>
        </w:rPr>
        <w:t>bile</w:t>
      </w:r>
      <w:r w:rsidR="00443ACB" w:rsidRPr="001A4B94">
        <w:rPr>
          <w:rFonts w:ascii="Times New Roman" w:hAnsi="Times New Roman"/>
          <w:sz w:val="23"/>
          <w:szCs w:val="23"/>
          <w:lang w:val="tr-TR"/>
        </w:rPr>
        <w:t>ceği ve yük</w:t>
      </w:r>
      <w:r w:rsidR="00976205" w:rsidRPr="001A4B94">
        <w:rPr>
          <w:rFonts w:ascii="Times New Roman" w:hAnsi="Times New Roman"/>
          <w:sz w:val="23"/>
          <w:szCs w:val="23"/>
          <w:lang w:val="tr-TR"/>
        </w:rPr>
        <w:t>s</w:t>
      </w:r>
      <w:r w:rsidR="00443ACB" w:rsidRPr="001A4B94">
        <w:rPr>
          <w:rFonts w:ascii="Times New Roman" w:hAnsi="Times New Roman"/>
          <w:sz w:val="23"/>
          <w:szCs w:val="23"/>
          <w:lang w:val="tr-TR"/>
        </w:rPr>
        <w:t>ek geli</w:t>
      </w:r>
      <w:r w:rsidR="00976205" w:rsidRPr="001A4B94">
        <w:rPr>
          <w:rFonts w:ascii="Times New Roman" w:hAnsi="Times New Roman"/>
          <w:sz w:val="23"/>
          <w:szCs w:val="23"/>
          <w:lang w:val="tr-TR"/>
        </w:rPr>
        <w:t>r</w:t>
      </w:r>
      <w:r w:rsidR="00443ACB" w:rsidRPr="001A4B94">
        <w:rPr>
          <w:rFonts w:ascii="Times New Roman" w:hAnsi="Times New Roman"/>
          <w:sz w:val="23"/>
          <w:szCs w:val="23"/>
          <w:lang w:val="tr-TR"/>
        </w:rPr>
        <w:t xml:space="preserve">li bir ülke statüsüne ulaşma hedefini </w:t>
      </w:r>
      <w:r w:rsidR="00976205" w:rsidRPr="001A4B94">
        <w:rPr>
          <w:rFonts w:ascii="Times New Roman" w:hAnsi="Times New Roman"/>
          <w:sz w:val="23"/>
          <w:szCs w:val="23"/>
          <w:lang w:val="tr-TR"/>
        </w:rPr>
        <w:t xml:space="preserve">ne zaman </w:t>
      </w:r>
      <w:r w:rsidR="00443ACB" w:rsidRPr="001A4B94">
        <w:rPr>
          <w:rFonts w:ascii="Times New Roman" w:hAnsi="Times New Roman"/>
          <w:sz w:val="23"/>
          <w:szCs w:val="23"/>
          <w:lang w:val="tr-TR"/>
        </w:rPr>
        <w:t xml:space="preserve">yakalayabileceği belirleyecektir. </w:t>
      </w:r>
    </w:p>
    <w:p w14:paraId="10C5AAD9" w14:textId="05A9FBC4" w:rsidR="009B5479" w:rsidRPr="001A4B94" w:rsidRDefault="00824006" w:rsidP="00987009">
      <w:pPr>
        <w:pStyle w:val="Balk2"/>
        <w:rPr>
          <w:rFonts w:ascii="Times New Roman" w:hAnsi="Times New Roman" w:cs="Times New Roman"/>
          <w:b/>
          <w:i/>
          <w:color w:val="auto"/>
          <w:sz w:val="23"/>
          <w:szCs w:val="23"/>
          <w:lang w:val="tr-TR"/>
        </w:rPr>
      </w:pPr>
      <w:bookmarkStart w:id="3" w:name="_Toc494977322"/>
      <w:r w:rsidRPr="001A4B94">
        <w:rPr>
          <w:rFonts w:ascii="Times New Roman" w:hAnsi="Times New Roman" w:cs="Times New Roman"/>
          <w:b/>
          <w:i/>
          <w:color w:val="auto"/>
          <w:sz w:val="23"/>
          <w:szCs w:val="23"/>
          <w:lang w:val="tr-TR"/>
        </w:rPr>
        <w:t xml:space="preserve">II.2 </w:t>
      </w:r>
      <w:r w:rsidR="00A5254B" w:rsidRPr="001A4B94">
        <w:rPr>
          <w:rFonts w:ascii="Times New Roman" w:hAnsi="Times New Roman" w:cs="Times New Roman"/>
          <w:b/>
          <w:i/>
          <w:color w:val="auto"/>
          <w:sz w:val="23"/>
          <w:szCs w:val="23"/>
          <w:lang w:val="tr-TR"/>
        </w:rPr>
        <w:t>Son Ekonomik Gelişmeler ve Beklentiler</w:t>
      </w:r>
      <w:bookmarkEnd w:id="3"/>
      <w:r w:rsidR="00A5254B" w:rsidRPr="001A4B94">
        <w:rPr>
          <w:rFonts w:ascii="Times New Roman" w:hAnsi="Times New Roman" w:cs="Times New Roman"/>
          <w:b/>
          <w:i/>
          <w:color w:val="auto"/>
          <w:sz w:val="23"/>
          <w:szCs w:val="23"/>
          <w:lang w:val="tr-TR"/>
        </w:rPr>
        <w:t xml:space="preserve"> </w:t>
      </w:r>
    </w:p>
    <w:p w14:paraId="698E3CF6" w14:textId="77777777" w:rsidR="009B5479" w:rsidRPr="001A4B94" w:rsidRDefault="009B5479" w:rsidP="009B5479">
      <w:pPr>
        <w:pStyle w:val="ListeParagraf"/>
        <w:rPr>
          <w:rFonts w:ascii="Times New Roman" w:hAnsi="Times New Roman"/>
          <w:b/>
          <w:sz w:val="23"/>
          <w:szCs w:val="23"/>
          <w:lang w:val="tr-TR"/>
        </w:rPr>
      </w:pPr>
    </w:p>
    <w:p w14:paraId="14415E3B" w14:textId="5CB95484" w:rsidR="007E215F" w:rsidRPr="001A4B94" w:rsidRDefault="009B5479" w:rsidP="002A0F3B">
      <w:pPr>
        <w:pStyle w:val="ListeParagraf"/>
        <w:numPr>
          <w:ilvl w:val="0"/>
          <w:numId w:val="2"/>
        </w:numPr>
        <w:tabs>
          <w:tab w:val="left" w:pos="270"/>
        </w:tabs>
        <w:autoSpaceDE w:val="0"/>
        <w:autoSpaceDN w:val="0"/>
        <w:adjustRightInd w:val="0"/>
        <w:spacing w:line="240" w:lineRule="auto"/>
        <w:ind w:left="0" w:firstLine="0"/>
        <w:jc w:val="both"/>
        <w:rPr>
          <w:sz w:val="23"/>
          <w:szCs w:val="23"/>
          <w:lang w:val="tr-TR"/>
        </w:rPr>
      </w:pPr>
      <w:r w:rsidRPr="001A4B94">
        <w:rPr>
          <w:rFonts w:ascii="Times New Roman" w:hAnsi="Times New Roman"/>
          <w:b/>
          <w:sz w:val="23"/>
          <w:szCs w:val="23"/>
          <w:lang w:val="tr-TR"/>
        </w:rPr>
        <w:t>T</w:t>
      </w:r>
      <w:r w:rsidR="00A5254B" w:rsidRPr="001A4B94">
        <w:rPr>
          <w:rFonts w:ascii="Times New Roman" w:hAnsi="Times New Roman"/>
          <w:b/>
          <w:sz w:val="23"/>
          <w:szCs w:val="23"/>
          <w:lang w:val="tr-TR"/>
        </w:rPr>
        <w:t xml:space="preserve">ürkiye </w:t>
      </w:r>
      <w:r w:rsidR="006B0341" w:rsidRPr="001A4B94">
        <w:rPr>
          <w:rFonts w:ascii="Times New Roman" w:hAnsi="Times New Roman"/>
          <w:b/>
          <w:sz w:val="23"/>
          <w:szCs w:val="23"/>
          <w:lang w:val="tr-TR"/>
        </w:rPr>
        <w:t>2009 küresel finansal krizinden hızlı bir şekilde çıkmış</w:t>
      </w:r>
      <w:r w:rsidR="004D5A4E" w:rsidRPr="001A4B94">
        <w:rPr>
          <w:rFonts w:ascii="Times New Roman" w:hAnsi="Times New Roman"/>
          <w:b/>
          <w:sz w:val="23"/>
          <w:szCs w:val="23"/>
          <w:lang w:val="tr-TR"/>
        </w:rPr>
        <w:t>tır</w:t>
      </w:r>
      <w:r w:rsidR="006B0341" w:rsidRPr="001A4B94">
        <w:rPr>
          <w:rFonts w:ascii="Times New Roman" w:hAnsi="Times New Roman"/>
          <w:b/>
          <w:sz w:val="23"/>
          <w:szCs w:val="23"/>
          <w:lang w:val="tr-TR"/>
        </w:rPr>
        <w:t xml:space="preserve"> ve </w:t>
      </w:r>
      <w:r w:rsidR="004D5A4E" w:rsidRPr="001A4B94">
        <w:rPr>
          <w:rFonts w:ascii="Times New Roman" w:hAnsi="Times New Roman"/>
          <w:b/>
          <w:sz w:val="23"/>
          <w:szCs w:val="23"/>
          <w:lang w:val="tr-TR"/>
        </w:rPr>
        <w:t xml:space="preserve">yüksek dış ve iç dengesizlikler pahasına olsa da </w:t>
      </w:r>
      <w:r w:rsidR="006B0341" w:rsidRPr="001A4B94">
        <w:rPr>
          <w:rFonts w:ascii="Times New Roman" w:hAnsi="Times New Roman"/>
          <w:b/>
          <w:sz w:val="23"/>
          <w:szCs w:val="23"/>
          <w:lang w:val="tr-TR"/>
        </w:rPr>
        <w:t>2015 yılına</w:t>
      </w:r>
      <w:r w:rsidR="004D5A4E" w:rsidRPr="001A4B94">
        <w:rPr>
          <w:rFonts w:ascii="Times New Roman" w:hAnsi="Times New Roman"/>
          <w:b/>
          <w:sz w:val="23"/>
          <w:szCs w:val="23"/>
          <w:lang w:val="tr-TR"/>
        </w:rPr>
        <w:t xml:space="preserve"> </w:t>
      </w:r>
      <w:r w:rsidR="006B0341" w:rsidRPr="001A4B94">
        <w:rPr>
          <w:rFonts w:ascii="Times New Roman" w:hAnsi="Times New Roman"/>
          <w:b/>
          <w:sz w:val="23"/>
          <w:szCs w:val="23"/>
          <w:lang w:val="tr-TR"/>
        </w:rPr>
        <w:t>kadar yüksek büyüme oranları yakalamıştır</w:t>
      </w:r>
      <w:r w:rsidRPr="001A4B94">
        <w:rPr>
          <w:rFonts w:ascii="Times New Roman" w:hAnsi="Times New Roman"/>
          <w:b/>
          <w:sz w:val="23"/>
          <w:szCs w:val="23"/>
          <w:lang w:val="tr-TR"/>
        </w:rPr>
        <w:t xml:space="preserve">. </w:t>
      </w:r>
      <w:r w:rsidR="004D5A4E" w:rsidRPr="001A4B94">
        <w:rPr>
          <w:rFonts w:ascii="Times New Roman" w:hAnsi="Times New Roman"/>
          <w:sz w:val="23"/>
          <w:szCs w:val="23"/>
          <w:lang w:val="tr-TR"/>
        </w:rPr>
        <w:t>2010 ile 2015 arasında Türkiye’nin GSYH’sı ortalama yüzde 7,4 hızında büyümüş ve benzer ülkelerdeki büyüme oranlarını gölgede bırakmıştır</w:t>
      </w:r>
      <w:r w:rsidRPr="001A4B94">
        <w:rPr>
          <w:rFonts w:ascii="Times New Roman" w:hAnsi="Times New Roman"/>
          <w:sz w:val="23"/>
          <w:szCs w:val="23"/>
          <w:lang w:val="tr-TR"/>
        </w:rPr>
        <w:t xml:space="preserve">. </w:t>
      </w:r>
      <w:r w:rsidR="004D5A4E" w:rsidRPr="001A4B94">
        <w:rPr>
          <w:rFonts w:ascii="Times New Roman" w:hAnsi="Times New Roman"/>
          <w:sz w:val="23"/>
          <w:szCs w:val="23"/>
          <w:lang w:val="tr-TR"/>
        </w:rPr>
        <w:t>Yatırım oranl</w:t>
      </w:r>
      <w:r w:rsidR="009612BE" w:rsidRPr="001A4B94">
        <w:rPr>
          <w:rFonts w:ascii="Times New Roman" w:hAnsi="Times New Roman"/>
          <w:sz w:val="23"/>
          <w:szCs w:val="23"/>
          <w:lang w:val="tr-TR"/>
        </w:rPr>
        <w:t>arını GSYH’nın yüzde 25’i sevi</w:t>
      </w:r>
      <w:r w:rsidR="004D5A4E" w:rsidRPr="001A4B94">
        <w:rPr>
          <w:rFonts w:ascii="Times New Roman" w:hAnsi="Times New Roman"/>
          <w:sz w:val="23"/>
          <w:szCs w:val="23"/>
          <w:lang w:val="tr-TR"/>
        </w:rPr>
        <w:t>y</w:t>
      </w:r>
      <w:r w:rsidR="009612BE" w:rsidRPr="001A4B94">
        <w:rPr>
          <w:rFonts w:ascii="Times New Roman" w:hAnsi="Times New Roman"/>
          <w:sz w:val="23"/>
          <w:szCs w:val="23"/>
          <w:lang w:val="tr-TR"/>
        </w:rPr>
        <w:t>e</w:t>
      </w:r>
      <w:r w:rsidR="004D5A4E" w:rsidRPr="001A4B94">
        <w:rPr>
          <w:rFonts w:ascii="Times New Roman" w:hAnsi="Times New Roman"/>
          <w:sz w:val="23"/>
          <w:szCs w:val="23"/>
          <w:lang w:val="tr-TR"/>
        </w:rPr>
        <w:t>sinin yukarısında tutmak için önemli bir cari açık yaşamıştır</w:t>
      </w:r>
      <w:r w:rsidRPr="001A4B94">
        <w:rPr>
          <w:rFonts w:ascii="Times New Roman" w:hAnsi="Times New Roman"/>
          <w:sz w:val="23"/>
          <w:szCs w:val="23"/>
          <w:lang w:val="tr-TR"/>
        </w:rPr>
        <w:t xml:space="preserve">. </w:t>
      </w:r>
      <w:r w:rsidR="004D5A4E" w:rsidRPr="001A4B94">
        <w:rPr>
          <w:rFonts w:ascii="Times New Roman" w:hAnsi="Times New Roman"/>
          <w:sz w:val="23"/>
          <w:szCs w:val="23"/>
          <w:lang w:val="tr-TR"/>
        </w:rPr>
        <w:t>Bu yatırım oranları aradaki</w:t>
      </w:r>
      <w:r w:rsidR="009612BE" w:rsidRPr="001A4B94">
        <w:rPr>
          <w:rFonts w:ascii="Times New Roman" w:hAnsi="Times New Roman"/>
          <w:sz w:val="23"/>
          <w:szCs w:val="23"/>
          <w:lang w:val="tr-TR"/>
        </w:rPr>
        <w:t xml:space="preserve"> </w:t>
      </w:r>
      <w:r w:rsidR="004D5A4E" w:rsidRPr="001A4B94">
        <w:rPr>
          <w:rFonts w:ascii="Times New Roman" w:hAnsi="Times New Roman"/>
          <w:sz w:val="23"/>
          <w:szCs w:val="23"/>
          <w:lang w:val="tr-TR"/>
        </w:rPr>
        <w:t xml:space="preserve">farkı kapatmasına yardımcı olmasına rağmen, </w:t>
      </w:r>
      <w:r w:rsidR="00CD795F" w:rsidRPr="001A4B94">
        <w:rPr>
          <w:rFonts w:ascii="Times New Roman" w:hAnsi="Times New Roman"/>
          <w:sz w:val="23"/>
          <w:szCs w:val="23"/>
          <w:lang w:val="tr-TR"/>
        </w:rPr>
        <w:t>yatırım harcamalarının yarıdan fazlası</w:t>
      </w:r>
      <w:r w:rsidR="00195C0E" w:rsidRPr="001A4B94">
        <w:rPr>
          <w:rFonts w:ascii="Times New Roman" w:hAnsi="Times New Roman"/>
          <w:sz w:val="23"/>
          <w:szCs w:val="23"/>
          <w:lang w:val="tr-TR"/>
        </w:rPr>
        <w:t>nın</w:t>
      </w:r>
      <w:r w:rsidR="00CD795F" w:rsidRPr="001A4B94">
        <w:rPr>
          <w:rFonts w:ascii="Times New Roman" w:hAnsi="Times New Roman"/>
          <w:sz w:val="23"/>
          <w:szCs w:val="23"/>
          <w:lang w:val="tr-TR"/>
        </w:rPr>
        <w:t xml:space="preserve"> inşaat faaliyetlerine yapıldığı göz önüne alındığında</w:t>
      </w:r>
      <w:r w:rsidR="00195C0E" w:rsidRPr="001A4B94">
        <w:rPr>
          <w:rFonts w:ascii="Times New Roman" w:hAnsi="Times New Roman"/>
          <w:sz w:val="23"/>
          <w:szCs w:val="23"/>
          <w:lang w:val="tr-TR"/>
        </w:rPr>
        <w:t>,</w:t>
      </w:r>
      <w:r w:rsidR="00CD795F" w:rsidRPr="001A4B94">
        <w:rPr>
          <w:rFonts w:ascii="Times New Roman" w:hAnsi="Times New Roman"/>
          <w:sz w:val="23"/>
          <w:szCs w:val="23"/>
          <w:lang w:val="tr-TR"/>
        </w:rPr>
        <w:t xml:space="preserve"> yatırımların </w:t>
      </w:r>
      <w:r w:rsidR="002A0F3B" w:rsidRPr="001A4B94">
        <w:rPr>
          <w:rFonts w:ascii="Times New Roman" w:hAnsi="Times New Roman"/>
          <w:sz w:val="23"/>
          <w:szCs w:val="23"/>
          <w:lang w:val="tr-TR"/>
        </w:rPr>
        <w:t xml:space="preserve"> </w:t>
      </w:r>
      <w:r w:rsidR="00CD795F" w:rsidRPr="001A4B94">
        <w:rPr>
          <w:rFonts w:ascii="Times New Roman" w:hAnsi="Times New Roman"/>
          <w:sz w:val="23"/>
          <w:szCs w:val="23"/>
          <w:lang w:val="tr-TR"/>
        </w:rPr>
        <w:t>kalit</w:t>
      </w:r>
      <w:r w:rsidR="009612BE" w:rsidRPr="001A4B94">
        <w:rPr>
          <w:rFonts w:ascii="Times New Roman" w:hAnsi="Times New Roman"/>
          <w:sz w:val="23"/>
          <w:szCs w:val="23"/>
          <w:lang w:val="tr-TR"/>
        </w:rPr>
        <w:t>e</w:t>
      </w:r>
      <w:r w:rsidR="00CD795F" w:rsidRPr="001A4B94">
        <w:rPr>
          <w:rFonts w:ascii="Times New Roman" w:hAnsi="Times New Roman"/>
          <w:sz w:val="23"/>
          <w:szCs w:val="23"/>
          <w:lang w:val="tr-TR"/>
        </w:rPr>
        <w:t>sinin iyileştirilmesi için halen bir alan mevcuttur</w:t>
      </w:r>
      <w:r w:rsidR="002A0F3B" w:rsidRPr="001A4B94">
        <w:rPr>
          <w:rFonts w:ascii="Times New Roman" w:hAnsi="Times New Roman"/>
          <w:sz w:val="23"/>
          <w:szCs w:val="23"/>
          <w:lang w:val="tr-TR"/>
        </w:rPr>
        <w:t>.</w:t>
      </w:r>
      <w:r w:rsidRPr="001A4B94">
        <w:rPr>
          <w:rFonts w:ascii="Times New Roman" w:hAnsi="Times New Roman"/>
          <w:sz w:val="23"/>
          <w:szCs w:val="23"/>
          <w:lang w:val="tr-TR"/>
        </w:rPr>
        <w:t xml:space="preserve"> </w:t>
      </w:r>
      <w:r w:rsidR="00CD795F" w:rsidRPr="001A4B94">
        <w:rPr>
          <w:rFonts w:ascii="Times New Roman" w:hAnsi="Times New Roman"/>
          <w:sz w:val="23"/>
          <w:szCs w:val="23"/>
          <w:lang w:val="tr-TR"/>
        </w:rPr>
        <w:t>İhtiyatlı mali yönetim Türkiye’nin iyi ekonomik performansı için bir köşe taşı olmuştur</w:t>
      </w:r>
      <w:r w:rsidR="007E215F" w:rsidRPr="001A4B94">
        <w:rPr>
          <w:rFonts w:ascii="Times New Roman" w:hAnsi="Times New Roman"/>
          <w:sz w:val="23"/>
          <w:szCs w:val="23"/>
          <w:lang w:val="tr-TR"/>
        </w:rPr>
        <w:t xml:space="preserve">, </w:t>
      </w:r>
      <w:r w:rsidR="00CD795F" w:rsidRPr="001A4B94">
        <w:rPr>
          <w:rFonts w:ascii="Times New Roman" w:hAnsi="Times New Roman"/>
          <w:sz w:val="23"/>
          <w:szCs w:val="23"/>
          <w:lang w:val="tr-TR"/>
        </w:rPr>
        <w:t xml:space="preserve">ancak </w:t>
      </w:r>
      <w:r w:rsidR="000815BF" w:rsidRPr="001A4B94">
        <w:rPr>
          <w:rFonts w:ascii="Times New Roman" w:hAnsi="Times New Roman"/>
          <w:sz w:val="23"/>
          <w:szCs w:val="23"/>
          <w:lang w:val="tr-TR"/>
        </w:rPr>
        <w:t xml:space="preserve">uyumlaştırıcı </w:t>
      </w:r>
      <w:r w:rsidR="00CD795F" w:rsidRPr="001A4B94">
        <w:rPr>
          <w:rFonts w:ascii="Times New Roman" w:hAnsi="Times New Roman"/>
          <w:sz w:val="23"/>
          <w:szCs w:val="23"/>
          <w:lang w:val="tr-TR"/>
        </w:rPr>
        <w:t>para politikası ucuz dış finansmanın etkilerini büyütmüş</w:t>
      </w:r>
      <w:r w:rsidR="007E215F" w:rsidRPr="001A4B94">
        <w:rPr>
          <w:rFonts w:ascii="Times New Roman" w:hAnsi="Times New Roman"/>
          <w:sz w:val="23"/>
          <w:szCs w:val="23"/>
          <w:lang w:val="tr-TR"/>
        </w:rPr>
        <w:t xml:space="preserve">, </w:t>
      </w:r>
      <w:r w:rsidR="00CD795F" w:rsidRPr="001A4B94">
        <w:rPr>
          <w:rFonts w:ascii="Times New Roman" w:hAnsi="Times New Roman"/>
          <w:sz w:val="23"/>
          <w:szCs w:val="23"/>
          <w:lang w:val="tr-TR"/>
        </w:rPr>
        <w:t>iç ve dış kırılganlıkları a</w:t>
      </w:r>
      <w:r w:rsidR="00293984" w:rsidRPr="001A4B94">
        <w:rPr>
          <w:rFonts w:ascii="Times New Roman" w:hAnsi="Times New Roman"/>
          <w:sz w:val="23"/>
          <w:szCs w:val="23"/>
          <w:lang w:val="tr-TR"/>
        </w:rPr>
        <w:t>ğ</w:t>
      </w:r>
      <w:r w:rsidR="00CD795F" w:rsidRPr="001A4B94">
        <w:rPr>
          <w:rFonts w:ascii="Times New Roman" w:hAnsi="Times New Roman"/>
          <w:sz w:val="23"/>
          <w:szCs w:val="23"/>
          <w:lang w:val="tr-TR"/>
        </w:rPr>
        <w:t>ırlaştırmış</w:t>
      </w:r>
      <w:r w:rsidR="007E215F" w:rsidRPr="001A4B94">
        <w:rPr>
          <w:rFonts w:ascii="Times New Roman" w:hAnsi="Times New Roman"/>
          <w:sz w:val="23"/>
          <w:szCs w:val="23"/>
          <w:lang w:val="tr-TR"/>
        </w:rPr>
        <w:t xml:space="preserve">, </w:t>
      </w:r>
      <w:r w:rsidR="00293984" w:rsidRPr="001A4B94">
        <w:rPr>
          <w:rFonts w:ascii="Times New Roman" w:hAnsi="Times New Roman"/>
          <w:sz w:val="23"/>
          <w:szCs w:val="23"/>
          <w:lang w:val="tr-TR"/>
        </w:rPr>
        <w:t>cari açıkların sürmesine ve enflasyon oranının hedefin üzerinde kalmasına yol açmıştır</w:t>
      </w:r>
      <w:r w:rsidR="007E215F" w:rsidRPr="001A4B94">
        <w:rPr>
          <w:rFonts w:ascii="Times New Roman" w:hAnsi="Times New Roman"/>
          <w:sz w:val="23"/>
          <w:szCs w:val="23"/>
          <w:lang w:val="tr-TR"/>
        </w:rPr>
        <w:t xml:space="preserve">. </w:t>
      </w:r>
    </w:p>
    <w:p w14:paraId="4BE1FD44" w14:textId="19D7AE93" w:rsidR="00987009" w:rsidRPr="001A4B94" w:rsidRDefault="007D46B8" w:rsidP="00987009">
      <w:pPr>
        <w:jc w:val="center"/>
        <w:rPr>
          <w:b/>
          <w:lang w:val="tr-TR"/>
        </w:rPr>
      </w:pPr>
      <w:r w:rsidRPr="001A4B94">
        <w:rPr>
          <w:b/>
          <w:lang w:val="tr-TR"/>
        </w:rPr>
        <w:t>Tabl</w:t>
      </w:r>
      <w:r w:rsidR="000815BF" w:rsidRPr="001A4B94">
        <w:rPr>
          <w:b/>
          <w:lang w:val="tr-TR"/>
        </w:rPr>
        <w:t>o</w:t>
      </w:r>
      <w:r w:rsidR="009D0C79" w:rsidRPr="001A4B94">
        <w:rPr>
          <w:b/>
          <w:lang w:val="tr-TR"/>
        </w:rPr>
        <w:t xml:space="preserve"> 1</w:t>
      </w:r>
      <w:r w:rsidRPr="001A4B94">
        <w:rPr>
          <w:b/>
          <w:lang w:val="tr-TR"/>
        </w:rPr>
        <w:t xml:space="preserve">: </w:t>
      </w:r>
      <w:r w:rsidR="000815BF" w:rsidRPr="001A4B94">
        <w:rPr>
          <w:b/>
          <w:lang w:val="tr-TR"/>
        </w:rPr>
        <w:t>Temel Mak</w:t>
      </w:r>
      <w:r w:rsidRPr="001A4B94">
        <w:rPr>
          <w:b/>
          <w:lang w:val="tr-TR"/>
        </w:rPr>
        <w:t>roe</w:t>
      </w:r>
      <w:r w:rsidR="000815BF" w:rsidRPr="001A4B94">
        <w:rPr>
          <w:b/>
          <w:lang w:val="tr-TR"/>
        </w:rPr>
        <w:t>k</w:t>
      </w:r>
      <w:r w:rsidRPr="001A4B94">
        <w:rPr>
          <w:b/>
          <w:lang w:val="tr-TR"/>
        </w:rPr>
        <w:t>onomi</w:t>
      </w:r>
      <w:r w:rsidR="000815BF" w:rsidRPr="001A4B94">
        <w:rPr>
          <w:b/>
          <w:lang w:val="tr-TR"/>
        </w:rPr>
        <w:t>k</w:t>
      </w:r>
      <w:r w:rsidRPr="001A4B94">
        <w:rPr>
          <w:b/>
          <w:lang w:val="tr-TR"/>
        </w:rPr>
        <w:t xml:space="preserve"> </w:t>
      </w:r>
      <w:r w:rsidR="000815BF" w:rsidRPr="001A4B94">
        <w:rPr>
          <w:b/>
          <w:lang w:val="tr-TR"/>
        </w:rPr>
        <w:t xml:space="preserve">Göstergeler ve </w:t>
      </w:r>
      <w:r w:rsidRPr="001A4B94">
        <w:rPr>
          <w:b/>
          <w:lang w:val="tr-TR"/>
        </w:rPr>
        <w:t>Proje</w:t>
      </w:r>
      <w:r w:rsidR="000815BF" w:rsidRPr="001A4B94">
        <w:rPr>
          <w:b/>
          <w:lang w:val="tr-TR"/>
        </w:rPr>
        <w:t>ksiyonlar</w:t>
      </w:r>
      <w:r w:rsidR="009C7416" w:rsidRPr="001A4B94">
        <w:rPr>
          <w:rStyle w:val="DipnotBavurusu"/>
          <w:b/>
          <w:lang w:val="tr-TR"/>
        </w:rPr>
        <w:footnoteReference w:id="2"/>
      </w:r>
    </w:p>
    <w:tbl>
      <w:tblPr>
        <w:tblW w:w="9540" w:type="dxa"/>
        <w:tblInd w:w="-90" w:type="dxa"/>
        <w:tblLayout w:type="fixed"/>
        <w:tblLook w:val="04A0" w:firstRow="1" w:lastRow="0" w:firstColumn="1" w:lastColumn="0" w:noHBand="0" w:noVBand="1"/>
      </w:tblPr>
      <w:tblGrid>
        <w:gridCol w:w="3240"/>
        <w:gridCol w:w="831"/>
        <w:gridCol w:w="812"/>
        <w:gridCol w:w="812"/>
        <w:gridCol w:w="812"/>
        <w:gridCol w:w="812"/>
        <w:gridCol w:w="812"/>
        <w:gridCol w:w="812"/>
        <w:gridCol w:w="597"/>
      </w:tblGrid>
      <w:tr w:rsidR="00987009" w:rsidRPr="001A4B94" w14:paraId="290465C7" w14:textId="77777777" w:rsidTr="00DD26A4">
        <w:trPr>
          <w:trHeight w:val="241"/>
        </w:trPr>
        <w:tc>
          <w:tcPr>
            <w:tcW w:w="3240" w:type="dxa"/>
            <w:tcBorders>
              <w:top w:val="nil"/>
              <w:left w:val="nil"/>
              <w:bottom w:val="nil"/>
              <w:right w:val="nil"/>
            </w:tcBorders>
            <w:shd w:val="clear" w:color="000000" w:fill="D5DCE4"/>
            <w:noWrap/>
            <w:vAlign w:val="center"/>
            <w:hideMark/>
          </w:tcPr>
          <w:p w14:paraId="37BDE6A8" w14:textId="48D3D9C3" w:rsidR="00987009" w:rsidRPr="001A4B94" w:rsidRDefault="00987009" w:rsidP="0026491E">
            <w:pPr>
              <w:rPr>
                <w:b/>
                <w:bCs/>
                <w:sz w:val="14"/>
                <w:szCs w:val="14"/>
                <w:lang w:val="tr-TR"/>
              </w:rPr>
            </w:pPr>
            <w:r w:rsidRPr="001A4B94">
              <w:rPr>
                <w:b/>
                <w:bCs/>
                <w:sz w:val="14"/>
                <w:szCs w:val="14"/>
                <w:lang w:val="tr-TR"/>
              </w:rPr>
              <w:t> </w:t>
            </w:r>
            <w:r w:rsidR="000815BF" w:rsidRPr="001A4B94">
              <w:rPr>
                <w:b/>
                <w:bCs/>
                <w:sz w:val="14"/>
                <w:szCs w:val="14"/>
                <w:lang w:val="tr-TR"/>
              </w:rPr>
              <w:t>Göstergeler</w:t>
            </w:r>
            <w:r w:rsidRPr="001A4B94">
              <w:rPr>
                <w:b/>
                <w:bCs/>
                <w:sz w:val="14"/>
                <w:szCs w:val="14"/>
                <w:lang w:val="tr-TR"/>
              </w:rPr>
              <w:t xml:space="preserve"> </w:t>
            </w:r>
          </w:p>
        </w:tc>
        <w:tc>
          <w:tcPr>
            <w:tcW w:w="831" w:type="dxa"/>
            <w:tcBorders>
              <w:top w:val="nil"/>
              <w:left w:val="nil"/>
              <w:bottom w:val="nil"/>
              <w:right w:val="nil"/>
            </w:tcBorders>
            <w:shd w:val="clear" w:color="000000" w:fill="D5DCE4"/>
            <w:noWrap/>
            <w:vAlign w:val="center"/>
            <w:hideMark/>
          </w:tcPr>
          <w:p w14:paraId="0B46836A" w14:textId="77777777" w:rsidR="00987009" w:rsidRPr="001A4B94" w:rsidRDefault="00987009" w:rsidP="0026491E">
            <w:pPr>
              <w:jc w:val="center"/>
              <w:rPr>
                <w:b/>
                <w:bCs/>
                <w:sz w:val="14"/>
                <w:szCs w:val="14"/>
                <w:lang w:val="tr-TR"/>
              </w:rPr>
            </w:pPr>
            <w:r w:rsidRPr="001A4B94">
              <w:rPr>
                <w:b/>
                <w:bCs/>
                <w:sz w:val="14"/>
                <w:szCs w:val="14"/>
                <w:lang w:val="tr-TR"/>
              </w:rPr>
              <w:t>2013</w:t>
            </w:r>
          </w:p>
        </w:tc>
        <w:tc>
          <w:tcPr>
            <w:tcW w:w="812" w:type="dxa"/>
            <w:tcBorders>
              <w:top w:val="nil"/>
              <w:left w:val="nil"/>
              <w:bottom w:val="nil"/>
              <w:right w:val="nil"/>
            </w:tcBorders>
            <w:shd w:val="clear" w:color="000000" w:fill="D5DCE4"/>
            <w:noWrap/>
            <w:vAlign w:val="center"/>
            <w:hideMark/>
          </w:tcPr>
          <w:p w14:paraId="2B2C3ED1" w14:textId="77777777" w:rsidR="00987009" w:rsidRPr="001A4B94" w:rsidRDefault="00987009" w:rsidP="0026491E">
            <w:pPr>
              <w:jc w:val="center"/>
              <w:rPr>
                <w:b/>
                <w:bCs/>
                <w:sz w:val="14"/>
                <w:szCs w:val="14"/>
                <w:lang w:val="tr-TR"/>
              </w:rPr>
            </w:pPr>
            <w:r w:rsidRPr="001A4B94">
              <w:rPr>
                <w:b/>
                <w:bCs/>
                <w:sz w:val="14"/>
                <w:szCs w:val="14"/>
                <w:lang w:val="tr-TR"/>
              </w:rPr>
              <w:t>2014</w:t>
            </w:r>
          </w:p>
        </w:tc>
        <w:tc>
          <w:tcPr>
            <w:tcW w:w="812" w:type="dxa"/>
            <w:tcBorders>
              <w:top w:val="nil"/>
              <w:left w:val="nil"/>
              <w:bottom w:val="nil"/>
              <w:right w:val="nil"/>
            </w:tcBorders>
            <w:shd w:val="clear" w:color="000000" w:fill="D5DCE4"/>
            <w:noWrap/>
            <w:vAlign w:val="center"/>
            <w:hideMark/>
          </w:tcPr>
          <w:p w14:paraId="5B72B270" w14:textId="77777777" w:rsidR="00987009" w:rsidRPr="001A4B94" w:rsidRDefault="00987009" w:rsidP="0026491E">
            <w:pPr>
              <w:jc w:val="center"/>
              <w:rPr>
                <w:b/>
                <w:bCs/>
                <w:sz w:val="14"/>
                <w:szCs w:val="14"/>
                <w:lang w:val="tr-TR"/>
              </w:rPr>
            </w:pPr>
            <w:r w:rsidRPr="001A4B94">
              <w:rPr>
                <w:b/>
                <w:bCs/>
                <w:sz w:val="14"/>
                <w:szCs w:val="14"/>
                <w:lang w:val="tr-TR"/>
              </w:rPr>
              <w:t>2015</w:t>
            </w:r>
          </w:p>
        </w:tc>
        <w:tc>
          <w:tcPr>
            <w:tcW w:w="812" w:type="dxa"/>
            <w:tcBorders>
              <w:top w:val="nil"/>
              <w:left w:val="nil"/>
              <w:bottom w:val="nil"/>
              <w:right w:val="nil"/>
            </w:tcBorders>
            <w:shd w:val="clear" w:color="000000" w:fill="D5DCE4"/>
            <w:noWrap/>
            <w:vAlign w:val="center"/>
            <w:hideMark/>
          </w:tcPr>
          <w:p w14:paraId="5A345CB6" w14:textId="77777777" w:rsidR="00987009" w:rsidRPr="001A4B94" w:rsidRDefault="00987009" w:rsidP="0026491E">
            <w:pPr>
              <w:jc w:val="center"/>
              <w:rPr>
                <w:b/>
                <w:bCs/>
                <w:sz w:val="14"/>
                <w:szCs w:val="14"/>
                <w:lang w:val="tr-TR"/>
              </w:rPr>
            </w:pPr>
            <w:r w:rsidRPr="001A4B94">
              <w:rPr>
                <w:b/>
                <w:bCs/>
                <w:sz w:val="14"/>
                <w:szCs w:val="14"/>
                <w:lang w:val="tr-TR"/>
              </w:rPr>
              <w:t>2016</w:t>
            </w:r>
          </w:p>
        </w:tc>
        <w:tc>
          <w:tcPr>
            <w:tcW w:w="812" w:type="dxa"/>
            <w:tcBorders>
              <w:top w:val="nil"/>
              <w:left w:val="nil"/>
              <w:bottom w:val="nil"/>
              <w:right w:val="nil"/>
            </w:tcBorders>
            <w:shd w:val="clear" w:color="000000" w:fill="D5DCE4"/>
            <w:noWrap/>
            <w:vAlign w:val="center"/>
            <w:hideMark/>
          </w:tcPr>
          <w:p w14:paraId="25D58CC8" w14:textId="07F9CBFE" w:rsidR="00987009" w:rsidRPr="001A4B94" w:rsidRDefault="000815BF" w:rsidP="0026491E">
            <w:pPr>
              <w:jc w:val="center"/>
              <w:rPr>
                <w:b/>
                <w:bCs/>
                <w:sz w:val="14"/>
                <w:szCs w:val="14"/>
                <w:lang w:val="tr-TR"/>
              </w:rPr>
            </w:pPr>
            <w:r w:rsidRPr="001A4B94">
              <w:rPr>
                <w:b/>
                <w:bCs/>
                <w:sz w:val="14"/>
                <w:szCs w:val="14"/>
                <w:lang w:val="tr-TR"/>
              </w:rPr>
              <w:t>2017t</w:t>
            </w:r>
          </w:p>
        </w:tc>
        <w:tc>
          <w:tcPr>
            <w:tcW w:w="812" w:type="dxa"/>
            <w:tcBorders>
              <w:top w:val="nil"/>
              <w:left w:val="nil"/>
              <w:bottom w:val="nil"/>
              <w:right w:val="nil"/>
            </w:tcBorders>
            <w:shd w:val="clear" w:color="000000" w:fill="D5DCE4"/>
            <w:noWrap/>
            <w:vAlign w:val="center"/>
            <w:hideMark/>
          </w:tcPr>
          <w:p w14:paraId="0C86A642" w14:textId="7740D64B" w:rsidR="00987009" w:rsidRPr="001A4B94" w:rsidRDefault="000815BF" w:rsidP="0026491E">
            <w:pPr>
              <w:jc w:val="center"/>
              <w:rPr>
                <w:b/>
                <w:bCs/>
                <w:sz w:val="14"/>
                <w:szCs w:val="14"/>
                <w:lang w:val="tr-TR"/>
              </w:rPr>
            </w:pPr>
            <w:r w:rsidRPr="001A4B94">
              <w:rPr>
                <w:b/>
                <w:bCs/>
                <w:sz w:val="14"/>
                <w:szCs w:val="14"/>
                <w:lang w:val="tr-TR"/>
              </w:rPr>
              <w:t>2018t</w:t>
            </w:r>
          </w:p>
        </w:tc>
        <w:tc>
          <w:tcPr>
            <w:tcW w:w="812" w:type="dxa"/>
            <w:tcBorders>
              <w:top w:val="nil"/>
              <w:left w:val="nil"/>
              <w:bottom w:val="nil"/>
              <w:right w:val="nil"/>
            </w:tcBorders>
            <w:shd w:val="clear" w:color="000000" w:fill="D5DCE4"/>
            <w:noWrap/>
            <w:vAlign w:val="center"/>
            <w:hideMark/>
          </w:tcPr>
          <w:p w14:paraId="24A4DE09" w14:textId="5AD7C40C" w:rsidR="00987009" w:rsidRPr="001A4B94" w:rsidRDefault="000815BF" w:rsidP="0026491E">
            <w:pPr>
              <w:jc w:val="center"/>
              <w:rPr>
                <w:b/>
                <w:bCs/>
                <w:sz w:val="14"/>
                <w:szCs w:val="14"/>
                <w:lang w:val="tr-TR"/>
              </w:rPr>
            </w:pPr>
            <w:r w:rsidRPr="001A4B94">
              <w:rPr>
                <w:b/>
                <w:bCs/>
                <w:sz w:val="14"/>
                <w:szCs w:val="14"/>
                <w:lang w:val="tr-TR"/>
              </w:rPr>
              <w:t>2019t</w:t>
            </w:r>
          </w:p>
        </w:tc>
        <w:tc>
          <w:tcPr>
            <w:tcW w:w="597" w:type="dxa"/>
            <w:tcBorders>
              <w:top w:val="nil"/>
              <w:left w:val="nil"/>
              <w:bottom w:val="nil"/>
              <w:right w:val="nil"/>
            </w:tcBorders>
            <w:shd w:val="clear" w:color="000000" w:fill="D5DCE4"/>
          </w:tcPr>
          <w:p w14:paraId="63E6D19D" w14:textId="163EE8A6" w:rsidR="00987009" w:rsidRPr="001A4B94" w:rsidRDefault="000815BF" w:rsidP="0026491E">
            <w:pPr>
              <w:jc w:val="center"/>
              <w:rPr>
                <w:b/>
                <w:bCs/>
                <w:sz w:val="14"/>
                <w:szCs w:val="14"/>
                <w:lang w:val="tr-TR"/>
              </w:rPr>
            </w:pPr>
            <w:r w:rsidRPr="001A4B94">
              <w:rPr>
                <w:b/>
                <w:bCs/>
                <w:sz w:val="14"/>
                <w:szCs w:val="14"/>
                <w:lang w:val="tr-TR"/>
              </w:rPr>
              <w:t>2020t</w:t>
            </w:r>
          </w:p>
        </w:tc>
      </w:tr>
      <w:tr w:rsidR="00987009" w:rsidRPr="001A4B94" w14:paraId="46996148" w14:textId="77777777" w:rsidTr="00DD26A4">
        <w:trPr>
          <w:trHeight w:val="241"/>
        </w:trPr>
        <w:tc>
          <w:tcPr>
            <w:tcW w:w="3240" w:type="dxa"/>
            <w:tcBorders>
              <w:top w:val="nil"/>
              <w:left w:val="nil"/>
              <w:bottom w:val="nil"/>
              <w:right w:val="nil"/>
            </w:tcBorders>
            <w:shd w:val="clear" w:color="000000" w:fill="D5DCE4"/>
            <w:noWrap/>
            <w:vAlign w:val="center"/>
            <w:hideMark/>
          </w:tcPr>
          <w:p w14:paraId="28C152CB" w14:textId="16446E8F" w:rsidR="00987009" w:rsidRPr="001A4B94" w:rsidRDefault="000815BF" w:rsidP="0026491E">
            <w:pPr>
              <w:rPr>
                <w:b/>
                <w:bCs/>
                <w:sz w:val="14"/>
                <w:szCs w:val="14"/>
                <w:lang w:val="tr-TR"/>
              </w:rPr>
            </w:pPr>
            <w:r w:rsidRPr="001A4B94">
              <w:rPr>
                <w:b/>
                <w:bCs/>
                <w:sz w:val="14"/>
                <w:szCs w:val="14"/>
                <w:lang w:val="tr-TR"/>
              </w:rPr>
              <w:t xml:space="preserve">Reel Ekonomi </w:t>
            </w:r>
          </w:p>
        </w:tc>
        <w:tc>
          <w:tcPr>
            <w:tcW w:w="3267" w:type="dxa"/>
            <w:gridSpan w:val="4"/>
            <w:tcBorders>
              <w:top w:val="nil"/>
              <w:left w:val="nil"/>
              <w:bottom w:val="nil"/>
              <w:right w:val="nil"/>
            </w:tcBorders>
            <w:shd w:val="clear" w:color="000000" w:fill="D5DCE4"/>
            <w:noWrap/>
            <w:vAlign w:val="center"/>
            <w:hideMark/>
          </w:tcPr>
          <w:p w14:paraId="1B9204DF" w14:textId="4B064D89" w:rsidR="00987009" w:rsidRPr="001A4B94" w:rsidRDefault="006358C2" w:rsidP="00DD26A4">
            <w:pPr>
              <w:jc w:val="center"/>
              <w:rPr>
                <w:sz w:val="14"/>
                <w:szCs w:val="14"/>
                <w:lang w:val="tr-TR"/>
              </w:rPr>
            </w:pPr>
            <w:r w:rsidRPr="001A4B94">
              <w:rPr>
                <w:sz w:val="14"/>
                <w:szCs w:val="14"/>
                <w:lang w:val="tr-TR"/>
              </w:rPr>
              <w:t xml:space="preserve">Aksi belirtilmediği sürece, yıllık yüzdelik değişim </w:t>
            </w:r>
          </w:p>
        </w:tc>
        <w:tc>
          <w:tcPr>
            <w:tcW w:w="3033" w:type="dxa"/>
            <w:gridSpan w:val="4"/>
            <w:tcBorders>
              <w:top w:val="nil"/>
              <w:left w:val="nil"/>
              <w:bottom w:val="nil"/>
              <w:right w:val="nil"/>
            </w:tcBorders>
            <w:shd w:val="clear" w:color="000000" w:fill="D5DCE4"/>
          </w:tcPr>
          <w:p w14:paraId="4BD1B1A8" w14:textId="77777777" w:rsidR="00987009" w:rsidRPr="001A4B94" w:rsidRDefault="00987009" w:rsidP="0026491E">
            <w:pPr>
              <w:jc w:val="center"/>
              <w:rPr>
                <w:sz w:val="14"/>
                <w:szCs w:val="14"/>
                <w:lang w:val="tr-TR"/>
              </w:rPr>
            </w:pPr>
          </w:p>
        </w:tc>
      </w:tr>
      <w:tr w:rsidR="00987009" w:rsidRPr="001A4B94" w14:paraId="3F9376F5" w14:textId="77777777" w:rsidTr="00DD26A4">
        <w:trPr>
          <w:trHeight w:val="241"/>
        </w:trPr>
        <w:tc>
          <w:tcPr>
            <w:tcW w:w="3240" w:type="dxa"/>
            <w:tcBorders>
              <w:top w:val="nil"/>
              <w:left w:val="nil"/>
              <w:bottom w:val="nil"/>
              <w:right w:val="nil"/>
            </w:tcBorders>
            <w:shd w:val="clear" w:color="auto" w:fill="auto"/>
            <w:noWrap/>
            <w:vAlign w:val="center"/>
            <w:hideMark/>
          </w:tcPr>
          <w:p w14:paraId="0535EC8A" w14:textId="2CD6B8AE" w:rsidR="00987009" w:rsidRPr="001A4B94" w:rsidRDefault="006358C2" w:rsidP="0026491E">
            <w:pPr>
              <w:rPr>
                <w:sz w:val="14"/>
                <w:szCs w:val="14"/>
                <w:lang w:val="tr-TR"/>
              </w:rPr>
            </w:pPr>
            <w:r w:rsidRPr="001A4B94">
              <w:rPr>
                <w:sz w:val="14"/>
                <w:szCs w:val="14"/>
                <w:lang w:val="tr-TR"/>
              </w:rPr>
              <w:t xml:space="preserve">Reel Gayrısafi Yurtiçi Hasıla </w:t>
            </w:r>
            <w:r w:rsidR="00987009" w:rsidRPr="001A4B94">
              <w:rPr>
                <w:sz w:val="14"/>
                <w:szCs w:val="14"/>
                <w:lang w:val="tr-TR"/>
              </w:rPr>
              <w:t xml:space="preserve">(GDP) </w:t>
            </w:r>
          </w:p>
        </w:tc>
        <w:tc>
          <w:tcPr>
            <w:tcW w:w="831" w:type="dxa"/>
            <w:tcBorders>
              <w:top w:val="nil"/>
              <w:left w:val="nil"/>
              <w:bottom w:val="nil"/>
              <w:right w:val="nil"/>
            </w:tcBorders>
            <w:shd w:val="clear" w:color="auto" w:fill="auto"/>
            <w:noWrap/>
            <w:vAlign w:val="center"/>
            <w:hideMark/>
          </w:tcPr>
          <w:p w14:paraId="00C01466" w14:textId="28EA6F61" w:rsidR="00987009" w:rsidRPr="001A4B94" w:rsidRDefault="00987009" w:rsidP="0026491E">
            <w:pPr>
              <w:jc w:val="center"/>
              <w:rPr>
                <w:sz w:val="16"/>
                <w:szCs w:val="16"/>
                <w:lang w:val="tr-TR"/>
              </w:rPr>
            </w:pPr>
            <w:r w:rsidRPr="001A4B94">
              <w:rPr>
                <w:sz w:val="16"/>
                <w:szCs w:val="16"/>
                <w:lang w:val="tr-TR"/>
              </w:rPr>
              <w:t>8</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63DB2B40" w14:textId="0971122D" w:rsidR="00987009" w:rsidRPr="001A4B94" w:rsidRDefault="00987009" w:rsidP="0026491E">
            <w:pPr>
              <w:jc w:val="center"/>
              <w:rPr>
                <w:sz w:val="16"/>
                <w:szCs w:val="16"/>
                <w:lang w:val="tr-TR"/>
              </w:rPr>
            </w:pPr>
            <w:r w:rsidRPr="001A4B94">
              <w:rPr>
                <w:sz w:val="16"/>
                <w:szCs w:val="16"/>
                <w:lang w:val="tr-TR"/>
              </w:rPr>
              <w:t>5</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6A1717CE" w14:textId="243394EC" w:rsidR="00987009" w:rsidRPr="001A4B94" w:rsidRDefault="00987009" w:rsidP="0026491E">
            <w:pPr>
              <w:jc w:val="center"/>
              <w:rPr>
                <w:sz w:val="16"/>
                <w:szCs w:val="16"/>
                <w:lang w:val="tr-TR"/>
              </w:rPr>
            </w:pPr>
            <w:r w:rsidRPr="001A4B94">
              <w:rPr>
                <w:sz w:val="16"/>
                <w:szCs w:val="16"/>
                <w:lang w:val="tr-TR"/>
              </w:rPr>
              <w:t>6</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12F9322D" w14:textId="1029ACDD"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7D0690E1" w14:textId="105265F9"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7FF11234" w14:textId="693B248E" w:rsidR="00987009" w:rsidRPr="001A4B94" w:rsidRDefault="00987009" w:rsidP="0026491E">
            <w:pPr>
              <w:jc w:val="center"/>
              <w:rPr>
                <w:sz w:val="16"/>
                <w:szCs w:val="16"/>
                <w:lang w:val="tr-TR"/>
              </w:rPr>
            </w:pPr>
            <w:r w:rsidRPr="001A4B94">
              <w:rPr>
                <w:sz w:val="16"/>
                <w:szCs w:val="16"/>
                <w:lang w:val="tr-TR"/>
              </w:rPr>
              <w:t>3</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5E544881" w14:textId="2E972F50"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0</w:t>
            </w:r>
          </w:p>
        </w:tc>
        <w:tc>
          <w:tcPr>
            <w:tcW w:w="597" w:type="dxa"/>
            <w:tcBorders>
              <w:top w:val="nil"/>
              <w:left w:val="nil"/>
              <w:bottom w:val="nil"/>
              <w:right w:val="nil"/>
            </w:tcBorders>
          </w:tcPr>
          <w:p w14:paraId="626E6131" w14:textId="6218E5DC"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0</w:t>
            </w:r>
          </w:p>
        </w:tc>
      </w:tr>
      <w:tr w:rsidR="00987009" w:rsidRPr="001A4B94" w14:paraId="4EC4EFC9" w14:textId="77777777" w:rsidTr="00DD26A4">
        <w:trPr>
          <w:trHeight w:val="241"/>
        </w:trPr>
        <w:tc>
          <w:tcPr>
            <w:tcW w:w="3240" w:type="dxa"/>
            <w:tcBorders>
              <w:top w:val="nil"/>
              <w:left w:val="nil"/>
              <w:bottom w:val="nil"/>
              <w:right w:val="nil"/>
            </w:tcBorders>
            <w:shd w:val="clear" w:color="auto" w:fill="auto"/>
            <w:noWrap/>
            <w:vAlign w:val="center"/>
            <w:hideMark/>
          </w:tcPr>
          <w:p w14:paraId="17476CE6" w14:textId="6C74D609" w:rsidR="00987009" w:rsidRPr="001A4B94" w:rsidRDefault="006358C2" w:rsidP="0026491E">
            <w:pPr>
              <w:rPr>
                <w:sz w:val="14"/>
                <w:szCs w:val="14"/>
                <w:lang w:val="tr-TR"/>
              </w:rPr>
            </w:pPr>
            <w:r w:rsidRPr="001A4B94">
              <w:rPr>
                <w:sz w:val="14"/>
                <w:szCs w:val="14"/>
                <w:lang w:val="tr-TR"/>
              </w:rPr>
              <w:t xml:space="preserve">Özel Tüketimin Katkıları </w:t>
            </w:r>
            <w:r w:rsidR="00987009" w:rsidRPr="001A4B94">
              <w:rPr>
                <w:sz w:val="14"/>
                <w:szCs w:val="14"/>
                <w:lang w:val="tr-TR"/>
              </w:rPr>
              <w:t>(</w:t>
            </w:r>
            <w:r w:rsidRPr="001A4B94">
              <w:rPr>
                <w:sz w:val="14"/>
                <w:szCs w:val="14"/>
                <w:lang w:val="tr-TR"/>
              </w:rPr>
              <w:t>yüzdelik puan olarak</w:t>
            </w:r>
            <w:r w:rsidR="00987009" w:rsidRPr="001A4B94">
              <w:rPr>
                <w:sz w:val="14"/>
                <w:szCs w:val="14"/>
                <w:lang w:val="tr-TR"/>
              </w:rPr>
              <w:t>)</w:t>
            </w:r>
          </w:p>
        </w:tc>
        <w:tc>
          <w:tcPr>
            <w:tcW w:w="831" w:type="dxa"/>
            <w:tcBorders>
              <w:top w:val="nil"/>
              <w:left w:val="nil"/>
              <w:bottom w:val="nil"/>
              <w:right w:val="nil"/>
            </w:tcBorders>
            <w:shd w:val="clear" w:color="auto" w:fill="auto"/>
            <w:noWrap/>
            <w:vAlign w:val="center"/>
            <w:hideMark/>
          </w:tcPr>
          <w:p w14:paraId="2A296981" w14:textId="0EB8C7BB" w:rsidR="00987009" w:rsidRPr="001A4B94" w:rsidRDefault="00987009" w:rsidP="0026491E">
            <w:pPr>
              <w:jc w:val="center"/>
              <w:rPr>
                <w:sz w:val="16"/>
                <w:szCs w:val="16"/>
                <w:lang w:val="tr-TR"/>
              </w:rPr>
            </w:pPr>
            <w:r w:rsidRPr="001A4B94">
              <w:rPr>
                <w:sz w:val="16"/>
                <w:szCs w:val="16"/>
                <w:lang w:val="tr-TR"/>
              </w:rPr>
              <w:t>5</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11C14B50" w14:textId="7A3CE0B5"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3F73008C" w14:textId="75998DA2" w:rsidR="00987009" w:rsidRPr="001A4B94" w:rsidRDefault="00987009" w:rsidP="0026491E">
            <w:pPr>
              <w:jc w:val="center"/>
              <w:rPr>
                <w:sz w:val="16"/>
                <w:szCs w:val="16"/>
                <w:lang w:val="tr-TR"/>
              </w:rPr>
            </w:pPr>
            <w:r w:rsidRPr="001A4B94">
              <w:rPr>
                <w:sz w:val="16"/>
                <w:szCs w:val="16"/>
                <w:lang w:val="tr-TR"/>
              </w:rPr>
              <w:t>3</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39E8D573" w14:textId="61DB7826"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34516768" w14:textId="1A69B4B5" w:rsidR="00987009" w:rsidRPr="001A4B94" w:rsidRDefault="00987009" w:rsidP="0026491E">
            <w:pPr>
              <w:jc w:val="center"/>
              <w:rPr>
                <w:sz w:val="16"/>
                <w:szCs w:val="16"/>
                <w:lang w:val="tr-TR"/>
              </w:rPr>
            </w:pPr>
            <w:r w:rsidRPr="001A4B94">
              <w:rPr>
                <w:sz w:val="16"/>
                <w:szCs w:val="16"/>
                <w:lang w:val="tr-TR"/>
              </w:rPr>
              <w:t>3</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31F8D753" w14:textId="73EA0DCD"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32695D20" w14:textId="78F7E8B1"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2</w:t>
            </w:r>
          </w:p>
        </w:tc>
        <w:tc>
          <w:tcPr>
            <w:tcW w:w="597" w:type="dxa"/>
            <w:tcBorders>
              <w:top w:val="nil"/>
              <w:left w:val="nil"/>
              <w:bottom w:val="nil"/>
              <w:right w:val="nil"/>
            </w:tcBorders>
          </w:tcPr>
          <w:p w14:paraId="0F266387" w14:textId="6EA0845E"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1</w:t>
            </w:r>
          </w:p>
        </w:tc>
      </w:tr>
      <w:tr w:rsidR="00987009" w:rsidRPr="001A4B94" w14:paraId="6A1B12F7" w14:textId="77777777" w:rsidTr="00DD26A4">
        <w:trPr>
          <w:trHeight w:val="241"/>
        </w:trPr>
        <w:tc>
          <w:tcPr>
            <w:tcW w:w="3240" w:type="dxa"/>
            <w:tcBorders>
              <w:top w:val="nil"/>
              <w:left w:val="nil"/>
              <w:bottom w:val="nil"/>
              <w:right w:val="nil"/>
            </w:tcBorders>
            <w:shd w:val="clear" w:color="auto" w:fill="auto"/>
            <w:noWrap/>
            <w:vAlign w:val="center"/>
            <w:hideMark/>
          </w:tcPr>
          <w:p w14:paraId="742FBF45" w14:textId="561EB9FF" w:rsidR="00987009" w:rsidRPr="001A4B94" w:rsidRDefault="006358C2" w:rsidP="0026491E">
            <w:pPr>
              <w:rPr>
                <w:sz w:val="14"/>
                <w:szCs w:val="14"/>
                <w:lang w:val="tr-TR"/>
              </w:rPr>
            </w:pPr>
            <w:r w:rsidRPr="001A4B94">
              <w:rPr>
                <w:sz w:val="14"/>
                <w:szCs w:val="14"/>
                <w:lang w:val="tr-TR"/>
              </w:rPr>
              <w:t>Kamu Tüketiminin Katkıları (yüzdelik puan olarak)</w:t>
            </w:r>
          </w:p>
        </w:tc>
        <w:tc>
          <w:tcPr>
            <w:tcW w:w="831" w:type="dxa"/>
            <w:tcBorders>
              <w:top w:val="nil"/>
              <w:left w:val="nil"/>
              <w:bottom w:val="nil"/>
              <w:right w:val="nil"/>
            </w:tcBorders>
            <w:shd w:val="clear" w:color="auto" w:fill="auto"/>
            <w:noWrap/>
            <w:vAlign w:val="center"/>
            <w:hideMark/>
          </w:tcPr>
          <w:p w14:paraId="66C99E52" w14:textId="507AA9FE"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5FCB8B20" w14:textId="6453DB31"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1EA53493" w14:textId="0882D47F"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42DEBF19" w14:textId="1F7B48E7"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7655F7CC" w14:textId="7A536F2A"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5B104585" w14:textId="41B27DE5"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1A47D543" w14:textId="172B692C"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5</w:t>
            </w:r>
          </w:p>
        </w:tc>
        <w:tc>
          <w:tcPr>
            <w:tcW w:w="597" w:type="dxa"/>
            <w:tcBorders>
              <w:top w:val="nil"/>
              <w:left w:val="nil"/>
              <w:bottom w:val="nil"/>
              <w:right w:val="nil"/>
            </w:tcBorders>
          </w:tcPr>
          <w:p w14:paraId="50CD2BED" w14:textId="63392C66"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5</w:t>
            </w:r>
          </w:p>
        </w:tc>
      </w:tr>
      <w:tr w:rsidR="00987009" w:rsidRPr="001A4B94" w14:paraId="246DCCC1" w14:textId="77777777" w:rsidTr="00DD26A4">
        <w:trPr>
          <w:trHeight w:val="241"/>
        </w:trPr>
        <w:tc>
          <w:tcPr>
            <w:tcW w:w="3240" w:type="dxa"/>
            <w:tcBorders>
              <w:top w:val="nil"/>
              <w:left w:val="nil"/>
              <w:bottom w:val="nil"/>
              <w:right w:val="nil"/>
            </w:tcBorders>
            <w:shd w:val="clear" w:color="auto" w:fill="auto"/>
            <w:noWrap/>
            <w:vAlign w:val="center"/>
            <w:hideMark/>
          </w:tcPr>
          <w:p w14:paraId="2BB36ED7" w14:textId="06BC493E" w:rsidR="00987009" w:rsidRPr="001A4B94" w:rsidRDefault="006358C2" w:rsidP="0026491E">
            <w:pPr>
              <w:rPr>
                <w:sz w:val="14"/>
                <w:szCs w:val="14"/>
                <w:lang w:val="tr-TR"/>
              </w:rPr>
            </w:pPr>
            <w:r w:rsidRPr="001A4B94">
              <w:rPr>
                <w:sz w:val="14"/>
                <w:szCs w:val="14"/>
                <w:lang w:val="tr-TR"/>
              </w:rPr>
              <w:t>Gayrısafi Sabit Yatırım</w:t>
            </w:r>
            <w:r w:rsidR="001F1463" w:rsidRPr="001A4B94">
              <w:rPr>
                <w:sz w:val="14"/>
                <w:szCs w:val="14"/>
                <w:lang w:val="tr-TR"/>
              </w:rPr>
              <w:t>ın</w:t>
            </w:r>
            <w:r w:rsidRPr="001A4B94">
              <w:rPr>
                <w:sz w:val="14"/>
                <w:szCs w:val="14"/>
                <w:lang w:val="tr-TR"/>
              </w:rPr>
              <w:t xml:space="preserve"> Katkıları </w:t>
            </w:r>
            <w:r w:rsidR="00987009" w:rsidRPr="001A4B94">
              <w:rPr>
                <w:sz w:val="14"/>
                <w:szCs w:val="14"/>
                <w:lang w:val="tr-TR"/>
              </w:rPr>
              <w:t>(</w:t>
            </w:r>
            <w:r w:rsidRPr="001A4B94">
              <w:rPr>
                <w:sz w:val="14"/>
                <w:szCs w:val="14"/>
                <w:lang w:val="tr-TR"/>
              </w:rPr>
              <w:t>yüzdelik puan olarak</w:t>
            </w:r>
            <w:r w:rsidR="00987009" w:rsidRPr="001A4B94">
              <w:rPr>
                <w:sz w:val="14"/>
                <w:szCs w:val="14"/>
                <w:lang w:val="tr-TR"/>
              </w:rPr>
              <w:t>)</w:t>
            </w:r>
          </w:p>
        </w:tc>
        <w:tc>
          <w:tcPr>
            <w:tcW w:w="831" w:type="dxa"/>
            <w:tcBorders>
              <w:top w:val="nil"/>
              <w:left w:val="nil"/>
              <w:bottom w:val="nil"/>
              <w:right w:val="nil"/>
            </w:tcBorders>
            <w:shd w:val="clear" w:color="auto" w:fill="auto"/>
            <w:noWrap/>
            <w:vAlign w:val="center"/>
            <w:hideMark/>
          </w:tcPr>
          <w:p w14:paraId="1DAFF12B" w14:textId="16036423" w:rsidR="00987009" w:rsidRPr="001A4B94" w:rsidRDefault="00987009" w:rsidP="0026491E">
            <w:pPr>
              <w:jc w:val="center"/>
              <w:rPr>
                <w:sz w:val="16"/>
                <w:szCs w:val="16"/>
                <w:lang w:val="tr-TR"/>
              </w:rPr>
            </w:pPr>
            <w:r w:rsidRPr="001A4B94">
              <w:rPr>
                <w:sz w:val="16"/>
                <w:szCs w:val="16"/>
                <w:lang w:val="tr-TR"/>
              </w:rPr>
              <w:t>3</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01C3C7E8" w14:textId="02C5B7AA"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4ED8B51F" w14:textId="4E75F471"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6AA935B0" w14:textId="1A718F86"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787D8018" w14:textId="1F08B7F7"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01A80CC9" w14:textId="3318AEBD"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26FF3C6F" w14:textId="3B883BCC"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c>
          <w:tcPr>
            <w:tcW w:w="597" w:type="dxa"/>
            <w:tcBorders>
              <w:top w:val="nil"/>
              <w:left w:val="nil"/>
              <w:bottom w:val="nil"/>
              <w:right w:val="nil"/>
            </w:tcBorders>
          </w:tcPr>
          <w:p w14:paraId="28BE37C2" w14:textId="41E5B362"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4</w:t>
            </w:r>
          </w:p>
        </w:tc>
      </w:tr>
      <w:tr w:rsidR="00987009" w:rsidRPr="001A4B94" w14:paraId="586C757B" w14:textId="77777777" w:rsidTr="00DD26A4">
        <w:trPr>
          <w:trHeight w:val="241"/>
        </w:trPr>
        <w:tc>
          <w:tcPr>
            <w:tcW w:w="3240" w:type="dxa"/>
            <w:tcBorders>
              <w:top w:val="nil"/>
              <w:left w:val="nil"/>
              <w:bottom w:val="nil"/>
              <w:right w:val="nil"/>
            </w:tcBorders>
            <w:shd w:val="clear" w:color="auto" w:fill="auto"/>
            <w:noWrap/>
            <w:vAlign w:val="center"/>
            <w:hideMark/>
          </w:tcPr>
          <w:p w14:paraId="2354DDF2" w14:textId="4CEC3920" w:rsidR="00987009" w:rsidRPr="001A4B94" w:rsidRDefault="006358C2" w:rsidP="0026491E">
            <w:pPr>
              <w:rPr>
                <w:sz w:val="14"/>
                <w:szCs w:val="14"/>
                <w:lang w:val="tr-TR"/>
              </w:rPr>
            </w:pPr>
            <w:r w:rsidRPr="001A4B94">
              <w:rPr>
                <w:sz w:val="14"/>
                <w:szCs w:val="14"/>
                <w:lang w:val="tr-TR"/>
              </w:rPr>
              <w:t>İhracat</w:t>
            </w:r>
            <w:r w:rsidR="00987009" w:rsidRPr="001A4B94">
              <w:rPr>
                <w:sz w:val="14"/>
                <w:szCs w:val="14"/>
                <w:lang w:val="tr-TR"/>
              </w:rPr>
              <w:t xml:space="preserve">, </w:t>
            </w:r>
            <w:r w:rsidR="00E94EA9" w:rsidRPr="001A4B94">
              <w:rPr>
                <w:sz w:val="14"/>
                <w:szCs w:val="14"/>
                <w:lang w:val="tr-TR"/>
              </w:rPr>
              <w:t>Mallar ve Faktör Dışı Hizmetler</w:t>
            </w:r>
            <w:r w:rsidR="001F1463" w:rsidRPr="001A4B94">
              <w:rPr>
                <w:sz w:val="14"/>
                <w:szCs w:val="14"/>
                <w:lang w:val="tr-TR"/>
              </w:rPr>
              <w:t>in</w:t>
            </w:r>
            <w:r w:rsidR="00987009" w:rsidRPr="001A4B94">
              <w:rPr>
                <w:sz w:val="14"/>
                <w:szCs w:val="14"/>
                <w:lang w:val="tr-TR"/>
              </w:rPr>
              <w:t xml:space="preserve"> </w:t>
            </w:r>
            <w:r w:rsidR="008E7185" w:rsidRPr="001A4B94">
              <w:rPr>
                <w:sz w:val="14"/>
                <w:szCs w:val="14"/>
                <w:lang w:val="tr-TR"/>
              </w:rPr>
              <w:t>Katkılar</w:t>
            </w:r>
            <w:r w:rsidR="001F1463" w:rsidRPr="001A4B94">
              <w:rPr>
                <w:sz w:val="14"/>
                <w:szCs w:val="14"/>
                <w:lang w:val="tr-TR"/>
              </w:rPr>
              <w:t>ı</w:t>
            </w:r>
            <w:r w:rsidR="00987009" w:rsidRPr="001A4B94">
              <w:rPr>
                <w:sz w:val="14"/>
                <w:szCs w:val="14"/>
                <w:lang w:val="tr-TR"/>
              </w:rPr>
              <w:t xml:space="preserve"> (</w:t>
            </w:r>
            <w:r w:rsidR="008E7185" w:rsidRPr="001A4B94">
              <w:rPr>
                <w:sz w:val="14"/>
                <w:szCs w:val="14"/>
                <w:lang w:val="tr-TR"/>
              </w:rPr>
              <w:t>yüzdelik puan olarak</w:t>
            </w:r>
            <w:r w:rsidR="00987009" w:rsidRPr="001A4B94">
              <w:rPr>
                <w:sz w:val="14"/>
                <w:szCs w:val="14"/>
                <w:lang w:val="tr-TR"/>
              </w:rPr>
              <w:t>)</w:t>
            </w:r>
          </w:p>
        </w:tc>
        <w:tc>
          <w:tcPr>
            <w:tcW w:w="831" w:type="dxa"/>
            <w:tcBorders>
              <w:top w:val="nil"/>
              <w:left w:val="nil"/>
              <w:bottom w:val="nil"/>
              <w:right w:val="nil"/>
            </w:tcBorders>
            <w:shd w:val="clear" w:color="auto" w:fill="auto"/>
            <w:noWrap/>
            <w:vAlign w:val="center"/>
            <w:hideMark/>
          </w:tcPr>
          <w:p w14:paraId="09D3563C" w14:textId="671531D4"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0B9FF84E" w14:textId="407621E6"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13058285" w14:textId="7432C191"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556CF0A9" w14:textId="4FECF96F"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4F595866" w14:textId="545FE409"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31A130D9" w14:textId="345D8CD5"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0FDBCEF9" w14:textId="3FE48458"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c>
          <w:tcPr>
            <w:tcW w:w="597" w:type="dxa"/>
            <w:tcBorders>
              <w:top w:val="nil"/>
              <w:left w:val="nil"/>
              <w:bottom w:val="nil"/>
              <w:right w:val="nil"/>
            </w:tcBorders>
          </w:tcPr>
          <w:p w14:paraId="7E9FEDA3" w14:textId="2F0A2686"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1</w:t>
            </w:r>
          </w:p>
        </w:tc>
      </w:tr>
      <w:tr w:rsidR="00987009" w:rsidRPr="001A4B94" w14:paraId="79CD36CF" w14:textId="77777777" w:rsidTr="00DD26A4">
        <w:trPr>
          <w:trHeight w:val="241"/>
        </w:trPr>
        <w:tc>
          <w:tcPr>
            <w:tcW w:w="3240" w:type="dxa"/>
            <w:tcBorders>
              <w:top w:val="nil"/>
              <w:left w:val="nil"/>
              <w:bottom w:val="nil"/>
              <w:right w:val="nil"/>
            </w:tcBorders>
            <w:shd w:val="clear" w:color="auto" w:fill="auto"/>
            <w:noWrap/>
            <w:vAlign w:val="center"/>
            <w:hideMark/>
          </w:tcPr>
          <w:p w14:paraId="53E3E5D8" w14:textId="1D584D0E" w:rsidR="00987009" w:rsidRPr="001A4B94" w:rsidRDefault="006358C2" w:rsidP="0026491E">
            <w:pPr>
              <w:rPr>
                <w:sz w:val="14"/>
                <w:szCs w:val="14"/>
                <w:lang w:val="tr-TR"/>
              </w:rPr>
            </w:pPr>
            <w:r w:rsidRPr="001A4B94">
              <w:rPr>
                <w:sz w:val="14"/>
                <w:szCs w:val="14"/>
                <w:lang w:val="tr-TR"/>
              </w:rPr>
              <w:t>İthalat</w:t>
            </w:r>
            <w:r w:rsidR="00987009" w:rsidRPr="001A4B94">
              <w:rPr>
                <w:sz w:val="14"/>
                <w:szCs w:val="14"/>
                <w:lang w:val="tr-TR"/>
              </w:rPr>
              <w:t xml:space="preserve">, </w:t>
            </w:r>
            <w:r w:rsidR="00E94EA9" w:rsidRPr="001A4B94">
              <w:rPr>
                <w:sz w:val="14"/>
                <w:szCs w:val="14"/>
                <w:lang w:val="tr-TR"/>
              </w:rPr>
              <w:t>Mallar ve Faktör Dışı Hizmetler</w:t>
            </w:r>
            <w:r w:rsidR="001F1463" w:rsidRPr="001A4B94">
              <w:rPr>
                <w:sz w:val="14"/>
                <w:szCs w:val="14"/>
                <w:lang w:val="tr-TR"/>
              </w:rPr>
              <w:t>in</w:t>
            </w:r>
            <w:r w:rsidR="00987009" w:rsidRPr="001A4B94">
              <w:rPr>
                <w:sz w:val="14"/>
                <w:szCs w:val="14"/>
                <w:lang w:val="tr-TR"/>
              </w:rPr>
              <w:t xml:space="preserve"> </w:t>
            </w:r>
            <w:r w:rsidR="008E7185" w:rsidRPr="001A4B94">
              <w:rPr>
                <w:sz w:val="14"/>
                <w:szCs w:val="14"/>
                <w:lang w:val="tr-TR"/>
              </w:rPr>
              <w:t>Katkılar</w:t>
            </w:r>
            <w:r w:rsidR="001F1463" w:rsidRPr="001A4B94">
              <w:rPr>
                <w:sz w:val="14"/>
                <w:szCs w:val="14"/>
                <w:lang w:val="tr-TR"/>
              </w:rPr>
              <w:t>ı</w:t>
            </w:r>
            <w:r w:rsidR="008E7185" w:rsidRPr="001A4B94">
              <w:rPr>
                <w:sz w:val="14"/>
                <w:szCs w:val="14"/>
                <w:lang w:val="tr-TR"/>
              </w:rPr>
              <w:t xml:space="preserve"> </w:t>
            </w:r>
            <w:r w:rsidR="00987009" w:rsidRPr="001A4B94">
              <w:rPr>
                <w:sz w:val="14"/>
                <w:szCs w:val="14"/>
                <w:lang w:val="tr-TR"/>
              </w:rPr>
              <w:t>(</w:t>
            </w:r>
            <w:r w:rsidR="008E7185" w:rsidRPr="001A4B94">
              <w:rPr>
                <w:sz w:val="14"/>
                <w:szCs w:val="14"/>
                <w:lang w:val="tr-TR"/>
              </w:rPr>
              <w:t>yüzdelik puan olarak</w:t>
            </w:r>
            <w:r w:rsidR="00987009" w:rsidRPr="001A4B94">
              <w:rPr>
                <w:sz w:val="14"/>
                <w:szCs w:val="14"/>
                <w:lang w:val="tr-TR"/>
              </w:rPr>
              <w:t>)</w:t>
            </w:r>
          </w:p>
        </w:tc>
        <w:tc>
          <w:tcPr>
            <w:tcW w:w="831" w:type="dxa"/>
            <w:tcBorders>
              <w:top w:val="nil"/>
              <w:left w:val="nil"/>
              <w:bottom w:val="nil"/>
              <w:right w:val="nil"/>
            </w:tcBorders>
            <w:shd w:val="clear" w:color="auto" w:fill="auto"/>
            <w:noWrap/>
            <w:vAlign w:val="center"/>
            <w:hideMark/>
          </w:tcPr>
          <w:p w14:paraId="68F57A77" w14:textId="200F5063"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2C680FC2" w14:textId="38392B4E"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2F3147DD" w14:textId="04B14552"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109EC094" w14:textId="301BB7EF"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354EB8B2" w14:textId="75533173"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281050B8" w14:textId="0A9C54DD"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14F56456" w14:textId="352EEDA3"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1</w:t>
            </w:r>
          </w:p>
        </w:tc>
        <w:tc>
          <w:tcPr>
            <w:tcW w:w="597" w:type="dxa"/>
            <w:tcBorders>
              <w:top w:val="nil"/>
              <w:left w:val="nil"/>
              <w:bottom w:val="nil"/>
              <w:right w:val="nil"/>
            </w:tcBorders>
          </w:tcPr>
          <w:p w14:paraId="2516E147" w14:textId="3AF49F40"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r>
      <w:tr w:rsidR="00987009" w:rsidRPr="001A4B94" w14:paraId="7DF3C812" w14:textId="77777777" w:rsidTr="00DD26A4">
        <w:trPr>
          <w:trHeight w:val="241"/>
        </w:trPr>
        <w:tc>
          <w:tcPr>
            <w:tcW w:w="3240" w:type="dxa"/>
            <w:tcBorders>
              <w:top w:val="nil"/>
              <w:left w:val="nil"/>
              <w:bottom w:val="nil"/>
              <w:right w:val="nil"/>
            </w:tcBorders>
            <w:shd w:val="clear" w:color="auto" w:fill="auto"/>
            <w:noWrap/>
            <w:vAlign w:val="center"/>
            <w:hideMark/>
          </w:tcPr>
          <w:p w14:paraId="50BC911E" w14:textId="1AB584BD" w:rsidR="00987009" w:rsidRPr="001A4B94" w:rsidRDefault="008E7185" w:rsidP="0026491E">
            <w:pPr>
              <w:rPr>
                <w:sz w:val="14"/>
                <w:szCs w:val="14"/>
                <w:lang w:val="tr-TR"/>
              </w:rPr>
            </w:pPr>
            <w:r w:rsidRPr="001A4B94">
              <w:rPr>
                <w:sz w:val="14"/>
                <w:szCs w:val="14"/>
                <w:lang w:val="tr-TR"/>
              </w:rPr>
              <w:t xml:space="preserve">Tüketici Fiyatları Endeksi </w:t>
            </w:r>
            <w:r w:rsidR="00987009" w:rsidRPr="001A4B94">
              <w:rPr>
                <w:sz w:val="14"/>
                <w:szCs w:val="14"/>
                <w:lang w:val="tr-TR"/>
              </w:rPr>
              <w:t>(</w:t>
            </w:r>
            <w:r w:rsidRPr="001A4B94">
              <w:rPr>
                <w:sz w:val="14"/>
                <w:szCs w:val="14"/>
                <w:lang w:val="tr-TR"/>
              </w:rPr>
              <w:t>ortalama</w:t>
            </w:r>
            <w:r w:rsidR="00987009" w:rsidRPr="001A4B94">
              <w:rPr>
                <w:sz w:val="14"/>
                <w:szCs w:val="14"/>
                <w:lang w:val="tr-TR"/>
              </w:rPr>
              <w:t>)</w:t>
            </w:r>
          </w:p>
        </w:tc>
        <w:tc>
          <w:tcPr>
            <w:tcW w:w="831" w:type="dxa"/>
            <w:tcBorders>
              <w:top w:val="nil"/>
              <w:left w:val="nil"/>
              <w:bottom w:val="nil"/>
              <w:right w:val="nil"/>
            </w:tcBorders>
            <w:shd w:val="clear" w:color="auto" w:fill="auto"/>
            <w:noWrap/>
            <w:vAlign w:val="center"/>
            <w:hideMark/>
          </w:tcPr>
          <w:p w14:paraId="6D1817B8" w14:textId="4826EDEB" w:rsidR="00987009" w:rsidRPr="001A4B94" w:rsidRDefault="00987009" w:rsidP="0026491E">
            <w:pPr>
              <w:jc w:val="center"/>
              <w:rPr>
                <w:sz w:val="16"/>
                <w:szCs w:val="16"/>
                <w:lang w:val="tr-TR"/>
              </w:rPr>
            </w:pPr>
            <w:r w:rsidRPr="001A4B94">
              <w:rPr>
                <w:sz w:val="16"/>
                <w:szCs w:val="16"/>
                <w:lang w:val="tr-TR"/>
              </w:rPr>
              <w:t>7</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5052D64B" w14:textId="57436CA3" w:rsidR="00987009" w:rsidRPr="001A4B94" w:rsidRDefault="00987009" w:rsidP="0026491E">
            <w:pPr>
              <w:jc w:val="center"/>
              <w:rPr>
                <w:sz w:val="16"/>
                <w:szCs w:val="16"/>
                <w:lang w:val="tr-TR"/>
              </w:rPr>
            </w:pPr>
            <w:r w:rsidRPr="001A4B94">
              <w:rPr>
                <w:sz w:val="16"/>
                <w:szCs w:val="16"/>
                <w:lang w:val="tr-TR"/>
              </w:rPr>
              <w:t>8</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14F3DD2E" w14:textId="61DA7EB5" w:rsidR="00987009" w:rsidRPr="001A4B94" w:rsidRDefault="00987009" w:rsidP="0026491E">
            <w:pPr>
              <w:jc w:val="center"/>
              <w:rPr>
                <w:sz w:val="16"/>
                <w:szCs w:val="16"/>
                <w:lang w:val="tr-TR"/>
              </w:rPr>
            </w:pPr>
            <w:r w:rsidRPr="001A4B94">
              <w:rPr>
                <w:sz w:val="16"/>
                <w:szCs w:val="16"/>
                <w:lang w:val="tr-TR"/>
              </w:rPr>
              <w:t>7</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6A78F0B2" w14:textId="123CA1D4" w:rsidR="00987009" w:rsidRPr="001A4B94" w:rsidRDefault="00987009" w:rsidP="0026491E">
            <w:pPr>
              <w:jc w:val="center"/>
              <w:rPr>
                <w:sz w:val="16"/>
                <w:szCs w:val="16"/>
                <w:lang w:val="tr-TR"/>
              </w:rPr>
            </w:pPr>
            <w:r w:rsidRPr="001A4B94">
              <w:rPr>
                <w:sz w:val="16"/>
                <w:szCs w:val="16"/>
                <w:lang w:val="tr-TR"/>
              </w:rPr>
              <w:t>7</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3CB6C557" w14:textId="4627649C" w:rsidR="00987009" w:rsidRPr="001A4B94" w:rsidRDefault="00987009" w:rsidP="0026491E">
            <w:pPr>
              <w:jc w:val="center"/>
              <w:rPr>
                <w:sz w:val="16"/>
                <w:szCs w:val="16"/>
                <w:lang w:val="tr-TR"/>
              </w:rPr>
            </w:pPr>
            <w:r w:rsidRPr="001A4B94">
              <w:rPr>
                <w:sz w:val="16"/>
                <w:szCs w:val="16"/>
                <w:lang w:val="tr-TR"/>
              </w:rPr>
              <w:t>10</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4ABD6AEE" w14:textId="200B4DB8" w:rsidR="00987009" w:rsidRPr="001A4B94" w:rsidRDefault="00987009" w:rsidP="0026491E">
            <w:pPr>
              <w:jc w:val="center"/>
              <w:rPr>
                <w:sz w:val="16"/>
                <w:szCs w:val="16"/>
                <w:lang w:val="tr-TR"/>
              </w:rPr>
            </w:pPr>
            <w:r w:rsidRPr="001A4B94">
              <w:rPr>
                <w:sz w:val="16"/>
                <w:szCs w:val="16"/>
                <w:lang w:val="tr-TR"/>
              </w:rPr>
              <w:t>8</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5FBBFB82" w14:textId="6777F737" w:rsidR="00987009" w:rsidRPr="001A4B94" w:rsidRDefault="00987009" w:rsidP="0026491E">
            <w:pPr>
              <w:jc w:val="center"/>
              <w:rPr>
                <w:sz w:val="16"/>
                <w:szCs w:val="16"/>
                <w:lang w:val="tr-TR"/>
              </w:rPr>
            </w:pPr>
            <w:r w:rsidRPr="001A4B94">
              <w:rPr>
                <w:sz w:val="16"/>
                <w:szCs w:val="16"/>
                <w:lang w:val="tr-TR"/>
              </w:rPr>
              <w:t>7</w:t>
            </w:r>
            <w:r w:rsidR="0034069F" w:rsidRPr="001A4B94">
              <w:rPr>
                <w:sz w:val="16"/>
                <w:szCs w:val="16"/>
                <w:lang w:val="tr-TR"/>
              </w:rPr>
              <w:t>,</w:t>
            </w:r>
            <w:r w:rsidRPr="001A4B94">
              <w:rPr>
                <w:sz w:val="16"/>
                <w:szCs w:val="16"/>
                <w:lang w:val="tr-TR"/>
              </w:rPr>
              <w:t>9</w:t>
            </w:r>
          </w:p>
        </w:tc>
        <w:tc>
          <w:tcPr>
            <w:tcW w:w="597" w:type="dxa"/>
            <w:tcBorders>
              <w:top w:val="nil"/>
              <w:left w:val="nil"/>
              <w:bottom w:val="nil"/>
              <w:right w:val="nil"/>
            </w:tcBorders>
          </w:tcPr>
          <w:p w14:paraId="49AC9C44" w14:textId="3068D34D" w:rsidR="00987009" w:rsidRPr="001A4B94" w:rsidRDefault="00987009" w:rsidP="0026491E">
            <w:pPr>
              <w:jc w:val="center"/>
              <w:rPr>
                <w:sz w:val="16"/>
                <w:szCs w:val="16"/>
                <w:lang w:val="tr-TR"/>
              </w:rPr>
            </w:pPr>
            <w:r w:rsidRPr="001A4B94">
              <w:rPr>
                <w:sz w:val="16"/>
                <w:szCs w:val="16"/>
                <w:lang w:val="tr-TR"/>
              </w:rPr>
              <w:t>7</w:t>
            </w:r>
            <w:r w:rsidR="0034069F" w:rsidRPr="001A4B94">
              <w:rPr>
                <w:sz w:val="16"/>
                <w:szCs w:val="16"/>
                <w:lang w:val="tr-TR"/>
              </w:rPr>
              <w:t>,</w:t>
            </w:r>
            <w:r w:rsidRPr="001A4B94">
              <w:rPr>
                <w:sz w:val="16"/>
                <w:szCs w:val="16"/>
                <w:lang w:val="tr-TR"/>
              </w:rPr>
              <w:t>1</w:t>
            </w:r>
          </w:p>
        </w:tc>
      </w:tr>
      <w:tr w:rsidR="00987009" w:rsidRPr="001A4B94" w14:paraId="30A31F86" w14:textId="77777777" w:rsidTr="00DD26A4">
        <w:trPr>
          <w:trHeight w:val="241"/>
        </w:trPr>
        <w:tc>
          <w:tcPr>
            <w:tcW w:w="3240" w:type="dxa"/>
            <w:tcBorders>
              <w:top w:val="nil"/>
              <w:left w:val="nil"/>
              <w:bottom w:val="nil"/>
              <w:right w:val="nil"/>
            </w:tcBorders>
            <w:shd w:val="clear" w:color="000000" w:fill="D5DCE4"/>
            <w:noWrap/>
            <w:vAlign w:val="center"/>
            <w:hideMark/>
          </w:tcPr>
          <w:p w14:paraId="0C4F65E9" w14:textId="7A25037B" w:rsidR="00987009" w:rsidRPr="001A4B94" w:rsidRDefault="001B7D55" w:rsidP="0026491E">
            <w:pPr>
              <w:rPr>
                <w:b/>
                <w:bCs/>
                <w:sz w:val="16"/>
                <w:szCs w:val="16"/>
                <w:lang w:val="tr-TR"/>
              </w:rPr>
            </w:pPr>
            <w:r w:rsidRPr="001A4B94">
              <w:rPr>
                <w:b/>
                <w:bCs/>
                <w:sz w:val="16"/>
                <w:szCs w:val="16"/>
                <w:lang w:val="tr-TR"/>
              </w:rPr>
              <w:t xml:space="preserve">Mali Hesaplar </w:t>
            </w:r>
          </w:p>
        </w:tc>
        <w:tc>
          <w:tcPr>
            <w:tcW w:w="3267" w:type="dxa"/>
            <w:gridSpan w:val="4"/>
            <w:tcBorders>
              <w:top w:val="nil"/>
              <w:left w:val="nil"/>
              <w:bottom w:val="nil"/>
              <w:right w:val="nil"/>
            </w:tcBorders>
            <w:shd w:val="clear" w:color="000000" w:fill="D5DCE4"/>
            <w:noWrap/>
            <w:vAlign w:val="center"/>
            <w:hideMark/>
          </w:tcPr>
          <w:p w14:paraId="5D05496D" w14:textId="6F0FFFF3" w:rsidR="00987009" w:rsidRPr="001A4B94" w:rsidRDefault="006358C2" w:rsidP="0026491E">
            <w:pPr>
              <w:jc w:val="center"/>
              <w:rPr>
                <w:sz w:val="16"/>
                <w:szCs w:val="16"/>
                <w:lang w:val="tr-TR"/>
              </w:rPr>
            </w:pPr>
            <w:r w:rsidRPr="001A4B94">
              <w:rPr>
                <w:sz w:val="16"/>
                <w:szCs w:val="16"/>
                <w:lang w:val="tr-TR"/>
              </w:rPr>
              <w:t>Aksi belirtilmediği sürece, GSYH’nın yüzdesi</w:t>
            </w:r>
            <w:r w:rsidRPr="001A4B94">
              <w:rPr>
                <w:sz w:val="14"/>
                <w:szCs w:val="14"/>
                <w:lang w:val="tr-TR"/>
              </w:rPr>
              <w:t xml:space="preserve"> </w:t>
            </w:r>
          </w:p>
        </w:tc>
        <w:tc>
          <w:tcPr>
            <w:tcW w:w="3033" w:type="dxa"/>
            <w:gridSpan w:val="4"/>
            <w:tcBorders>
              <w:top w:val="nil"/>
              <w:left w:val="nil"/>
              <w:bottom w:val="nil"/>
              <w:right w:val="nil"/>
            </w:tcBorders>
            <w:shd w:val="clear" w:color="000000" w:fill="D5DCE4"/>
          </w:tcPr>
          <w:p w14:paraId="2EDEB3C4" w14:textId="77777777" w:rsidR="00987009" w:rsidRPr="001A4B94" w:rsidRDefault="00987009" w:rsidP="0026491E">
            <w:pPr>
              <w:jc w:val="center"/>
              <w:rPr>
                <w:sz w:val="16"/>
                <w:szCs w:val="16"/>
                <w:lang w:val="tr-TR"/>
              </w:rPr>
            </w:pPr>
          </w:p>
        </w:tc>
      </w:tr>
      <w:tr w:rsidR="00987009" w:rsidRPr="001A4B94" w14:paraId="6D34327E" w14:textId="77777777" w:rsidTr="00DD26A4">
        <w:trPr>
          <w:trHeight w:val="217"/>
        </w:trPr>
        <w:tc>
          <w:tcPr>
            <w:tcW w:w="3240" w:type="dxa"/>
            <w:tcBorders>
              <w:top w:val="nil"/>
              <w:left w:val="nil"/>
              <w:bottom w:val="nil"/>
              <w:right w:val="nil"/>
            </w:tcBorders>
            <w:shd w:val="clear" w:color="auto" w:fill="auto"/>
            <w:noWrap/>
            <w:vAlign w:val="center"/>
            <w:hideMark/>
          </w:tcPr>
          <w:p w14:paraId="7CFD2FCB" w14:textId="31AA6798" w:rsidR="00987009" w:rsidRPr="001A4B94" w:rsidRDefault="001B7D55" w:rsidP="0026491E">
            <w:pPr>
              <w:rPr>
                <w:sz w:val="14"/>
                <w:szCs w:val="14"/>
                <w:lang w:val="tr-TR"/>
              </w:rPr>
            </w:pPr>
            <w:r w:rsidRPr="001A4B94">
              <w:rPr>
                <w:sz w:val="14"/>
                <w:szCs w:val="14"/>
                <w:lang w:val="tr-TR"/>
              </w:rPr>
              <w:t xml:space="preserve">Toplam Gelirler </w:t>
            </w:r>
          </w:p>
        </w:tc>
        <w:tc>
          <w:tcPr>
            <w:tcW w:w="831" w:type="dxa"/>
            <w:tcBorders>
              <w:top w:val="nil"/>
              <w:left w:val="nil"/>
              <w:bottom w:val="nil"/>
              <w:right w:val="nil"/>
            </w:tcBorders>
            <w:shd w:val="clear" w:color="auto" w:fill="auto"/>
            <w:noWrap/>
            <w:vAlign w:val="center"/>
            <w:hideMark/>
          </w:tcPr>
          <w:p w14:paraId="181F6FF7" w14:textId="58C59E8B"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09171BE5" w14:textId="745A31FC" w:rsidR="00987009" w:rsidRPr="001A4B94" w:rsidRDefault="00987009" w:rsidP="0026491E">
            <w:pPr>
              <w:jc w:val="center"/>
              <w:rPr>
                <w:sz w:val="16"/>
                <w:szCs w:val="16"/>
                <w:lang w:val="tr-TR"/>
              </w:rPr>
            </w:pPr>
            <w:r w:rsidRPr="001A4B94">
              <w:rPr>
                <w:sz w:val="16"/>
                <w:szCs w:val="16"/>
                <w:lang w:val="tr-TR"/>
              </w:rPr>
              <w:t>33</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5695C667" w14:textId="038D1E77"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4AE94FAF" w14:textId="5A7B6F3E"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73A2C67C" w14:textId="37C8630E"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46A5820D" w14:textId="3EE63E13"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567B0211" w14:textId="66A46DDF"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3</w:t>
            </w:r>
          </w:p>
        </w:tc>
        <w:tc>
          <w:tcPr>
            <w:tcW w:w="597" w:type="dxa"/>
            <w:tcBorders>
              <w:top w:val="nil"/>
              <w:left w:val="nil"/>
              <w:bottom w:val="nil"/>
              <w:right w:val="nil"/>
            </w:tcBorders>
          </w:tcPr>
          <w:p w14:paraId="480B1BBE" w14:textId="2BA337F5"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2</w:t>
            </w:r>
          </w:p>
        </w:tc>
      </w:tr>
      <w:tr w:rsidR="00987009" w:rsidRPr="001A4B94" w14:paraId="37E924D8" w14:textId="77777777" w:rsidTr="00DD26A4">
        <w:trPr>
          <w:trHeight w:val="217"/>
        </w:trPr>
        <w:tc>
          <w:tcPr>
            <w:tcW w:w="3240" w:type="dxa"/>
            <w:tcBorders>
              <w:top w:val="nil"/>
              <w:left w:val="nil"/>
              <w:bottom w:val="nil"/>
              <w:right w:val="nil"/>
            </w:tcBorders>
            <w:shd w:val="clear" w:color="auto" w:fill="auto"/>
            <w:noWrap/>
            <w:vAlign w:val="center"/>
            <w:hideMark/>
          </w:tcPr>
          <w:p w14:paraId="06821040" w14:textId="6A1D34F0" w:rsidR="00987009" w:rsidRPr="001A4B94" w:rsidRDefault="001B7D55" w:rsidP="0026491E">
            <w:pPr>
              <w:rPr>
                <w:sz w:val="14"/>
                <w:szCs w:val="14"/>
                <w:lang w:val="tr-TR"/>
              </w:rPr>
            </w:pPr>
            <w:r w:rsidRPr="001A4B94">
              <w:rPr>
                <w:sz w:val="14"/>
                <w:szCs w:val="14"/>
                <w:lang w:val="tr-TR"/>
              </w:rPr>
              <w:t xml:space="preserve">Giderler </w:t>
            </w:r>
          </w:p>
        </w:tc>
        <w:tc>
          <w:tcPr>
            <w:tcW w:w="831" w:type="dxa"/>
            <w:tcBorders>
              <w:top w:val="nil"/>
              <w:left w:val="nil"/>
              <w:bottom w:val="nil"/>
              <w:right w:val="nil"/>
            </w:tcBorders>
            <w:shd w:val="clear" w:color="auto" w:fill="auto"/>
            <w:noWrap/>
            <w:vAlign w:val="center"/>
            <w:hideMark/>
          </w:tcPr>
          <w:p w14:paraId="46B6201F" w14:textId="227818D8" w:rsidR="00987009" w:rsidRPr="001A4B94" w:rsidRDefault="00987009" w:rsidP="0026491E">
            <w:pPr>
              <w:jc w:val="center"/>
              <w:rPr>
                <w:sz w:val="16"/>
                <w:szCs w:val="16"/>
                <w:lang w:val="tr-TR"/>
              </w:rPr>
            </w:pPr>
            <w:r w:rsidRPr="001A4B94">
              <w:rPr>
                <w:sz w:val="16"/>
                <w:szCs w:val="16"/>
                <w:lang w:val="tr-TR"/>
              </w:rPr>
              <w:t>35</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53FB19EE" w14:textId="4D5B379C"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631EA30A" w14:textId="781B51DC" w:rsidR="00987009" w:rsidRPr="001A4B94" w:rsidRDefault="00987009" w:rsidP="0026491E">
            <w:pPr>
              <w:jc w:val="center"/>
              <w:rPr>
                <w:sz w:val="16"/>
                <w:szCs w:val="16"/>
                <w:lang w:val="tr-TR"/>
              </w:rPr>
            </w:pPr>
            <w:r w:rsidRPr="001A4B94">
              <w:rPr>
                <w:sz w:val="16"/>
                <w:szCs w:val="16"/>
                <w:lang w:val="tr-TR"/>
              </w:rPr>
              <w:t>34</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29619FD5" w14:textId="3175F52C" w:rsidR="00987009" w:rsidRPr="001A4B94" w:rsidRDefault="00987009" w:rsidP="0026491E">
            <w:pPr>
              <w:jc w:val="center"/>
              <w:rPr>
                <w:sz w:val="16"/>
                <w:szCs w:val="16"/>
                <w:lang w:val="tr-TR"/>
              </w:rPr>
            </w:pPr>
            <w:r w:rsidRPr="001A4B94">
              <w:rPr>
                <w:sz w:val="16"/>
                <w:szCs w:val="16"/>
                <w:lang w:val="tr-TR"/>
              </w:rPr>
              <w:t>36</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213D891F" w14:textId="0708A24A" w:rsidR="00987009" w:rsidRPr="001A4B94" w:rsidRDefault="00987009" w:rsidP="0026491E">
            <w:pPr>
              <w:jc w:val="center"/>
              <w:rPr>
                <w:sz w:val="16"/>
                <w:szCs w:val="16"/>
                <w:lang w:val="tr-TR"/>
              </w:rPr>
            </w:pPr>
            <w:r w:rsidRPr="001A4B94">
              <w:rPr>
                <w:sz w:val="16"/>
                <w:szCs w:val="16"/>
                <w:lang w:val="tr-TR"/>
              </w:rPr>
              <w:t>36</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50C21C77" w14:textId="3F278311" w:rsidR="00987009" w:rsidRPr="001A4B94" w:rsidRDefault="00987009" w:rsidP="0026491E">
            <w:pPr>
              <w:jc w:val="center"/>
              <w:rPr>
                <w:sz w:val="16"/>
                <w:szCs w:val="16"/>
                <w:lang w:val="tr-TR"/>
              </w:rPr>
            </w:pPr>
            <w:r w:rsidRPr="001A4B94">
              <w:rPr>
                <w:sz w:val="16"/>
                <w:szCs w:val="16"/>
                <w:lang w:val="tr-TR"/>
              </w:rPr>
              <w:t>35</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41CACF88" w14:textId="37865420" w:rsidR="00987009" w:rsidRPr="001A4B94" w:rsidRDefault="00987009" w:rsidP="0026491E">
            <w:pPr>
              <w:jc w:val="center"/>
              <w:rPr>
                <w:sz w:val="16"/>
                <w:szCs w:val="16"/>
                <w:lang w:val="tr-TR"/>
              </w:rPr>
            </w:pPr>
            <w:r w:rsidRPr="001A4B94">
              <w:rPr>
                <w:sz w:val="16"/>
                <w:szCs w:val="16"/>
                <w:lang w:val="tr-TR"/>
              </w:rPr>
              <w:t>35</w:t>
            </w:r>
            <w:r w:rsidR="0034069F" w:rsidRPr="001A4B94">
              <w:rPr>
                <w:sz w:val="16"/>
                <w:szCs w:val="16"/>
                <w:lang w:val="tr-TR"/>
              </w:rPr>
              <w:t>,</w:t>
            </w:r>
            <w:r w:rsidRPr="001A4B94">
              <w:rPr>
                <w:sz w:val="16"/>
                <w:szCs w:val="16"/>
                <w:lang w:val="tr-TR"/>
              </w:rPr>
              <w:t>7</w:t>
            </w:r>
          </w:p>
        </w:tc>
        <w:tc>
          <w:tcPr>
            <w:tcW w:w="597" w:type="dxa"/>
            <w:tcBorders>
              <w:top w:val="nil"/>
              <w:left w:val="nil"/>
              <w:bottom w:val="nil"/>
              <w:right w:val="nil"/>
            </w:tcBorders>
          </w:tcPr>
          <w:p w14:paraId="1C886721" w14:textId="7F704CAD" w:rsidR="00987009" w:rsidRPr="001A4B94" w:rsidRDefault="00987009" w:rsidP="0026491E">
            <w:pPr>
              <w:jc w:val="center"/>
              <w:rPr>
                <w:sz w:val="16"/>
                <w:szCs w:val="16"/>
                <w:lang w:val="tr-TR"/>
              </w:rPr>
            </w:pPr>
            <w:r w:rsidRPr="001A4B94">
              <w:rPr>
                <w:sz w:val="16"/>
                <w:szCs w:val="16"/>
                <w:lang w:val="tr-TR"/>
              </w:rPr>
              <w:t>35</w:t>
            </w:r>
            <w:r w:rsidR="0034069F" w:rsidRPr="001A4B94">
              <w:rPr>
                <w:sz w:val="16"/>
                <w:szCs w:val="16"/>
                <w:lang w:val="tr-TR"/>
              </w:rPr>
              <w:t>,</w:t>
            </w:r>
            <w:r w:rsidRPr="001A4B94">
              <w:rPr>
                <w:sz w:val="16"/>
                <w:szCs w:val="16"/>
                <w:lang w:val="tr-TR"/>
              </w:rPr>
              <w:t>4</w:t>
            </w:r>
          </w:p>
        </w:tc>
      </w:tr>
      <w:tr w:rsidR="00987009" w:rsidRPr="001A4B94" w14:paraId="04129252" w14:textId="77777777" w:rsidTr="00DD26A4">
        <w:trPr>
          <w:trHeight w:val="217"/>
        </w:trPr>
        <w:tc>
          <w:tcPr>
            <w:tcW w:w="3240" w:type="dxa"/>
            <w:tcBorders>
              <w:top w:val="nil"/>
              <w:left w:val="nil"/>
              <w:bottom w:val="nil"/>
              <w:right w:val="nil"/>
            </w:tcBorders>
            <w:shd w:val="clear" w:color="auto" w:fill="auto"/>
            <w:noWrap/>
            <w:vAlign w:val="center"/>
            <w:hideMark/>
          </w:tcPr>
          <w:p w14:paraId="063753BB" w14:textId="53C7FDEF" w:rsidR="00987009" w:rsidRPr="001A4B94" w:rsidRDefault="001B7D55" w:rsidP="0026491E">
            <w:pPr>
              <w:rPr>
                <w:sz w:val="14"/>
                <w:szCs w:val="14"/>
                <w:lang w:val="tr-TR"/>
              </w:rPr>
            </w:pPr>
            <w:r w:rsidRPr="001A4B94">
              <w:rPr>
                <w:sz w:val="14"/>
                <w:szCs w:val="14"/>
                <w:lang w:val="tr-TR"/>
              </w:rPr>
              <w:t xml:space="preserve">Genel Kamu Dengesi </w:t>
            </w:r>
          </w:p>
        </w:tc>
        <w:tc>
          <w:tcPr>
            <w:tcW w:w="831" w:type="dxa"/>
            <w:tcBorders>
              <w:top w:val="nil"/>
              <w:left w:val="nil"/>
              <w:bottom w:val="nil"/>
              <w:right w:val="nil"/>
            </w:tcBorders>
            <w:shd w:val="clear" w:color="auto" w:fill="auto"/>
            <w:noWrap/>
            <w:vAlign w:val="center"/>
            <w:hideMark/>
          </w:tcPr>
          <w:p w14:paraId="1393D792" w14:textId="688C21C8"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29C1BD14" w14:textId="005694A1"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087F7538" w14:textId="09901701"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1CC0ADBA" w14:textId="62416049"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26D57DE1" w14:textId="03C15F2B"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674AFB40" w14:textId="5DCA77A6"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4295B046" w14:textId="79D79B55"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3</w:t>
            </w:r>
          </w:p>
        </w:tc>
        <w:tc>
          <w:tcPr>
            <w:tcW w:w="597" w:type="dxa"/>
            <w:tcBorders>
              <w:top w:val="nil"/>
              <w:left w:val="nil"/>
              <w:bottom w:val="nil"/>
              <w:right w:val="nil"/>
            </w:tcBorders>
          </w:tcPr>
          <w:p w14:paraId="03984819" w14:textId="3F04B7D9"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r>
      <w:tr w:rsidR="00987009" w:rsidRPr="001A4B94" w14:paraId="4CFBAE1F" w14:textId="77777777" w:rsidTr="00DD26A4">
        <w:trPr>
          <w:trHeight w:val="217"/>
        </w:trPr>
        <w:tc>
          <w:tcPr>
            <w:tcW w:w="3240" w:type="dxa"/>
            <w:tcBorders>
              <w:top w:val="nil"/>
              <w:left w:val="nil"/>
              <w:bottom w:val="nil"/>
              <w:right w:val="nil"/>
            </w:tcBorders>
            <w:shd w:val="clear" w:color="auto" w:fill="auto"/>
            <w:noWrap/>
            <w:vAlign w:val="center"/>
            <w:hideMark/>
          </w:tcPr>
          <w:p w14:paraId="5783FFD9" w14:textId="24A73513" w:rsidR="00987009" w:rsidRPr="001A4B94" w:rsidRDefault="001B7D55" w:rsidP="0026491E">
            <w:pPr>
              <w:rPr>
                <w:sz w:val="14"/>
                <w:szCs w:val="14"/>
                <w:lang w:val="tr-TR"/>
              </w:rPr>
            </w:pPr>
            <w:r w:rsidRPr="001A4B94">
              <w:rPr>
                <w:sz w:val="14"/>
                <w:szCs w:val="14"/>
                <w:lang w:val="tr-TR"/>
              </w:rPr>
              <w:t xml:space="preserve">Kamu Borç Stoku </w:t>
            </w:r>
          </w:p>
        </w:tc>
        <w:tc>
          <w:tcPr>
            <w:tcW w:w="831" w:type="dxa"/>
            <w:tcBorders>
              <w:top w:val="nil"/>
              <w:left w:val="nil"/>
              <w:bottom w:val="nil"/>
              <w:right w:val="nil"/>
            </w:tcBorders>
            <w:shd w:val="clear" w:color="auto" w:fill="auto"/>
            <w:noWrap/>
            <w:vAlign w:val="center"/>
            <w:hideMark/>
          </w:tcPr>
          <w:p w14:paraId="7DFAFA2D" w14:textId="324DF0B9" w:rsidR="00987009" w:rsidRPr="001A4B94" w:rsidRDefault="00987009" w:rsidP="0026491E">
            <w:pPr>
              <w:jc w:val="center"/>
              <w:rPr>
                <w:sz w:val="16"/>
                <w:szCs w:val="16"/>
                <w:lang w:val="tr-TR"/>
              </w:rPr>
            </w:pPr>
            <w:r w:rsidRPr="001A4B94">
              <w:rPr>
                <w:sz w:val="16"/>
                <w:szCs w:val="16"/>
                <w:lang w:val="tr-TR"/>
              </w:rPr>
              <w:t>33</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205C8217" w14:textId="154AB434" w:rsidR="00987009" w:rsidRPr="001A4B94" w:rsidRDefault="00987009" w:rsidP="0026491E">
            <w:pPr>
              <w:jc w:val="center"/>
              <w:rPr>
                <w:sz w:val="16"/>
                <w:szCs w:val="16"/>
                <w:lang w:val="tr-TR"/>
              </w:rPr>
            </w:pPr>
            <w:r w:rsidRPr="001A4B94">
              <w:rPr>
                <w:sz w:val="16"/>
                <w:szCs w:val="16"/>
                <w:lang w:val="tr-TR"/>
              </w:rPr>
              <w:t>31</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17F77C02" w14:textId="2619C9D7" w:rsidR="00987009" w:rsidRPr="001A4B94" w:rsidRDefault="00987009" w:rsidP="0026491E">
            <w:pPr>
              <w:jc w:val="center"/>
              <w:rPr>
                <w:sz w:val="16"/>
                <w:szCs w:val="16"/>
                <w:lang w:val="tr-TR"/>
              </w:rPr>
            </w:pPr>
            <w:r w:rsidRPr="001A4B94">
              <w:rPr>
                <w:sz w:val="16"/>
                <w:szCs w:val="16"/>
                <w:lang w:val="tr-TR"/>
              </w:rPr>
              <w:t>30</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0C5D0F6D" w14:textId="13B4AADE" w:rsidR="00987009" w:rsidRPr="001A4B94" w:rsidRDefault="00987009" w:rsidP="0026491E">
            <w:pPr>
              <w:jc w:val="center"/>
              <w:rPr>
                <w:sz w:val="16"/>
                <w:szCs w:val="16"/>
                <w:lang w:val="tr-TR"/>
              </w:rPr>
            </w:pPr>
            <w:r w:rsidRPr="001A4B94">
              <w:rPr>
                <w:sz w:val="16"/>
                <w:szCs w:val="16"/>
                <w:lang w:val="tr-TR"/>
              </w:rPr>
              <w:t>30</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69259300" w14:textId="7FCD59D3" w:rsidR="00987009" w:rsidRPr="001A4B94" w:rsidRDefault="00987009" w:rsidP="0026491E">
            <w:pPr>
              <w:jc w:val="center"/>
              <w:rPr>
                <w:sz w:val="16"/>
                <w:szCs w:val="16"/>
                <w:lang w:val="tr-TR"/>
              </w:rPr>
            </w:pPr>
            <w:r w:rsidRPr="001A4B94">
              <w:rPr>
                <w:sz w:val="16"/>
                <w:szCs w:val="16"/>
                <w:lang w:val="tr-TR"/>
              </w:rPr>
              <w:t>30</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61854F00" w14:textId="74ACDFF5" w:rsidR="00987009" w:rsidRPr="001A4B94" w:rsidRDefault="00987009" w:rsidP="0026491E">
            <w:pPr>
              <w:jc w:val="center"/>
              <w:rPr>
                <w:sz w:val="16"/>
                <w:szCs w:val="16"/>
                <w:lang w:val="tr-TR"/>
              </w:rPr>
            </w:pPr>
            <w:r w:rsidRPr="001A4B94">
              <w:rPr>
                <w:sz w:val="16"/>
                <w:szCs w:val="16"/>
                <w:lang w:val="tr-TR"/>
              </w:rPr>
              <w:t>29</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52349155" w14:textId="783C9123" w:rsidR="00987009" w:rsidRPr="001A4B94" w:rsidRDefault="00987009" w:rsidP="0026491E">
            <w:pPr>
              <w:jc w:val="center"/>
              <w:rPr>
                <w:sz w:val="16"/>
                <w:szCs w:val="16"/>
                <w:lang w:val="tr-TR"/>
              </w:rPr>
            </w:pPr>
            <w:r w:rsidRPr="001A4B94">
              <w:rPr>
                <w:sz w:val="16"/>
                <w:szCs w:val="16"/>
                <w:lang w:val="tr-TR"/>
              </w:rPr>
              <w:t>27</w:t>
            </w:r>
            <w:r w:rsidR="0034069F" w:rsidRPr="001A4B94">
              <w:rPr>
                <w:sz w:val="16"/>
                <w:szCs w:val="16"/>
                <w:lang w:val="tr-TR"/>
              </w:rPr>
              <w:t>,</w:t>
            </w:r>
            <w:r w:rsidRPr="001A4B94">
              <w:rPr>
                <w:sz w:val="16"/>
                <w:szCs w:val="16"/>
                <w:lang w:val="tr-TR"/>
              </w:rPr>
              <w:t>9</w:t>
            </w:r>
          </w:p>
        </w:tc>
        <w:tc>
          <w:tcPr>
            <w:tcW w:w="597" w:type="dxa"/>
            <w:tcBorders>
              <w:top w:val="nil"/>
              <w:left w:val="nil"/>
              <w:bottom w:val="nil"/>
              <w:right w:val="nil"/>
            </w:tcBorders>
          </w:tcPr>
          <w:p w14:paraId="45B85E05" w14:textId="71AE1E90" w:rsidR="00987009" w:rsidRPr="001A4B94" w:rsidRDefault="00987009" w:rsidP="0026491E">
            <w:pPr>
              <w:jc w:val="center"/>
              <w:rPr>
                <w:sz w:val="16"/>
                <w:szCs w:val="16"/>
                <w:lang w:val="tr-TR"/>
              </w:rPr>
            </w:pPr>
            <w:r w:rsidRPr="001A4B94">
              <w:rPr>
                <w:sz w:val="16"/>
                <w:szCs w:val="16"/>
                <w:lang w:val="tr-TR"/>
              </w:rPr>
              <w:t>26</w:t>
            </w:r>
            <w:r w:rsidR="0034069F" w:rsidRPr="001A4B94">
              <w:rPr>
                <w:sz w:val="16"/>
                <w:szCs w:val="16"/>
                <w:lang w:val="tr-TR"/>
              </w:rPr>
              <w:t>,</w:t>
            </w:r>
            <w:r w:rsidRPr="001A4B94">
              <w:rPr>
                <w:sz w:val="16"/>
                <w:szCs w:val="16"/>
                <w:lang w:val="tr-TR"/>
              </w:rPr>
              <w:t>7</w:t>
            </w:r>
          </w:p>
        </w:tc>
      </w:tr>
      <w:tr w:rsidR="00987009" w:rsidRPr="001A4B94" w14:paraId="3DF66261" w14:textId="77777777" w:rsidTr="00DD26A4">
        <w:trPr>
          <w:trHeight w:val="241"/>
        </w:trPr>
        <w:tc>
          <w:tcPr>
            <w:tcW w:w="3240" w:type="dxa"/>
            <w:tcBorders>
              <w:top w:val="nil"/>
              <w:left w:val="nil"/>
              <w:bottom w:val="nil"/>
              <w:right w:val="nil"/>
            </w:tcBorders>
            <w:shd w:val="clear" w:color="000000" w:fill="D5DCE4"/>
            <w:noWrap/>
            <w:vAlign w:val="center"/>
            <w:hideMark/>
          </w:tcPr>
          <w:p w14:paraId="6E53BFF6" w14:textId="1293751D" w:rsidR="00987009" w:rsidRPr="001A4B94" w:rsidRDefault="001B7D55" w:rsidP="0026491E">
            <w:pPr>
              <w:rPr>
                <w:b/>
                <w:bCs/>
                <w:sz w:val="16"/>
                <w:szCs w:val="16"/>
                <w:lang w:val="tr-TR"/>
              </w:rPr>
            </w:pPr>
            <w:r w:rsidRPr="001A4B94">
              <w:rPr>
                <w:b/>
                <w:bCs/>
                <w:sz w:val="16"/>
                <w:szCs w:val="16"/>
                <w:lang w:val="tr-TR"/>
              </w:rPr>
              <w:t xml:space="preserve">Ödemeler Dengesi </w:t>
            </w:r>
          </w:p>
        </w:tc>
        <w:tc>
          <w:tcPr>
            <w:tcW w:w="3267" w:type="dxa"/>
            <w:gridSpan w:val="4"/>
            <w:tcBorders>
              <w:top w:val="nil"/>
              <w:left w:val="nil"/>
              <w:bottom w:val="nil"/>
              <w:right w:val="nil"/>
            </w:tcBorders>
            <w:shd w:val="clear" w:color="000000" w:fill="D5DCE4"/>
            <w:noWrap/>
            <w:vAlign w:val="center"/>
            <w:hideMark/>
          </w:tcPr>
          <w:p w14:paraId="1DF8455E" w14:textId="28E3CA7F" w:rsidR="00987009" w:rsidRPr="001A4B94" w:rsidRDefault="006358C2" w:rsidP="0026491E">
            <w:pPr>
              <w:jc w:val="center"/>
              <w:rPr>
                <w:sz w:val="16"/>
                <w:szCs w:val="16"/>
                <w:lang w:val="tr-TR"/>
              </w:rPr>
            </w:pPr>
            <w:r w:rsidRPr="001A4B94">
              <w:rPr>
                <w:sz w:val="16"/>
                <w:szCs w:val="16"/>
                <w:lang w:val="tr-TR"/>
              </w:rPr>
              <w:t>Aksi belirtilmediği sürece, GSYH’nın yüzdesi</w:t>
            </w:r>
          </w:p>
        </w:tc>
        <w:tc>
          <w:tcPr>
            <w:tcW w:w="3033" w:type="dxa"/>
            <w:gridSpan w:val="4"/>
            <w:tcBorders>
              <w:top w:val="nil"/>
              <w:left w:val="nil"/>
              <w:bottom w:val="nil"/>
              <w:right w:val="nil"/>
            </w:tcBorders>
            <w:shd w:val="clear" w:color="000000" w:fill="D5DCE4"/>
          </w:tcPr>
          <w:p w14:paraId="5889EA82" w14:textId="77777777" w:rsidR="00987009" w:rsidRPr="001A4B94" w:rsidRDefault="00987009" w:rsidP="0026491E">
            <w:pPr>
              <w:jc w:val="center"/>
              <w:rPr>
                <w:sz w:val="16"/>
                <w:szCs w:val="16"/>
                <w:lang w:val="tr-TR"/>
              </w:rPr>
            </w:pPr>
          </w:p>
        </w:tc>
      </w:tr>
      <w:tr w:rsidR="00987009" w:rsidRPr="001A4B94" w14:paraId="09D73B11" w14:textId="77777777" w:rsidTr="00DD26A4">
        <w:trPr>
          <w:trHeight w:val="205"/>
        </w:trPr>
        <w:tc>
          <w:tcPr>
            <w:tcW w:w="3240" w:type="dxa"/>
            <w:tcBorders>
              <w:top w:val="nil"/>
              <w:left w:val="nil"/>
              <w:bottom w:val="nil"/>
              <w:right w:val="nil"/>
            </w:tcBorders>
            <w:shd w:val="clear" w:color="auto" w:fill="auto"/>
            <w:noWrap/>
            <w:vAlign w:val="center"/>
            <w:hideMark/>
          </w:tcPr>
          <w:p w14:paraId="30290552" w14:textId="4A806E94" w:rsidR="00987009" w:rsidRPr="001A4B94" w:rsidRDefault="001B7D55" w:rsidP="0026491E">
            <w:pPr>
              <w:rPr>
                <w:sz w:val="14"/>
                <w:szCs w:val="14"/>
                <w:lang w:val="tr-TR"/>
              </w:rPr>
            </w:pPr>
            <w:r w:rsidRPr="001A4B94">
              <w:rPr>
                <w:sz w:val="14"/>
                <w:szCs w:val="14"/>
                <w:lang w:val="tr-TR"/>
              </w:rPr>
              <w:t xml:space="preserve">İhracat Toplamı </w:t>
            </w:r>
          </w:p>
        </w:tc>
        <w:tc>
          <w:tcPr>
            <w:tcW w:w="831" w:type="dxa"/>
            <w:tcBorders>
              <w:top w:val="nil"/>
              <w:left w:val="nil"/>
              <w:bottom w:val="nil"/>
              <w:right w:val="nil"/>
            </w:tcBorders>
            <w:shd w:val="clear" w:color="auto" w:fill="auto"/>
            <w:noWrap/>
            <w:vAlign w:val="center"/>
            <w:hideMark/>
          </w:tcPr>
          <w:p w14:paraId="30BDEBB6" w14:textId="76D2FAF4" w:rsidR="00987009" w:rsidRPr="001A4B94" w:rsidRDefault="00987009" w:rsidP="0026491E">
            <w:pPr>
              <w:jc w:val="center"/>
              <w:rPr>
                <w:sz w:val="16"/>
                <w:szCs w:val="16"/>
                <w:lang w:val="tr-TR"/>
              </w:rPr>
            </w:pPr>
            <w:r w:rsidRPr="001A4B94">
              <w:rPr>
                <w:sz w:val="16"/>
                <w:szCs w:val="16"/>
                <w:lang w:val="tr-TR"/>
              </w:rPr>
              <w:t>22</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0108858E" w14:textId="69234888" w:rsidR="00987009" w:rsidRPr="001A4B94" w:rsidRDefault="00987009" w:rsidP="0026491E">
            <w:pPr>
              <w:jc w:val="center"/>
              <w:rPr>
                <w:sz w:val="16"/>
                <w:szCs w:val="16"/>
                <w:lang w:val="tr-TR"/>
              </w:rPr>
            </w:pPr>
            <w:r w:rsidRPr="001A4B94">
              <w:rPr>
                <w:sz w:val="16"/>
                <w:szCs w:val="16"/>
                <w:lang w:val="tr-TR"/>
              </w:rPr>
              <w:t>23</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3EF8434C" w14:textId="371C4A2B" w:rsidR="00987009" w:rsidRPr="001A4B94" w:rsidRDefault="00987009" w:rsidP="0026491E">
            <w:pPr>
              <w:jc w:val="center"/>
              <w:rPr>
                <w:sz w:val="16"/>
                <w:szCs w:val="16"/>
                <w:lang w:val="tr-TR"/>
              </w:rPr>
            </w:pPr>
            <w:r w:rsidRPr="001A4B94">
              <w:rPr>
                <w:sz w:val="16"/>
                <w:szCs w:val="16"/>
                <w:lang w:val="tr-TR"/>
              </w:rPr>
              <w:t>23</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553A829E" w14:textId="2D48ABF6" w:rsidR="00987009" w:rsidRPr="001A4B94" w:rsidRDefault="00987009" w:rsidP="0026491E">
            <w:pPr>
              <w:jc w:val="center"/>
              <w:rPr>
                <w:sz w:val="16"/>
                <w:szCs w:val="16"/>
                <w:lang w:val="tr-TR"/>
              </w:rPr>
            </w:pPr>
            <w:r w:rsidRPr="001A4B94">
              <w:rPr>
                <w:sz w:val="16"/>
                <w:szCs w:val="16"/>
                <w:lang w:val="tr-TR"/>
              </w:rPr>
              <w:t>21</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40B1BBB1" w14:textId="24EF3433" w:rsidR="00987009" w:rsidRPr="001A4B94" w:rsidRDefault="00987009" w:rsidP="0026491E">
            <w:pPr>
              <w:jc w:val="center"/>
              <w:rPr>
                <w:sz w:val="16"/>
                <w:szCs w:val="16"/>
                <w:lang w:val="tr-TR"/>
              </w:rPr>
            </w:pPr>
            <w:r w:rsidRPr="001A4B94">
              <w:rPr>
                <w:sz w:val="16"/>
                <w:szCs w:val="16"/>
                <w:lang w:val="tr-TR"/>
              </w:rPr>
              <w:t>25</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7D7A5C66" w14:textId="5BAC246C" w:rsidR="00987009" w:rsidRPr="001A4B94" w:rsidRDefault="00987009" w:rsidP="0026491E">
            <w:pPr>
              <w:jc w:val="center"/>
              <w:rPr>
                <w:sz w:val="16"/>
                <w:szCs w:val="16"/>
                <w:lang w:val="tr-TR"/>
              </w:rPr>
            </w:pPr>
            <w:r w:rsidRPr="001A4B94">
              <w:rPr>
                <w:sz w:val="16"/>
                <w:szCs w:val="16"/>
                <w:lang w:val="tr-TR"/>
              </w:rPr>
              <w:t>25</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5A37B2DC" w14:textId="32773F03" w:rsidR="00987009" w:rsidRPr="001A4B94" w:rsidRDefault="00987009" w:rsidP="0026491E">
            <w:pPr>
              <w:jc w:val="center"/>
              <w:rPr>
                <w:sz w:val="16"/>
                <w:szCs w:val="16"/>
                <w:lang w:val="tr-TR"/>
              </w:rPr>
            </w:pPr>
            <w:r w:rsidRPr="001A4B94">
              <w:rPr>
                <w:sz w:val="16"/>
                <w:szCs w:val="16"/>
                <w:lang w:val="tr-TR"/>
              </w:rPr>
              <w:t>26</w:t>
            </w:r>
            <w:r w:rsidR="0034069F" w:rsidRPr="001A4B94">
              <w:rPr>
                <w:sz w:val="16"/>
                <w:szCs w:val="16"/>
                <w:lang w:val="tr-TR"/>
              </w:rPr>
              <w:t>,</w:t>
            </w:r>
            <w:r w:rsidRPr="001A4B94">
              <w:rPr>
                <w:sz w:val="16"/>
                <w:szCs w:val="16"/>
                <w:lang w:val="tr-TR"/>
              </w:rPr>
              <w:t>3</w:t>
            </w:r>
          </w:p>
        </w:tc>
        <w:tc>
          <w:tcPr>
            <w:tcW w:w="597" w:type="dxa"/>
            <w:tcBorders>
              <w:top w:val="nil"/>
              <w:left w:val="nil"/>
              <w:bottom w:val="nil"/>
              <w:right w:val="nil"/>
            </w:tcBorders>
          </w:tcPr>
          <w:p w14:paraId="25D57ADD" w14:textId="11EC5516" w:rsidR="00987009" w:rsidRPr="001A4B94" w:rsidRDefault="00987009" w:rsidP="0026491E">
            <w:pPr>
              <w:jc w:val="center"/>
              <w:rPr>
                <w:sz w:val="16"/>
                <w:szCs w:val="16"/>
                <w:lang w:val="tr-TR"/>
              </w:rPr>
            </w:pPr>
            <w:r w:rsidRPr="001A4B94">
              <w:rPr>
                <w:sz w:val="16"/>
                <w:szCs w:val="16"/>
                <w:lang w:val="tr-TR"/>
              </w:rPr>
              <w:t>27</w:t>
            </w:r>
            <w:r w:rsidR="0034069F" w:rsidRPr="001A4B94">
              <w:rPr>
                <w:sz w:val="16"/>
                <w:szCs w:val="16"/>
                <w:lang w:val="tr-TR"/>
              </w:rPr>
              <w:t>,</w:t>
            </w:r>
            <w:r w:rsidRPr="001A4B94">
              <w:rPr>
                <w:sz w:val="16"/>
                <w:szCs w:val="16"/>
                <w:lang w:val="tr-TR"/>
              </w:rPr>
              <w:t>3</w:t>
            </w:r>
          </w:p>
        </w:tc>
      </w:tr>
      <w:tr w:rsidR="00987009" w:rsidRPr="001A4B94" w14:paraId="4B42999E" w14:textId="77777777" w:rsidTr="00DD26A4">
        <w:trPr>
          <w:trHeight w:val="205"/>
        </w:trPr>
        <w:tc>
          <w:tcPr>
            <w:tcW w:w="3240" w:type="dxa"/>
            <w:tcBorders>
              <w:top w:val="nil"/>
              <w:left w:val="nil"/>
              <w:bottom w:val="nil"/>
              <w:right w:val="nil"/>
            </w:tcBorders>
            <w:shd w:val="clear" w:color="auto" w:fill="auto"/>
            <w:noWrap/>
            <w:vAlign w:val="center"/>
            <w:hideMark/>
          </w:tcPr>
          <w:p w14:paraId="2101B94B" w14:textId="57B7BD64" w:rsidR="00987009" w:rsidRPr="001A4B94" w:rsidRDefault="001B7D55" w:rsidP="0026491E">
            <w:pPr>
              <w:rPr>
                <w:sz w:val="14"/>
                <w:szCs w:val="14"/>
                <w:lang w:val="tr-TR"/>
              </w:rPr>
            </w:pPr>
            <w:r w:rsidRPr="001A4B94">
              <w:rPr>
                <w:sz w:val="14"/>
                <w:szCs w:val="14"/>
                <w:lang w:val="tr-TR"/>
              </w:rPr>
              <w:t xml:space="preserve">İthalat Toplamı  </w:t>
            </w:r>
          </w:p>
        </w:tc>
        <w:tc>
          <w:tcPr>
            <w:tcW w:w="831" w:type="dxa"/>
            <w:tcBorders>
              <w:top w:val="nil"/>
              <w:left w:val="nil"/>
              <w:bottom w:val="nil"/>
              <w:right w:val="nil"/>
            </w:tcBorders>
            <w:shd w:val="clear" w:color="auto" w:fill="auto"/>
            <w:noWrap/>
            <w:vAlign w:val="center"/>
            <w:hideMark/>
          </w:tcPr>
          <w:p w14:paraId="5A2E3BF9" w14:textId="47B0B1EC" w:rsidR="00987009" w:rsidRPr="001A4B94" w:rsidRDefault="00987009" w:rsidP="0026491E">
            <w:pPr>
              <w:jc w:val="center"/>
              <w:rPr>
                <w:sz w:val="16"/>
                <w:szCs w:val="16"/>
                <w:lang w:val="tr-TR"/>
              </w:rPr>
            </w:pPr>
            <w:r w:rsidRPr="001A4B94">
              <w:rPr>
                <w:sz w:val="16"/>
                <w:szCs w:val="16"/>
                <w:lang w:val="tr-TR"/>
              </w:rPr>
              <w:t>28</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3ABFB578" w14:textId="6E6416A4" w:rsidR="00987009" w:rsidRPr="001A4B94" w:rsidRDefault="00987009" w:rsidP="0026491E">
            <w:pPr>
              <w:jc w:val="center"/>
              <w:rPr>
                <w:sz w:val="16"/>
                <w:szCs w:val="16"/>
                <w:lang w:val="tr-TR"/>
              </w:rPr>
            </w:pPr>
            <w:r w:rsidRPr="001A4B94">
              <w:rPr>
                <w:sz w:val="16"/>
                <w:szCs w:val="16"/>
                <w:lang w:val="tr-TR"/>
              </w:rPr>
              <w:t>27</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67A199A7" w14:textId="061A7B8C" w:rsidR="00987009" w:rsidRPr="001A4B94" w:rsidRDefault="00987009" w:rsidP="0026491E">
            <w:pPr>
              <w:jc w:val="center"/>
              <w:rPr>
                <w:sz w:val="16"/>
                <w:szCs w:val="16"/>
                <w:lang w:val="tr-TR"/>
              </w:rPr>
            </w:pPr>
            <w:r w:rsidRPr="001A4B94">
              <w:rPr>
                <w:sz w:val="16"/>
                <w:szCs w:val="16"/>
                <w:lang w:val="tr-TR"/>
              </w:rPr>
              <w:t>25</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3D908C6F" w14:textId="1081B7E9" w:rsidR="00987009" w:rsidRPr="001A4B94" w:rsidRDefault="00987009" w:rsidP="0026491E">
            <w:pPr>
              <w:jc w:val="center"/>
              <w:rPr>
                <w:sz w:val="16"/>
                <w:szCs w:val="16"/>
                <w:lang w:val="tr-TR"/>
              </w:rPr>
            </w:pPr>
            <w:r w:rsidRPr="001A4B94">
              <w:rPr>
                <w:sz w:val="16"/>
                <w:szCs w:val="16"/>
                <w:lang w:val="tr-TR"/>
              </w:rPr>
              <w:t>24</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6D686652" w14:textId="531B4586" w:rsidR="00987009" w:rsidRPr="001A4B94" w:rsidRDefault="00987009" w:rsidP="0026491E">
            <w:pPr>
              <w:jc w:val="center"/>
              <w:rPr>
                <w:sz w:val="16"/>
                <w:szCs w:val="16"/>
                <w:lang w:val="tr-TR"/>
              </w:rPr>
            </w:pPr>
            <w:r w:rsidRPr="001A4B94">
              <w:rPr>
                <w:sz w:val="16"/>
                <w:szCs w:val="16"/>
                <w:lang w:val="tr-TR"/>
              </w:rPr>
              <w:t>28</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592A5C7C" w14:textId="3740FD6E" w:rsidR="00987009" w:rsidRPr="001A4B94" w:rsidRDefault="00987009" w:rsidP="0026491E">
            <w:pPr>
              <w:jc w:val="center"/>
              <w:rPr>
                <w:sz w:val="16"/>
                <w:szCs w:val="16"/>
                <w:lang w:val="tr-TR"/>
              </w:rPr>
            </w:pPr>
            <w:r w:rsidRPr="001A4B94">
              <w:rPr>
                <w:sz w:val="16"/>
                <w:szCs w:val="16"/>
                <w:lang w:val="tr-TR"/>
              </w:rPr>
              <w:t>29</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492AF543" w14:textId="6BA099EA" w:rsidR="00987009" w:rsidRPr="001A4B94" w:rsidRDefault="00987009" w:rsidP="0026491E">
            <w:pPr>
              <w:jc w:val="center"/>
              <w:rPr>
                <w:sz w:val="16"/>
                <w:szCs w:val="16"/>
                <w:lang w:val="tr-TR"/>
              </w:rPr>
            </w:pPr>
            <w:r w:rsidRPr="001A4B94">
              <w:rPr>
                <w:sz w:val="16"/>
                <w:szCs w:val="16"/>
                <w:lang w:val="tr-TR"/>
              </w:rPr>
              <w:t>30</w:t>
            </w:r>
            <w:r w:rsidR="0034069F" w:rsidRPr="001A4B94">
              <w:rPr>
                <w:sz w:val="16"/>
                <w:szCs w:val="16"/>
                <w:lang w:val="tr-TR"/>
              </w:rPr>
              <w:t>,</w:t>
            </w:r>
            <w:r w:rsidRPr="001A4B94">
              <w:rPr>
                <w:sz w:val="16"/>
                <w:szCs w:val="16"/>
                <w:lang w:val="tr-TR"/>
              </w:rPr>
              <w:t>1</w:t>
            </w:r>
          </w:p>
        </w:tc>
        <w:tc>
          <w:tcPr>
            <w:tcW w:w="597" w:type="dxa"/>
            <w:tcBorders>
              <w:top w:val="nil"/>
              <w:left w:val="nil"/>
              <w:bottom w:val="nil"/>
              <w:right w:val="nil"/>
            </w:tcBorders>
          </w:tcPr>
          <w:p w14:paraId="100FDA9E" w14:textId="554F6C42" w:rsidR="00987009" w:rsidRPr="001A4B94" w:rsidRDefault="00987009" w:rsidP="0026491E">
            <w:pPr>
              <w:jc w:val="center"/>
              <w:rPr>
                <w:sz w:val="16"/>
                <w:szCs w:val="16"/>
                <w:lang w:val="tr-TR"/>
              </w:rPr>
            </w:pPr>
            <w:r w:rsidRPr="001A4B94">
              <w:rPr>
                <w:sz w:val="16"/>
                <w:szCs w:val="16"/>
                <w:lang w:val="tr-TR"/>
              </w:rPr>
              <w:t>31</w:t>
            </w:r>
            <w:r w:rsidR="0034069F" w:rsidRPr="001A4B94">
              <w:rPr>
                <w:sz w:val="16"/>
                <w:szCs w:val="16"/>
                <w:lang w:val="tr-TR"/>
              </w:rPr>
              <w:t>,</w:t>
            </w:r>
            <w:r w:rsidRPr="001A4B94">
              <w:rPr>
                <w:sz w:val="16"/>
                <w:szCs w:val="16"/>
                <w:lang w:val="tr-TR"/>
              </w:rPr>
              <w:t>4</w:t>
            </w:r>
          </w:p>
        </w:tc>
      </w:tr>
      <w:tr w:rsidR="00987009" w:rsidRPr="001A4B94" w14:paraId="09697345" w14:textId="77777777" w:rsidTr="00DD26A4">
        <w:trPr>
          <w:trHeight w:val="205"/>
        </w:trPr>
        <w:tc>
          <w:tcPr>
            <w:tcW w:w="3240" w:type="dxa"/>
            <w:tcBorders>
              <w:top w:val="nil"/>
              <w:left w:val="nil"/>
              <w:bottom w:val="nil"/>
              <w:right w:val="nil"/>
            </w:tcBorders>
            <w:shd w:val="clear" w:color="auto" w:fill="auto"/>
            <w:noWrap/>
            <w:vAlign w:val="center"/>
            <w:hideMark/>
          </w:tcPr>
          <w:p w14:paraId="550C2168" w14:textId="3D218A42" w:rsidR="00987009" w:rsidRPr="001A4B94" w:rsidRDefault="00CB15D6" w:rsidP="0026491E">
            <w:pPr>
              <w:rPr>
                <w:sz w:val="14"/>
                <w:szCs w:val="14"/>
                <w:lang w:val="tr-TR"/>
              </w:rPr>
            </w:pPr>
            <w:r w:rsidRPr="001A4B94">
              <w:rPr>
                <w:sz w:val="14"/>
                <w:szCs w:val="14"/>
                <w:lang w:val="tr-TR"/>
              </w:rPr>
              <w:t xml:space="preserve">Birincil ve İkincil Gelir </w:t>
            </w:r>
          </w:p>
        </w:tc>
        <w:tc>
          <w:tcPr>
            <w:tcW w:w="831" w:type="dxa"/>
            <w:tcBorders>
              <w:top w:val="nil"/>
              <w:left w:val="nil"/>
              <w:bottom w:val="nil"/>
              <w:right w:val="nil"/>
            </w:tcBorders>
            <w:shd w:val="clear" w:color="auto" w:fill="auto"/>
            <w:noWrap/>
            <w:vAlign w:val="center"/>
            <w:hideMark/>
          </w:tcPr>
          <w:p w14:paraId="4D6A78E8" w14:textId="084C0DCB"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08AD4C3A" w14:textId="3F2417CC"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7B520EC7" w14:textId="4E973986"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160DF3F6" w14:textId="3C38C019"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3054EE06" w14:textId="54F0C916"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453C24DC" w14:textId="44314593"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2F5EED1B" w14:textId="08C831B5"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597" w:type="dxa"/>
            <w:tcBorders>
              <w:top w:val="nil"/>
              <w:left w:val="nil"/>
              <w:bottom w:val="nil"/>
              <w:right w:val="nil"/>
            </w:tcBorders>
          </w:tcPr>
          <w:p w14:paraId="67BAEED6" w14:textId="256284C4"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7</w:t>
            </w:r>
          </w:p>
        </w:tc>
      </w:tr>
      <w:tr w:rsidR="00987009" w:rsidRPr="001A4B94" w14:paraId="574DAD45" w14:textId="77777777" w:rsidTr="00DD26A4">
        <w:trPr>
          <w:trHeight w:val="205"/>
        </w:trPr>
        <w:tc>
          <w:tcPr>
            <w:tcW w:w="3240" w:type="dxa"/>
            <w:tcBorders>
              <w:top w:val="nil"/>
              <w:left w:val="nil"/>
              <w:bottom w:val="nil"/>
              <w:right w:val="nil"/>
            </w:tcBorders>
            <w:shd w:val="clear" w:color="auto" w:fill="auto"/>
            <w:noWrap/>
            <w:vAlign w:val="center"/>
            <w:hideMark/>
          </w:tcPr>
          <w:p w14:paraId="2D77C448" w14:textId="0A4CB967" w:rsidR="00987009" w:rsidRPr="001A4B94" w:rsidRDefault="00CB15D6" w:rsidP="0026491E">
            <w:pPr>
              <w:rPr>
                <w:sz w:val="14"/>
                <w:szCs w:val="14"/>
                <w:lang w:val="tr-TR"/>
              </w:rPr>
            </w:pPr>
            <w:r w:rsidRPr="001A4B94">
              <w:rPr>
                <w:sz w:val="14"/>
                <w:szCs w:val="14"/>
                <w:lang w:val="tr-TR"/>
              </w:rPr>
              <w:t xml:space="preserve">Cari Hesaplar Dengesi </w:t>
            </w:r>
            <w:r w:rsidR="00987009" w:rsidRPr="001A4B94">
              <w:rPr>
                <w:sz w:val="14"/>
                <w:szCs w:val="14"/>
                <w:lang w:val="tr-TR"/>
              </w:rPr>
              <w:t>(</w:t>
            </w:r>
            <w:r w:rsidRPr="001A4B94">
              <w:rPr>
                <w:sz w:val="14"/>
                <w:szCs w:val="14"/>
                <w:lang w:val="tr-TR"/>
              </w:rPr>
              <w:t xml:space="preserve">GSYH’nın </w:t>
            </w:r>
            <w:r w:rsidR="00987009" w:rsidRPr="001A4B94">
              <w:rPr>
                <w:sz w:val="14"/>
                <w:szCs w:val="14"/>
                <w:lang w:val="tr-TR"/>
              </w:rPr>
              <w:t>%</w:t>
            </w:r>
            <w:r w:rsidRPr="001A4B94">
              <w:rPr>
                <w:sz w:val="14"/>
                <w:szCs w:val="14"/>
                <w:lang w:val="tr-TR"/>
              </w:rPr>
              <w:t>’si</w:t>
            </w:r>
            <w:r w:rsidR="00987009" w:rsidRPr="001A4B94">
              <w:rPr>
                <w:sz w:val="14"/>
                <w:szCs w:val="14"/>
                <w:lang w:val="tr-TR"/>
              </w:rPr>
              <w:t>)</w:t>
            </w:r>
          </w:p>
        </w:tc>
        <w:tc>
          <w:tcPr>
            <w:tcW w:w="831" w:type="dxa"/>
            <w:tcBorders>
              <w:top w:val="nil"/>
              <w:left w:val="nil"/>
              <w:bottom w:val="nil"/>
              <w:right w:val="nil"/>
            </w:tcBorders>
            <w:shd w:val="clear" w:color="auto" w:fill="auto"/>
            <w:noWrap/>
            <w:vAlign w:val="center"/>
            <w:hideMark/>
          </w:tcPr>
          <w:p w14:paraId="66B1CA0E" w14:textId="4E8694BB" w:rsidR="00987009" w:rsidRPr="001A4B94" w:rsidRDefault="00987009" w:rsidP="0026491E">
            <w:pPr>
              <w:jc w:val="center"/>
              <w:rPr>
                <w:sz w:val="16"/>
                <w:szCs w:val="16"/>
                <w:lang w:val="tr-TR"/>
              </w:rPr>
            </w:pPr>
            <w:r w:rsidRPr="001A4B94">
              <w:rPr>
                <w:sz w:val="16"/>
                <w:szCs w:val="16"/>
                <w:lang w:val="tr-TR"/>
              </w:rPr>
              <w:t>-6</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4DA17B5D" w14:textId="7C810CC4"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4706776D" w14:textId="3E399CFF" w:rsidR="00987009" w:rsidRPr="001A4B94" w:rsidRDefault="00987009" w:rsidP="0026491E">
            <w:pPr>
              <w:jc w:val="center"/>
              <w:rPr>
                <w:sz w:val="16"/>
                <w:szCs w:val="16"/>
                <w:lang w:val="tr-TR"/>
              </w:rPr>
            </w:pPr>
            <w:r w:rsidRPr="001A4B94">
              <w:rPr>
                <w:sz w:val="16"/>
                <w:szCs w:val="16"/>
                <w:lang w:val="tr-TR"/>
              </w:rPr>
              <w:t>-3</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5E2065DD" w14:textId="55D2C441" w:rsidR="00987009" w:rsidRPr="001A4B94" w:rsidRDefault="00987009" w:rsidP="0026491E">
            <w:pPr>
              <w:jc w:val="center"/>
              <w:rPr>
                <w:sz w:val="16"/>
                <w:szCs w:val="16"/>
                <w:lang w:val="tr-TR"/>
              </w:rPr>
            </w:pPr>
            <w:r w:rsidRPr="001A4B94">
              <w:rPr>
                <w:sz w:val="16"/>
                <w:szCs w:val="16"/>
                <w:lang w:val="tr-TR"/>
              </w:rPr>
              <w:t>-3</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1BF0C440" w14:textId="06A4EA8A"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7EA5937A" w14:textId="798EE1D7"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3117B36C" w14:textId="7BBD397B"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6</w:t>
            </w:r>
          </w:p>
        </w:tc>
        <w:tc>
          <w:tcPr>
            <w:tcW w:w="597" w:type="dxa"/>
            <w:tcBorders>
              <w:top w:val="nil"/>
              <w:left w:val="nil"/>
              <w:bottom w:val="nil"/>
              <w:right w:val="nil"/>
            </w:tcBorders>
          </w:tcPr>
          <w:p w14:paraId="754AF2B3" w14:textId="7EA92ED5"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8</w:t>
            </w:r>
          </w:p>
        </w:tc>
      </w:tr>
      <w:tr w:rsidR="00987009" w:rsidRPr="001A4B94" w14:paraId="2ECC4B0C" w14:textId="77777777" w:rsidTr="00DD26A4">
        <w:trPr>
          <w:trHeight w:val="205"/>
        </w:trPr>
        <w:tc>
          <w:tcPr>
            <w:tcW w:w="3240" w:type="dxa"/>
            <w:tcBorders>
              <w:top w:val="nil"/>
              <w:left w:val="nil"/>
              <w:bottom w:val="nil"/>
              <w:right w:val="nil"/>
            </w:tcBorders>
            <w:shd w:val="clear" w:color="auto" w:fill="auto"/>
            <w:noWrap/>
            <w:vAlign w:val="center"/>
            <w:hideMark/>
          </w:tcPr>
          <w:p w14:paraId="59FD0DCD" w14:textId="74483924" w:rsidR="00987009" w:rsidRPr="001A4B94" w:rsidRDefault="00987009" w:rsidP="0026491E">
            <w:pPr>
              <w:rPr>
                <w:sz w:val="14"/>
                <w:szCs w:val="14"/>
                <w:lang w:val="tr-TR"/>
              </w:rPr>
            </w:pPr>
            <w:r w:rsidRPr="001A4B94">
              <w:rPr>
                <w:sz w:val="14"/>
                <w:szCs w:val="14"/>
                <w:lang w:val="tr-TR"/>
              </w:rPr>
              <w:t xml:space="preserve">Net </w:t>
            </w:r>
            <w:r w:rsidR="00CB15D6" w:rsidRPr="001A4B94">
              <w:rPr>
                <w:sz w:val="14"/>
                <w:szCs w:val="14"/>
                <w:lang w:val="tr-TR"/>
              </w:rPr>
              <w:t xml:space="preserve">Doğrudan Yabancı Yatırım </w:t>
            </w:r>
          </w:p>
        </w:tc>
        <w:tc>
          <w:tcPr>
            <w:tcW w:w="831" w:type="dxa"/>
            <w:tcBorders>
              <w:top w:val="nil"/>
              <w:left w:val="nil"/>
              <w:bottom w:val="nil"/>
              <w:right w:val="nil"/>
            </w:tcBorders>
            <w:shd w:val="clear" w:color="auto" w:fill="auto"/>
            <w:noWrap/>
            <w:vAlign w:val="center"/>
            <w:hideMark/>
          </w:tcPr>
          <w:p w14:paraId="5C07543A" w14:textId="51B43C5B"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20371E59" w14:textId="5C4A99A2"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7D93F7AC" w14:textId="2ABFFAEA"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30917C4B" w14:textId="68515D03"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585A17FF" w14:textId="4AA63A45"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135767CF" w14:textId="01A99215"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1B361F55" w14:textId="37F628F9"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3</w:t>
            </w:r>
          </w:p>
        </w:tc>
        <w:tc>
          <w:tcPr>
            <w:tcW w:w="597" w:type="dxa"/>
            <w:tcBorders>
              <w:top w:val="nil"/>
              <w:left w:val="nil"/>
              <w:bottom w:val="nil"/>
              <w:right w:val="nil"/>
            </w:tcBorders>
          </w:tcPr>
          <w:p w14:paraId="065CBD06" w14:textId="70C87162"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4</w:t>
            </w:r>
          </w:p>
        </w:tc>
      </w:tr>
      <w:tr w:rsidR="00987009" w:rsidRPr="001A4B94" w14:paraId="0EF6B75B" w14:textId="77777777" w:rsidTr="00DD26A4">
        <w:trPr>
          <w:trHeight w:val="205"/>
        </w:trPr>
        <w:tc>
          <w:tcPr>
            <w:tcW w:w="3240" w:type="dxa"/>
            <w:tcBorders>
              <w:top w:val="nil"/>
              <w:left w:val="nil"/>
              <w:bottom w:val="nil"/>
              <w:right w:val="nil"/>
            </w:tcBorders>
            <w:shd w:val="clear" w:color="auto" w:fill="auto"/>
            <w:noWrap/>
            <w:vAlign w:val="center"/>
            <w:hideMark/>
          </w:tcPr>
          <w:p w14:paraId="6E67EA37" w14:textId="1828901A" w:rsidR="00987009" w:rsidRPr="001A4B94" w:rsidRDefault="00987009" w:rsidP="0026491E">
            <w:pPr>
              <w:rPr>
                <w:sz w:val="14"/>
                <w:szCs w:val="14"/>
                <w:lang w:val="tr-TR"/>
              </w:rPr>
            </w:pPr>
            <w:r w:rsidRPr="001A4B94">
              <w:rPr>
                <w:sz w:val="14"/>
                <w:szCs w:val="14"/>
                <w:lang w:val="tr-TR"/>
              </w:rPr>
              <w:t xml:space="preserve">Net </w:t>
            </w:r>
            <w:r w:rsidR="00CB15D6" w:rsidRPr="001A4B94">
              <w:rPr>
                <w:sz w:val="14"/>
                <w:szCs w:val="14"/>
                <w:lang w:val="tr-TR"/>
              </w:rPr>
              <w:t xml:space="preserve">Portföy Yatırımı </w:t>
            </w:r>
          </w:p>
        </w:tc>
        <w:tc>
          <w:tcPr>
            <w:tcW w:w="831" w:type="dxa"/>
            <w:tcBorders>
              <w:top w:val="nil"/>
              <w:left w:val="nil"/>
              <w:bottom w:val="nil"/>
              <w:right w:val="nil"/>
            </w:tcBorders>
            <w:shd w:val="clear" w:color="auto" w:fill="auto"/>
            <w:noWrap/>
            <w:vAlign w:val="center"/>
            <w:hideMark/>
          </w:tcPr>
          <w:p w14:paraId="23913E89" w14:textId="682FFA83"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1618DFAB" w14:textId="0A0148C3" w:rsidR="00987009" w:rsidRPr="001A4B94" w:rsidRDefault="00987009" w:rsidP="0026491E">
            <w:pPr>
              <w:jc w:val="center"/>
              <w:rPr>
                <w:sz w:val="16"/>
                <w:szCs w:val="16"/>
                <w:lang w:val="tr-TR"/>
              </w:rPr>
            </w:pPr>
            <w:r w:rsidRPr="001A4B94">
              <w:rPr>
                <w:sz w:val="16"/>
                <w:szCs w:val="16"/>
                <w:lang w:val="tr-TR"/>
              </w:rPr>
              <w:t>2</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53496B0D" w14:textId="38850D97"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429CB9F3" w14:textId="05EFAB1A"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7</w:t>
            </w:r>
          </w:p>
        </w:tc>
        <w:tc>
          <w:tcPr>
            <w:tcW w:w="812" w:type="dxa"/>
            <w:tcBorders>
              <w:top w:val="nil"/>
              <w:left w:val="nil"/>
              <w:bottom w:val="nil"/>
              <w:right w:val="nil"/>
            </w:tcBorders>
            <w:shd w:val="clear" w:color="auto" w:fill="auto"/>
            <w:noWrap/>
            <w:vAlign w:val="center"/>
            <w:hideMark/>
          </w:tcPr>
          <w:p w14:paraId="11966C28" w14:textId="183ED2DF"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52BFFBF1" w14:textId="6E35381C"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2A313C58" w14:textId="177A1B8A"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8</w:t>
            </w:r>
          </w:p>
        </w:tc>
        <w:tc>
          <w:tcPr>
            <w:tcW w:w="597" w:type="dxa"/>
            <w:tcBorders>
              <w:top w:val="nil"/>
              <w:left w:val="nil"/>
              <w:bottom w:val="nil"/>
              <w:right w:val="nil"/>
            </w:tcBorders>
          </w:tcPr>
          <w:p w14:paraId="3DE4D61C" w14:textId="25EB71AA"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9</w:t>
            </w:r>
          </w:p>
        </w:tc>
      </w:tr>
      <w:tr w:rsidR="00987009" w:rsidRPr="001A4B94" w14:paraId="37736C9D" w14:textId="77777777" w:rsidTr="00DD26A4">
        <w:trPr>
          <w:trHeight w:val="205"/>
        </w:trPr>
        <w:tc>
          <w:tcPr>
            <w:tcW w:w="3240" w:type="dxa"/>
            <w:tcBorders>
              <w:top w:val="nil"/>
              <w:left w:val="nil"/>
              <w:bottom w:val="nil"/>
              <w:right w:val="nil"/>
            </w:tcBorders>
            <w:shd w:val="clear" w:color="auto" w:fill="auto"/>
            <w:noWrap/>
            <w:vAlign w:val="center"/>
            <w:hideMark/>
          </w:tcPr>
          <w:p w14:paraId="29E4E6F7" w14:textId="7994212C" w:rsidR="00987009" w:rsidRPr="001A4B94" w:rsidRDefault="00987009" w:rsidP="0026491E">
            <w:pPr>
              <w:rPr>
                <w:sz w:val="14"/>
                <w:szCs w:val="14"/>
                <w:lang w:val="tr-TR"/>
              </w:rPr>
            </w:pPr>
            <w:r w:rsidRPr="001A4B94">
              <w:rPr>
                <w:sz w:val="14"/>
                <w:szCs w:val="14"/>
                <w:lang w:val="tr-TR"/>
              </w:rPr>
              <w:t xml:space="preserve">Net </w:t>
            </w:r>
            <w:r w:rsidR="00CB15D6" w:rsidRPr="001A4B94">
              <w:rPr>
                <w:sz w:val="14"/>
                <w:szCs w:val="14"/>
                <w:lang w:val="tr-TR"/>
              </w:rPr>
              <w:t xml:space="preserve">Diğer Yatırımlar </w:t>
            </w:r>
          </w:p>
        </w:tc>
        <w:tc>
          <w:tcPr>
            <w:tcW w:w="831" w:type="dxa"/>
            <w:tcBorders>
              <w:top w:val="nil"/>
              <w:left w:val="nil"/>
              <w:bottom w:val="nil"/>
              <w:right w:val="nil"/>
            </w:tcBorders>
            <w:shd w:val="clear" w:color="auto" w:fill="auto"/>
            <w:noWrap/>
            <w:vAlign w:val="center"/>
            <w:hideMark/>
          </w:tcPr>
          <w:p w14:paraId="4D7D6174" w14:textId="0AAB78CF"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5E10832B" w14:textId="765E3C5B"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3A84F545" w14:textId="2B48513B"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6</w:t>
            </w:r>
          </w:p>
        </w:tc>
        <w:tc>
          <w:tcPr>
            <w:tcW w:w="812" w:type="dxa"/>
            <w:tcBorders>
              <w:top w:val="nil"/>
              <w:left w:val="nil"/>
              <w:bottom w:val="nil"/>
              <w:right w:val="nil"/>
            </w:tcBorders>
            <w:shd w:val="clear" w:color="auto" w:fill="auto"/>
            <w:noWrap/>
            <w:vAlign w:val="center"/>
            <w:hideMark/>
          </w:tcPr>
          <w:p w14:paraId="19C21A15" w14:textId="761E7444"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8</w:t>
            </w:r>
          </w:p>
        </w:tc>
        <w:tc>
          <w:tcPr>
            <w:tcW w:w="812" w:type="dxa"/>
            <w:tcBorders>
              <w:top w:val="nil"/>
              <w:left w:val="nil"/>
              <w:bottom w:val="nil"/>
              <w:right w:val="nil"/>
            </w:tcBorders>
            <w:shd w:val="clear" w:color="auto" w:fill="auto"/>
            <w:noWrap/>
            <w:vAlign w:val="center"/>
            <w:hideMark/>
          </w:tcPr>
          <w:p w14:paraId="466F4C14" w14:textId="2894021A"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36C67ACD" w14:textId="0ACF675C"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5</w:t>
            </w:r>
          </w:p>
        </w:tc>
        <w:tc>
          <w:tcPr>
            <w:tcW w:w="812" w:type="dxa"/>
            <w:tcBorders>
              <w:top w:val="nil"/>
              <w:left w:val="nil"/>
              <w:bottom w:val="nil"/>
              <w:right w:val="nil"/>
            </w:tcBorders>
            <w:shd w:val="clear" w:color="auto" w:fill="auto"/>
            <w:noWrap/>
            <w:vAlign w:val="center"/>
            <w:hideMark/>
          </w:tcPr>
          <w:p w14:paraId="7761D4A6" w14:textId="597D78AE"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5</w:t>
            </w:r>
          </w:p>
        </w:tc>
        <w:tc>
          <w:tcPr>
            <w:tcW w:w="597" w:type="dxa"/>
            <w:tcBorders>
              <w:top w:val="nil"/>
              <w:left w:val="nil"/>
              <w:bottom w:val="nil"/>
              <w:right w:val="nil"/>
            </w:tcBorders>
          </w:tcPr>
          <w:p w14:paraId="7F27DDC3" w14:textId="2D1A2E48"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6</w:t>
            </w:r>
          </w:p>
        </w:tc>
      </w:tr>
      <w:tr w:rsidR="00987009" w:rsidRPr="001A4B94" w14:paraId="2B802ECF" w14:textId="77777777" w:rsidTr="00DD26A4">
        <w:trPr>
          <w:trHeight w:val="205"/>
        </w:trPr>
        <w:tc>
          <w:tcPr>
            <w:tcW w:w="3240" w:type="dxa"/>
            <w:tcBorders>
              <w:top w:val="nil"/>
              <w:left w:val="nil"/>
              <w:bottom w:val="nil"/>
              <w:right w:val="nil"/>
            </w:tcBorders>
            <w:shd w:val="clear" w:color="auto" w:fill="auto"/>
            <w:noWrap/>
            <w:vAlign w:val="center"/>
            <w:hideMark/>
          </w:tcPr>
          <w:p w14:paraId="621A96BA" w14:textId="07384186" w:rsidR="00987009" w:rsidRPr="001A4B94" w:rsidRDefault="00CB15D6" w:rsidP="0026491E">
            <w:pPr>
              <w:rPr>
                <w:sz w:val="14"/>
                <w:szCs w:val="14"/>
                <w:lang w:val="tr-TR"/>
              </w:rPr>
            </w:pPr>
            <w:r w:rsidRPr="001A4B94">
              <w:rPr>
                <w:sz w:val="14"/>
                <w:szCs w:val="14"/>
                <w:lang w:val="tr-TR"/>
              </w:rPr>
              <w:t xml:space="preserve">Rezerv Aktiflerde Değişim </w:t>
            </w:r>
          </w:p>
        </w:tc>
        <w:tc>
          <w:tcPr>
            <w:tcW w:w="831" w:type="dxa"/>
            <w:tcBorders>
              <w:top w:val="nil"/>
              <w:left w:val="nil"/>
              <w:bottom w:val="nil"/>
              <w:right w:val="nil"/>
            </w:tcBorders>
            <w:shd w:val="clear" w:color="auto" w:fill="auto"/>
            <w:noWrap/>
            <w:vAlign w:val="center"/>
            <w:hideMark/>
          </w:tcPr>
          <w:p w14:paraId="311559A7" w14:textId="04F53803"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1B1D2DB8" w14:textId="170A0DE6"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496F9B59" w14:textId="304F413F"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4</w:t>
            </w:r>
          </w:p>
        </w:tc>
        <w:tc>
          <w:tcPr>
            <w:tcW w:w="812" w:type="dxa"/>
            <w:tcBorders>
              <w:top w:val="nil"/>
              <w:left w:val="nil"/>
              <w:bottom w:val="nil"/>
              <w:right w:val="nil"/>
            </w:tcBorders>
            <w:shd w:val="clear" w:color="auto" w:fill="auto"/>
            <w:noWrap/>
            <w:vAlign w:val="center"/>
            <w:hideMark/>
          </w:tcPr>
          <w:p w14:paraId="59A78550" w14:textId="2CC8D20B"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1</w:t>
            </w:r>
          </w:p>
        </w:tc>
        <w:tc>
          <w:tcPr>
            <w:tcW w:w="812" w:type="dxa"/>
            <w:tcBorders>
              <w:top w:val="nil"/>
              <w:left w:val="nil"/>
              <w:bottom w:val="nil"/>
              <w:right w:val="nil"/>
            </w:tcBorders>
            <w:shd w:val="clear" w:color="auto" w:fill="auto"/>
            <w:noWrap/>
            <w:vAlign w:val="center"/>
            <w:hideMark/>
          </w:tcPr>
          <w:p w14:paraId="0AB2420E" w14:textId="2F2A7DA0"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9</w:t>
            </w:r>
          </w:p>
        </w:tc>
        <w:tc>
          <w:tcPr>
            <w:tcW w:w="812" w:type="dxa"/>
            <w:tcBorders>
              <w:top w:val="nil"/>
              <w:left w:val="nil"/>
              <w:bottom w:val="nil"/>
              <w:right w:val="nil"/>
            </w:tcBorders>
            <w:shd w:val="clear" w:color="auto" w:fill="auto"/>
            <w:noWrap/>
            <w:vAlign w:val="center"/>
            <w:hideMark/>
          </w:tcPr>
          <w:p w14:paraId="739CCD74" w14:textId="1644FB87"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6182C816" w14:textId="0BD71B78"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0</w:t>
            </w:r>
          </w:p>
        </w:tc>
        <w:tc>
          <w:tcPr>
            <w:tcW w:w="597" w:type="dxa"/>
            <w:tcBorders>
              <w:top w:val="nil"/>
              <w:left w:val="nil"/>
              <w:bottom w:val="nil"/>
              <w:right w:val="nil"/>
            </w:tcBorders>
          </w:tcPr>
          <w:p w14:paraId="7142D206" w14:textId="440ABE50"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1</w:t>
            </w:r>
          </w:p>
        </w:tc>
      </w:tr>
      <w:tr w:rsidR="00987009" w:rsidRPr="001A4B94" w14:paraId="50F4CEB3" w14:textId="77777777" w:rsidTr="00DD26A4">
        <w:trPr>
          <w:trHeight w:val="205"/>
        </w:trPr>
        <w:tc>
          <w:tcPr>
            <w:tcW w:w="3240" w:type="dxa"/>
            <w:tcBorders>
              <w:top w:val="nil"/>
              <w:left w:val="nil"/>
              <w:bottom w:val="nil"/>
              <w:right w:val="nil"/>
            </w:tcBorders>
            <w:shd w:val="clear" w:color="auto" w:fill="auto"/>
            <w:noWrap/>
            <w:vAlign w:val="center"/>
            <w:hideMark/>
          </w:tcPr>
          <w:p w14:paraId="6F909423" w14:textId="2730CBE0" w:rsidR="00987009" w:rsidRPr="001A4B94" w:rsidRDefault="00987009" w:rsidP="0026491E">
            <w:pPr>
              <w:rPr>
                <w:sz w:val="14"/>
                <w:szCs w:val="14"/>
                <w:lang w:val="tr-TR"/>
              </w:rPr>
            </w:pPr>
            <w:r w:rsidRPr="001A4B94">
              <w:rPr>
                <w:sz w:val="14"/>
                <w:szCs w:val="14"/>
                <w:lang w:val="tr-TR"/>
              </w:rPr>
              <w:t xml:space="preserve">Net </w:t>
            </w:r>
            <w:r w:rsidR="007F5375" w:rsidRPr="001A4B94">
              <w:rPr>
                <w:sz w:val="14"/>
                <w:szCs w:val="14"/>
                <w:lang w:val="tr-TR"/>
              </w:rPr>
              <w:t xml:space="preserve">Hata ve Noksan Kalemleri </w:t>
            </w:r>
          </w:p>
        </w:tc>
        <w:tc>
          <w:tcPr>
            <w:tcW w:w="831" w:type="dxa"/>
            <w:tcBorders>
              <w:top w:val="nil"/>
              <w:left w:val="nil"/>
              <w:bottom w:val="nil"/>
              <w:right w:val="nil"/>
            </w:tcBorders>
            <w:shd w:val="clear" w:color="auto" w:fill="auto"/>
            <w:noWrap/>
            <w:vAlign w:val="center"/>
            <w:hideMark/>
          </w:tcPr>
          <w:p w14:paraId="188FF3DC" w14:textId="4049949B"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658AFD2F" w14:textId="0B42EF11"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201FF21B" w14:textId="442D37CF"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2</w:t>
            </w:r>
          </w:p>
        </w:tc>
        <w:tc>
          <w:tcPr>
            <w:tcW w:w="812" w:type="dxa"/>
            <w:tcBorders>
              <w:top w:val="nil"/>
              <w:left w:val="nil"/>
              <w:bottom w:val="nil"/>
              <w:right w:val="nil"/>
            </w:tcBorders>
            <w:shd w:val="clear" w:color="auto" w:fill="auto"/>
            <w:noWrap/>
            <w:vAlign w:val="center"/>
            <w:hideMark/>
          </w:tcPr>
          <w:p w14:paraId="0497BD38" w14:textId="6E2B0F33" w:rsidR="00987009" w:rsidRPr="001A4B94" w:rsidRDefault="00987009" w:rsidP="0026491E">
            <w:pPr>
              <w:jc w:val="center"/>
              <w:rPr>
                <w:sz w:val="16"/>
                <w:szCs w:val="16"/>
                <w:lang w:val="tr-TR"/>
              </w:rPr>
            </w:pPr>
            <w:r w:rsidRPr="001A4B94">
              <w:rPr>
                <w:sz w:val="16"/>
                <w:szCs w:val="16"/>
                <w:lang w:val="tr-TR"/>
              </w:rPr>
              <w:t>1</w:t>
            </w:r>
            <w:r w:rsidR="0034069F" w:rsidRPr="001A4B94">
              <w:rPr>
                <w:sz w:val="16"/>
                <w:szCs w:val="16"/>
                <w:lang w:val="tr-TR"/>
              </w:rPr>
              <w:t>,</w:t>
            </w:r>
            <w:r w:rsidRPr="001A4B94">
              <w:rPr>
                <w:sz w:val="16"/>
                <w:szCs w:val="16"/>
                <w:lang w:val="tr-TR"/>
              </w:rPr>
              <w:t>3</w:t>
            </w:r>
          </w:p>
        </w:tc>
        <w:tc>
          <w:tcPr>
            <w:tcW w:w="812" w:type="dxa"/>
            <w:tcBorders>
              <w:top w:val="nil"/>
              <w:left w:val="nil"/>
              <w:bottom w:val="nil"/>
              <w:right w:val="nil"/>
            </w:tcBorders>
            <w:shd w:val="clear" w:color="auto" w:fill="auto"/>
            <w:noWrap/>
            <w:vAlign w:val="center"/>
            <w:hideMark/>
          </w:tcPr>
          <w:p w14:paraId="4C42C4CA" w14:textId="7C247B36"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3884631B" w14:textId="413186C3"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0</w:t>
            </w:r>
          </w:p>
        </w:tc>
        <w:tc>
          <w:tcPr>
            <w:tcW w:w="812" w:type="dxa"/>
            <w:tcBorders>
              <w:top w:val="nil"/>
              <w:left w:val="nil"/>
              <w:bottom w:val="nil"/>
              <w:right w:val="nil"/>
            </w:tcBorders>
            <w:shd w:val="clear" w:color="auto" w:fill="auto"/>
            <w:noWrap/>
            <w:vAlign w:val="center"/>
            <w:hideMark/>
          </w:tcPr>
          <w:p w14:paraId="49DAE7F6" w14:textId="7033D8AB"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0</w:t>
            </w:r>
          </w:p>
        </w:tc>
        <w:tc>
          <w:tcPr>
            <w:tcW w:w="597" w:type="dxa"/>
            <w:tcBorders>
              <w:top w:val="nil"/>
              <w:left w:val="nil"/>
              <w:bottom w:val="nil"/>
              <w:right w:val="nil"/>
            </w:tcBorders>
          </w:tcPr>
          <w:p w14:paraId="6E01AA72" w14:textId="37BDFFFA" w:rsidR="00987009" w:rsidRPr="001A4B94" w:rsidRDefault="00987009" w:rsidP="0026491E">
            <w:pPr>
              <w:jc w:val="center"/>
              <w:rPr>
                <w:sz w:val="16"/>
                <w:szCs w:val="16"/>
                <w:lang w:val="tr-TR"/>
              </w:rPr>
            </w:pPr>
            <w:r w:rsidRPr="001A4B94">
              <w:rPr>
                <w:sz w:val="16"/>
                <w:szCs w:val="16"/>
                <w:lang w:val="tr-TR"/>
              </w:rPr>
              <w:t>0</w:t>
            </w:r>
            <w:r w:rsidR="0034069F" w:rsidRPr="001A4B94">
              <w:rPr>
                <w:sz w:val="16"/>
                <w:szCs w:val="16"/>
                <w:lang w:val="tr-TR"/>
              </w:rPr>
              <w:t>,</w:t>
            </w:r>
            <w:r w:rsidRPr="001A4B94">
              <w:rPr>
                <w:sz w:val="16"/>
                <w:szCs w:val="16"/>
                <w:lang w:val="tr-TR"/>
              </w:rPr>
              <w:t>0</w:t>
            </w:r>
          </w:p>
        </w:tc>
      </w:tr>
      <w:tr w:rsidR="00987009" w:rsidRPr="001A4B94" w14:paraId="38AC54E9" w14:textId="77777777" w:rsidTr="00DD26A4">
        <w:trPr>
          <w:trHeight w:val="205"/>
        </w:trPr>
        <w:tc>
          <w:tcPr>
            <w:tcW w:w="3240" w:type="dxa"/>
            <w:tcBorders>
              <w:top w:val="nil"/>
              <w:left w:val="nil"/>
              <w:bottom w:val="nil"/>
              <w:right w:val="nil"/>
            </w:tcBorders>
            <w:shd w:val="clear" w:color="auto" w:fill="auto"/>
            <w:noWrap/>
            <w:vAlign w:val="center"/>
            <w:hideMark/>
          </w:tcPr>
          <w:p w14:paraId="5AAA8975" w14:textId="562EDC91" w:rsidR="00987009" w:rsidRPr="001A4B94" w:rsidRDefault="007F5375" w:rsidP="0026491E">
            <w:pPr>
              <w:rPr>
                <w:sz w:val="14"/>
                <w:szCs w:val="14"/>
                <w:lang w:val="tr-TR"/>
              </w:rPr>
            </w:pPr>
            <w:r w:rsidRPr="001A4B94">
              <w:rPr>
                <w:sz w:val="14"/>
                <w:szCs w:val="14"/>
                <w:lang w:val="tr-TR"/>
              </w:rPr>
              <w:t>Nazı</w:t>
            </w:r>
            <w:r w:rsidR="001F1463" w:rsidRPr="001A4B94">
              <w:rPr>
                <w:sz w:val="14"/>
                <w:szCs w:val="14"/>
                <w:lang w:val="tr-TR"/>
              </w:rPr>
              <w:t>m</w:t>
            </w:r>
            <w:r w:rsidRPr="001A4B94">
              <w:rPr>
                <w:sz w:val="14"/>
                <w:szCs w:val="14"/>
                <w:lang w:val="tr-TR"/>
              </w:rPr>
              <w:t xml:space="preserve"> Kayıtlar</w:t>
            </w:r>
          </w:p>
        </w:tc>
        <w:tc>
          <w:tcPr>
            <w:tcW w:w="831" w:type="dxa"/>
            <w:tcBorders>
              <w:top w:val="nil"/>
              <w:left w:val="nil"/>
              <w:bottom w:val="nil"/>
              <w:right w:val="nil"/>
            </w:tcBorders>
            <w:shd w:val="clear" w:color="auto" w:fill="auto"/>
            <w:noWrap/>
            <w:vAlign w:val="center"/>
            <w:hideMark/>
          </w:tcPr>
          <w:p w14:paraId="5B6844F0" w14:textId="77777777" w:rsidR="00987009" w:rsidRPr="001A4B94" w:rsidRDefault="00987009" w:rsidP="0026491E">
            <w:pPr>
              <w:rPr>
                <w:sz w:val="14"/>
                <w:szCs w:val="14"/>
                <w:lang w:val="tr-TR"/>
              </w:rPr>
            </w:pPr>
          </w:p>
        </w:tc>
        <w:tc>
          <w:tcPr>
            <w:tcW w:w="812" w:type="dxa"/>
            <w:tcBorders>
              <w:top w:val="nil"/>
              <w:left w:val="nil"/>
              <w:bottom w:val="nil"/>
              <w:right w:val="nil"/>
            </w:tcBorders>
            <w:shd w:val="clear" w:color="auto" w:fill="auto"/>
            <w:noWrap/>
            <w:vAlign w:val="center"/>
            <w:hideMark/>
          </w:tcPr>
          <w:p w14:paraId="4A29998E" w14:textId="77777777" w:rsidR="00987009" w:rsidRPr="001A4B94" w:rsidRDefault="00987009" w:rsidP="0026491E">
            <w:pPr>
              <w:rPr>
                <w:sz w:val="20"/>
                <w:szCs w:val="20"/>
                <w:lang w:val="tr-TR"/>
              </w:rPr>
            </w:pPr>
          </w:p>
        </w:tc>
        <w:tc>
          <w:tcPr>
            <w:tcW w:w="812" w:type="dxa"/>
            <w:tcBorders>
              <w:top w:val="nil"/>
              <w:left w:val="nil"/>
              <w:bottom w:val="nil"/>
              <w:right w:val="nil"/>
            </w:tcBorders>
            <w:shd w:val="clear" w:color="auto" w:fill="auto"/>
            <w:noWrap/>
            <w:vAlign w:val="center"/>
            <w:hideMark/>
          </w:tcPr>
          <w:p w14:paraId="38F4CBC8" w14:textId="77777777" w:rsidR="00987009" w:rsidRPr="001A4B94" w:rsidRDefault="00987009" w:rsidP="0026491E">
            <w:pPr>
              <w:rPr>
                <w:sz w:val="20"/>
                <w:szCs w:val="20"/>
                <w:lang w:val="tr-TR"/>
              </w:rPr>
            </w:pPr>
          </w:p>
        </w:tc>
        <w:tc>
          <w:tcPr>
            <w:tcW w:w="812" w:type="dxa"/>
            <w:tcBorders>
              <w:top w:val="nil"/>
              <w:left w:val="nil"/>
              <w:bottom w:val="nil"/>
              <w:right w:val="nil"/>
            </w:tcBorders>
            <w:shd w:val="clear" w:color="auto" w:fill="auto"/>
            <w:noWrap/>
            <w:vAlign w:val="center"/>
            <w:hideMark/>
          </w:tcPr>
          <w:p w14:paraId="223A806A" w14:textId="77777777" w:rsidR="00987009" w:rsidRPr="001A4B94" w:rsidRDefault="00987009" w:rsidP="0026491E">
            <w:pPr>
              <w:rPr>
                <w:sz w:val="20"/>
                <w:szCs w:val="20"/>
                <w:lang w:val="tr-TR"/>
              </w:rPr>
            </w:pPr>
          </w:p>
        </w:tc>
        <w:tc>
          <w:tcPr>
            <w:tcW w:w="812" w:type="dxa"/>
            <w:tcBorders>
              <w:top w:val="nil"/>
              <w:left w:val="nil"/>
              <w:bottom w:val="nil"/>
              <w:right w:val="nil"/>
            </w:tcBorders>
            <w:shd w:val="clear" w:color="auto" w:fill="auto"/>
            <w:noWrap/>
            <w:vAlign w:val="center"/>
            <w:hideMark/>
          </w:tcPr>
          <w:p w14:paraId="395D244C" w14:textId="77777777" w:rsidR="00987009" w:rsidRPr="001A4B94" w:rsidRDefault="00987009" w:rsidP="0026491E">
            <w:pPr>
              <w:rPr>
                <w:sz w:val="20"/>
                <w:szCs w:val="20"/>
                <w:lang w:val="tr-TR"/>
              </w:rPr>
            </w:pPr>
          </w:p>
        </w:tc>
        <w:tc>
          <w:tcPr>
            <w:tcW w:w="812" w:type="dxa"/>
            <w:tcBorders>
              <w:top w:val="nil"/>
              <w:left w:val="nil"/>
              <w:bottom w:val="nil"/>
              <w:right w:val="nil"/>
            </w:tcBorders>
            <w:shd w:val="clear" w:color="auto" w:fill="auto"/>
            <w:noWrap/>
            <w:vAlign w:val="center"/>
            <w:hideMark/>
          </w:tcPr>
          <w:p w14:paraId="45463D84" w14:textId="77777777" w:rsidR="00987009" w:rsidRPr="001A4B94" w:rsidRDefault="00987009" w:rsidP="0026491E">
            <w:pPr>
              <w:rPr>
                <w:sz w:val="20"/>
                <w:szCs w:val="20"/>
                <w:lang w:val="tr-TR"/>
              </w:rPr>
            </w:pPr>
          </w:p>
        </w:tc>
        <w:tc>
          <w:tcPr>
            <w:tcW w:w="812" w:type="dxa"/>
            <w:tcBorders>
              <w:top w:val="nil"/>
              <w:left w:val="nil"/>
              <w:bottom w:val="nil"/>
              <w:right w:val="nil"/>
            </w:tcBorders>
            <w:shd w:val="clear" w:color="auto" w:fill="auto"/>
            <w:noWrap/>
            <w:vAlign w:val="bottom"/>
            <w:hideMark/>
          </w:tcPr>
          <w:p w14:paraId="32B2DCDA" w14:textId="77777777" w:rsidR="00987009" w:rsidRPr="001A4B94" w:rsidRDefault="00987009" w:rsidP="0026491E">
            <w:pPr>
              <w:rPr>
                <w:sz w:val="20"/>
                <w:szCs w:val="20"/>
                <w:lang w:val="tr-TR"/>
              </w:rPr>
            </w:pPr>
          </w:p>
        </w:tc>
        <w:tc>
          <w:tcPr>
            <w:tcW w:w="597" w:type="dxa"/>
            <w:tcBorders>
              <w:top w:val="nil"/>
              <w:left w:val="nil"/>
              <w:bottom w:val="nil"/>
              <w:right w:val="nil"/>
            </w:tcBorders>
          </w:tcPr>
          <w:p w14:paraId="12CF6041" w14:textId="77777777" w:rsidR="00987009" w:rsidRPr="001A4B94" w:rsidRDefault="00987009" w:rsidP="0026491E">
            <w:pPr>
              <w:rPr>
                <w:sz w:val="20"/>
                <w:szCs w:val="20"/>
                <w:lang w:val="tr-TR"/>
              </w:rPr>
            </w:pPr>
          </w:p>
        </w:tc>
      </w:tr>
      <w:tr w:rsidR="00987009" w:rsidRPr="001A4B94" w14:paraId="0D40DDBE" w14:textId="77777777" w:rsidTr="00DD26A4">
        <w:trPr>
          <w:trHeight w:val="205"/>
        </w:trPr>
        <w:tc>
          <w:tcPr>
            <w:tcW w:w="3240" w:type="dxa"/>
            <w:tcBorders>
              <w:top w:val="nil"/>
              <w:left w:val="nil"/>
              <w:bottom w:val="nil"/>
              <w:right w:val="nil"/>
            </w:tcBorders>
            <w:shd w:val="clear" w:color="000000" w:fill="D5DCE4"/>
            <w:noWrap/>
            <w:vAlign w:val="center"/>
            <w:hideMark/>
          </w:tcPr>
          <w:p w14:paraId="46424A6E" w14:textId="3200F8F5" w:rsidR="00987009" w:rsidRPr="001A4B94" w:rsidRDefault="00987009" w:rsidP="0026491E">
            <w:pPr>
              <w:rPr>
                <w:b/>
                <w:bCs/>
                <w:sz w:val="16"/>
                <w:szCs w:val="16"/>
                <w:lang w:val="tr-TR"/>
              </w:rPr>
            </w:pPr>
            <w:r w:rsidRPr="001A4B94">
              <w:rPr>
                <w:b/>
                <w:bCs/>
                <w:sz w:val="16"/>
                <w:szCs w:val="16"/>
                <w:lang w:val="tr-TR"/>
              </w:rPr>
              <w:t xml:space="preserve">Nominal </w:t>
            </w:r>
            <w:r w:rsidR="0034069F" w:rsidRPr="001A4B94">
              <w:rPr>
                <w:b/>
                <w:bCs/>
                <w:sz w:val="16"/>
                <w:szCs w:val="16"/>
                <w:lang w:val="tr-TR"/>
              </w:rPr>
              <w:t>GSYH</w:t>
            </w:r>
            <w:r w:rsidRPr="001A4B94">
              <w:rPr>
                <w:b/>
                <w:bCs/>
                <w:sz w:val="16"/>
                <w:szCs w:val="16"/>
                <w:lang w:val="tr-TR"/>
              </w:rPr>
              <w:t xml:space="preserve"> (</w:t>
            </w:r>
            <w:r w:rsidR="0034069F" w:rsidRPr="001A4B94">
              <w:rPr>
                <w:b/>
                <w:bCs/>
                <w:sz w:val="16"/>
                <w:szCs w:val="16"/>
                <w:lang w:val="tr-TR"/>
              </w:rPr>
              <w:t xml:space="preserve">milyar </w:t>
            </w:r>
            <w:r w:rsidRPr="001A4B94">
              <w:rPr>
                <w:b/>
                <w:bCs/>
                <w:sz w:val="16"/>
                <w:szCs w:val="16"/>
                <w:lang w:val="tr-TR"/>
              </w:rPr>
              <w:t>TL)</w:t>
            </w:r>
          </w:p>
        </w:tc>
        <w:tc>
          <w:tcPr>
            <w:tcW w:w="831" w:type="dxa"/>
            <w:tcBorders>
              <w:top w:val="nil"/>
              <w:left w:val="nil"/>
              <w:bottom w:val="nil"/>
              <w:right w:val="nil"/>
            </w:tcBorders>
            <w:shd w:val="clear" w:color="000000" w:fill="D5DCE4"/>
            <w:noWrap/>
            <w:vAlign w:val="center"/>
            <w:hideMark/>
          </w:tcPr>
          <w:p w14:paraId="782E4B5A" w14:textId="32BA117E" w:rsidR="00987009" w:rsidRPr="001A4B94" w:rsidRDefault="00987009" w:rsidP="0026491E">
            <w:pPr>
              <w:jc w:val="center"/>
              <w:rPr>
                <w:sz w:val="16"/>
                <w:szCs w:val="16"/>
                <w:lang w:val="tr-TR"/>
              </w:rPr>
            </w:pPr>
            <w:r w:rsidRPr="001A4B94">
              <w:rPr>
                <w:sz w:val="16"/>
                <w:szCs w:val="16"/>
                <w:lang w:val="tr-TR"/>
              </w:rPr>
              <w:t xml:space="preserve">     1</w:t>
            </w:r>
            <w:r w:rsidR="0034069F" w:rsidRPr="001A4B94">
              <w:rPr>
                <w:sz w:val="16"/>
                <w:szCs w:val="16"/>
                <w:lang w:val="tr-TR"/>
              </w:rPr>
              <w:t>.</w:t>
            </w:r>
            <w:r w:rsidRPr="001A4B94">
              <w:rPr>
                <w:sz w:val="16"/>
                <w:szCs w:val="16"/>
                <w:lang w:val="tr-TR"/>
              </w:rPr>
              <w:t xml:space="preserve">810 </w:t>
            </w:r>
          </w:p>
        </w:tc>
        <w:tc>
          <w:tcPr>
            <w:tcW w:w="812" w:type="dxa"/>
            <w:tcBorders>
              <w:top w:val="nil"/>
              <w:left w:val="nil"/>
              <w:bottom w:val="nil"/>
              <w:right w:val="nil"/>
            </w:tcBorders>
            <w:shd w:val="clear" w:color="000000" w:fill="D5DCE4"/>
            <w:noWrap/>
            <w:vAlign w:val="center"/>
            <w:hideMark/>
          </w:tcPr>
          <w:p w14:paraId="230DC364" w14:textId="47E62EF8" w:rsidR="00987009" w:rsidRPr="001A4B94" w:rsidRDefault="00987009" w:rsidP="0026491E">
            <w:pPr>
              <w:jc w:val="center"/>
              <w:rPr>
                <w:sz w:val="16"/>
                <w:szCs w:val="16"/>
                <w:lang w:val="tr-TR"/>
              </w:rPr>
            </w:pPr>
            <w:r w:rsidRPr="001A4B94">
              <w:rPr>
                <w:sz w:val="16"/>
                <w:szCs w:val="16"/>
                <w:lang w:val="tr-TR"/>
              </w:rPr>
              <w:t xml:space="preserve">     2</w:t>
            </w:r>
            <w:r w:rsidR="0034069F" w:rsidRPr="001A4B94">
              <w:rPr>
                <w:sz w:val="16"/>
                <w:szCs w:val="16"/>
                <w:lang w:val="tr-TR"/>
              </w:rPr>
              <w:t>.</w:t>
            </w:r>
            <w:r w:rsidRPr="001A4B94">
              <w:rPr>
                <w:sz w:val="16"/>
                <w:szCs w:val="16"/>
                <w:lang w:val="tr-TR"/>
              </w:rPr>
              <w:t xml:space="preserve">045 </w:t>
            </w:r>
          </w:p>
        </w:tc>
        <w:tc>
          <w:tcPr>
            <w:tcW w:w="812" w:type="dxa"/>
            <w:tcBorders>
              <w:top w:val="nil"/>
              <w:left w:val="nil"/>
              <w:bottom w:val="nil"/>
              <w:right w:val="nil"/>
            </w:tcBorders>
            <w:shd w:val="clear" w:color="000000" w:fill="D5DCE4"/>
            <w:noWrap/>
            <w:vAlign w:val="center"/>
            <w:hideMark/>
          </w:tcPr>
          <w:p w14:paraId="620DAB5E" w14:textId="418788CB" w:rsidR="00987009" w:rsidRPr="001A4B94" w:rsidRDefault="00987009" w:rsidP="0026491E">
            <w:pPr>
              <w:jc w:val="center"/>
              <w:rPr>
                <w:sz w:val="16"/>
                <w:szCs w:val="16"/>
                <w:lang w:val="tr-TR"/>
              </w:rPr>
            </w:pPr>
            <w:r w:rsidRPr="001A4B94">
              <w:rPr>
                <w:sz w:val="16"/>
                <w:szCs w:val="16"/>
                <w:lang w:val="tr-TR"/>
              </w:rPr>
              <w:t xml:space="preserve">     2</w:t>
            </w:r>
            <w:r w:rsidR="0034069F" w:rsidRPr="001A4B94">
              <w:rPr>
                <w:sz w:val="16"/>
                <w:szCs w:val="16"/>
                <w:lang w:val="tr-TR"/>
              </w:rPr>
              <w:t>.</w:t>
            </w:r>
            <w:r w:rsidRPr="001A4B94">
              <w:rPr>
                <w:sz w:val="16"/>
                <w:szCs w:val="16"/>
                <w:lang w:val="tr-TR"/>
              </w:rPr>
              <w:t>338</w:t>
            </w:r>
          </w:p>
        </w:tc>
        <w:tc>
          <w:tcPr>
            <w:tcW w:w="812" w:type="dxa"/>
            <w:tcBorders>
              <w:top w:val="nil"/>
              <w:left w:val="nil"/>
              <w:bottom w:val="nil"/>
              <w:right w:val="nil"/>
            </w:tcBorders>
            <w:shd w:val="clear" w:color="000000" w:fill="D5DCE4"/>
            <w:noWrap/>
            <w:vAlign w:val="center"/>
            <w:hideMark/>
          </w:tcPr>
          <w:p w14:paraId="41741F66" w14:textId="0DFA3530" w:rsidR="00987009" w:rsidRPr="001A4B94" w:rsidRDefault="00987009" w:rsidP="0026491E">
            <w:pPr>
              <w:jc w:val="center"/>
              <w:rPr>
                <w:sz w:val="16"/>
                <w:szCs w:val="16"/>
                <w:lang w:val="tr-TR"/>
              </w:rPr>
            </w:pPr>
            <w:r w:rsidRPr="001A4B94">
              <w:rPr>
                <w:sz w:val="16"/>
                <w:szCs w:val="16"/>
                <w:lang w:val="tr-TR"/>
              </w:rPr>
              <w:t xml:space="preserve">     2</w:t>
            </w:r>
            <w:r w:rsidR="0034069F" w:rsidRPr="001A4B94">
              <w:rPr>
                <w:sz w:val="16"/>
                <w:szCs w:val="16"/>
                <w:lang w:val="tr-TR"/>
              </w:rPr>
              <w:t>.</w:t>
            </w:r>
            <w:r w:rsidRPr="001A4B94">
              <w:rPr>
                <w:sz w:val="16"/>
                <w:szCs w:val="16"/>
                <w:lang w:val="tr-TR"/>
              </w:rPr>
              <w:t xml:space="preserve">591 </w:t>
            </w:r>
          </w:p>
        </w:tc>
        <w:tc>
          <w:tcPr>
            <w:tcW w:w="812" w:type="dxa"/>
            <w:tcBorders>
              <w:top w:val="nil"/>
              <w:left w:val="nil"/>
              <w:bottom w:val="nil"/>
              <w:right w:val="nil"/>
            </w:tcBorders>
            <w:shd w:val="clear" w:color="000000" w:fill="D5DCE4"/>
            <w:noWrap/>
            <w:vAlign w:val="center"/>
            <w:hideMark/>
          </w:tcPr>
          <w:p w14:paraId="1EE55543" w14:textId="3D23AC08" w:rsidR="00987009" w:rsidRPr="001A4B94" w:rsidRDefault="00987009" w:rsidP="0026491E">
            <w:pPr>
              <w:jc w:val="center"/>
              <w:rPr>
                <w:sz w:val="16"/>
                <w:szCs w:val="16"/>
                <w:lang w:val="tr-TR"/>
              </w:rPr>
            </w:pPr>
            <w:r w:rsidRPr="001A4B94">
              <w:rPr>
                <w:sz w:val="16"/>
                <w:szCs w:val="16"/>
                <w:lang w:val="tr-TR"/>
              </w:rPr>
              <w:t xml:space="preserve">     2</w:t>
            </w:r>
            <w:r w:rsidR="0034069F" w:rsidRPr="001A4B94">
              <w:rPr>
                <w:sz w:val="16"/>
                <w:szCs w:val="16"/>
                <w:lang w:val="tr-TR"/>
              </w:rPr>
              <w:t>.</w:t>
            </w:r>
            <w:r w:rsidRPr="001A4B94">
              <w:rPr>
                <w:sz w:val="16"/>
                <w:szCs w:val="16"/>
                <w:lang w:val="tr-TR"/>
              </w:rPr>
              <w:t xml:space="preserve">973 </w:t>
            </w:r>
          </w:p>
        </w:tc>
        <w:tc>
          <w:tcPr>
            <w:tcW w:w="812" w:type="dxa"/>
            <w:tcBorders>
              <w:top w:val="nil"/>
              <w:left w:val="nil"/>
              <w:bottom w:val="nil"/>
              <w:right w:val="nil"/>
            </w:tcBorders>
            <w:shd w:val="clear" w:color="000000" w:fill="D5DCE4"/>
            <w:noWrap/>
            <w:vAlign w:val="center"/>
            <w:hideMark/>
          </w:tcPr>
          <w:p w14:paraId="5F04B092" w14:textId="04A4DAF5" w:rsidR="00987009" w:rsidRPr="001A4B94" w:rsidRDefault="00987009" w:rsidP="0026491E">
            <w:pPr>
              <w:jc w:val="center"/>
              <w:rPr>
                <w:sz w:val="16"/>
                <w:szCs w:val="16"/>
                <w:lang w:val="tr-TR"/>
              </w:rPr>
            </w:pPr>
            <w:r w:rsidRPr="001A4B94">
              <w:rPr>
                <w:sz w:val="16"/>
                <w:szCs w:val="16"/>
                <w:lang w:val="tr-TR"/>
              </w:rPr>
              <w:t xml:space="preserve">     3</w:t>
            </w:r>
            <w:r w:rsidR="0034069F" w:rsidRPr="001A4B94">
              <w:rPr>
                <w:sz w:val="16"/>
                <w:szCs w:val="16"/>
                <w:lang w:val="tr-TR"/>
              </w:rPr>
              <w:t>.</w:t>
            </w:r>
            <w:r w:rsidRPr="001A4B94">
              <w:rPr>
                <w:sz w:val="16"/>
                <w:szCs w:val="16"/>
                <w:lang w:val="tr-TR"/>
              </w:rPr>
              <w:t xml:space="preserve">339 </w:t>
            </w:r>
          </w:p>
        </w:tc>
        <w:tc>
          <w:tcPr>
            <w:tcW w:w="812" w:type="dxa"/>
            <w:tcBorders>
              <w:top w:val="nil"/>
              <w:left w:val="nil"/>
              <w:bottom w:val="nil"/>
              <w:right w:val="nil"/>
            </w:tcBorders>
            <w:shd w:val="clear" w:color="000000" w:fill="D5DCE4"/>
            <w:noWrap/>
            <w:vAlign w:val="center"/>
            <w:hideMark/>
          </w:tcPr>
          <w:p w14:paraId="51F6CAF2" w14:textId="21DD6B8B" w:rsidR="00987009" w:rsidRPr="001A4B94" w:rsidRDefault="00987009" w:rsidP="0026491E">
            <w:pPr>
              <w:jc w:val="center"/>
              <w:rPr>
                <w:sz w:val="16"/>
                <w:szCs w:val="16"/>
                <w:lang w:val="tr-TR"/>
              </w:rPr>
            </w:pPr>
            <w:r w:rsidRPr="001A4B94">
              <w:rPr>
                <w:sz w:val="16"/>
                <w:szCs w:val="16"/>
                <w:lang w:val="tr-TR"/>
              </w:rPr>
              <w:t xml:space="preserve">     3</w:t>
            </w:r>
            <w:r w:rsidR="0034069F" w:rsidRPr="001A4B94">
              <w:rPr>
                <w:sz w:val="16"/>
                <w:szCs w:val="16"/>
                <w:lang w:val="tr-TR"/>
              </w:rPr>
              <w:t>.</w:t>
            </w:r>
            <w:r w:rsidRPr="001A4B94">
              <w:rPr>
                <w:sz w:val="16"/>
                <w:szCs w:val="16"/>
                <w:lang w:val="tr-TR"/>
              </w:rPr>
              <w:t xml:space="preserve">751 </w:t>
            </w:r>
          </w:p>
        </w:tc>
        <w:tc>
          <w:tcPr>
            <w:tcW w:w="597" w:type="dxa"/>
            <w:tcBorders>
              <w:top w:val="nil"/>
              <w:left w:val="nil"/>
              <w:bottom w:val="nil"/>
              <w:right w:val="nil"/>
            </w:tcBorders>
            <w:shd w:val="clear" w:color="000000" w:fill="D5DCE4"/>
          </w:tcPr>
          <w:p w14:paraId="03D49410" w14:textId="3308791B" w:rsidR="00987009" w:rsidRPr="001A4B94" w:rsidRDefault="00987009" w:rsidP="0026491E">
            <w:pPr>
              <w:jc w:val="center"/>
              <w:rPr>
                <w:sz w:val="16"/>
                <w:szCs w:val="16"/>
                <w:lang w:val="tr-TR"/>
              </w:rPr>
            </w:pPr>
            <w:r w:rsidRPr="001A4B94">
              <w:rPr>
                <w:sz w:val="16"/>
                <w:szCs w:val="16"/>
                <w:lang w:val="tr-TR"/>
              </w:rPr>
              <w:t>4</w:t>
            </w:r>
            <w:r w:rsidR="0034069F" w:rsidRPr="001A4B94">
              <w:rPr>
                <w:sz w:val="16"/>
                <w:szCs w:val="16"/>
                <w:lang w:val="tr-TR"/>
              </w:rPr>
              <w:t>.</w:t>
            </w:r>
            <w:r w:rsidRPr="001A4B94">
              <w:rPr>
                <w:sz w:val="16"/>
                <w:szCs w:val="16"/>
                <w:lang w:val="tr-TR"/>
              </w:rPr>
              <w:t>181</w:t>
            </w:r>
          </w:p>
        </w:tc>
      </w:tr>
    </w:tbl>
    <w:p w14:paraId="0C8770C8" w14:textId="033A3CD4" w:rsidR="00987009" w:rsidRPr="001A4B94" w:rsidRDefault="0034069F" w:rsidP="00987009">
      <w:pPr>
        <w:pStyle w:val="ListeParagraf"/>
        <w:tabs>
          <w:tab w:val="left" w:pos="426"/>
        </w:tabs>
        <w:autoSpaceDE w:val="0"/>
        <w:autoSpaceDN w:val="0"/>
        <w:adjustRightInd w:val="0"/>
        <w:spacing w:after="0" w:line="240" w:lineRule="auto"/>
        <w:ind w:left="0"/>
        <w:jc w:val="both"/>
        <w:rPr>
          <w:rFonts w:ascii="Times New Roman" w:hAnsi="Times New Roman"/>
          <w:i/>
          <w:sz w:val="18"/>
          <w:szCs w:val="18"/>
          <w:lang w:val="tr-TR"/>
        </w:rPr>
      </w:pPr>
      <w:r w:rsidRPr="001A4B94">
        <w:rPr>
          <w:rFonts w:ascii="Times New Roman" w:hAnsi="Times New Roman"/>
          <w:i/>
          <w:sz w:val="18"/>
          <w:szCs w:val="18"/>
          <w:lang w:val="tr-TR"/>
        </w:rPr>
        <w:t>Kaynak</w:t>
      </w:r>
      <w:r w:rsidR="00987009" w:rsidRPr="001A4B94">
        <w:rPr>
          <w:rFonts w:ascii="Times New Roman" w:hAnsi="Times New Roman"/>
          <w:i/>
          <w:sz w:val="18"/>
          <w:szCs w:val="18"/>
          <w:lang w:val="tr-TR"/>
        </w:rPr>
        <w:t xml:space="preserve">: </w:t>
      </w:r>
      <w:r w:rsidRPr="001A4B94">
        <w:rPr>
          <w:rFonts w:ascii="Times New Roman" w:hAnsi="Times New Roman"/>
          <w:i/>
          <w:sz w:val="18"/>
          <w:szCs w:val="18"/>
          <w:lang w:val="tr-TR"/>
        </w:rPr>
        <w:t>D</w:t>
      </w:r>
      <w:r w:rsidR="00987009" w:rsidRPr="001A4B94">
        <w:rPr>
          <w:rFonts w:ascii="Times New Roman" w:hAnsi="Times New Roman"/>
          <w:i/>
          <w:sz w:val="18"/>
          <w:szCs w:val="18"/>
          <w:lang w:val="tr-TR"/>
        </w:rPr>
        <w:t xml:space="preserve">B </w:t>
      </w:r>
      <w:r w:rsidRPr="001A4B94">
        <w:rPr>
          <w:rFonts w:ascii="Times New Roman" w:hAnsi="Times New Roman"/>
          <w:i/>
          <w:sz w:val="18"/>
          <w:szCs w:val="18"/>
          <w:lang w:val="tr-TR"/>
        </w:rPr>
        <w:t xml:space="preserve">ve </w:t>
      </w:r>
      <w:r w:rsidR="00987009" w:rsidRPr="001A4B94">
        <w:rPr>
          <w:rFonts w:ascii="Times New Roman" w:hAnsi="Times New Roman"/>
          <w:i/>
          <w:sz w:val="18"/>
          <w:szCs w:val="18"/>
          <w:lang w:val="tr-TR"/>
        </w:rPr>
        <w:t xml:space="preserve">IMF </w:t>
      </w:r>
      <w:r w:rsidRPr="001A4B94">
        <w:rPr>
          <w:rFonts w:ascii="Times New Roman" w:hAnsi="Times New Roman"/>
          <w:i/>
          <w:sz w:val="18"/>
          <w:szCs w:val="18"/>
          <w:lang w:val="tr-TR"/>
        </w:rPr>
        <w:t xml:space="preserve">tahminleri </w:t>
      </w:r>
      <w:r w:rsidR="00987009" w:rsidRPr="001A4B94">
        <w:rPr>
          <w:rFonts w:ascii="Times New Roman" w:hAnsi="Times New Roman"/>
          <w:i/>
          <w:sz w:val="18"/>
          <w:szCs w:val="18"/>
          <w:lang w:val="tr-TR"/>
        </w:rPr>
        <w:t>(</w:t>
      </w:r>
      <w:r w:rsidRPr="001A4B94">
        <w:rPr>
          <w:rFonts w:ascii="Times New Roman" w:hAnsi="Times New Roman"/>
          <w:i/>
          <w:sz w:val="18"/>
          <w:szCs w:val="18"/>
          <w:lang w:val="tr-TR"/>
        </w:rPr>
        <w:t xml:space="preserve">Şubat </w:t>
      </w:r>
      <w:r w:rsidR="00987009" w:rsidRPr="001A4B94">
        <w:rPr>
          <w:rFonts w:ascii="Times New Roman" w:hAnsi="Times New Roman"/>
          <w:i/>
          <w:sz w:val="18"/>
          <w:szCs w:val="18"/>
          <w:lang w:val="tr-TR"/>
        </w:rPr>
        <w:t xml:space="preserve">2017), </w:t>
      </w:r>
      <w:r w:rsidRPr="001A4B94">
        <w:rPr>
          <w:rFonts w:ascii="Times New Roman" w:hAnsi="Times New Roman"/>
          <w:i/>
          <w:sz w:val="18"/>
          <w:szCs w:val="18"/>
          <w:lang w:val="tr-TR"/>
        </w:rPr>
        <w:t>TÜİK</w:t>
      </w:r>
      <w:r w:rsidR="00987009" w:rsidRPr="001A4B94">
        <w:rPr>
          <w:rFonts w:ascii="Times New Roman" w:hAnsi="Times New Roman"/>
          <w:i/>
          <w:sz w:val="18"/>
          <w:szCs w:val="18"/>
          <w:lang w:val="tr-TR"/>
        </w:rPr>
        <w:t xml:space="preserve">, </w:t>
      </w:r>
      <w:r w:rsidRPr="001A4B94">
        <w:rPr>
          <w:rFonts w:ascii="Times New Roman" w:hAnsi="Times New Roman"/>
          <w:i/>
          <w:sz w:val="18"/>
          <w:szCs w:val="18"/>
          <w:lang w:val="tr-TR"/>
        </w:rPr>
        <w:t>Kalkınma Bakanlığı</w:t>
      </w:r>
      <w:r w:rsidR="00987009" w:rsidRPr="001A4B94">
        <w:rPr>
          <w:rFonts w:ascii="Times New Roman" w:hAnsi="Times New Roman"/>
          <w:i/>
          <w:sz w:val="18"/>
          <w:szCs w:val="18"/>
          <w:lang w:val="tr-TR"/>
        </w:rPr>
        <w:t xml:space="preserve">, </w:t>
      </w:r>
      <w:r w:rsidRPr="001A4B94">
        <w:rPr>
          <w:rFonts w:ascii="Times New Roman" w:hAnsi="Times New Roman"/>
          <w:i/>
          <w:sz w:val="18"/>
          <w:szCs w:val="18"/>
          <w:lang w:val="tr-TR"/>
        </w:rPr>
        <w:t xml:space="preserve">Türkiye Cumhuriyeti Merkez Bankası </w:t>
      </w:r>
    </w:p>
    <w:p w14:paraId="71DD2D69" w14:textId="77777777" w:rsidR="00987009" w:rsidRPr="001A4B94" w:rsidRDefault="00987009" w:rsidP="00402544">
      <w:pPr>
        <w:pStyle w:val="ListeParagraf"/>
        <w:tabs>
          <w:tab w:val="left" w:pos="426"/>
        </w:tabs>
        <w:autoSpaceDE w:val="0"/>
        <w:autoSpaceDN w:val="0"/>
        <w:adjustRightInd w:val="0"/>
        <w:spacing w:after="0" w:line="240" w:lineRule="auto"/>
        <w:ind w:left="0"/>
        <w:jc w:val="both"/>
        <w:rPr>
          <w:rFonts w:ascii="Times New Roman" w:hAnsi="Times New Roman"/>
          <w:i/>
          <w:sz w:val="18"/>
          <w:szCs w:val="18"/>
          <w:lang w:val="tr-TR"/>
        </w:rPr>
      </w:pPr>
    </w:p>
    <w:p w14:paraId="40C9FA32" w14:textId="454CE3A1" w:rsidR="002A0F3B" w:rsidRPr="001A4B94" w:rsidRDefault="000F13C9" w:rsidP="00354645">
      <w:pPr>
        <w:pStyle w:val="ListeParagraf"/>
        <w:numPr>
          <w:ilvl w:val="0"/>
          <w:numId w:val="2"/>
        </w:numPr>
        <w:tabs>
          <w:tab w:val="left" w:pos="270"/>
        </w:tabs>
        <w:autoSpaceDE w:val="0"/>
        <w:autoSpaceDN w:val="0"/>
        <w:adjustRightInd w:val="0"/>
        <w:spacing w:after="0" w:line="240" w:lineRule="auto"/>
        <w:ind w:left="0" w:firstLine="0"/>
        <w:jc w:val="both"/>
        <w:rPr>
          <w:sz w:val="23"/>
          <w:szCs w:val="23"/>
          <w:lang w:val="tr-TR"/>
        </w:rPr>
      </w:pPr>
      <w:r w:rsidRPr="001A4B94">
        <w:rPr>
          <w:rFonts w:ascii="Times New Roman" w:hAnsi="Times New Roman"/>
          <w:b/>
          <w:sz w:val="23"/>
          <w:szCs w:val="23"/>
          <w:lang w:val="tr-TR"/>
        </w:rPr>
        <w:t>Jeopolitik çalkantılar, olumsuz küresel gelişmeler ve baş</w:t>
      </w:r>
      <w:r w:rsidR="00280BFF" w:rsidRPr="001A4B94">
        <w:rPr>
          <w:rFonts w:ascii="Times New Roman" w:hAnsi="Times New Roman"/>
          <w:b/>
          <w:sz w:val="23"/>
          <w:szCs w:val="23"/>
          <w:lang w:val="tr-TR"/>
        </w:rPr>
        <w:t>a</w:t>
      </w:r>
      <w:r w:rsidRPr="001A4B94">
        <w:rPr>
          <w:rFonts w:ascii="Times New Roman" w:hAnsi="Times New Roman"/>
          <w:b/>
          <w:sz w:val="23"/>
          <w:szCs w:val="23"/>
          <w:lang w:val="tr-TR"/>
        </w:rPr>
        <w:t xml:space="preserve">rısız darbe girişimi sebebiyle 2016 yılında </w:t>
      </w:r>
      <w:r w:rsidR="0026491E" w:rsidRPr="001A4B94">
        <w:rPr>
          <w:rFonts w:ascii="Times New Roman" w:hAnsi="Times New Roman"/>
          <w:b/>
          <w:sz w:val="23"/>
          <w:szCs w:val="23"/>
          <w:lang w:val="tr-TR"/>
        </w:rPr>
        <w:t>T</w:t>
      </w:r>
      <w:r w:rsidRPr="001A4B94">
        <w:rPr>
          <w:rFonts w:ascii="Times New Roman" w:hAnsi="Times New Roman"/>
          <w:b/>
          <w:sz w:val="23"/>
          <w:szCs w:val="23"/>
          <w:lang w:val="tr-TR"/>
        </w:rPr>
        <w:t xml:space="preserve">ürkiye’nin GSYH artış oranı yüzde 2,9’a düşmüştür </w:t>
      </w:r>
      <w:r w:rsidRPr="001A4B94">
        <w:rPr>
          <w:rFonts w:ascii="Times New Roman" w:hAnsi="Times New Roman"/>
          <w:sz w:val="23"/>
          <w:szCs w:val="23"/>
          <w:lang w:val="tr-TR"/>
        </w:rPr>
        <w:t>(Tablo</w:t>
      </w:r>
      <w:r w:rsidR="00987009" w:rsidRPr="001A4B94">
        <w:rPr>
          <w:rFonts w:ascii="Times New Roman" w:hAnsi="Times New Roman"/>
          <w:sz w:val="23"/>
          <w:szCs w:val="23"/>
          <w:lang w:val="tr-TR"/>
        </w:rPr>
        <w:t xml:space="preserve"> 1).</w:t>
      </w:r>
      <w:r w:rsidR="002A0F3B" w:rsidRPr="001A4B94">
        <w:rPr>
          <w:rFonts w:ascii="Times New Roman" w:hAnsi="Times New Roman"/>
          <w:sz w:val="23"/>
          <w:szCs w:val="23"/>
          <w:lang w:val="tr-TR"/>
        </w:rPr>
        <w:t xml:space="preserve"> </w:t>
      </w:r>
      <w:r w:rsidRPr="001A4B94">
        <w:rPr>
          <w:rFonts w:ascii="Times New Roman" w:hAnsi="Times New Roman"/>
          <w:sz w:val="23"/>
          <w:szCs w:val="23"/>
          <w:lang w:val="tr-TR"/>
        </w:rPr>
        <w:t xml:space="preserve">Başarısız darbe girişimi </w:t>
      </w:r>
      <w:r w:rsidRPr="001A4B94">
        <w:rPr>
          <w:rFonts w:ascii="Times New Roman" w:hAnsi="Times New Roman"/>
          <w:sz w:val="23"/>
          <w:szCs w:val="23"/>
          <w:lang w:val="tr-TR"/>
        </w:rPr>
        <w:lastRenderedPageBreak/>
        <w:t xml:space="preserve">sonrasında, hanehalkları harcamalarını </w:t>
      </w:r>
      <w:r w:rsidR="002A0F3B" w:rsidRPr="001A4B94">
        <w:rPr>
          <w:rFonts w:ascii="Times New Roman" w:hAnsi="Times New Roman"/>
          <w:sz w:val="23"/>
          <w:szCs w:val="23"/>
          <w:lang w:val="tr-TR"/>
        </w:rPr>
        <w:t>(</w:t>
      </w:r>
      <w:r w:rsidR="000468B8" w:rsidRPr="001A4B94">
        <w:rPr>
          <w:rFonts w:ascii="Times New Roman" w:hAnsi="Times New Roman"/>
          <w:sz w:val="23"/>
          <w:szCs w:val="23"/>
          <w:lang w:val="tr-TR"/>
        </w:rPr>
        <w:t>özellikle dayanıklı tüketim malları</w:t>
      </w:r>
      <w:r w:rsidR="002A0F3B" w:rsidRPr="001A4B94">
        <w:rPr>
          <w:rFonts w:ascii="Times New Roman" w:hAnsi="Times New Roman"/>
          <w:sz w:val="23"/>
          <w:szCs w:val="23"/>
          <w:lang w:val="tr-TR"/>
        </w:rPr>
        <w:t xml:space="preserve">) </w:t>
      </w:r>
      <w:r w:rsidR="000468B8" w:rsidRPr="001A4B94">
        <w:rPr>
          <w:rFonts w:ascii="Times New Roman" w:hAnsi="Times New Roman"/>
          <w:sz w:val="23"/>
          <w:szCs w:val="23"/>
          <w:lang w:val="tr-TR"/>
        </w:rPr>
        <w:t>ertelerken  şirketler de kilit yatırım kararlarını ertelemişler, bu durum tüketimin ve yatırımın azalmasına</w:t>
      </w:r>
      <w:r w:rsidR="002A0F3B" w:rsidRPr="001A4B94">
        <w:rPr>
          <w:rFonts w:ascii="Times New Roman" w:hAnsi="Times New Roman"/>
          <w:sz w:val="23"/>
          <w:szCs w:val="23"/>
          <w:lang w:val="tr-TR"/>
        </w:rPr>
        <w:t xml:space="preserve"> </w:t>
      </w:r>
      <w:r w:rsidR="001F1463" w:rsidRPr="001A4B94">
        <w:rPr>
          <w:rFonts w:ascii="Times New Roman" w:hAnsi="Times New Roman"/>
          <w:sz w:val="23"/>
          <w:szCs w:val="23"/>
          <w:lang w:val="tr-TR"/>
        </w:rPr>
        <w:t>y</w:t>
      </w:r>
      <w:r w:rsidR="000468B8" w:rsidRPr="001A4B94">
        <w:rPr>
          <w:rFonts w:ascii="Times New Roman" w:hAnsi="Times New Roman"/>
          <w:sz w:val="23"/>
          <w:szCs w:val="23"/>
          <w:lang w:val="tr-TR"/>
        </w:rPr>
        <w:t>ol açmıştır. Bu azalmalar kamu harcamalarındaki artış ile ancak kısmen karşılanabilmiştir.</w:t>
      </w:r>
      <w:r w:rsidR="002A0F3B" w:rsidRPr="001A4B94">
        <w:rPr>
          <w:rFonts w:ascii="Times New Roman" w:hAnsi="Times New Roman"/>
          <w:sz w:val="23"/>
          <w:szCs w:val="23"/>
          <w:lang w:val="tr-TR"/>
        </w:rPr>
        <w:t xml:space="preserve"> </w:t>
      </w:r>
      <w:r w:rsidR="000468B8" w:rsidRPr="001A4B94">
        <w:rPr>
          <w:rFonts w:ascii="Times New Roman" w:hAnsi="Times New Roman"/>
          <w:sz w:val="23"/>
          <w:szCs w:val="23"/>
          <w:lang w:val="tr-TR"/>
        </w:rPr>
        <w:t xml:space="preserve">Dış ticaret tarafında ise, </w:t>
      </w:r>
      <w:r w:rsidR="002A0F3B" w:rsidRPr="001A4B94">
        <w:rPr>
          <w:rFonts w:ascii="Times New Roman" w:hAnsi="Times New Roman"/>
          <w:sz w:val="23"/>
          <w:szCs w:val="23"/>
          <w:lang w:val="tr-TR"/>
        </w:rPr>
        <w:t xml:space="preserve"> </w:t>
      </w:r>
      <w:r w:rsidR="00290E50" w:rsidRPr="001A4B94">
        <w:rPr>
          <w:rFonts w:ascii="Times New Roman" w:hAnsi="Times New Roman"/>
          <w:sz w:val="23"/>
          <w:szCs w:val="23"/>
          <w:lang w:val="tr-TR"/>
        </w:rPr>
        <w:t xml:space="preserve">ithalat </w:t>
      </w:r>
      <w:r w:rsidR="000468B8" w:rsidRPr="001A4B94">
        <w:rPr>
          <w:rFonts w:ascii="Times New Roman" w:hAnsi="Times New Roman"/>
          <w:sz w:val="23"/>
          <w:szCs w:val="23"/>
          <w:lang w:val="tr-TR"/>
        </w:rPr>
        <w:t>yavaşlayan iç talep sebebiyle düşerken, zayıflayan dış talep ve bazı ticaret ortakları ile olan ekonomik bağlardaki çalkantılar sebebiyle ihracat daralmıştır</w:t>
      </w:r>
      <w:r w:rsidR="002A0F3B" w:rsidRPr="001A4B94">
        <w:rPr>
          <w:rFonts w:ascii="Times New Roman" w:hAnsi="Times New Roman"/>
          <w:sz w:val="23"/>
          <w:szCs w:val="23"/>
          <w:lang w:val="tr-TR"/>
        </w:rPr>
        <w:t xml:space="preserve">. </w:t>
      </w:r>
      <w:r w:rsidR="00FB459B" w:rsidRPr="001A4B94">
        <w:rPr>
          <w:rFonts w:ascii="Times New Roman" w:hAnsi="Times New Roman"/>
          <w:sz w:val="23"/>
          <w:szCs w:val="23"/>
          <w:lang w:val="tr-TR"/>
        </w:rPr>
        <w:t xml:space="preserve">Tarım dışı </w:t>
      </w:r>
      <w:r w:rsidR="00290E50" w:rsidRPr="001A4B94">
        <w:rPr>
          <w:rFonts w:ascii="Times New Roman" w:hAnsi="Times New Roman"/>
          <w:sz w:val="23"/>
          <w:szCs w:val="23"/>
          <w:lang w:val="tr-TR"/>
        </w:rPr>
        <w:t xml:space="preserve">işsizlik </w:t>
      </w:r>
      <w:r w:rsidR="00FB459B" w:rsidRPr="001A4B94">
        <w:rPr>
          <w:rFonts w:ascii="Times New Roman" w:hAnsi="Times New Roman"/>
          <w:sz w:val="23"/>
          <w:szCs w:val="23"/>
          <w:lang w:val="tr-TR"/>
        </w:rPr>
        <w:t xml:space="preserve">oranı </w:t>
      </w:r>
      <w:r w:rsidR="009612BE" w:rsidRPr="001A4B94">
        <w:rPr>
          <w:rFonts w:ascii="Times New Roman" w:hAnsi="Times New Roman"/>
          <w:sz w:val="23"/>
          <w:szCs w:val="23"/>
          <w:lang w:val="tr-TR"/>
        </w:rPr>
        <w:t>Ocak 2016 ile Aralık 2016 arasında yüzde 12,1’den yüzde 14,3’e yükselmiştir.</w:t>
      </w:r>
    </w:p>
    <w:p w14:paraId="3460FF57" w14:textId="77777777" w:rsidR="00017C7C" w:rsidRPr="001A4B94" w:rsidRDefault="00017C7C" w:rsidP="00017C7C">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21903C31" w14:textId="3D83DC2E" w:rsidR="007E215F" w:rsidRPr="001A4B94" w:rsidRDefault="009612BE" w:rsidP="00354645">
      <w:pPr>
        <w:pStyle w:val="ListeParagraf"/>
        <w:numPr>
          <w:ilvl w:val="0"/>
          <w:numId w:val="2"/>
        </w:numPr>
        <w:tabs>
          <w:tab w:val="left" w:pos="270"/>
        </w:tabs>
        <w:autoSpaceDE w:val="0"/>
        <w:autoSpaceDN w:val="0"/>
        <w:adjustRightInd w:val="0"/>
        <w:spacing w:after="0" w:line="240" w:lineRule="auto"/>
        <w:ind w:left="0" w:firstLine="0"/>
        <w:jc w:val="both"/>
        <w:rPr>
          <w:rFonts w:asciiTheme="minorHAnsi" w:hAnsiTheme="minorHAnsi"/>
          <w:b/>
          <w:bCs/>
          <w:iCs/>
          <w:sz w:val="23"/>
          <w:szCs w:val="23"/>
          <w:lang w:val="tr-TR"/>
        </w:rPr>
      </w:pPr>
      <w:r w:rsidRPr="001A4B94">
        <w:rPr>
          <w:rFonts w:ascii="Times New Roman" w:hAnsi="Times New Roman"/>
          <w:b/>
          <w:sz w:val="23"/>
          <w:szCs w:val="23"/>
          <w:lang w:val="tr-TR"/>
        </w:rPr>
        <w:t>2016 yılında, özellikle düşen turizm gelirleri sebebiyle cari açık hafif bir artışla GSYH’nın yüzde 3,8’i seviy</w:t>
      </w:r>
      <w:r w:rsidR="00257804" w:rsidRPr="001A4B94">
        <w:rPr>
          <w:rFonts w:ascii="Times New Roman" w:hAnsi="Times New Roman"/>
          <w:b/>
          <w:sz w:val="23"/>
          <w:szCs w:val="23"/>
          <w:lang w:val="tr-TR"/>
        </w:rPr>
        <w:t>e</w:t>
      </w:r>
      <w:r w:rsidRPr="001A4B94">
        <w:rPr>
          <w:rFonts w:ascii="Times New Roman" w:hAnsi="Times New Roman"/>
          <w:b/>
          <w:sz w:val="23"/>
          <w:szCs w:val="23"/>
          <w:lang w:val="tr-TR"/>
        </w:rPr>
        <w:t>sine çıkmış, 2017 yılında küresel petrol fiyatl</w:t>
      </w:r>
      <w:r w:rsidR="00257804" w:rsidRPr="001A4B94">
        <w:rPr>
          <w:rFonts w:ascii="Times New Roman" w:hAnsi="Times New Roman"/>
          <w:b/>
          <w:sz w:val="23"/>
          <w:szCs w:val="23"/>
          <w:lang w:val="tr-TR"/>
        </w:rPr>
        <w:t>a</w:t>
      </w:r>
      <w:r w:rsidRPr="001A4B94">
        <w:rPr>
          <w:rFonts w:ascii="Times New Roman" w:hAnsi="Times New Roman"/>
          <w:b/>
          <w:sz w:val="23"/>
          <w:szCs w:val="23"/>
          <w:lang w:val="tr-TR"/>
        </w:rPr>
        <w:t>rındaki artış ile birlikte yeni</w:t>
      </w:r>
      <w:r w:rsidR="00E7075F" w:rsidRPr="001A4B94">
        <w:rPr>
          <w:rFonts w:ascii="Times New Roman" w:hAnsi="Times New Roman"/>
          <w:b/>
          <w:sz w:val="23"/>
          <w:szCs w:val="23"/>
          <w:lang w:val="tr-TR"/>
        </w:rPr>
        <w:t>d</w:t>
      </w:r>
      <w:r w:rsidRPr="001A4B94">
        <w:rPr>
          <w:rFonts w:ascii="Times New Roman" w:hAnsi="Times New Roman"/>
          <w:b/>
          <w:sz w:val="23"/>
          <w:szCs w:val="23"/>
          <w:lang w:val="tr-TR"/>
        </w:rPr>
        <w:t xml:space="preserve">en </w:t>
      </w:r>
      <w:r w:rsidR="00E7075F" w:rsidRPr="001A4B94">
        <w:rPr>
          <w:rFonts w:ascii="Times New Roman" w:hAnsi="Times New Roman"/>
          <w:b/>
          <w:sz w:val="23"/>
          <w:szCs w:val="23"/>
          <w:lang w:val="tr-TR"/>
        </w:rPr>
        <w:t>açılmaya başlamıştır</w:t>
      </w:r>
      <w:r w:rsidR="00354645" w:rsidRPr="001A4B94">
        <w:rPr>
          <w:rFonts w:ascii="Times New Roman" w:hAnsi="Times New Roman"/>
          <w:b/>
          <w:sz w:val="23"/>
          <w:szCs w:val="23"/>
          <w:lang w:val="tr-TR"/>
        </w:rPr>
        <w:t xml:space="preserve">. </w:t>
      </w:r>
      <w:r w:rsidR="002A334C" w:rsidRPr="001A4B94">
        <w:rPr>
          <w:rFonts w:ascii="Times New Roman" w:hAnsi="Times New Roman"/>
          <w:sz w:val="23"/>
          <w:szCs w:val="23"/>
          <w:lang w:val="tr-TR"/>
        </w:rPr>
        <w:t>2013 yılında GSYH’nın yüzde 6,7’si seviyesin</w:t>
      </w:r>
      <w:r w:rsidR="00257804" w:rsidRPr="001A4B94">
        <w:rPr>
          <w:rFonts w:ascii="Times New Roman" w:hAnsi="Times New Roman"/>
          <w:sz w:val="23"/>
          <w:szCs w:val="23"/>
          <w:lang w:val="tr-TR"/>
        </w:rPr>
        <w:t>d</w:t>
      </w:r>
      <w:r w:rsidR="002A334C" w:rsidRPr="001A4B94">
        <w:rPr>
          <w:rFonts w:ascii="Times New Roman" w:hAnsi="Times New Roman"/>
          <w:sz w:val="23"/>
          <w:szCs w:val="23"/>
          <w:lang w:val="tr-TR"/>
        </w:rPr>
        <w:t>e olan cari açık, artan altın dengesi</w:t>
      </w:r>
      <w:r w:rsidR="003A6C91" w:rsidRPr="001A4B94">
        <w:rPr>
          <w:rFonts w:ascii="Times New Roman" w:hAnsi="Times New Roman"/>
          <w:sz w:val="23"/>
          <w:szCs w:val="23"/>
          <w:lang w:val="tr-TR"/>
        </w:rPr>
        <w:t xml:space="preserve"> ve</w:t>
      </w:r>
      <w:r w:rsidR="002A334C" w:rsidRPr="001A4B94">
        <w:rPr>
          <w:rFonts w:ascii="Times New Roman" w:hAnsi="Times New Roman"/>
          <w:sz w:val="23"/>
          <w:szCs w:val="23"/>
          <w:lang w:val="tr-TR"/>
        </w:rPr>
        <w:t xml:space="preserve"> küresel petrol fiyatl</w:t>
      </w:r>
      <w:r w:rsidR="00257804" w:rsidRPr="001A4B94">
        <w:rPr>
          <w:rFonts w:ascii="Times New Roman" w:hAnsi="Times New Roman"/>
          <w:sz w:val="23"/>
          <w:szCs w:val="23"/>
          <w:lang w:val="tr-TR"/>
        </w:rPr>
        <w:t>a</w:t>
      </w:r>
      <w:r w:rsidR="002A334C" w:rsidRPr="001A4B94">
        <w:rPr>
          <w:rFonts w:ascii="Times New Roman" w:hAnsi="Times New Roman"/>
          <w:sz w:val="23"/>
          <w:szCs w:val="23"/>
          <w:lang w:val="tr-TR"/>
        </w:rPr>
        <w:t>rındaki çöküşün enerji fatur</w:t>
      </w:r>
      <w:r w:rsidR="00257804" w:rsidRPr="001A4B94">
        <w:rPr>
          <w:rFonts w:ascii="Times New Roman" w:hAnsi="Times New Roman"/>
          <w:sz w:val="23"/>
          <w:szCs w:val="23"/>
          <w:lang w:val="tr-TR"/>
        </w:rPr>
        <w:t>a</w:t>
      </w:r>
      <w:r w:rsidR="002A334C" w:rsidRPr="001A4B94">
        <w:rPr>
          <w:rFonts w:ascii="Times New Roman" w:hAnsi="Times New Roman"/>
          <w:sz w:val="23"/>
          <w:szCs w:val="23"/>
          <w:lang w:val="tr-TR"/>
        </w:rPr>
        <w:t>sında getirdiği düşüş gibi ko</w:t>
      </w:r>
      <w:r w:rsidR="00EE6E62" w:rsidRPr="001A4B94">
        <w:rPr>
          <w:rFonts w:ascii="Times New Roman" w:hAnsi="Times New Roman"/>
          <w:sz w:val="23"/>
          <w:szCs w:val="23"/>
          <w:lang w:val="tr-TR"/>
        </w:rPr>
        <w:t xml:space="preserve">njonktürel faktörler sayesinde </w:t>
      </w:r>
      <w:r w:rsidR="002A334C" w:rsidRPr="001A4B94">
        <w:rPr>
          <w:rFonts w:ascii="Times New Roman" w:hAnsi="Times New Roman"/>
          <w:sz w:val="23"/>
          <w:szCs w:val="23"/>
          <w:lang w:val="tr-TR"/>
        </w:rPr>
        <w:t>2015 yılında GSYH’nın yüzde 3,7’si seviyesine inmiştir.</w:t>
      </w:r>
      <w:r w:rsidR="002A334C" w:rsidRPr="001A4B94">
        <w:rPr>
          <w:rFonts w:ascii="Times New Roman" w:hAnsi="Times New Roman"/>
          <w:b/>
          <w:sz w:val="23"/>
          <w:szCs w:val="23"/>
          <w:lang w:val="tr-TR"/>
        </w:rPr>
        <w:t xml:space="preserve"> </w:t>
      </w:r>
      <w:r w:rsidR="00354645" w:rsidRPr="001A4B94">
        <w:rPr>
          <w:rFonts w:ascii="Times New Roman" w:hAnsi="Times New Roman"/>
          <w:sz w:val="23"/>
          <w:szCs w:val="23"/>
          <w:lang w:val="tr-TR"/>
        </w:rPr>
        <w:t xml:space="preserve"> </w:t>
      </w:r>
      <w:r w:rsidR="002A334C" w:rsidRPr="001A4B94">
        <w:rPr>
          <w:rFonts w:ascii="Times New Roman" w:hAnsi="Times New Roman"/>
          <w:sz w:val="23"/>
          <w:szCs w:val="23"/>
          <w:lang w:val="tr-TR"/>
        </w:rPr>
        <w:t>Türkiye’nin ana ticaret ortaklarındaki zayıflıklar sebebiyle çeki</w:t>
      </w:r>
      <w:r w:rsidR="00257804" w:rsidRPr="001A4B94">
        <w:rPr>
          <w:rFonts w:ascii="Times New Roman" w:hAnsi="Times New Roman"/>
          <w:sz w:val="23"/>
          <w:szCs w:val="23"/>
          <w:lang w:val="tr-TR"/>
        </w:rPr>
        <w:t>r</w:t>
      </w:r>
      <w:r w:rsidR="002A334C" w:rsidRPr="001A4B94">
        <w:rPr>
          <w:rFonts w:ascii="Times New Roman" w:hAnsi="Times New Roman"/>
          <w:sz w:val="23"/>
          <w:szCs w:val="23"/>
          <w:lang w:val="tr-TR"/>
        </w:rPr>
        <w:t>dek denge büyük ölçüde yatay bir</w:t>
      </w:r>
      <w:r w:rsidR="00257804" w:rsidRPr="001A4B94">
        <w:rPr>
          <w:rFonts w:ascii="Times New Roman" w:hAnsi="Times New Roman"/>
          <w:sz w:val="23"/>
          <w:szCs w:val="23"/>
          <w:lang w:val="tr-TR"/>
        </w:rPr>
        <w:t xml:space="preserve"> </w:t>
      </w:r>
      <w:r w:rsidR="002A334C" w:rsidRPr="001A4B94">
        <w:rPr>
          <w:rFonts w:ascii="Times New Roman" w:hAnsi="Times New Roman"/>
          <w:sz w:val="23"/>
          <w:szCs w:val="23"/>
          <w:lang w:val="tr-TR"/>
        </w:rPr>
        <w:t xml:space="preserve">seyir izlemesine rağmen, </w:t>
      </w:r>
      <w:r w:rsidR="00354645" w:rsidRPr="001A4B94">
        <w:rPr>
          <w:rFonts w:ascii="Times New Roman" w:hAnsi="Times New Roman"/>
          <w:sz w:val="23"/>
          <w:szCs w:val="23"/>
          <w:lang w:val="tr-TR"/>
        </w:rPr>
        <w:t xml:space="preserve"> </w:t>
      </w:r>
      <w:r w:rsidR="002A334C" w:rsidRPr="001A4B94">
        <w:rPr>
          <w:rFonts w:ascii="Times New Roman" w:hAnsi="Times New Roman"/>
          <w:sz w:val="23"/>
          <w:szCs w:val="23"/>
          <w:lang w:val="tr-TR"/>
        </w:rPr>
        <w:t>güvenlik endişeleri ve Rusya yaptırıml</w:t>
      </w:r>
      <w:r w:rsidR="00257804" w:rsidRPr="001A4B94">
        <w:rPr>
          <w:rFonts w:ascii="Times New Roman" w:hAnsi="Times New Roman"/>
          <w:sz w:val="23"/>
          <w:szCs w:val="23"/>
          <w:lang w:val="tr-TR"/>
        </w:rPr>
        <w:t>a</w:t>
      </w:r>
      <w:r w:rsidR="002A334C" w:rsidRPr="001A4B94">
        <w:rPr>
          <w:rFonts w:ascii="Times New Roman" w:hAnsi="Times New Roman"/>
          <w:sz w:val="23"/>
          <w:szCs w:val="23"/>
          <w:lang w:val="tr-TR"/>
        </w:rPr>
        <w:t>rı sonucunda önemli ölçüde azalan turizm gelirleri sebebiyle hizmetler dengesinde kötüleşme kaydedilmiştir.</w:t>
      </w:r>
      <w:r w:rsidR="00354645" w:rsidRPr="001A4B94">
        <w:rPr>
          <w:rFonts w:ascii="Times New Roman" w:hAnsi="Times New Roman"/>
          <w:sz w:val="23"/>
          <w:szCs w:val="23"/>
          <w:lang w:val="tr-TR"/>
        </w:rPr>
        <w:t xml:space="preserve"> </w:t>
      </w:r>
      <w:r w:rsidR="00257804" w:rsidRPr="001A4B94">
        <w:rPr>
          <w:rFonts w:ascii="Times New Roman" w:hAnsi="Times New Roman"/>
          <w:sz w:val="23"/>
          <w:szCs w:val="23"/>
          <w:lang w:val="tr-TR"/>
        </w:rPr>
        <w:t>Bu durum enerji faturasındaki iyileşmeyi dengelemiş ve 2016 yılında cari açığı GSYH’nin yüzde 3,8’i seviyesine çıkarmıştır</w:t>
      </w:r>
      <w:r w:rsidR="00354645" w:rsidRPr="001A4B94">
        <w:rPr>
          <w:rFonts w:ascii="Times New Roman" w:hAnsi="Times New Roman"/>
          <w:sz w:val="23"/>
          <w:szCs w:val="23"/>
          <w:lang w:val="tr-TR"/>
        </w:rPr>
        <w:t>. 2017</w:t>
      </w:r>
      <w:r w:rsidR="00257804" w:rsidRPr="001A4B94">
        <w:rPr>
          <w:rFonts w:ascii="Times New Roman" w:hAnsi="Times New Roman"/>
          <w:sz w:val="23"/>
          <w:szCs w:val="23"/>
          <w:lang w:val="tr-TR"/>
        </w:rPr>
        <w:t xml:space="preserve"> yılında</w:t>
      </w:r>
      <w:r w:rsidR="00354645" w:rsidRPr="001A4B94">
        <w:rPr>
          <w:rFonts w:ascii="Times New Roman" w:hAnsi="Times New Roman"/>
          <w:sz w:val="23"/>
          <w:szCs w:val="23"/>
          <w:lang w:val="tr-TR"/>
        </w:rPr>
        <w:t xml:space="preserve">, </w:t>
      </w:r>
      <w:r w:rsidR="00257804" w:rsidRPr="001A4B94">
        <w:rPr>
          <w:rFonts w:ascii="Times New Roman" w:hAnsi="Times New Roman"/>
          <w:sz w:val="23"/>
          <w:szCs w:val="23"/>
          <w:lang w:val="tr-TR"/>
        </w:rPr>
        <w:t>AB’deki güçlenen büyüme sayesinde enerji ve altın hariç açık daralmaya başlamıştır</w:t>
      </w:r>
      <w:r w:rsidR="00354645" w:rsidRPr="001A4B94">
        <w:rPr>
          <w:rFonts w:ascii="Times New Roman" w:hAnsi="Times New Roman"/>
          <w:sz w:val="23"/>
          <w:szCs w:val="23"/>
          <w:lang w:val="tr-TR"/>
        </w:rPr>
        <w:t xml:space="preserve">. </w:t>
      </w:r>
      <w:r w:rsidR="00257804" w:rsidRPr="001A4B94">
        <w:rPr>
          <w:rFonts w:ascii="Times New Roman" w:hAnsi="Times New Roman"/>
          <w:sz w:val="23"/>
          <w:szCs w:val="23"/>
          <w:lang w:val="tr-TR"/>
        </w:rPr>
        <w:t>Önümüzdeki dönemde</w:t>
      </w:r>
      <w:r w:rsidR="00354645" w:rsidRPr="001A4B94">
        <w:rPr>
          <w:rFonts w:ascii="Times New Roman" w:hAnsi="Times New Roman"/>
          <w:sz w:val="23"/>
          <w:szCs w:val="23"/>
          <w:lang w:val="tr-TR"/>
        </w:rPr>
        <w:t xml:space="preserve">, </w:t>
      </w:r>
      <w:r w:rsidR="00257804" w:rsidRPr="001A4B94">
        <w:rPr>
          <w:rFonts w:ascii="Times New Roman" w:hAnsi="Times New Roman"/>
          <w:sz w:val="23"/>
          <w:szCs w:val="23"/>
          <w:lang w:val="tr-TR"/>
        </w:rPr>
        <w:t xml:space="preserve">enerji fiyatlarındaki olası artışların orta vadede daha büyük cari açıklara yol açması beklenmektedir. </w:t>
      </w:r>
    </w:p>
    <w:p w14:paraId="4098E588" w14:textId="77777777" w:rsidR="00976DEA" w:rsidRPr="001A4B94" w:rsidRDefault="00976DEA" w:rsidP="00976DEA">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027A1C94" w14:textId="31C573CD" w:rsidR="00354645" w:rsidRPr="001A4B94" w:rsidRDefault="00DC1A82" w:rsidP="00354645">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b/>
          <w:sz w:val="23"/>
          <w:szCs w:val="23"/>
          <w:lang w:val="tr-TR"/>
        </w:rPr>
      </w:pPr>
      <w:r w:rsidRPr="001A4B94">
        <w:rPr>
          <w:rFonts w:ascii="Times New Roman" w:hAnsi="Times New Roman"/>
          <w:b/>
          <w:sz w:val="23"/>
          <w:szCs w:val="23"/>
          <w:lang w:val="tr-TR"/>
        </w:rPr>
        <w:t>2016 yılının sonlarında iç ve dış faktörler sebebiyle tahvil piyasasından p</w:t>
      </w:r>
      <w:r w:rsidR="00354645" w:rsidRPr="001A4B94">
        <w:rPr>
          <w:rFonts w:ascii="Times New Roman" w:hAnsi="Times New Roman"/>
          <w:b/>
          <w:sz w:val="23"/>
          <w:szCs w:val="23"/>
          <w:lang w:val="tr-TR"/>
        </w:rPr>
        <w:t>ortf</w:t>
      </w:r>
      <w:r w:rsidR="008435CC" w:rsidRPr="001A4B94">
        <w:rPr>
          <w:rFonts w:ascii="Times New Roman" w:hAnsi="Times New Roman"/>
          <w:b/>
          <w:sz w:val="23"/>
          <w:szCs w:val="23"/>
          <w:lang w:val="tr-TR"/>
        </w:rPr>
        <w:t xml:space="preserve">öy çıkışları </w:t>
      </w:r>
      <w:r w:rsidRPr="001A4B94">
        <w:rPr>
          <w:rFonts w:ascii="Times New Roman" w:hAnsi="Times New Roman"/>
          <w:b/>
          <w:sz w:val="23"/>
          <w:szCs w:val="23"/>
          <w:lang w:val="tr-TR"/>
        </w:rPr>
        <w:t>hızlanmıştır ancak 2017 yılında ılımlı bir toparlanma yaşanmaktadır</w:t>
      </w:r>
      <w:r w:rsidR="00354645" w:rsidRPr="001A4B94">
        <w:rPr>
          <w:rFonts w:ascii="Times New Roman" w:hAnsi="Times New Roman"/>
          <w:b/>
          <w:sz w:val="23"/>
          <w:szCs w:val="23"/>
          <w:lang w:val="tr-TR"/>
        </w:rPr>
        <w:t xml:space="preserve">. </w:t>
      </w:r>
      <w:r w:rsidRPr="001A4B94">
        <w:rPr>
          <w:rFonts w:ascii="Times New Roman" w:hAnsi="Times New Roman"/>
          <w:sz w:val="23"/>
          <w:szCs w:val="23"/>
          <w:lang w:val="tr-TR"/>
        </w:rPr>
        <w:t>Amerika Birleşik Devletleri’nde (ABD)</w:t>
      </w:r>
      <w:r w:rsidRPr="001A4B94">
        <w:rPr>
          <w:rFonts w:ascii="Times New Roman" w:hAnsi="Times New Roman"/>
          <w:b/>
          <w:sz w:val="23"/>
          <w:szCs w:val="23"/>
          <w:lang w:val="tr-TR"/>
        </w:rPr>
        <w:t xml:space="preserve"> </w:t>
      </w:r>
      <w:r w:rsidRPr="001A4B94">
        <w:rPr>
          <w:rFonts w:ascii="Times New Roman" w:hAnsi="Times New Roman"/>
          <w:sz w:val="23"/>
          <w:szCs w:val="23"/>
          <w:lang w:val="tr-TR"/>
        </w:rPr>
        <w:t>başkanlık</w:t>
      </w:r>
      <w:r w:rsidR="00860637" w:rsidRPr="001A4B94">
        <w:rPr>
          <w:rFonts w:ascii="Times New Roman" w:hAnsi="Times New Roman"/>
          <w:sz w:val="23"/>
          <w:szCs w:val="23"/>
          <w:lang w:val="tr-TR"/>
        </w:rPr>
        <w:t xml:space="preserve"> </w:t>
      </w:r>
      <w:r w:rsidRPr="001A4B94">
        <w:rPr>
          <w:rFonts w:ascii="Times New Roman" w:hAnsi="Times New Roman"/>
          <w:sz w:val="23"/>
          <w:szCs w:val="23"/>
          <w:lang w:val="tr-TR"/>
        </w:rPr>
        <w:t>seçiminin sonuçları ve ABD Merkez Bankası’nın faiz oranlarını başlangıçta beklenenden daha hızlı yükselteceği öngörüsü</w:t>
      </w:r>
      <w:r w:rsidR="00B944EF" w:rsidRPr="001A4B94">
        <w:rPr>
          <w:rFonts w:ascii="Times New Roman" w:hAnsi="Times New Roman"/>
          <w:sz w:val="23"/>
          <w:szCs w:val="23"/>
          <w:lang w:val="tr-TR"/>
        </w:rPr>
        <w:t>,</w:t>
      </w:r>
      <w:r w:rsidRPr="001A4B94">
        <w:rPr>
          <w:rFonts w:ascii="Times New Roman" w:hAnsi="Times New Roman"/>
          <w:sz w:val="23"/>
          <w:szCs w:val="23"/>
          <w:lang w:val="tr-TR"/>
        </w:rPr>
        <w:t xml:space="preserve"> küresel risk iştahını azaltmış ve çoğu g</w:t>
      </w:r>
      <w:r w:rsidR="00860637" w:rsidRPr="001A4B94">
        <w:rPr>
          <w:rFonts w:ascii="Times New Roman" w:hAnsi="Times New Roman"/>
          <w:sz w:val="23"/>
          <w:szCs w:val="23"/>
          <w:lang w:val="tr-TR"/>
        </w:rPr>
        <w:t>e</w:t>
      </w:r>
      <w:r w:rsidRPr="001A4B94">
        <w:rPr>
          <w:rFonts w:ascii="Times New Roman" w:hAnsi="Times New Roman"/>
          <w:sz w:val="23"/>
          <w:szCs w:val="23"/>
          <w:lang w:val="tr-TR"/>
        </w:rPr>
        <w:t>lişmekte olan ülkeden</w:t>
      </w:r>
      <w:r w:rsidR="00354645" w:rsidRPr="001A4B94">
        <w:rPr>
          <w:rFonts w:ascii="Times New Roman" w:hAnsi="Times New Roman"/>
          <w:sz w:val="23"/>
          <w:szCs w:val="23"/>
          <w:lang w:val="tr-TR"/>
        </w:rPr>
        <w:t xml:space="preserve"> </w:t>
      </w:r>
      <w:r w:rsidRPr="001A4B94">
        <w:rPr>
          <w:rFonts w:ascii="Times New Roman" w:hAnsi="Times New Roman"/>
          <w:sz w:val="23"/>
          <w:szCs w:val="23"/>
          <w:lang w:val="tr-TR"/>
        </w:rPr>
        <w:t>çıkışları tetiklemiştir.</w:t>
      </w:r>
      <w:r w:rsidR="00354645" w:rsidRPr="001A4B94">
        <w:rPr>
          <w:rFonts w:ascii="Times New Roman" w:hAnsi="Times New Roman"/>
          <w:sz w:val="23"/>
          <w:szCs w:val="23"/>
          <w:lang w:val="tr-TR"/>
        </w:rPr>
        <w:t xml:space="preserve"> </w:t>
      </w:r>
      <w:r w:rsidRPr="001A4B94">
        <w:rPr>
          <w:rFonts w:ascii="Times New Roman" w:hAnsi="Times New Roman"/>
          <w:sz w:val="23"/>
          <w:szCs w:val="23"/>
          <w:lang w:val="tr-TR"/>
        </w:rPr>
        <w:t>Türkiye’de</w:t>
      </w:r>
      <w:r w:rsidR="00354645" w:rsidRPr="001A4B94">
        <w:rPr>
          <w:rFonts w:ascii="Times New Roman" w:hAnsi="Times New Roman"/>
          <w:sz w:val="23"/>
          <w:szCs w:val="23"/>
          <w:lang w:val="tr-TR"/>
        </w:rPr>
        <w:t xml:space="preserve">, </w:t>
      </w:r>
      <w:r w:rsidRPr="001A4B94">
        <w:rPr>
          <w:rFonts w:ascii="Times New Roman" w:hAnsi="Times New Roman"/>
          <w:sz w:val="23"/>
          <w:szCs w:val="23"/>
          <w:lang w:val="tr-TR"/>
        </w:rPr>
        <w:t>yavaşlayan GSYH artışı</w:t>
      </w:r>
      <w:r w:rsidR="00354645" w:rsidRPr="001A4B94">
        <w:rPr>
          <w:rFonts w:ascii="Times New Roman" w:hAnsi="Times New Roman"/>
          <w:sz w:val="23"/>
          <w:szCs w:val="23"/>
          <w:lang w:val="tr-TR"/>
        </w:rPr>
        <w:t xml:space="preserve">, </w:t>
      </w:r>
      <w:r w:rsidRPr="001A4B94">
        <w:rPr>
          <w:rFonts w:ascii="Times New Roman" w:hAnsi="Times New Roman"/>
          <w:sz w:val="23"/>
          <w:szCs w:val="23"/>
          <w:lang w:val="tr-TR"/>
        </w:rPr>
        <w:t>yükselen enflasyon</w:t>
      </w:r>
      <w:r w:rsidR="00354645" w:rsidRPr="001A4B94">
        <w:rPr>
          <w:rFonts w:ascii="Times New Roman" w:hAnsi="Times New Roman"/>
          <w:sz w:val="23"/>
          <w:szCs w:val="23"/>
          <w:lang w:val="tr-TR"/>
        </w:rPr>
        <w:t xml:space="preserve">, </w:t>
      </w:r>
      <w:r w:rsidRPr="001A4B94">
        <w:rPr>
          <w:rFonts w:ascii="Times New Roman" w:hAnsi="Times New Roman"/>
          <w:sz w:val="23"/>
          <w:szCs w:val="23"/>
          <w:lang w:val="tr-TR"/>
        </w:rPr>
        <w:t>artan cari açık ve Merk</w:t>
      </w:r>
      <w:r w:rsidR="00EB1936" w:rsidRPr="001A4B94">
        <w:rPr>
          <w:rFonts w:ascii="Times New Roman" w:hAnsi="Times New Roman"/>
          <w:sz w:val="23"/>
          <w:szCs w:val="23"/>
          <w:lang w:val="tr-TR"/>
        </w:rPr>
        <w:t>e</w:t>
      </w:r>
      <w:r w:rsidRPr="001A4B94">
        <w:rPr>
          <w:rFonts w:ascii="Times New Roman" w:hAnsi="Times New Roman"/>
          <w:sz w:val="23"/>
          <w:szCs w:val="23"/>
          <w:lang w:val="tr-TR"/>
        </w:rPr>
        <w:t>z Bankası’nın liradaki değ</w:t>
      </w:r>
      <w:r w:rsidR="00860637" w:rsidRPr="001A4B94">
        <w:rPr>
          <w:rFonts w:ascii="Times New Roman" w:hAnsi="Times New Roman"/>
          <w:sz w:val="23"/>
          <w:szCs w:val="23"/>
          <w:lang w:val="tr-TR"/>
        </w:rPr>
        <w:t>e</w:t>
      </w:r>
      <w:r w:rsidRPr="001A4B94">
        <w:rPr>
          <w:rFonts w:ascii="Times New Roman" w:hAnsi="Times New Roman"/>
          <w:sz w:val="23"/>
          <w:szCs w:val="23"/>
          <w:lang w:val="tr-TR"/>
        </w:rPr>
        <w:t>r kaybına karşı sıra</w:t>
      </w:r>
      <w:r w:rsidR="00860637" w:rsidRPr="001A4B94">
        <w:rPr>
          <w:rFonts w:ascii="Times New Roman" w:hAnsi="Times New Roman"/>
          <w:sz w:val="23"/>
          <w:szCs w:val="23"/>
          <w:lang w:val="tr-TR"/>
        </w:rPr>
        <w:t xml:space="preserve"> </w:t>
      </w:r>
      <w:r w:rsidRPr="001A4B94">
        <w:rPr>
          <w:rFonts w:ascii="Times New Roman" w:hAnsi="Times New Roman"/>
          <w:sz w:val="23"/>
          <w:szCs w:val="23"/>
          <w:lang w:val="tr-TR"/>
        </w:rPr>
        <w:t>dışı tepkisi yatırımcı endişelerini tetiklemiştir.</w:t>
      </w:r>
      <w:r w:rsidR="00354645" w:rsidRPr="001A4B94">
        <w:rPr>
          <w:rFonts w:ascii="Times New Roman" w:hAnsi="Times New Roman"/>
          <w:sz w:val="23"/>
          <w:szCs w:val="23"/>
          <w:lang w:val="tr-TR"/>
        </w:rPr>
        <w:t xml:space="preserve"> </w:t>
      </w:r>
      <w:r w:rsidR="00EB1936" w:rsidRPr="001A4B94">
        <w:rPr>
          <w:rFonts w:ascii="Times New Roman" w:hAnsi="Times New Roman"/>
          <w:sz w:val="23"/>
          <w:szCs w:val="23"/>
          <w:lang w:val="tr-TR"/>
        </w:rPr>
        <w:t xml:space="preserve">Bu tablo karşısında, </w:t>
      </w:r>
      <w:r w:rsidR="00860637" w:rsidRPr="001A4B94">
        <w:rPr>
          <w:rFonts w:ascii="Times New Roman" w:hAnsi="Times New Roman"/>
          <w:sz w:val="23"/>
          <w:szCs w:val="23"/>
          <w:lang w:val="tr-TR"/>
        </w:rPr>
        <w:t>tahvil piyasalarından çıkışlar (yerleşik olmayanlar tarafından) dördüncü çeyrekte 3,2 milyar ABD$’na ulaşırken</w:t>
      </w:r>
      <w:r w:rsidR="00354645" w:rsidRPr="001A4B94">
        <w:rPr>
          <w:rFonts w:ascii="Times New Roman" w:hAnsi="Times New Roman"/>
          <w:sz w:val="23"/>
          <w:szCs w:val="23"/>
          <w:lang w:val="tr-TR"/>
        </w:rPr>
        <w:t xml:space="preserve">, </w:t>
      </w:r>
      <w:r w:rsidR="00860637" w:rsidRPr="001A4B94">
        <w:rPr>
          <w:rFonts w:ascii="Times New Roman" w:hAnsi="Times New Roman"/>
          <w:sz w:val="23"/>
          <w:szCs w:val="23"/>
          <w:lang w:val="tr-TR"/>
        </w:rPr>
        <w:t>sermaye piyasası da marjinal düzeyde girişlere şahit olmuştur</w:t>
      </w:r>
      <w:r w:rsidR="00354645" w:rsidRPr="001A4B94">
        <w:rPr>
          <w:rFonts w:ascii="Times New Roman" w:hAnsi="Times New Roman"/>
          <w:sz w:val="23"/>
          <w:szCs w:val="23"/>
          <w:lang w:val="tr-TR"/>
        </w:rPr>
        <w:t xml:space="preserve">. </w:t>
      </w:r>
      <w:r w:rsidR="00860637" w:rsidRPr="001A4B94">
        <w:rPr>
          <w:rFonts w:ascii="Times New Roman" w:hAnsi="Times New Roman"/>
          <w:sz w:val="23"/>
          <w:szCs w:val="23"/>
          <w:lang w:val="tr-TR"/>
        </w:rPr>
        <w:t>Bu çıkışlar gösterge niteliğindeki 2 yıllık devlet tahvillerinin getirisi</w:t>
      </w:r>
      <w:r w:rsidR="00B944EF" w:rsidRPr="001A4B94">
        <w:rPr>
          <w:rFonts w:ascii="Times New Roman" w:hAnsi="Times New Roman"/>
          <w:sz w:val="23"/>
          <w:szCs w:val="23"/>
          <w:lang w:val="tr-TR"/>
        </w:rPr>
        <w:t>ni</w:t>
      </w:r>
      <w:r w:rsidR="00860637" w:rsidRPr="001A4B94">
        <w:rPr>
          <w:rFonts w:ascii="Times New Roman" w:hAnsi="Times New Roman"/>
          <w:sz w:val="23"/>
          <w:szCs w:val="23"/>
          <w:lang w:val="tr-TR"/>
        </w:rPr>
        <w:t xml:space="preserve"> iki puandan fazla yükselterek yüzde 11,15’e çıkarmıştır; öte yandan lira üçüncü çeyrek sonu ile 2017 Ocak ayı sonu arasında yüzde 25’t</w:t>
      </w:r>
      <w:r w:rsidR="00B944EF" w:rsidRPr="001A4B94">
        <w:rPr>
          <w:rFonts w:ascii="Times New Roman" w:hAnsi="Times New Roman"/>
          <w:sz w:val="23"/>
          <w:szCs w:val="23"/>
          <w:lang w:val="tr-TR"/>
        </w:rPr>
        <w:t>e</w:t>
      </w:r>
      <w:r w:rsidR="00860637" w:rsidRPr="001A4B94">
        <w:rPr>
          <w:rFonts w:ascii="Times New Roman" w:hAnsi="Times New Roman"/>
          <w:sz w:val="23"/>
          <w:szCs w:val="23"/>
          <w:lang w:val="tr-TR"/>
        </w:rPr>
        <w:t>n fazla değer kaybetmiştir</w:t>
      </w:r>
      <w:r w:rsidR="00354645" w:rsidRPr="001A4B94">
        <w:rPr>
          <w:rFonts w:ascii="Times New Roman" w:hAnsi="Times New Roman"/>
          <w:sz w:val="23"/>
          <w:szCs w:val="23"/>
          <w:lang w:val="tr-TR"/>
        </w:rPr>
        <w:t xml:space="preserve">. </w:t>
      </w:r>
      <w:r w:rsidR="00860637" w:rsidRPr="001A4B94">
        <w:rPr>
          <w:rFonts w:ascii="Times New Roman" w:hAnsi="Times New Roman"/>
          <w:sz w:val="23"/>
          <w:szCs w:val="23"/>
          <w:lang w:val="tr-TR"/>
        </w:rPr>
        <w:t xml:space="preserve">Küresel risk iştahındaki iyileşmeler 2017 yılında gelişmekte olan ülkelere sermaye girişlerini tekrar tetiklemiştir ve Türkiye tahvil piyasasına girişler Ocak - Nisan döneminde </w:t>
      </w:r>
      <w:r w:rsidR="00354645" w:rsidRPr="001A4B94">
        <w:rPr>
          <w:rFonts w:ascii="Times New Roman" w:hAnsi="Times New Roman"/>
          <w:sz w:val="23"/>
          <w:szCs w:val="23"/>
          <w:lang w:val="tr-TR"/>
        </w:rPr>
        <w:t xml:space="preserve"> </w:t>
      </w:r>
      <w:r w:rsidR="00860637" w:rsidRPr="001A4B94">
        <w:rPr>
          <w:rFonts w:ascii="Times New Roman" w:hAnsi="Times New Roman"/>
          <w:sz w:val="23"/>
          <w:szCs w:val="23"/>
          <w:lang w:val="tr-TR"/>
        </w:rPr>
        <w:t>1,7 milyar $’a ulaşmıştır</w:t>
      </w:r>
      <w:r w:rsidR="00354645" w:rsidRPr="001A4B94">
        <w:rPr>
          <w:rFonts w:ascii="Times New Roman" w:hAnsi="Times New Roman"/>
          <w:sz w:val="23"/>
          <w:szCs w:val="23"/>
          <w:lang w:val="tr-TR"/>
        </w:rPr>
        <w:t>.</w:t>
      </w:r>
    </w:p>
    <w:p w14:paraId="08306E52" w14:textId="77777777" w:rsidR="00017C7C" w:rsidRPr="001A4B94" w:rsidRDefault="00017C7C" w:rsidP="00017C7C">
      <w:pPr>
        <w:pStyle w:val="ListeParagraf"/>
        <w:tabs>
          <w:tab w:val="left" w:pos="426"/>
        </w:tabs>
        <w:autoSpaceDE w:val="0"/>
        <w:autoSpaceDN w:val="0"/>
        <w:adjustRightInd w:val="0"/>
        <w:spacing w:after="0" w:line="240" w:lineRule="auto"/>
        <w:ind w:left="0"/>
        <w:jc w:val="both"/>
        <w:rPr>
          <w:rFonts w:ascii="Times New Roman" w:hAnsi="Times New Roman"/>
          <w:b/>
          <w:sz w:val="23"/>
          <w:szCs w:val="23"/>
          <w:lang w:val="tr-TR"/>
        </w:rPr>
      </w:pPr>
    </w:p>
    <w:p w14:paraId="384BFD6E" w14:textId="17453239" w:rsidR="00F5045B" w:rsidRPr="001A4B94" w:rsidRDefault="007F009A" w:rsidP="007E215F">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 xml:space="preserve">Son üç yıldaki para politikası kararları </w:t>
      </w:r>
      <w:r w:rsidR="003E5613" w:rsidRPr="001A4B94">
        <w:rPr>
          <w:rFonts w:ascii="Times New Roman" w:hAnsi="Times New Roman"/>
          <w:b/>
          <w:sz w:val="23"/>
          <w:szCs w:val="23"/>
          <w:lang w:val="tr-TR"/>
        </w:rPr>
        <w:t xml:space="preserve">enflasyon oranının Merkez Bankasının belirlediği yüzde 5’lik hedefi aşmasına yol açmıştır. </w:t>
      </w:r>
      <w:r w:rsidR="003E5613" w:rsidRPr="001A4B94">
        <w:rPr>
          <w:rFonts w:ascii="Times New Roman" w:hAnsi="Times New Roman"/>
          <w:sz w:val="23"/>
          <w:szCs w:val="23"/>
          <w:lang w:val="tr-TR"/>
        </w:rPr>
        <w:t>Gıda fiyatlarındaki sert artışlar, lirada devam eden değer kaybı ve uyumlaştırıcı para politikası</w:t>
      </w:r>
      <w:r w:rsidR="00B944EF" w:rsidRPr="001A4B94">
        <w:rPr>
          <w:rFonts w:ascii="Times New Roman" w:hAnsi="Times New Roman"/>
          <w:sz w:val="23"/>
          <w:szCs w:val="23"/>
          <w:lang w:val="tr-TR"/>
        </w:rPr>
        <w:t>,</w:t>
      </w:r>
      <w:r w:rsidR="003E5613" w:rsidRPr="001A4B94">
        <w:rPr>
          <w:rFonts w:ascii="Times New Roman" w:hAnsi="Times New Roman"/>
          <w:sz w:val="23"/>
          <w:szCs w:val="23"/>
          <w:lang w:val="tr-TR"/>
        </w:rPr>
        <w:t xml:space="preserve"> 2014 ve 2015 yıllarında enflasyonu hedefin oldukça yukarısında tutmuştur. 2016 yılında, enflasyon yüzde 8,5’e ulaşmış, otomobil ve tütün ürünleri için getirilen vergi artışları ile ulaştırma ve enerji fiyatlarındaki artışlar düşen gıda enflasyonunu dengelemiştir. </w:t>
      </w:r>
      <w:r w:rsidR="00F5045B" w:rsidRPr="001A4B94">
        <w:rPr>
          <w:rFonts w:ascii="Times New Roman" w:hAnsi="Times New Roman"/>
          <w:sz w:val="23"/>
          <w:szCs w:val="23"/>
          <w:lang w:val="tr-TR"/>
        </w:rPr>
        <w:t>Liradaki hızlı değer kaybı ile ilişkili döviz geçiş etkisi, yükselen küresel enerji fiyatları ve olumsuz hava koşulları fiyatları yükselterek Nisan 2017 itibariyle manşet enflasyonu yüzde 11,9’a</w:t>
      </w:r>
      <w:r w:rsidR="00B944EF" w:rsidRPr="001A4B94">
        <w:rPr>
          <w:rFonts w:ascii="Times New Roman" w:hAnsi="Times New Roman"/>
          <w:sz w:val="23"/>
          <w:szCs w:val="23"/>
          <w:lang w:val="tr-TR"/>
        </w:rPr>
        <w:t>,</w:t>
      </w:r>
      <w:r w:rsidR="00F5045B" w:rsidRPr="001A4B94">
        <w:rPr>
          <w:rFonts w:ascii="Times New Roman" w:hAnsi="Times New Roman"/>
          <w:sz w:val="23"/>
          <w:szCs w:val="23"/>
          <w:lang w:val="tr-TR"/>
        </w:rPr>
        <w:t xml:space="preserve"> çekirdek enflasyonu ise yüzde 9,4’e çıkar</w:t>
      </w:r>
      <w:r w:rsidR="00B944EF" w:rsidRPr="001A4B94">
        <w:rPr>
          <w:rFonts w:ascii="Times New Roman" w:hAnsi="Times New Roman"/>
          <w:sz w:val="23"/>
          <w:szCs w:val="23"/>
          <w:lang w:val="tr-TR"/>
        </w:rPr>
        <w:t>mıştır</w:t>
      </w:r>
      <w:r w:rsidR="00F5045B" w:rsidRPr="001A4B94">
        <w:rPr>
          <w:rFonts w:ascii="Times New Roman" w:hAnsi="Times New Roman"/>
          <w:sz w:val="23"/>
          <w:szCs w:val="23"/>
          <w:lang w:val="tr-TR"/>
        </w:rPr>
        <w:t>. Mayıs ayında manşet enflasyonu hafif bir düşüşle yüzde 11,7’e in</w:t>
      </w:r>
      <w:r w:rsidR="00B944EF" w:rsidRPr="001A4B94">
        <w:rPr>
          <w:rFonts w:ascii="Times New Roman" w:hAnsi="Times New Roman"/>
          <w:sz w:val="23"/>
          <w:szCs w:val="23"/>
          <w:lang w:val="tr-TR"/>
        </w:rPr>
        <w:t>miştir</w:t>
      </w:r>
      <w:r w:rsidR="00F5045B" w:rsidRPr="001A4B94">
        <w:rPr>
          <w:rFonts w:ascii="Times New Roman" w:hAnsi="Times New Roman"/>
          <w:sz w:val="23"/>
          <w:szCs w:val="23"/>
          <w:lang w:val="tr-TR"/>
        </w:rPr>
        <w:t>. Enflasyonun 2017 yılı boyunc</w:t>
      </w:r>
      <w:r w:rsidR="00E86A13" w:rsidRPr="001A4B94">
        <w:rPr>
          <w:rFonts w:ascii="Times New Roman" w:hAnsi="Times New Roman"/>
          <w:sz w:val="23"/>
          <w:szCs w:val="23"/>
          <w:lang w:val="tr-TR"/>
        </w:rPr>
        <w:t xml:space="preserve">a düşük iki haneli seviyelerde </w:t>
      </w:r>
      <w:r w:rsidR="00F5045B" w:rsidRPr="001A4B94">
        <w:rPr>
          <w:rFonts w:ascii="Times New Roman" w:hAnsi="Times New Roman"/>
          <w:sz w:val="23"/>
          <w:szCs w:val="23"/>
          <w:lang w:val="tr-TR"/>
        </w:rPr>
        <w:t xml:space="preserve">kalması beklenmektedir. </w:t>
      </w:r>
    </w:p>
    <w:p w14:paraId="530DC671" w14:textId="77777777" w:rsidR="007E215F" w:rsidRPr="001A4B94" w:rsidRDefault="007E215F" w:rsidP="00976DEA">
      <w:pPr>
        <w:pStyle w:val="ListeParagraf"/>
        <w:rPr>
          <w:rFonts w:ascii="Times New Roman" w:hAnsi="Times New Roman"/>
          <w:b/>
          <w:sz w:val="23"/>
          <w:szCs w:val="23"/>
          <w:lang w:val="tr-TR"/>
        </w:rPr>
      </w:pPr>
    </w:p>
    <w:p w14:paraId="3B95A1E2" w14:textId="7B0BB1C3" w:rsidR="00354645" w:rsidRPr="001A4B94" w:rsidRDefault="00F5045B" w:rsidP="00354645">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b/>
          <w:sz w:val="23"/>
          <w:szCs w:val="23"/>
          <w:lang w:val="tr-TR"/>
        </w:rPr>
      </w:pPr>
      <w:r w:rsidRPr="001A4B94">
        <w:rPr>
          <w:rFonts w:ascii="Times New Roman" w:hAnsi="Times New Roman"/>
          <w:b/>
          <w:sz w:val="23"/>
          <w:szCs w:val="23"/>
          <w:lang w:val="tr-TR"/>
        </w:rPr>
        <w:t xml:space="preserve">Liradaki hızlı değer kaybı </w:t>
      </w:r>
      <w:r w:rsidR="009D6CA9" w:rsidRPr="001A4B94">
        <w:rPr>
          <w:rFonts w:ascii="Times New Roman" w:hAnsi="Times New Roman"/>
          <w:b/>
          <w:sz w:val="23"/>
          <w:szCs w:val="23"/>
          <w:lang w:val="tr-TR"/>
        </w:rPr>
        <w:t xml:space="preserve">Merkez Bankasının 2016-17 dönemlerinde faiz oranlarını yükseltmeye itmiştir. </w:t>
      </w:r>
      <w:r w:rsidR="009D6CA9" w:rsidRPr="001A4B94">
        <w:rPr>
          <w:rFonts w:ascii="Times New Roman" w:hAnsi="Times New Roman"/>
          <w:sz w:val="23"/>
          <w:szCs w:val="23"/>
          <w:lang w:val="tr-TR"/>
        </w:rPr>
        <w:t xml:space="preserve">Merkez Bankası Mart 2016’da karmaşık ve sıra dışı para politikası çerçevesini sadeleştirmeye başlamış ve Eylül ayına kadar gecelik borç verme oranını 250 baz puan düşürerek faiz oranı koridorunu daraltmıştır; ancak nötr bir yaklaşım yerine genişlemeci bir yaklaşım takip etmiştir. Liranın 2016 yılının sonlarında hızlı bir </w:t>
      </w:r>
      <w:r w:rsidR="00B944EF" w:rsidRPr="001A4B94">
        <w:rPr>
          <w:rFonts w:ascii="Times New Roman" w:hAnsi="Times New Roman"/>
          <w:sz w:val="23"/>
          <w:szCs w:val="23"/>
          <w:lang w:val="tr-TR"/>
        </w:rPr>
        <w:t xml:space="preserve">şekilde </w:t>
      </w:r>
      <w:r w:rsidR="009D6CA9" w:rsidRPr="001A4B94">
        <w:rPr>
          <w:rFonts w:ascii="Times New Roman" w:hAnsi="Times New Roman"/>
          <w:sz w:val="23"/>
          <w:szCs w:val="23"/>
          <w:lang w:val="tr-TR"/>
        </w:rPr>
        <w:t xml:space="preserve">değer kaybetmesi üzerine Merkez Bankası bu süreci </w:t>
      </w:r>
      <w:r w:rsidR="009D6CA9" w:rsidRPr="001A4B94">
        <w:rPr>
          <w:rFonts w:ascii="Times New Roman" w:hAnsi="Times New Roman"/>
          <w:sz w:val="23"/>
          <w:szCs w:val="23"/>
          <w:lang w:val="tr-TR"/>
        </w:rPr>
        <w:lastRenderedPageBreak/>
        <w:t>tersine çevirmiş ve Kas</w:t>
      </w:r>
      <w:r w:rsidR="00E86A13" w:rsidRPr="001A4B94">
        <w:rPr>
          <w:rFonts w:ascii="Times New Roman" w:hAnsi="Times New Roman"/>
          <w:sz w:val="23"/>
          <w:szCs w:val="23"/>
          <w:lang w:val="tr-TR"/>
        </w:rPr>
        <w:t>ım ile Ocak ayları arasında haftalık repo</w:t>
      </w:r>
      <w:r w:rsidR="009D6CA9" w:rsidRPr="001A4B94">
        <w:rPr>
          <w:rFonts w:ascii="Times New Roman" w:hAnsi="Times New Roman"/>
          <w:sz w:val="23"/>
          <w:szCs w:val="23"/>
          <w:lang w:val="tr-TR"/>
        </w:rPr>
        <w:t xml:space="preserve"> ve gecelik borç verme oranlarını sırasıyla 50 baz puan ve 100 baz puan artırmış, aynı zamanda eski politika </w:t>
      </w:r>
      <w:r w:rsidR="006365D6" w:rsidRPr="001A4B94">
        <w:rPr>
          <w:rFonts w:ascii="Times New Roman" w:hAnsi="Times New Roman"/>
          <w:sz w:val="23"/>
          <w:szCs w:val="23"/>
          <w:lang w:val="tr-TR"/>
        </w:rPr>
        <w:t>çerçevesine</w:t>
      </w:r>
      <w:r w:rsidR="009D6CA9" w:rsidRPr="001A4B94">
        <w:rPr>
          <w:rFonts w:ascii="Times New Roman" w:hAnsi="Times New Roman"/>
          <w:sz w:val="23"/>
          <w:szCs w:val="23"/>
          <w:lang w:val="tr-TR"/>
        </w:rPr>
        <w:t xml:space="preserve"> dönüş yapmıştır. Ocak 2017’de </w:t>
      </w:r>
      <w:r w:rsidR="00E86A13" w:rsidRPr="001A4B94">
        <w:rPr>
          <w:rFonts w:ascii="Times New Roman" w:hAnsi="Times New Roman"/>
          <w:sz w:val="23"/>
          <w:szCs w:val="23"/>
          <w:lang w:val="tr-TR"/>
        </w:rPr>
        <w:t xml:space="preserve">lirayı desteklemek için, politika faiz oranında doğrudan bir artıştan kaçınılarak haftalık repo ihalelerini durdurmuş yüzde 9,25’lik bir gecelik borç verme oranı ve 11’lik bir geç likidite penceresi oranı üzerinden finansman sağlamıştır. </w:t>
      </w:r>
      <w:r w:rsidR="00D7267B" w:rsidRPr="001A4B94">
        <w:rPr>
          <w:rFonts w:ascii="Times New Roman" w:hAnsi="Times New Roman"/>
          <w:sz w:val="23"/>
          <w:szCs w:val="23"/>
          <w:lang w:val="tr-TR"/>
        </w:rPr>
        <w:t xml:space="preserve">Merkez Bankası enflasyondaki yukarı yönlü gidişatı göz önünde bulundurarak geç likidite penceresi oranını Mart ayında yüzde 11,75’e Nisan ayında da yüzde 12,25’e çıkarmıştır. Piyasa gözlemcileri güvenin yeniden tesis edilmesi, liradaki değer kaybının durdurulması ve fiyat istikrarı ile finansal istikrarın sağlanması için daha </w:t>
      </w:r>
      <w:r w:rsidR="0092766E" w:rsidRPr="001A4B94">
        <w:rPr>
          <w:rFonts w:ascii="Times New Roman" w:hAnsi="Times New Roman"/>
          <w:sz w:val="23"/>
          <w:szCs w:val="23"/>
          <w:lang w:val="tr-TR"/>
        </w:rPr>
        <w:t>olağan bir politika çe</w:t>
      </w:r>
      <w:r w:rsidR="006365D6" w:rsidRPr="001A4B94">
        <w:rPr>
          <w:rFonts w:ascii="Times New Roman" w:hAnsi="Times New Roman"/>
          <w:sz w:val="23"/>
          <w:szCs w:val="23"/>
          <w:lang w:val="tr-TR"/>
        </w:rPr>
        <w:t>rç</w:t>
      </w:r>
      <w:r w:rsidR="0092766E" w:rsidRPr="001A4B94">
        <w:rPr>
          <w:rFonts w:ascii="Times New Roman" w:hAnsi="Times New Roman"/>
          <w:sz w:val="23"/>
          <w:szCs w:val="23"/>
          <w:lang w:val="tr-TR"/>
        </w:rPr>
        <w:t>evesi beklemeye devam etmektedirler</w:t>
      </w:r>
      <w:r w:rsidR="00354645" w:rsidRPr="001A4B94">
        <w:rPr>
          <w:rFonts w:ascii="Times New Roman" w:hAnsi="Times New Roman"/>
          <w:sz w:val="23"/>
          <w:szCs w:val="23"/>
          <w:lang w:val="tr-TR"/>
        </w:rPr>
        <w:t xml:space="preserve">. </w:t>
      </w:r>
    </w:p>
    <w:p w14:paraId="28653E9E" w14:textId="77777777" w:rsidR="007E215F" w:rsidRPr="001A4B94" w:rsidRDefault="007E215F" w:rsidP="007E215F">
      <w:pPr>
        <w:pStyle w:val="ListeParagraf"/>
        <w:tabs>
          <w:tab w:val="left" w:pos="426"/>
        </w:tabs>
        <w:autoSpaceDE w:val="0"/>
        <w:autoSpaceDN w:val="0"/>
        <w:adjustRightInd w:val="0"/>
        <w:spacing w:after="0" w:line="240" w:lineRule="auto"/>
        <w:ind w:left="0"/>
        <w:jc w:val="both"/>
        <w:rPr>
          <w:rFonts w:ascii="Times New Roman" w:hAnsi="Times New Roman"/>
          <w:b/>
          <w:sz w:val="23"/>
          <w:szCs w:val="23"/>
          <w:lang w:val="tr-TR"/>
        </w:rPr>
      </w:pPr>
    </w:p>
    <w:p w14:paraId="7EEA5D64" w14:textId="5DEB66B0" w:rsidR="0026491E" w:rsidRPr="001A4B94" w:rsidRDefault="0092766E" w:rsidP="004A631C">
      <w:pPr>
        <w:pStyle w:val="ListeParagraf"/>
        <w:numPr>
          <w:ilvl w:val="0"/>
          <w:numId w:val="2"/>
        </w:numPr>
        <w:tabs>
          <w:tab w:val="left" w:pos="426"/>
        </w:tabs>
        <w:autoSpaceDE w:val="0"/>
        <w:autoSpaceDN w:val="0"/>
        <w:adjustRightInd w:val="0"/>
        <w:spacing w:after="0" w:line="240" w:lineRule="auto"/>
        <w:ind w:left="0" w:firstLine="0"/>
        <w:jc w:val="both"/>
        <w:rPr>
          <w:sz w:val="23"/>
          <w:szCs w:val="23"/>
          <w:lang w:val="tr-TR"/>
        </w:rPr>
      </w:pPr>
      <w:r w:rsidRPr="001A4B94">
        <w:rPr>
          <w:rFonts w:ascii="Times New Roman" w:hAnsi="Times New Roman"/>
          <w:b/>
          <w:sz w:val="23"/>
          <w:szCs w:val="23"/>
          <w:lang w:val="tr-TR"/>
        </w:rPr>
        <w:t xml:space="preserve">Mali politika 2016 ve 2017 yıllarında büyüme için önemli bir uyarıcı etki sağlamıştır.  </w:t>
      </w:r>
      <w:r w:rsidRPr="001A4B94">
        <w:rPr>
          <w:rFonts w:ascii="Times New Roman" w:hAnsi="Times New Roman"/>
          <w:sz w:val="23"/>
          <w:szCs w:val="23"/>
          <w:lang w:val="tr-TR"/>
        </w:rPr>
        <w:t xml:space="preserve">Hükümet </w:t>
      </w:r>
      <w:r w:rsidR="00DD369C" w:rsidRPr="001A4B94">
        <w:rPr>
          <w:rFonts w:ascii="Times New Roman" w:hAnsi="Times New Roman"/>
          <w:sz w:val="23"/>
          <w:szCs w:val="23"/>
          <w:lang w:val="tr-TR"/>
        </w:rPr>
        <w:t>2012-2015</w:t>
      </w:r>
      <w:r w:rsidRPr="001A4B94">
        <w:rPr>
          <w:rFonts w:ascii="Times New Roman" w:hAnsi="Times New Roman"/>
          <w:sz w:val="23"/>
          <w:szCs w:val="23"/>
          <w:lang w:val="tr-TR"/>
        </w:rPr>
        <w:t xml:space="preserve"> döneminde mali disiplini korumuştur.</w:t>
      </w:r>
      <w:r w:rsidR="00347FFE" w:rsidRPr="001A4B94">
        <w:rPr>
          <w:rFonts w:ascii="Times New Roman" w:hAnsi="Times New Roman"/>
          <w:sz w:val="23"/>
          <w:szCs w:val="23"/>
          <w:lang w:val="tr-TR"/>
        </w:rPr>
        <w:t xml:space="preserve"> Söz konusu dönemde merkezi </w:t>
      </w:r>
      <w:r w:rsidRPr="001A4B94">
        <w:rPr>
          <w:rFonts w:ascii="Times New Roman" w:hAnsi="Times New Roman"/>
          <w:sz w:val="23"/>
          <w:szCs w:val="23"/>
          <w:lang w:val="tr-TR"/>
        </w:rPr>
        <w:t>yönetim bütçe açığı</w:t>
      </w:r>
      <w:r w:rsidR="00347FFE" w:rsidRPr="001A4B94">
        <w:rPr>
          <w:rFonts w:ascii="Times New Roman" w:hAnsi="Times New Roman"/>
          <w:sz w:val="23"/>
          <w:szCs w:val="23"/>
          <w:lang w:val="tr-TR"/>
        </w:rPr>
        <w:t xml:space="preserve"> ortalama olarak GSYH’nin yüzde 1,</w:t>
      </w:r>
      <w:r w:rsidR="0026491E" w:rsidRPr="001A4B94">
        <w:rPr>
          <w:rFonts w:ascii="Times New Roman" w:hAnsi="Times New Roman"/>
          <w:sz w:val="23"/>
          <w:szCs w:val="23"/>
          <w:lang w:val="tr-TR"/>
        </w:rPr>
        <w:t>0</w:t>
      </w:r>
      <w:r w:rsidR="009F7AB7" w:rsidRPr="001A4B94">
        <w:rPr>
          <w:rFonts w:ascii="Times New Roman" w:hAnsi="Times New Roman"/>
          <w:sz w:val="23"/>
          <w:szCs w:val="23"/>
          <w:lang w:val="tr-TR"/>
        </w:rPr>
        <w:t>’ı,</w:t>
      </w:r>
      <w:r w:rsidR="00347FFE" w:rsidRPr="001A4B94">
        <w:rPr>
          <w:rFonts w:ascii="Times New Roman" w:hAnsi="Times New Roman"/>
          <w:sz w:val="23"/>
          <w:szCs w:val="23"/>
          <w:lang w:val="tr-TR"/>
        </w:rPr>
        <w:t xml:space="preserve"> faiz dışı fazla ise ortalama yüzde 1,5</w:t>
      </w:r>
      <w:r w:rsidR="009F7AB7" w:rsidRPr="001A4B94">
        <w:rPr>
          <w:rFonts w:ascii="Times New Roman" w:hAnsi="Times New Roman"/>
          <w:sz w:val="23"/>
          <w:szCs w:val="23"/>
          <w:lang w:val="tr-TR"/>
        </w:rPr>
        <w:t>’i</w:t>
      </w:r>
      <w:r w:rsidR="00347FFE" w:rsidRPr="001A4B94">
        <w:rPr>
          <w:rFonts w:ascii="Times New Roman" w:hAnsi="Times New Roman"/>
          <w:sz w:val="23"/>
          <w:szCs w:val="23"/>
          <w:lang w:val="tr-TR"/>
        </w:rPr>
        <w:t xml:space="preserve"> olarak gerçekleşmiştir. Öte yandan ücretlerdeki, transferlerdeki ve mal ve hizmet alımlarındaki artışlar sebebiyle merkezi yönetim giderleri 2016 yılında yüzde 15,4 artmıştır. </w:t>
      </w:r>
      <w:r w:rsidR="0026491E" w:rsidRPr="001A4B94">
        <w:rPr>
          <w:rFonts w:ascii="Times New Roman" w:hAnsi="Times New Roman"/>
          <w:sz w:val="23"/>
          <w:szCs w:val="23"/>
          <w:lang w:val="tr-TR"/>
        </w:rPr>
        <w:t xml:space="preserve"> </w:t>
      </w:r>
      <w:r w:rsidR="00347FFE" w:rsidRPr="001A4B94">
        <w:rPr>
          <w:rFonts w:ascii="Times New Roman" w:hAnsi="Times New Roman"/>
          <w:sz w:val="23"/>
          <w:szCs w:val="23"/>
          <w:lang w:val="tr-TR"/>
        </w:rPr>
        <w:t>Sermaye giderleri i</w:t>
      </w:r>
      <w:r w:rsidR="009F7AB7" w:rsidRPr="001A4B94">
        <w:rPr>
          <w:rFonts w:ascii="Times New Roman" w:hAnsi="Times New Roman"/>
          <w:sz w:val="23"/>
          <w:szCs w:val="23"/>
          <w:lang w:val="tr-TR"/>
        </w:rPr>
        <w:t>l</w:t>
      </w:r>
      <w:r w:rsidR="00347FFE" w:rsidRPr="001A4B94">
        <w:rPr>
          <w:rFonts w:ascii="Times New Roman" w:hAnsi="Times New Roman"/>
          <w:sz w:val="23"/>
          <w:szCs w:val="23"/>
          <w:lang w:val="tr-TR"/>
        </w:rPr>
        <w:t>e fai</w:t>
      </w:r>
      <w:r w:rsidR="009F7AB7" w:rsidRPr="001A4B94">
        <w:rPr>
          <w:rFonts w:ascii="Times New Roman" w:hAnsi="Times New Roman"/>
          <w:sz w:val="23"/>
          <w:szCs w:val="23"/>
          <w:lang w:val="tr-TR"/>
        </w:rPr>
        <w:t>z</w:t>
      </w:r>
      <w:r w:rsidR="00347FFE" w:rsidRPr="001A4B94">
        <w:rPr>
          <w:rFonts w:ascii="Times New Roman" w:hAnsi="Times New Roman"/>
          <w:sz w:val="23"/>
          <w:szCs w:val="23"/>
          <w:lang w:val="tr-TR"/>
        </w:rPr>
        <w:t xml:space="preserve"> giderlerinin GSYH içindeki payının düşmesi toplam giderlerdeki artışın kontrol altına alınmasına yardımcı olmuştur. Azalan ekonomik faaliyete rağmen vergi yeniden yapılandırmaları ve afları sonucunda gelirler yüzde 14,8 artmıştır. </w:t>
      </w:r>
      <w:r w:rsidR="009A50B9" w:rsidRPr="001A4B94">
        <w:rPr>
          <w:rFonts w:ascii="Times New Roman" w:hAnsi="Times New Roman"/>
          <w:sz w:val="23"/>
          <w:szCs w:val="23"/>
          <w:lang w:val="tr-TR"/>
        </w:rPr>
        <w:t>Sonuç olarak merkezi yönetim bütçesi mali hedefler dahilind</w:t>
      </w:r>
      <w:r w:rsidR="009F7AB7" w:rsidRPr="001A4B94">
        <w:rPr>
          <w:rFonts w:ascii="Times New Roman" w:hAnsi="Times New Roman"/>
          <w:sz w:val="23"/>
          <w:szCs w:val="23"/>
          <w:lang w:val="tr-TR"/>
        </w:rPr>
        <w:t>e</w:t>
      </w:r>
      <w:r w:rsidR="009A50B9" w:rsidRPr="001A4B94">
        <w:rPr>
          <w:rFonts w:ascii="Times New Roman" w:hAnsi="Times New Roman"/>
          <w:sz w:val="23"/>
          <w:szCs w:val="23"/>
          <w:lang w:val="tr-TR"/>
        </w:rPr>
        <w:t xml:space="preserve"> 2016 yılında GSYH’nin yüzde 1,1</w:t>
      </w:r>
      <w:r w:rsidR="009F7AB7" w:rsidRPr="001A4B94">
        <w:rPr>
          <w:rFonts w:ascii="Times New Roman" w:hAnsi="Times New Roman"/>
          <w:sz w:val="23"/>
          <w:szCs w:val="23"/>
          <w:lang w:val="tr-TR"/>
        </w:rPr>
        <w:t>’i</w:t>
      </w:r>
      <w:r w:rsidR="009A50B9" w:rsidRPr="001A4B94">
        <w:rPr>
          <w:rFonts w:ascii="Times New Roman" w:hAnsi="Times New Roman"/>
          <w:sz w:val="23"/>
          <w:szCs w:val="23"/>
          <w:lang w:val="tr-TR"/>
        </w:rPr>
        <w:t xml:space="preserve"> gibi düşük bir oranda açık kaydetmiştir. Genişlemeci mali politikanın 2017 yılında bü</w:t>
      </w:r>
      <w:r w:rsidR="009F7AB7" w:rsidRPr="001A4B94">
        <w:rPr>
          <w:rFonts w:ascii="Times New Roman" w:hAnsi="Times New Roman"/>
          <w:sz w:val="23"/>
          <w:szCs w:val="23"/>
          <w:lang w:val="tr-TR"/>
        </w:rPr>
        <w:t>t</w:t>
      </w:r>
      <w:r w:rsidR="009A50B9" w:rsidRPr="001A4B94">
        <w:rPr>
          <w:rFonts w:ascii="Times New Roman" w:hAnsi="Times New Roman"/>
          <w:sz w:val="23"/>
          <w:szCs w:val="23"/>
          <w:lang w:val="tr-TR"/>
        </w:rPr>
        <w:t xml:space="preserve">çe dengelerinin mali hedefleri aşmasına yol açması, öte yandan büyüyen KÖİ portföyünün daha yakından izleme gerektirmesi beklenmektedir. </w:t>
      </w:r>
    </w:p>
    <w:p w14:paraId="540CBE17" w14:textId="77777777" w:rsidR="009A50B9" w:rsidRPr="001A4B94" w:rsidRDefault="009A50B9" w:rsidP="009A50B9">
      <w:pPr>
        <w:pStyle w:val="ListeParagraf"/>
        <w:tabs>
          <w:tab w:val="left" w:pos="426"/>
        </w:tabs>
        <w:autoSpaceDE w:val="0"/>
        <w:autoSpaceDN w:val="0"/>
        <w:adjustRightInd w:val="0"/>
        <w:spacing w:after="0" w:line="240" w:lineRule="auto"/>
        <w:ind w:left="0"/>
        <w:jc w:val="both"/>
        <w:rPr>
          <w:sz w:val="23"/>
          <w:szCs w:val="23"/>
          <w:lang w:val="tr-TR"/>
        </w:rPr>
      </w:pPr>
    </w:p>
    <w:p w14:paraId="24BB86DB" w14:textId="4A802699" w:rsidR="00354645" w:rsidRPr="001A4B94" w:rsidRDefault="009A50B9" w:rsidP="009A50B9">
      <w:pPr>
        <w:pStyle w:val="ListeParagraf"/>
        <w:numPr>
          <w:ilvl w:val="0"/>
          <w:numId w:val="2"/>
        </w:numPr>
        <w:tabs>
          <w:tab w:val="left" w:pos="426"/>
        </w:tabs>
        <w:autoSpaceDE w:val="0"/>
        <w:autoSpaceDN w:val="0"/>
        <w:adjustRightInd w:val="0"/>
        <w:spacing w:after="0" w:line="240" w:lineRule="auto"/>
        <w:ind w:left="0" w:firstLine="0"/>
        <w:jc w:val="both"/>
        <w:rPr>
          <w:sz w:val="23"/>
          <w:szCs w:val="23"/>
          <w:lang w:val="tr-TR"/>
        </w:rPr>
      </w:pPr>
      <w:r w:rsidRPr="001A4B94">
        <w:rPr>
          <w:rFonts w:ascii="Times New Roman" w:hAnsi="Times New Roman"/>
          <w:b/>
          <w:sz w:val="23"/>
          <w:szCs w:val="23"/>
          <w:lang w:val="tr-TR"/>
        </w:rPr>
        <w:t xml:space="preserve">GSYH artışının 2017 yılında yüzde 4’e ulaşacağı ve orta vadede de </w:t>
      </w:r>
      <w:r w:rsidR="00F05AFE" w:rsidRPr="001A4B94">
        <w:rPr>
          <w:rFonts w:ascii="Times New Roman" w:hAnsi="Times New Roman"/>
          <w:b/>
          <w:sz w:val="23"/>
          <w:szCs w:val="23"/>
          <w:lang w:val="tr-TR"/>
        </w:rPr>
        <w:t>yüzde 4 c</w:t>
      </w:r>
      <w:r w:rsidR="006365D6" w:rsidRPr="001A4B94">
        <w:rPr>
          <w:rFonts w:ascii="Times New Roman" w:hAnsi="Times New Roman"/>
          <w:b/>
          <w:sz w:val="23"/>
          <w:szCs w:val="23"/>
          <w:lang w:val="tr-TR"/>
        </w:rPr>
        <w:t>i</w:t>
      </w:r>
      <w:r w:rsidR="00F05AFE" w:rsidRPr="001A4B94">
        <w:rPr>
          <w:rFonts w:ascii="Times New Roman" w:hAnsi="Times New Roman"/>
          <w:b/>
          <w:sz w:val="23"/>
          <w:szCs w:val="23"/>
          <w:lang w:val="tr-TR"/>
        </w:rPr>
        <w:t xml:space="preserve">varında kalacağı öngörülmektedir. </w:t>
      </w:r>
      <w:r w:rsidR="00F05AFE" w:rsidRPr="001A4B94">
        <w:rPr>
          <w:rFonts w:ascii="Times New Roman" w:hAnsi="Times New Roman"/>
          <w:sz w:val="23"/>
          <w:szCs w:val="23"/>
          <w:lang w:val="tr-TR"/>
        </w:rPr>
        <w:t>2017 yılında tüket</w:t>
      </w:r>
      <w:r w:rsidR="006365D6" w:rsidRPr="001A4B94">
        <w:rPr>
          <w:rFonts w:ascii="Times New Roman" w:hAnsi="Times New Roman"/>
          <w:sz w:val="23"/>
          <w:szCs w:val="23"/>
          <w:lang w:val="tr-TR"/>
        </w:rPr>
        <w:t>i</w:t>
      </w:r>
      <w:r w:rsidR="00F05AFE" w:rsidRPr="001A4B94">
        <w:rPr>
          <w:rFonts w:ascii="Times New Roman" w:hAnsi="Times New Roman"/>
          <w:sz w:val="23"/>
          <w:szCs w:val="23"/>
          <w:lang w:val="tr-TR"/>
        </w:rPr>
        <w:t xml:space="preserve">min (mali önlemlerin etkisiyle) ve net ihracatın büyümeyi sürüklemesi beklenmektedir. Mali teşvik önlemlerinin geçici olacağı varsayıldığından dolayı GSYH artışının 2018 yılında yavaşlayarak yüzde 3,5 olarak gerçekleşmesi, 2019 ve 2020 yıllarında ise ekonomik ve siyasi belirsizliklerin azalması ile birlikte tekrar yüzde 4 seviyesine çıkması beklenmektedir. </w:t>
      </w:r>
    </w:p>
    <w:p w14:paraId="3F80FC08" w14:textId="77777777" w:rsidR="00017C7C" w:rsidRPr="001A4B94" w:rsidRDefault="00017C7C" w:rsidP="00976DEA">
      <w:pPr>
        <w:pStyle w:val="ListeParagraf"/>
        <w:rPr>
          <w:rFonts w:ascii="Times New Roman" w:hAnsi="Times New Roman"/>
          <w:b/>
          <w:sz w:val="23"/>
          <w:szCs w:val="23"/>
          <w:lang w:val="tr-TR"/>
        </w:rPr>
      </w:pPr>
    </w:p>
    <w:p w14:paraId="3FD2ABB1" w14:textId="0D8E16A8" w:rsidR="00A953A7" w:rsidRPr="001A4B94" w:rsidRDefault="00354645" w:rsidP="00702524">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b/>
          <w:i/>
          <w:sz w:val="23"/>
          <w:szCs w:val="23"/>
          <w:lang w:val="tr-TR"/>
        </w:rPr>
      </w:pPr>
      <w:r w:rsidRPr="001A4B94">
        <w:rPr>
          <w:rFonts w:ascii="Times New Roman" w:hAnsi="Times New Roman"/>
          <w:b/>
          <w:sz w:val="23"/>
          <w:szCs w:val="23"/>
          <w:lang w:val="tr-TR"/>
        </w:rPr>
        <w:t>T</w:t>
      </w:r>
      <w:r w:rsidR="00F05AFE" w:rsidRPr="001A4B94">
        <w:rPr>
          <w:rFonts w:ascii="Times New Roman" w:hAnsi="Times New Roman"/>
          <w:b/>
          <w:sz w:val="23"/>
          <w:szCs w:val="23"/>
          <w:lang w:val="tr-TR"/>
        </w:rPr>
        <w:t xml:space="preserve">ürkiye’nin büyüme modeli orta vadede büyümeyi baskı altında tutması muhtemel zorluklarla karşı karşıyadır. </w:t>
      </w:r>
      <w:r w:rsidR="004A631C" w:rsidRPr="001A4B94">
        <w:rPr>
          <w:rFonts w:ascii="Times New Roman" w:hAnsi="Times New Roman"/>
          <w:b/>
          <w:sz w:val="23"/>
          <w:szCs w:val="23"/>
          <w:lang w:val="tr-TR"/>
        </w:rPr>
        <w:t xml:space="preserve"> </w:t>
      </w:r>
      <w:r w:rsidR="004A631C" w:rsidRPr="001A4B94">
        <w:rPr>
          <w:rFonts w:ascii="Times New Roman" w:hAnsi="Times New Roman"/>
          <w:sz w:val="23"/>
          <w:szCs w:val="23"/>
          <w:lang w:val="tr-TR"/>
        </w:rPr>
        <w:t xml:space="preserve">Orta vadede küresel likiditede beklenen sıkılaşma göz önünde bulundurulduğunda Türkiye’nin yüksek seviyelerdeki dış finansman gereksinimleri büyüme için aşağı yönlü riskler doğurmaktadır. 2016 yılında yüzde 3,8 olarak gerçekleşen cari </w:t>
      </w:r>
      <w:r w:rsidR="006365D6" w:rsidRPr="001A4B94">
        <w:rPr>
          <w:rFonts w:ascii="Times New Roman" w:hAnsi="Times New Roman"/>
          <w:sz w:val="23"/>
          <w:szCs w:val="23"/>
          <w:lang w:val="tr-TR"/>
        </w:rPr>
        <w:t>açığın</w:t>
      </w:r>
      <w:r w:rsidR="004A631C" w:rsidRPr="001A4B94">
        <w:rPr>
          <w:rFonts w:ascii="Times New Roman" w:hAnsi="Times New Roman"/>
          <w:sz w:val="23"/>
          <w:szCs w:val="23"/>
          <w:lang w:val="tr-TR"/>
        </w:rPr>
        <w:t xml:space="preserve"> 2017 yılında GSYH’nin yüzde 4,7</w:t>
      </w:r>
      <w:r w:rsidR="00EC4D05" w:rsidRPr="001A4B94">
        <w:rPr>
          <w:rFonts w:ascii="Times New Roman" w:hAnsi="Times New Roman"/>
          <w:sz w:val="23"/>
          <w:szCs w:val="23"/>
          <w:lang w:val="tr-TR"/>
        </w:rPr>
        <w:t>’si</w:t>
      </w:r>
      <w:r w:rsidR="004A631C" w:rsidRPr="001A4B94">
        <w:rPr>
          <w:rFonts w:ascii="Times New Roman" w:hAnsi="Times New Roman"/>
          <w:sz w:val="23"/>
          <w:szCs w:val="23"/>
          <w:lang w:val="tr-TR"/>
        </w:rPr>
        <w:t xml:space="preserve"> seviyesini çıkması, 2018 yılının başı itibariyle dış borcun GSYH’nin neredeyse yüzde 20,3’ü seviyesine ulaşması beklenmektedir. Türkiye’nin yatırım notu üç büyük derecelendirme kuruluşu tarafından düşürülmüştür; bu durumun finansman maliyetlerini etk</w:t>
      </w:r>
      <w:r w:rsidR="006365D6" w:rsidRPr="001A4B94">
        <w:rPr>
          <w:rFonts w:ascii="Times New Roman" w:hAnsi="Times New Roman"/>
          <w:sz w:val="23"/>
          <w:szCs w:val="23"/>
          <w:lang w:val="tr-TR"/>
        </w:rPr>
        <w:t>i</w:t>
      </w:r>
      <w:r w:rsidR="004A631C" w:rsidRPr="001A4B94">
        <w:rPr>
          <w:rFonts w:ascii="Times New Roman" w:hAnsi="Times New Roman"/>
          <w:sz w:val="23"/>
          <w:szCs w:val="23"/>
          <w:lang w:val="tr-TR"/>
        </w:rPr>
        <w:t>l</w:t>
      </w:r>
      <w:r w:rsidR="006365D6" w:rsidRPr="001A4B94">
        <w:rPr>
          <w:rFonts w:ascii="Times New Roman" w:hAnsi="Times New Roman"/>
          <w:sz w:val="23"/>
          <w:szCs w:val="23"/>
          <w:lang w:val="tr-TR"/>
        </w:rPr>
        <w:t>e</w:t>
      </w:r>
      <w:r w:rsidR="004A631C" w:rsidRPr="001A4B94">
        <w:rPr>
          <w:rFonts w:ascii="Times New Roman" w:hAnsi="Times New Roman"/>
          <w:sz w:val="23"/>
          <w:szCs w:val="23"/>
          <w:lang w:val="tr-TR"/>
        </w:rPr>
        <w:t>mesi, yatırımcı ve tüketici algılarını kötüleşt</w:t>
      </w:r>
      <w:r w:rsidR="006365D6" w:rsidRPr="001A4B94">
        <w:rPr>
          <w:rFonts w:ascii="Times New Roman" w:hAnsi="Times New Roman"/>
          <w:sz w:val="23"/>
          <w:szCs w:val="23"/>
          <w:lang w:val="tr-TR"/>
        </w:rPr>
        <w:t>i</w:t>
      </w:r>
      <w:r w:rsidR="004A631C" w:rsidRPr="001A4B94">
        <w:rPr>
          <w:rFonts w:ascii="Times New Roman" w:hAnsi="Times New Roman"/>
          <w:sz w:val="23"/>
          <w:szCs w:val="23"/>
          <w:lang w:val="tr-TR"/>
        </w:rPr>
        <w:t xml:space="preserve">rmesi dolayısıyla yatırımları ve tüketimi azaltması beklenmektedir. </w:t>
      </w:r>
      <w:r w:rsidR="00DD136F" w:rsidRPr="001A4B94">
        <w:rPr>
          <w:rFonts w:ascii="Times New Roman" w:hAnsi="Times New Roman"/>
          <w:sz w:val="23"/>
          <w:szCs w:val="23"/>
          <w:lang w:val="tr-TR"/>
        </w:rPr>
        <w:t>Küresel likiditenin sıkılaşacağı olumsuz bir senaryoda lirada yaşanacak yeni bir değer kaybı dalgası şirketlerin bilançolarını daha büyük baskı altına alacak, özel yatırımları durgu</w:t>
      </w:r>
      <w:r w:rsidR="006365D6" w:rsidRPr="001A4B94">
        <w:rPr>
          <w:rFonts w:ascii="Times New Roman" w:hAnsi="Times New Roman"/>
          <w:sz w:val="23"/>
          <w:szCs w:val="23"/>
          <w:lang w:val="tr-TR"/>
        </w:rPr>
        <w:t>n</w:t>
      </w:r>
      <w:r w:rsidR="00DD136F" w:rsidRPr="001A4B94">
        <w:rPr>
          <w:rFonts w:ascii="Times New Roman" w:hAnsi="Times New Roman"/>
          <w:sz w:val="23"/>
          <w:szCs w:val="23"/>
          <w:lang w:val="tr-TR"/>
        </w:rPr>
        <w:t>laştırarak GSYH artışını düşürecektir. Bankaların net açık döviz pozi</w:t>
      </w:r>
      <w:r w:rsidR="006365D6" w:rsidRPr="001A4B94">
        <w:rPr>
          <w:rFonts w:ascii="Times New Roman" w:hAnsi="Times New Roman"/>
          <w:sz w:val="23"/>
          <w:szCs w:val="23"/>
          <w:lang w:val="tr-TR"/>
        </w:rPr>
        <w:t>s</w:t>
      </w:r>
      <w:r w:rsidR="00DD136F" w:rsidRPr="001A4B94">
        <w:rPr>
          <w:rFonts w:ascii="Times New Roman" w:hAnsi="Times New Roman"/>
          <w:sz w:val="23"/>
          <w:szCs w:val="23"/>
          <w:lang w:val="tr-TR"/>
        </w:rPr>
        <w:t>yonu tutmalarına izin verilmemesine rağmen şirketler kesimindeki temerrütler</w:t>
      </w:r>
      <w:r w:rsidR="00EC4D05" w:rsidRPr="001A4B94">
        <w:rPr>
          <w:rFonts w:ascii="Times New Roman" w:hAnsi="Times New Roman"/>
          <w:sz w:val="23"/>
          <w:szCs w:val="23"/>
          <w:lang w:val="tr-TR"/>
        </w:rPr>
        <w:t xml:space="preserve"> </w:t>
      </w:r>
      <w:r w:rsidR="00DD136F" w:rsidRPr="001A4B94">
        <w:rPr>
          <w:rFonts w:ascii="Times New Roman" w:hAnsi="Times New Roman"/>
          <w:sz w:val="23"/>
          <w:szCs w:val="23"/>
          <w:lang w:val="tr-TR"/>
        </w:rPr>
        <w:t xml:space="preserve">de kredi riski kanalları yoluyla bankacılık sektörü üzerinde olumsuz bir etki yaratabilirler. </w:t>
      </w:r>
      <w:r w:rsidR="00F65FF6" w:rsidRPr="001A4B94">
        <w:rPr>
          <w:rFonts w:ascii="Times New Roman" w:hAnsi="Times New Roman"/>
          <w:sz w:val="23"/>
          <w:szCs w:val="23"/>
          <w:lang w:val="tr-TR"/>
        </w:rPr>
        <w:t>Yukarı yönlü bir eğilim izlemelerine rağmen takibe düşen krediler şu anda yüzde 3,2 ile düşük bir orandadır ve iyi bir şekilde karşılıklandırılmışlardır; bu durum kredi kalitesindeki ilave bir kötüleşme halinde rahatlık sağlayacaktır. Bu bağlamda</w:t>
      </w:r>
      <w:r w:rsidR="009D07EF" w:rsidRPr="001A4B94">
        <w:rPr>
          <w:rFonts w:ascii="Times New Roman" w:hAnsi="Times New Roman"/>
          <w:sz w:val="23"/>
          <w:szCs w:val="23"/>
          <w:lang w:val="tr-TR"/>
        </w:rPr>
        <w:t>,</w:t>
      </w:r>
      <w:r w:rsidR="00F65FF6" w:rsidRPr="001A4B94">
        <w:rPr>
          <w:rFonts w:ascii="Times New Roman" w:hAnsi="Times New Roman"/>
          <w:sz w:val="23"/>
          <w:szCs w:val="23"/>
          <w:lang w:val="tr-TR"/>
        </w:rPr>
        <w:t xml:space="preserve"> bankalar, mevduat tabanı yavaş bir şekilde büyüdüğünden</w:t>
      </w:r>
      <w:r w:rsidR="00A435A7" w:rsidRPr="001A4B94">
        <w:rPr>
          <w:rFonts w:ascii="Times New Roman" w:hAnsi="Times New Roman"/>
          <w:sz w:val="23"/>
          <w:szCs w:val="23"/>
          <w:lang w:val="tr-TR"/>
        </w:rPr>
        <w:t>,</w:t>
      </w:r>
      <w:r w:rsidR="00F65FF6" w:rsidRPr="001A4B94">
        <w:rPr>
          <w:rFonts w:ascii="Times New Roman" w:hAnsi="Times New Roman"/>
          <w:sz w:val="23"/>
          <w:szCs w:val="23"/>
          <w:lang w:val="tr-TR"/>
        </w:rPr>
        <w:t xml:space="preserve"> küresel likidite ile ilgili belirsizlikler dış borçlanmayı kısıtladığından ve düşük karlılık beklentileri bankaların sermaye yeterliliklerindeki bir erozy</w:t>
      </w:r>
      <w:r w:rsidR="006365D6" w:rsidRPr="001A4B94">
        <w:rPr>
          <w:rFonts w:ascii="Times New Roman" w:hAnsi="Times New Roman"/>
          <w:sz w:val="23"/>
          <w:szCs w:val="23"/>
          <w:lang w:val="tr-TR"/>
        </w:rPr>
        <w:t>o</w:t>
      </w:r>
      <w:r w:rsidR="00F65FF6" w:rsidRPr="001A4B94">
        <w:rPr>
          <w:rFonts w:ascii="Times New Roman" w:hAnsi="Times New Roman"/>
          <w:sz w:val="23"/>
          <w:szCs w:val="23"/>
          <w:lang w:val="tr-TR"/>
        </w:rPr>
        <w:t xml:space="preserve">nu önlemek için ilave sermaye enjeksiyonu gerektirebileceğinden dolayı </w:t>
      </w:r>
      <w:r w:rsidR="009D07EF" w:rsidRPr="001A4B94">
        <w:rPr>
          <w:rFonts w:ascii="Times New Roman" w:hAnsi="Times New Roman"/>
          <w:sz w:val="23"/>
          <w:szCs w:val="23"/>
          <w:lang w:val="tr-TR"/>
        </w:rPr>
        <w:t xml:space="preserve">daha fazla kredi artışını desteklemek için sınırlı kaynaklara sahiptir. </w:t>
      </w:r>
      <w:r w:rsidR="004A631C" w:rsidRPr="001A4B94">
        <w:rPr>
          <w:rFonts w:ascii="Times New Roman" w:hAnsi="Times New Roman"/>
          <w:sz w:val="23"/>
          <w:szCs w:val="23"/>
          <w:lang w:val="tr-TR"/>
        </w:rPr>
        <w:t xml:space="preserve"> </w:t>
      </w:r>
      <w:r w:rsidR="009D07EF" w:rsidRPr="001A4B94">
        <w:rPr>
          <w:rFonts w:ascii="Times New Roman" w:hAnsi="Times New Roman"/>
          <w:sz w:val="23"/>
          <w:szCs w:val="23"/>
          <w:lang w:val="tr-TR"/>
        </w:rPr>
        <w:t xml:space="preserve">Orta vadede iç ve dış dengesizliklerin azaltılabilmesi için mali ihtiyat önemli olacaktır. </w:t>
      </w:r>
    </w:p>
    <w:p w14:paraId="358B074E" w14:textId="4C3B6D36" w:rsidR="0030747A" w:rsidRPr="001A4B94" w:rsidRDefault="00824006" w:rsidP="0030747A">
      <w:pPr>
        <w:pStyle w:val="Balk2"/>
        <w:rPr>
          <w:rFonts w:ascii="Times New Roman" w:hAnsi="Times New Roman" w:cs="Times New Roman"/>
          <w:b/>
          <w:i/>
          <w:color w:val="auto"/>
          <w:lang w:val="tr-TR"/>
        </w:rPr>
      </w:pPr>
      <w:bookmarkStart w:id="4" w:name="_Toc494977323"/>
      <w:r w:rsidRPr="001A4B94">
        <w:rPr>
          <w:rFonts w:ascii="Times New Roman" w:hAnsi="Times New Roman" w:cs="Times New Roman"/>
          <w:b/>
          <w:i/>
          <w:color w:val="auto"/>
          <w:lang w:val="tr-TR"/>
        </w:rPr>
        <w:lastRenderedPageBreak/>
        <w:t>II</w:t>
      </w:r>
      <w:r w:rsidR="0030747A" w:rsidRPr="001A4B94">
        <w:rPr>
          <w:rFonts w:ascii="Times New Roman" w:hAnsi="Times New Roman" w:cs="Times New Roman"/>
          <w:b/>
          <w:i/>
          <w:color w:val="auto"/>
          <w:lang w:val="tr-TR"/>
        </w:rPr>
        <w:t xml:space="preserve">.3 </w:t>
      </w:r>
      <w:r w:rsidR="007970E2" w:rsidRPr="001A4B94">
        <w:rPr>
          <w:rFonts w:ascii="Times New Roman" w:hAnsi="Times New Roman" w:cs="Times New Roman"/>
          <w:b/>
          <w:i/>
          <w:color w:val="auto"/>
          <w:lang w:val="tr-TR"/>
        </w:rPr>
        <w:t>Yoksulluk ve paylaşılan refah</w:t>
      </w:r>
      <w:bookmarkEnd w:id="4"/>
      <w:r w:rsidR="007970E2" w:rsidRPr="001A4B94">
        <w:rPr>
          <w:rFonts w:ascii="Times New Roman" w:hAnsi="Times New Roman" w:cs="Times New Roman"/>
          <w:b/>
          <w:i/>
          <w:color w:val="auto"/>
          <w:lang w:val="tr-TR"/>
        </w:rPr>
        <w:t xml:space="preserve"> </w:t>
      </w:r>
    </w:p>
    <w:p w14:paraId="18984BCC" w14:textId="77777777" w:rsidR="00564C32" w:rsidRPr="001A4B94" w:rsidRDefault="00564C32" w:rsidP="009D4FB4">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1690272A" w14:textId="0108B144" w:rsidR="00CC4920" w:rsidRPr="001A4B94" w:rsidRDefault="00786B35" w:rsidP="00786B35">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T</w:t>
      </w:r>
      <w:r w:rsidR="007970E2" w:rsidRPr="001A4B94">
        <w:rPr>
          <w:rFonts w:ascii="Times New Roman" w:hAnsi="Times New Roman"/>
          <w:b/>
          <w:sz w:val="23"/>
          <w:szCs w:val="23"/>
          <w:lang w:val="tr-TR"/>
        </w:rPr>
        <w:t>ürkiye yoksulluğun azaltılmasında ve refahın paylaşılmasında önemli ilerlemeler kaydetmiştir</w:t>
      </w:r>
      <w:r w:rsidRPr="001A4B94">
        <w:rPr>
          <w:rFonts w:ascii="Times New Roman" w:hAnsi="Times New Roman"/>
          <w:b/>
          <w:sz w:val="23"/>
          <w:szCs w:val="23"/>
          <w:lang w:val="tr-TR"/>
        </w:rPr>
        <w:t xml:space="preserve">. </w:t>
      </w:r>
      <w:r w:rsidRPr="001A4B94">
        <w:rPr>
          <w:rFonts w:ascii="Times New Roman" w:hAnsi="Times New Roman"/>
          <w:sz w:val="23"/>
          <w:szCs w:val="23"/>
          <w:lang w:val="tr-TR"/>
        </w:rPr>
        <w:t xml:space="preserve"> 2002</w:t>
      </w:r>
      <w:r w:rsidR="00071D26" w:rsidRPr="001A4B94">
        <w:rPr>
          <w:rFonts w:ascii="Times New Roman" w:hAnsi="Times New Roman"/>
          <w:sz w:val="23"/>
          <w:szCs w:val="23"/>
          <w:lang w:val="tr-TR"/>
        </w:rPr>
        <w:t xml:space="preserve"> </w:t>
      </w:r>
      <w:r w:rsidR="007970E2" w:rsidRPr="001A4B94">
        <w:rPr>
          <w:rFonts w:ascii="Times New Roman" w:hAnsi="Times New Roman"/>
          <w:sz w:val="23"/>
          <w:szCs w:val="23"/>
          <w:lang w:val="tr-TR"/>
        </w:rPr>
        <w:t xml:space="preserve">ile </w:t>
      </w:r>
      <w:r w:rsidRPr="001A4B94">
        <w:rPr>
          <w:rFonts w:ascii="Times New Roman" w:hAnsi="Times New Roman"/>
          <w:sz w:val="23"/>
          <w:szCs w:val="23"/>
          <w:lang w:val="tr-TR"/>
        </w:rPr>
        <w:t>2014</w:t>
      </w:r>
      <w:r w:rsidR="007970E2" w:rsidRPr="001A4B94">
        <w:rPr>
          <w:rFonts w:ascii="Times New Roman" w:hAnsi="Times New Roman"/>
          <w:sz w:val="23"/>
          <w:szCs w:val="23"/>
          <w:lang w:val="tr-TR"/>
        </w:rPr>
        <w:t xml:space="preserve"> arasındaki dönemde yoksulluk oranı yüzde 44’den yüzde 18’e inmiş (5 ABD Doları/gün olarak belirlenen bölgesel yoksulluk sınırına göre), aşırı yoksulluk ise (2,50 ABD doları/gün) daha hızlı bir düşüşle yüzde 13’ten yüzden 3,1’e inmiştir.</w:t>
      </w:r>
      <w:r w:rsidRPr="001A4B94">
        <w:rPr>
          <w:rStyle w:val="DipnotBavurusu"/>
          <w:sz w:val="23"/>
          <w:szCs w:val="23"/>
          <w:lang w:val="tr-TR"/>
        </w:rPr>
        <w:footnoteReference w:id="3"/>
      </w:r>
      <w:r w:rsidR="00071D26" w:rsidRPr="001A4B94">
        <w:rPr>
          <w:rFonts w:ascii="Times New Roman" w:hAnsi="Times New Roman"/>
          <w:sz w:val="23"/>
          <w:szCs w:val="23"/>
          <w:lang w:val="tr-TR"/>
        </w:rPr>
        <w:t xml:space="preserve"> </w:t>
      </w:r>
      <w:r w:rsidR="00702524" w:rsidRPr="001A4B94">
        <w:rPr>
          <w:rFonts w:ascii="Times New Roman" w:hAnsi="Times New Roman"/>
          <w:sz w:val="23"/>
          <w:szCs w:val="23"/>
          <w:lang w:val="tr-TR"/>
        </w:rPr>
        <w:t>Makroekonomik oynaklığa ve verimlilik farklarına rağmen hem ılımlı hem de aşırı yoksulluk kırsal ve kentsel bölgelerde azalmıştır. Söz konusu dönemde kırsal yoksulluk yüzde 54’ten yüzde 33’e, kentsel yoksulluk ise yüzde 37’den yüzde 11’e düşmüştür. Yoksullukta azalmanın en önemli etkeni yeniden dağılımdan ziyade ekonomik büyüme olmuştur; n</w:t>
      </w:r>
      <w:r w:rsidR="006365D6" w:rsidRPr="001A4B94">
        <w:rPr>
          <w:rFonts w:ascii="Times New Roman" w:hAnsi="Times New Roman"/>
          <w:sz w:val="23"/>
          <w:szCs w:val="23"/>
          <w:lang w:val="tr-TR"/>
        </w:rPr>
        <w:t>üfusu</w:t>
      </w:r>
      <w:r w:rsidR="00702524" w:rsidRPr="001A4B94">
        <w:rPr>
          <w:rFonts w:ascii="Times New Roman" w:hAnsi="Times New Roman"/>
          <w:sz w:val="23"/>
          <w:szCs w:val="23"/>
          <w:lang w:val="tr-TR"/>
        </w:rPr>
        <w:t>n düşük gelirli kesimi için büyüme daha i</w:t>
      </w:r>
      <w:r w:rsidR="00636608" w:rsidRPr="001A4B94">
        <w:rPr>
          <w:rFonts w:ascii="Times New Roman" w:hAnsi="Times New Roman"/>
          <w:sz w:val="23"/>
          <w:szCs w:val="23"/>
          <w:lang w:val="tr-TR"/>
        </w:rPr>
        <w:t>yi gelir fırsatları yaratmıştır</w:t>
      </w:r>
      <w:r w:rsidRPr="001A4B94">
        <w:rPr>
          <w:rFonts w:ascii="Times New Roman" w:hAnsi="Times New Roman"/>
          <w:sz w:val="23"/>
          <w:szCs w:val="23"/>
          <w:lang w:val="tr-TR"/>
        </w:rPr>
        <w:t>.</w:t>
      </w:r>
    </w:p>
    <w:p w14:paraId="2121FBA1" w14:textId="77777777" w:rsidR="00CC4920" w:rsidRPr="001A4B94" w:rsidRDefault="00CC4920" w:rsidP="00CC4920">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033A994D" w14:textId="4585342D" w:rsidR="00786B35" w:rsidRPr="001A4B94" w:rsidRDefault="00786B35" w:rsidP="00786B35">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T</w:t>
      </w:r>
      <w:r w:rsidR="00636608" w:rsidRPr="001A4B94">
        <w:rPr>
          <w:rFonts w:ascii="Times New Roman" w:hAnsi="Times New Roman"/>
          <w:b/>
          <w:sz w:val="23"/>
          <w:szCs w:val="23"/>
          <w:lang w:val="tr-TR"/>
        </w:rPr>
        <w:t>ürkiye’nin zenginliği paylaşılmıştır ve gelir dağılımının en alt kesiminin refah düzeyi yükselmiştir</w:t>
      </w:r>
      <w:r w:rsidRPr="001A4B94">
        <w:rPr>
          <w:rFonts w:ascii="Times New Roman" w:hAnsi="Times New Roman"/>
          <w:b/>
          <w:sz w:val="23"/>
          <w:szCs w:val="23"/>
          <w:lang w:val="tr-TR"/>
        </w:rPr>
        <w:t>.</w:t>
      </w:r>
      <w:r w:rsidR="00636608" w:rsidRPr="001A4B94">
        <w:rPr>
          <w:rFonts w:ascii="Times New Roman" w:hAnsi="Times New Roman"/>
          <w:sz w:val="23"/>
          <w:szCs w:val="23"/>
          <w:lang w:val="tr-TR"/>
        </w:rPr>
        <w:t xml:space="preserve"> </w:t>
      </w:r>
      <w:r w:rsidR="006365D6" w:rsidRPr="001A4B94">
        <w:rPr>
          <w:rFonts w:ascii="Times New Roman" w:hAnsi="Times New Roman"/>
          <w:sz w:val="23"/>
          <w:szCs w:val="23"/>
          <w:lang w:val="tr-TR"/>
        </w:rPr>
        <w:t>Nüfusun</w:t>
      </w:r>
      <w:r w:rsidR="00636608" w:rsidRPr="001A4B94">
        <w:rPr>
          <w:rFonts w:ascii="Times New Roman" w:hAnsi="Times New Roman"/>
          <w:sz w:val="23"/>
          <w:szCs w:val="23"/>
          <w:lang w:val="tr-TR"/>
        </w:rPr>
        <w:t xml:space="preserve"> en yoksul yüzde 40’lık kesiminin (B40) kişi başına tüketimindeki artış ile ölçülen paylaşılan refah Türkiye’de önemli düzeyde artmıştır. </w:t>
      </w:r>
      <w:r w:rsidRPr="001A4B94">
        <w:rPr>
          <w:rFonts w:ascii="Times New Roman" w:hAnsi="Times New Roman"/>
          <w:sz w:val="23"/>
          <w:szCs w:val="23"/>
          <w:lang w:val="tr-TR"/>
        </w:rPr>
        <w:t xml:space="preserve"> </w:t>
      </w:r>
      <w:r w:rsidR="00636608" w:rsidRPr="001A4B94">
        <w:rPr>
          <w:rFonts w:ascii="Times New Roman" w:hAnsi="Times New Roman"/>
          <w:sz w:val="23"/>
          <w:szCs w:val="23"/>
          <w:lang w:val="tr-TR"/>
        </w:rPr>
        <w:t>N</w:t>
      </w:r>
      <w:r w:rsidR="006365D6" w:rsidRPr="001A4B94">
        <w:rPr>
          <w:rFonts w:ascii="Times New Roman" w:hAnsi="Times New Roman"/>
          <w:sz w:val="23"/>
          <w:szCs w:val="23"/>
          <w:lang w:val="tr-TR"/>
        </w:rPr>
        <w:t>ü</w:t>
      </w:r>
      <w:r w:rsidR="00636608" w:rsidRPr="001A4B94">
        <w:rPr>
          <w:rFonts w:ascii="Times New Roman" w:hAnsi="Times New Roman"/>
          <w:sz w:val="23"/>
          <w:szCs w:val="23"/>
          <w:lang w:val="tr-TR"/>
        </w:rPr>
        <w:t>f</w:t>
      </w:r>
      <w:r w:rsidR="006365D6" w:rsidRPr="001A4B94">
        <w:rPr>
          <w:rFonts w:ascii="Times New Roman" w:hAnsi="Times New Roman"/>
          <w:sz w:val="23"/>
          <w:szCs w:val="23"/>
          <w:lang w:val="tr-TR"/>
        </w:rPr>
        <w:t>usu</w:t>
      </w:r>
      <w:r w:rsidR="00636608" w:rsidRPr="001A4B94">
        <w:rPr>
          <w:rFonts w:ascii="Times New Roman" w:hAnsi="Times New Roman"/>
          <w:sz w:val="23"/>
          <w:szCs w:val="23"/>
          <w:lang w:val="tr-TR"/>
        </w:rPr>
        <w:t xml:space="preserve">n en yoksul yüzde 40’lık kesiminin kişi başına tüketimindeki yıllık artış 2007 ile 2012 arasında yüzde </w:t>
      </w:r>
      <w:r w:rsidR="00840E3F" w:rsidRPr="001A4B94">
        <w:rPr>
          <w:rFonts w:ascii="Times New Roman" w:hAnsi="Times New Roman"/>
          <w:sz w:val="23"/>
          <w:szCs w:val="23"/>
          <w:lang w:val="tr-TR"/>
        </w:rPr>
        <w:t>4,</w:t>
      </w:r>
      <w:r w:rsidR="00071D26" w:rsidRPr="001A4B94">
        <w:rPr>
          <w:rFonts w:ascii="Times New Roman" w:hAnsi="Times New Roman"/>
          <w:sz w:val="23"/>
          <w:szCs w:val="23"/>
          <w:lang w:val="tr-TR"/>
        </w:rPr>
        <w:t>3</w:t>
      </w:r>
      <w:r w:rsidR="00840E3F" w:rsidRPr="001A4B94">
        <w:rPr>
          <w:rFonts w:ascii="Times New Roman" w:hAnsi="Times New Roman"/>
          <w:sz w:val="23"/>
          <w:szCs w:val="23"/>
          <w:lang w:val="tr-TR"/>
        </w:rPr>
        <w:t xml:space="preserve">’e ulaşmıştır; bu oran </w:t>
      </w:r>
      <w:r w:rsidR="006365D6" w:rsidRPr="001A4B94">
        <w:rPr>
          <w:rFonts w:ascii="Times New Roman" w:hAnsi="Times New Roman"/>
          <w:sz w:val="23"/>
          <w:szCs w:val="23"/>
          <w:lang w:val="tr-TR"/>
        </w:rPr>
        <w:t>nüfusun</w:t>
      </w:r>
      <w:r w:rsidR="00840E3F" w:rsidRPr="001A4B94">
        <w:rPr>
          <w:rFonts w:ascii="Times New Roman" w:hAnsi="Times New Roman"/>
          <w:sz w:val="23"/>
          <w:szCs w:val="23"/>
          <w:lang w:val="tr-TR"/>
        </w:rPr>
        <w:t xml:space="preserve"> tamamına ilişkin orana yakın bir rakamdır. </w:t>
      </w:r>
      <w:r w:rsidR="00071D26" w:rsidRPr="001A4B94">
        <w:rPr>
          <w:rFonts w:ascii="Times New Roman" w:hAnsi="Times New Roman"/>
          <w:sz w:val="23"/>
          <w:szCs w:val="23"/>
          <w:lang w:val="tr-TR"/>
        </w:rPr>
        <w:t xml:space="preserve"> </w:t>
      </w:r>
      <w:r w:rsidR="00AA5A6D" w:rsidRPr="001A4B94">
        <w:rPr>
          <w:rFonts w:ascii="Times New Roman" w:hAnsi="Times New Roman"/>
          <w:sz w:val="23"/>
          <w:szCs w:val="23"/>
          <w:lang w:val="tr-TR"/>
        </w:rPr>
        <w:t xml:space="preserve"> </w:t>
      </w:r>
      <w:r w:rsidR="00840E3F" w:rsidRPr="001A4B94">
        <w:rPr>
          <w:rFonts w:ascii="Times New Roman" w:hAnsi="Times New Roman"/>
          <w:sz w:val="23"/>
          <w:szCs w:val="23"/>
          <w:lang w:val="tr-TR"/>
        </w:rPr>
        <w:t>Bu benzer ülkeler ile karşılaştırıldığında iyi bir performansa işaret etmektedir; OECD ülkeleri arasında Meksika ve Şili’den daha iyi ancak Rusya ve Brezilya’dan daha düşüktür.</w:t>
      </w:r>
    </w:p>
    <w:p w14:paraId="2FA467E4" w14:textId="77777777" w:rsidR="00786B35" w:rsidRPr="001A4B94" w:rsidRDefault="00786B35" w:rsidP="00786B35">
      <w:pPr>
        <w:pStyle w:val="ListeParagraf"/>
        <w:tabs>
          <w:tab w:val="left" w:pos="426"/>
        </w:tabs>
        <w:autoSpaceDE w:val="0"/>
        <w:autoSpaceDN w:val="0"/>
        <w:adjustRightInd w:val="0"/>
        <w:spacing w:after="0" w:line="240" w:lineRule="auto"/>
        <w:ind w:left="0"/>
        <w:jc w:val="both"/>
        <w:rPr>
          <w:rFonts w:ascii="Times New Roman" w:hAnsi="Times New Roman"/>
          <w:sz w:val="23"/>
          <w:szCs w:val="23"/>
          <w:lang w:val="tr-TR"/>
        </w:rPr>
      </w:pPr>
    </w:p>
    <w:p w14:paraId="513272F7" w14:textId="1309B716" w:rsidR="00786B35" w:rsidRPr="001A4B94" w:rsidRDefault="00840E3F" w:rsidP="00786B35">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Bu ilerlemeye karşın bölgeler arasında büyük farklılıklar mevcuttur</w:t>
      </w:r>
      <w:r w:rsidR="00786B35" w:rsidRPr="001A4B94">
        <w:rPr>
          <w:rFonts w:ascii="Times New Roman" w:hAnsi="Times New Roman"/>
          <w:b/>
          <w:sz w:val="23"/>
          <w:szCs w:val="23"/>
          <w:lang w:val="tr-TR"/>
        </w:rPr>
        <w:t xml:space="preserve">.  </w:t>
      </w:r>
      <w:r w:rsidRPr="001A4B94">
        <w:rPr>
          <w:rFonts w:ascii="Times New Roman" w:hAnsi="Times New Roman"/>
          <w:sz w:val="23"/>
          <w:szCs w:val="23"/>
          <w:lang w:val="tr-TR"/>
        </w:rPr>
        <w:t>Bölgelerin çoğunda zaman içinde yoksulluk azalmıştır ve genel bir yakınsama eğilimi meydana gelmiştir. Ancak bu ilerlemenin hızı bölgeler arasında farklılık göstermiştir; bazı bölgeler giderek diğer bölgelerin gerisinde kalırken bölgelerin zaman içi</w:t>
      </w:r>
      <w:r w:rsidR="006365D6" w:rsidRPr="001A4B94">
        <w:rPr>
          <w:rFonts w:ascii="Times New Roman" w:hAnsi="Times New Roman"/>
          <w:sz w:val="23"/>
          <w:szCs w:val="23"/>
          <w:lang w:val="tr-TR"/>
        </w:rPr>
        <w:t>n</w:t>
      </w:r>
      <w:r w:rsidRPr="001A4B94">
        <w:rPr>
          <w:rFonts w:ascii="Times New Roman" w:hAnsi="Times New Roman"/>
          <w:sz w:val="23"/>
          <w:szCs w:val="23"/>
          <w:lang w:val="tr-TR"/>
        </w:rPr>
        <w:t xml:space="preserve">de daha heterojen hale gelmesini sağlamıştır. </w:t>
      </w:r>
      <w:r w:rsidR="00510E7D" w:rsidRPr="001A4B94">
        <w:rPr>
          <w:rFonts w:ascii="Times New Roman" w:hAnsi="Times New Roman"/>
          <w:sz w:val="23"/>
          <w:szCs w:val="23"/>
          <w:lang w:val="tr-TR"/>
        </w:rPr>
        <w:t>GSYH ve yoksulluktaki uçurum Batı ve daha zorlu şartlara sahip Güneydoğu Anadolu bölgeler</w:t>
      </w:r>
      <w:r w:rsidR="00661BD6" w:rsidRPr="001A4B94">
        <w:rPr>
          <w:rFonts w:ascii="Times New Roman" w:hAnsi="Times New Roman"/>
          <w:sz w:val="23"/>
          <w:szCs w:val="23"/>
          <w:lang w:val="tr-TR"/>
        </w:rPr>
        <w:t>i</w:t>
      </w:r>
      <w:r w:rsidR="00510E7D" w:rsidRPr="001A4B94">
        <w:rPr>
          <w:rFonts w:ascii="Times New Roman" w:hAnsi="Times New Roman"/>
          <w:sz w:val="23"/>
          <w:szCs w:val="23"/>
          <w:lang w:val="tr-TR"/>
        </w:rPr>
        <w:t xml:space="preserve"> arasında halen büyüktür. </w:t>
      </w:r>
      <w:r w:rsidRPr="001A4B94">
        <w:rPr>
          <w:rFonts w:ascii="Times New Roman" w:hAnsi="Times New Roman"/>
          <w:sz w:val="23"/>
          <w:szCs w:val="23"/>
          <w:lang w:val="tr-TR"/>
        </w:rPr>
        <w:t xml:space="preserve"> </w:t>
      </w:r>
      <w:r w:rsidR="00510E7D" w:rsidRPr="001A4B94">
        <w:rPr>
          <w:rFonts w:ascii="Times New Roman" w:hAnsi="Times New Roman"/>
          <w:sz w:val="23"/>
          <w:szCs w:val="23"/>
          <w:lang w:val="tr-TR"/>
        </w:rPr>
        <w:t>Güneydoğu’daki en yoksul bölgeler, komşu Suriye ve Irak’taki çatışmalardan kaçan çok sayıda GKSS’ye ve başka sığınmacılara ev sahipliği yapmaktadır Öte yandan en yoksul bölgeler doğal sermayelerine yatırı</w:t>
      </w:r>
      <w:r w:rsidR="006365D6" w:rsidRPr="001A4B94">
        <w:rPr>
          <w:rFonts w:ascii="Times New Roman" w:hAnsi="Times New Roman"/>
          <w:sz w:val="23"/>
          <w:szCs w:val="23"/>
          <w:lang w:val="tr-TR"/>
        </w:rPr>
        <w:t>m almada da önemli ölçü</w:t>
      </w:r>
      <w:r w:rsidR="00510E7D" w:rsidRPr="001A4B94">
        <w:rPr>
          <w:rFonts w:ascii="Times New Roman" w:hAnsi="Times New Roman"/>
          <w:sz w:val="23"/>
          <w:szCs w:val="23"/>
          <w:lang w:val="tr-TR"/>
        </w:rPr>
        <w:t>de geride kalmıştır; bu durum bozunum yoluyla potansiyel yoksulluktan çıkış yollarını erozyona uğratm</w:t>
      </w:r>
      <w:r w:rsidR="00460F4F" w:rsidRPr="001A4B94">
        <w:rPr>
          <w:rFonts w:ascii="Times New Roman" w:hAnsi="Times New Roman"/>
          <w:sz w:val="23"/>
          <w:szCs w:val="23"/>
          <w:lang w:val="tr-TR"/>
        </w:rPr>
        <w:t>akta ve ekonomik yakınsamayı gec</w:t>
      </w:r>
      <w:r w:rsidR="00510E7D" w:rsidRPr="001A4B94">
        <w:rPr>
          <w:rFonts w:ascii="Times New Roman" w:hAnsi="Times New Roman"/>
          <w:sz w:val="23"/>
          <w:szCs w:val="23"/>
          <w:lang w:val="tr-TR"/>
        </w:rPr>
        <w:t>iktirmektedir. Bu bölgeler</w:t>
      </w:r>
      <w:r w:rsidR="00E73CA4" w:rsidRPr="001A4B94">
        <w:rPr>
          <w:rFonts w:ascii="Times New Roman" w:hAnsi="Times New Roman"/>
          <w:sz w:val="23"/>
          <w:szCs w:val="23"/>
          <w:lang w:val="tr-TR"/>
        </w:rPr>
        <w:t>e</w:t>
      </w:r>
      <w:r w:rsidR="00510E7D" w:rsidRPr="001A4B94">
        <w:rPr>
          <w:rFonts w:ascii="Times New Roman" w:hAnsi="Times New Roman"/>
          <w:sz w:val="23"/>
          <w:szCs w:val="23"/>
          <w:lang w:val="tr-TR"/>
        </w:rPr>
        <w:t xml:space="preserve"> yatırım yapılmasına teşvik etmek amacıyla çeşitl</w:t>
      </w:r>
      <w:r w:rsidR="00E73CA4" w:rsidRPr="001A4B94">
        <w:rPr>
          <w:rFonts w:ascii="Times New Roman" w:hAnsi="Times New Roman"/>
          <w:sz w:val="23"/>
          <w:szCs w:val="23"/>
          <w:lang w:val="tr-TR"/>
        </w:rPr>
        <w:t>i</w:t>
      </w:r>
      <w:r w:rsidR="00510E7D" w:rsidRPr="001A4B94">
        <w:rPr>
          <w:rFonts w:ascii="Times New Roman" w:hAnsi="Times New Roman"/>
          <w:sz w:val="23"/>
          <w:szCs w:val="23"/>
          <w:lang w:val="tr-TR"/>
        </w:rPr>
        <w:t xml:space="preserve"> teşvik programları başlatılmıştır ve yakın gelecekte bunların etkisinin görülmesi beklenmektedir. </w:t>
      </w:r>
    </w:p>
    <w:p w14:paraId="17713F1B" w14:textId="7AF4C79E" w:rsidR="00786B35" w:rsidRPr="001A4B94" w:rsidRDefault="00786B35" w:rsidP="00786B35">
      <w:pPr>
        <w:pStyle w:val="ListeParagraf"/>
        <w:rPr>
          <w:rFonts w:ascii="Times New Roman" w:hAnsi="Times New Roman"/>
          <w:sz w:val="23"/>
          <w:szCs w:val="23"/>
          <w:lang w:val="tr-TR"/>
        </w:rPr>
      </w:pPr>
    </w:p>
    <w:p w14:paraId="7FD85448" w14:textId="76C175D2" w:rsidR="00071D26" w:rsidRPr="001A4B94" w:rsidRDefault="00ED75BB" w:rsidP="00F32191">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Ayrıca sosyoekonomik gruplar ve cinsiyetler arasında büyük eşitsizlikler mevcuttur</w:t>
      </w:r>
      <w:r w:rsidR="00786B35" w:rsidRPr="001A4B94">
        <w:rPr>
          <w:rFonts w:ascii="Times New Roman" w:hAnsi="Times New Roman"/>
          <w:b/>
          <w:sz w:val="23"/>
          <w:szCs w:val="23"/>
          <w:lang w:val="tr-TR"/>
        </w:rPr>
        <w:t xml:space="preserve">.  </w:t>
      </w:r>
      <w:r w:rsidRPr="001A4B94">
        <w:rPr>
          <w:rFonts w:ascii="Times New Roman" w:hAnsi="Times New Roman"/>
          <w:sz w:val="23"/>
          <w:szCs w:val="23"/>
          <w:lang w:val="tr-TR"/>
        </w:rPr>
        <w:t>Sürekli büyüme kaydedilmesine ve refahın paylaşılmasına rağmen gelir dağılımının en zengin yüzde 10’luk diliminin ortalama geliri en yoksul yüzde 1</w:t>
      </w:r>
      <w:r w:rsidR="00460F4F" w:rsidRPr="001A4B94">
        <w:rPr>
          <w:rFonts w:ascii="Times New Roman" w:hAnsi="Times New Roman"/>
          <w:sz w:val="23"/>
          <w:szCs w:val="23"/>
          <w:lang w:val="tr-TR"/>
        </w:rPr>
        <w:t>0’luk diliminin ortalama geliri</w:t>
      </w:r>
      <w:r w:rsidRPr="001A4B94">
        <w:rPr>
          <w:rFonts w:ascii="Times New Roman" w:hAnsi="Times New Roman"/>
          <w:sz w:val="23"/>
          <w:szCs w:val="23"/>
          <w:lang w:val="tr-TR"/>
        </w:rPr>
        <w:t>nde</w:t>
      </w:r>
      <w:r w:rsidR="00460F4F" w:rsidRPr="001A4B94">
        <w:rPr>
          <w:rFonts w:ascii="Times New Roman" w:hAnsi="Times New Roman"/>
          <w:sz w:val="23"/>
          <w:szCs w:val="23"/>
          <w:lang w:val="tr-TR"/>
        </w:rPr>
        <w:t>n</w:t>
      </w:r>
      <w:r w:rsidRPr="001A4B94">
        <w:rPr>
          <w:rFonts w:ascii="Times New Roman" w:hAnsi="Times New Roman"/>
          <w:sz w:val="23"/>
          <w:szCs w:val="23"/>
          <w:lang w:val="tr-TR"/>
        </w:rPr>
        <w:t xml:space="preserve"> 13,5 kat daha yüksektir. Bu oran OECD ülkeleri arasında en yüksek oranlardan birisidir. 2000’li yıllar boyunca eşitsizlik önemli ölçüde azalmıştır ancak 2008-09 mali krizi sırasında bu eğilim tersine dönmüştür. Kadınların ekonomiye katılımı halen ciddi derecede sınırlıdır. Son birkaç yılda istikrarlı olarak yükselmesine rağmen kadınların işgücüne katılım oranı sadece yüzde 33 seviyesindedir; bu OECD ve ECA ülkeleri arasında en düşük orandır. Türkiye Küresel Cinsiyet Uçurumu sıralamasında 145 ülke arasında 130’uncu sıradadır.  </w:t>
      </w:r>
      <w:r w:rsidR="00786B35" w:rsidRPr="001A4B94">
        <w:rPr>
          <w:rFonts w:ascii="Times New Roman" w:hAnsi="Times New Roman"/>
          <w:sz w:val="23"/>
          <w:szCs w:val="23"/>
          <w:lang w:val="tr-TR"/>
        </w:rPr>
        <w:t xml:space="preserve"> </w:t>
      </w:r>
    </w:p>
    <w:p w14:paraId="0B65292C" w14:textId="412252AF" w:rsidR="006365D6" w:rsidRPr="001A4B94" w:rsidRDefault="006365D6" w:rsidP="006365D6">
      <w:pPr>
        <w:tabs>
          <w:tab w:val="left" w:pos="426"/>
        </w:tabs>
        <w:autoSpaceDE w:val="0"/>
        <w:autoSpaceDN w:val="0"/>
        <w:adjustRightInd w:val="0"/>
        <w:jc w:val="both"/>
        <w:rPr>
          <w:sz w:val="23"/>
          <w:szCs w:val="23"/>
          <w:lang w:val="tr-TR"/>
        </w:rPr>
      </w:pPr>
    </w:p>
    <w:p w14:paraId="5CCAC955" w14:textId="77777777" w:rsidR="006365D6" w:rsidRPr="001A4B94" w:rsidRDefault="006365D6" w:rsidP="006365D6">
      <w:pPr>
        <w:tabs>
          <w:tab w:val="left" w:pos="426"/>
        </w:tabs>
        <w:autoSpaceDE w:val="0"/>
        <w:autoSpaceDN w:val="0"/>
        <w:adjustRightInd w:val="0"/>
        <w:jc w:val="both"/>
        <w:rPr>
          <w:sz w:val="23"/>
          <w:szCs w:val="23"/>
          <w:lang w:val="tr-TR"/>
        </w:rPr>
      </w:pPr>
    </w:p>
    <w:tbl>
      <w:tblPr>
        <w:tblW w:w="0" w:type="auto"/>
        <w:tblInd w:w="10" w:type="dxa"/>
        <w:tblCellMar>
          <w:left w:w="0" w:type="dxa"/>
          <w:right w:w="0" w:type="dxa"/>
        </w:tblCellMar>
        <w:tblLook w:val="04A0" w:firstRow="1" w:lastRow="0" w:firstColumn="1" w:lastColumn="0" w:noHBand="0" w:noVBand="1"/>
      </w:tblPr>
      <w:tblGrid>
        <w:gridCol w:w="9330"/>
      </w:tblGrid>
      <w:tr w:rsidR="001A0127" w:rsidRPr="001A4B94" w14:paraId="016D4CC1" w14:textId="77777777" w:rsidTr="000E44C5">
        <w:trPr>
          <w:trHeight w:val="317"/>
        </w:trPr>
        <w:tc>
          <w:tcPr>
            <w:tcW w:w="934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663459FE" w14:textId="59BFEA15" w:rsidR="001A0127" w:rsidRPr="001A4B94" w:rsidRDefault="00696C01" w:rsidP="002F33A1">
            <w:pPr>
              <w:jc w:val="center"/>
              <w:rPr>
                <w:b/>
                <w:sz w:val="21"/>
                <w:szCs w:val="21"/>
                <w:lang w:val="tr-TR"/>
              </w:rPr>
            </w:pPr>
            <w:r w:rsidRPr="001A4B94">
              <w:rPr>
                <w:b/>
                <w:sz w:val="21"/>
                <w:szCs w:val="21"/>
                <w:lang w:val="tr-TR"/>
              </w:rPr>
              <w:lastRenderedPageBreak/>
              <w:t xml:space="preserve">2016 Ülke Toplumsal Cinsiyet Değerlendirmesinin Özeti  </w:t>
            </w:r>
            <w:r w:rsidR="001A0127" w:rsidRPr="001A4B94">
              <w:rPr>
                <w:b/>
                <w:sz w:val="21"/>
                <w:szCs w:val="21"/>
                <w:lang w:val="tr-TR"/>
              </w:rPr>
              <w:t>(</w:t>
            </w:r>
            <w:r w:rsidRPr="001A4B94">
              <w:rPr>
                <w:b/>
                <w:sz w:val="21"/>
                <w:szCs w:val="21"/>
                <w:lang w:val="tr-TR"/>
              </w:rPr>
              <w:t>daha fazla ayrıntı Ek</w:t>
            </w:r>
            <w:r w:rsidR="003202F6" w:rsidRPr="001A4B94">
              <w:rPr>
                <w:b/>
                <w:sz w:val="21"/>
                <w:szCs w:val="21"/>
                <w:lang w:val="tr-TR"/>
              </w:rPr>
              <w:t xml:space="preserve"> 7</w:t>
            </w:r>
            <w:r w:rsidRPr="001A4B94">
              <w:rPr>
                <w:b/>
                <w:sz w:val="21"/>
                <w:szCs w:val="21"/>
                <w:lang w:val="tr-TR"/>
              </w:rPr>
              <w:t>’de sunulmuştur</w:t>
            </w:r>
            <w:r w:rsidR="001A0127" w:rsidRPr="001A4B94">
              <w:rPr>
                <w:b/>
                <w:sz w:val="21"/>
                <w:szCs w:val="21"/>
                <w:lang w:val="tr-TR"/>
              </w:rPr>
              <w:t>)</w:t>
            </w:r>
          </w:p>
        </w:tc>
      </w:tr>
      <w:tr w:rsidR="001A0127" w:rsidRPr="001A4B94" w14:paraId="0D578940" w14:textId="77777777" w:rsidTr="002F33A1">
        <w:tc>
          <w:tcPr>
            <w:tcW w:w="9340" w:type="dxa"/>
            <w:tcBorders>
              <w:top w:val="single" w:sz="8"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14:paraId="592635AB" w14:textId="140EF373" w:rsidR="001A0127" w:rsidRPr="001A4B94" w:rsidRDefault="001A0127" w:rsidP="00065840">
            <w:pPr>
              <w:jc w:val="both"/>
              <w:rPr>
                <w:sz w:val="20"/>
                <w:szCs w:val="20"/>
                <w:lang w:val="tr-TR"/>
              </w:rPr>
            </w:pPr>
            <w:r w:rsidRPr="001A4B94">
              <w:rPr>
                <w:i/>
                <w:sz w:val="20"/>
                <w:szCs w:val="20"/>
                <w:lang w:val="tr-TR"/>
              </w:rPr>
              <w:t>T</w:t>
            </w:r>
            <w:r w:rsidR="00696C01" w:rsidRPr="001A4B94">
              <w:rPr>
                <w:i/>
                <w:sz w:val="20"/>
                <w:szCs w:val="20"/>
                <w:lang w:val="tr-TR"/>
              </w:rPr>
              <w:t xml:space="preserve">ürkiye </w:t>
            </w:r>
            <w:r w:rsidRPr="001A4B94">
              <w:rPr>
                <w:i/>
                <w:sz w:val="20"/>
                <w:szCs w:val="20"/>
                <w:lang w:val="tr-TR"/>
              </w:rPr>
              <w:t xml:space="preserve"> </w:t>
            </w:r>
            <w:r w:rsidR="00F079EB" w:rsidRPr="001A4B94">
              <w:rPr>
                <w:i/>
                <w:sz w:val="20"/>
                <w:szCs w:val="20"/>
                <w:lang w:val="tr-TR"/>
              </w:rPr>
              <w:t>üretime dayalı gelir fırsatlarına</w:t>
            </w:r>
            <w:r w:rsidR="00130BF6" w:rsidRPr="001A4B94">
              <w:rPr>
                <w:i/>
                <w:sz w:val="20"/>
                <w:szCs w:val="20"/>
                <w:lang w:val="tr-TR"/>
              </w:rPr>
              <w:t xml:space="preserve">, </w:t>
            </w:r>
            <w:r w:rsidR="00F079EB" w:rsidRPr="001A4B94">
              <w:rPr>
                <w:i/>
                <w:sz w:val="20"/>
                <w:szCs w:val="20"/>
                <w:lang w:val="tr-TR"/>
              </w:rPr>
              <w:t>dolayısıyla ekonomik fırsatlara erişimde toplumsal cinsiyet uçurumlarını önemli öl</w:t>
            </w:r>
            <w:r w:rsidR="00130BF6" w:rsidRPr="001A4B94">
              <w:rPr>
                <w:i/>
                <w:sz w:val="20"/>
                <w:szCs w:val="20"/>
                <w:lang w:val="tr-TR"/>
              </w:rPr>
              <w:t>ç</w:t>
            </w:r>
            <w:r w:rsidR="00F079EB" w:rsidRPr="001A4B94">
              <w:rPr>
                <w:i/>
                <w:sz w:val="20"/>
                <w:szCs w:val="20"/>
                <w:lang w:val="tr-TR"/>
              </w:rPr>
              <w:t xml:space="preserve">üde azaltmıştır. </w:t>
            </w:r>
            <w:r w:rsidR="00F079EB" w:rsidRPr="001A4B94">
              <w:rPr>
                <w:sz w:val="20"/>
                <w:szCs w:val="20"/>
                <w:lang w:val="tr-TR"/>
              </w:rPr>
              <w:t>2008 ile 20</w:t>
            </w:r>
            <w:r w:rsidR="00F32191" w:rsidRPr="001A4B94">
              <w:rPr>
                <w:sz w:val="20"/>
                <w:szCs w:val="20"/>
                <w:lang w:val="tr-TR"/>
              </w:rPr>
              <w:t>1</w:t>
            </w:r>
            <w:r w:rsidR="00F079EB" w:rsidRPr="001A4B94">
              <w:rPr>
                <w:sz w:val="20"/>
                <w:szCs w:val="20"/>
                <w:lang w:val="tr-TR"/>
              </w:rPr>
              <w:t>3 yılları</w:t>
            </w:r>
            <w:r w:rsidR="00F32191" w:rsidRPr="001A4B94">
              <w:rPr>
                <w:sz w:val="20"/>
                <w:szCs w:val="20"/>
                <w:lang w:val="tr-TR"/>
              </w:rPr>
              <w:t xml:space="preserve"> arasında anne ölüm oranları yarı yarıya azalmıştır, kızlar ile erkekler arasında ortaöğretim ve yükseköğretimde okullaşma oranı daha da birbirine yaklaşmıştır ve kadınların iş gücüne katılım oranı istikrarlı olarak yükselmiştir. Bu sonuçlar kısmen toplumsal cinsiyet eşitliğin</w:t>
            </w:r>
            <w:r w:rsidR="00BA4FD0" w:rsidRPr="001A4B94">
              <w:rPr>
                <w:sz w:val="20"/>
                <w:szCs w:val="20"/>
                <w:lang w:val="tr-TR"/>
              </w:rPr>
              <w:t>e yönelik yasal ve kurumsal çerç</w:t>
            </w:r>
            <w:r w:rsidR="00F32191" w:rsidRPr="001A4B94">
              <w:rPr>
                <w:sz w:val="20"/>
                <w:szCs w:val="20"/>
                <w:lang w:val="tr-TR"/>
              </w:rPr>
              <w:t xml:space="preserve">evede yapılan iyileştirmelerin de bir sonucu olmuştur.  </w:t>
            </w:r>
            <w:r w:rsidR="00F079EB" w:rsidRPr="001A4B94">
              <w:rPr>
                <w:sz w:val="20"/>
                <w:szCs w:val="20"/>
                <w:lang w:val="tr-TR"/>
              </w:rPr>
              <w:t xml:space="preserve"> </w:t>
            </w:r>
            <w:r w:rsidRPr="001A4B94">
              <w:rPr>
                <w:sz w:val="20"/>
                <w:szCs w:val="20"/>
                <w:lang w:val="tr-TR"/>
              </w:rPr>
              <w:t xml:space="preserve"> </w:t>
            </w:r>
          </w:p>
          <w:p w14:paraId="29E5CBBF" w14:textId="6ABAEEE1" w:rsidR="001A0127" w:rsidRPr="001A4B94" w:rsidRDefault="00F32191" w:rsidP="000E44C5">
            <w:pPr>
              <w:spacing w:before="60"/>
              <w:jc w:val="both"/>
              <w:rPr>
                <w:b/>
                <w:sz w:val="20"/>
                <w:szCs w:val="20"/>
                <w:lang w:val="tr-TR"/>
              </w:rPr>
            </w:pPr>
            <w:r w:rsidRPr="001A4B94">
              <w:rPr>
                <w:i/>
                <w:sz w:val="20"/>
                <w:szCs w:val="20"/>
                <w:lang w:val="tr-TR"/>
              </w:rPr>
              <w:t>Bununla birlikte</w:t>
            </w:r>
            <w:r w:rsidR="00130BF6" w:rsidRPr="001A4B94">
              <w:rPr>
                <w:i/>
                <w:sz w:val="20"/>
                <w:szCs w:val="20"/>
                <w:lang w:val="tr-TR"/>
              </w:rPr>
              <w:t>,</w:t>
            </w:r>
            <w:r w:rsidRPr="001A4B94">
              <w:rPr>
                <w:i/>
                <w:sz w:val="20"/>
                <w:szCs w:val="20"/>
                <w:lang w:val="tr-TR"/>
              </w:rPr>
              <w:t xml:space="preserve"> bu övgüye değer gelişmelere rağmen</w:t>
            </w:r>
            <w:r w:rsidR="00130BF6" w:rsidRPr="001A4B94">
              <w:rPr>
                <w:i/>
                <w:sz w:val="20"/>
                <w:szCs w:val="20"/>
                <w:lang w:val="tr-TR"/>
              </w:rPr>
              <w:t>,</w:t>
            </w:r>
            <w:r w:rsidRPr="001A4B94">
              <w:rPr>
                <w:i/>
                <w:sz w:val="20"/>
                <w:szCs w:val="20"/>
                <w:lang w:val="tr-TR"/>
              </w:rPr>
              <w:t xml:space="preserve"> kadınlar önemli boyutlarda halen erkeklere göre sistematik olarak daha kötü sonuçlara sahiptir ve Türkiye bu bakımdan benzer gelir seviyesindeki ülkelerin ve komşularının gerisinde kalmıştır. </w:t>
            </w:r>
            <w:r w:rsidR="00AD48A3" w:rsidRPr="001A4B94">
              <w:rPr>
                <w:sz w:val="20"/>
                <w:szCs w:val="20"/>
                <w:lang w:val="tr-TR"/>
              </w:rPr>
              <w:t xml:space="preserve">Türkiye, </w:t>
            </w:r>
            <w:r w:rsidR="00E9437E" w:rsidRPr="001A4B94">
              <w:rPr>
                <w:sz w:val="20"/>
                <w:szCs w:val="20"/>
                <w:lang w:val="tr-TR"/>
              </w:rPr>
              <w:t>Dünya</w:t>
            </w:r>
            <w:r w:rsidR="00AD48A3" w:rsidRPr="001A4B94">
              <w:rPr>
                <w:sz w:val="20"/>
                <w:szCs w:val="20"/>
                <w:lang w:val="tr-TR"/>
              </w:rPr>
              <w:t xml:space="preserve"> Ekonomik Forumu’nun Küresel Cinsiyet Uçurumu Raporu 2016 sıralamasına göre 145 ülke arasında 130’uncu sıra yer almaktadır.  Genel rakamlar ciddi sosyoekonomik ve bölgesel eşitsizlikleri gizlemektedir; dezavantajlı geçmişe sahip kadınlar, gelir fırsatlarına erişimdeki mevcut cinsiyet uçurumunun büyük kısmını temsil etmektedir. </w:t>
            </w:r>
          </w:p>
          <w:p w14:paraId="6FC62F88" w14:textId="5C9A47A6" w:rsidR="001A0127" w:rsidRPr="001A4B94" w:rsidRDefault="001A0127" w:rsidP="000E44C5">
            <w:pPr>
              <w:spacing w:before="60"/>
              <w:jc w:val="both"/>
              <w:rPr>
                <w:sz w:val="20"/>
                <w:szCs w:val="20"/>
                <w:lang w:val="tr-TR"/>
              </w:rPr>
            </w:pPr>
            <w:r w:rsidRPr="001A4B94">
              <w:rPr>
                <w:i/>
                <w:sz w:val="20"/>
                <w:szCs w:val="20"/>
                <w:lang w:val="tr-TR"/>
              </w:rPr>
              <w:t>T</w:t>
            </w:r>
            <w:r w:rsidR="00322D84" w:rsidRPr="001A4B94">
              <w:rPr>
                <w:i/>
                <w:sz w:val="20"/>
                <w:szCs w:val="20"/>
                <w:lang w:val="tr-TR"/>
              </w:rPr>
              <w:t xml:space="preserve">ürkiye </w:t>
            </w:r>
            <w:r w:rsidR="008E6068" w:rsidRPr="001A4B94">
              <w:rPr>
                <w:i/>
                <w:sz w:val="20"/>
                <w:szCs w:val="20"/>
                <w:lang w:val="tr-TR"/>
              </w:rPr>
              <w:t>benzer gelir düzeyine sahip ülkeler arasında en düşük kadınların işgücüne katılım oranına sahiptir:</w:t>
            </w:r>
            <w:r w:rsidRPr="001A4B94">
              <w:rPr>
                <w:sz w:val="20"/>
                <w:szCs w:val="20"/>
                <w:lang w:val="tr-TR"/>
              </w:rPr>
              <w:t xml:space="preserve"> </w:t>
            </w:r>
            <w:r w:rsidR="008E6068" w:rsidRPr="001A4B94">
              <w:rPr>
                <w:sz w:val="20"/>
                <w:szCs w:val="20"/>
                <w:lang w:val="tr-TR"/>
              </w:rPr>
              <w:t>üs</w:t>
            </w:r>
            <w:r w:rsidR="004673CB" w:rsidRPr="001A4B94">
              <w:rPr>
                <w:sz w:val="20"/>
                <w:szCs w:val="20"/>
                <w:lang w:val="tr-TR"/>
              </w:rPr>
              <w:t>t-</w:t>
            </w:r>
            <w:r w:rsidR="008E6068" w:rsidRPr="001A4B94">
              <w:rPr>
                <w:sz w:val="20"/>
                <w:szCs w:val="20"/>
                <w:lang w:val="tr-TR"/>
              </w:rPr>
              <w:t>orta gelirli ülkelerde kadınl</w:t>
            </w:r>
            <w:r w:rsidR="004673CB" w:rsidRPr="001A4B94">
              <w:rPr>
                <w:sz w:val="20"/>
                <w:szCs w:val="20"/>
                <w:lang w:val="tr-TR"/>
              </w:rPr>
              <w:t>a</w:t>
            </w:r>
            <w:r w:rsidR="008E6068" w:rsidRPr="001A4B94">
              <w:rPr>
                <w:sz w:val="20"/>
                <w:szCs w:val="20"/>
                <w:lang w:val="tr-TR"/>
              </w:rPr>
              <w:t>rın ortalama yüzde 62’si ekonomik olarak aktif iken, Türkiye’de bu ora</w:t>
            </w:r>
            <w:r w:rsidR="004673CB" w:rsidRPr="001A4B94">
              <w:rPr>
                <w:sz w:val="20"/>
                <w:szCs w:val="20"/>
                <w:lang w:val="tr-TR"/>
              </w:rPr>
              <w:t>n</w:t>
            </w:r>
            <w:r w:rsidR="008E6068" w:rsidRPr="001A4B94">
              <w:rPr>
                <w:sz w:val="20"/>
                <w:szCs w:val="20"/>
                <w:lang w:val="tr-TR"/>
              </w:rPr>
              <w:t xml:space="preserve"> sadece yüzde 33’tür.</w:t>
            </w:r>
            <w:r w:rsidRPr="001A4B94">
              <w:rPr>
                <w:sz w:val="20"/>
                <w:szCs w:val="20"/>
                <w:lang w:val="tr-TR"/>
              </w:rPr>
              <w:t xml:space="preserve"> </w:t>
            </w:r>
            <w:r w:rsidR="008E6068" w:rsidRPr="001A4B94">
              <w:rPr>
                <w:sz w:val="20"/>
                <w:szCs w:val="20"/>
                <w:lang w:val="tr-TR"/>
              </w:rPr>
              <w:t>Kadınlar aynı zamanda gir</w:t>
            </w:r>
            <w:r w:rsidR="004673CB" w:rsidRPr="001A4B94">
              <w:rPr>
                <w:sz w:val="20"/>
                <w:szCs w:val="20"/>
                <w:lang w:val="tr-TR"/>
              </w:rPr>
              <w:t>i</w:t>
            </w:r>
            <w:r w:rsidR="008E6068" w:rsidRPr="001A4B94">
              <w:rPr>
                <w:sz w:val="20"/>
                <w:szCs w:val="20"/>
                <w:lang w:val="tr-TR"/>
              </w:rPr>
              <w:t xml:space="preserve">şimcilik, işletme sahipliği ve yönetimi gibi alanlarda da yetersiz temsil edilmektedir. Bu durum, </w:t>
            </w:r>
            <w:r w:rsidRPr="001A4B94">
              <w:rPr>
                <w:sz w:val="20"/>
                <w:szCs w:val="20"/>
                <w:lang w:val="tr-TR"/>
              </w:rPr>
              <w:t xml:space="preserve"> </w:t>
            </w:r>
            <w:r w:rsidR="008E6068" w:rsidRPr="001A4B94">
              <w:rPr>
                <w:sz w:val="20"/>
                <w:szCs w:val="20"/>
                <w:lang w:val="tr-TR"/>
              </w:rPr>
              <w:t>söz konusu faaliyetlere giriş</w:t>
            </w:r>
            <w:r w:rsidR="005160D5" w:rsidRPr="001A4B94">
              <w:rPr>
                <w:sz w:val="20"/>
                <w:szCs w:val="20"/>
                <w:lang w:val="tr-TR"/>
              </w:rPr>
              <w:t>in</w:t>
            </w:r>
            <w:r w:rsidR="008E6068" w:rsidRPr="001A4B94">
              <w:rPr>
                <w:sz w:val="20"/>
                <w:szCs w:val="20"/>
                <w:lang w:val="tr-TR"/>
              </w:rPr>
              <w:t xml:space="preserve"> ve bun</w:t>
            </w:r>
            <w:r w:rsidR="004673CB" w:rsidRPr="001A4B94">
              <w:rPr>
                <w:sz w:val="20"/>
                <w:szCs w:val="20"/>
                <w:lang w:val="tr-TR"/>
              </w:rPr>
              <w:t>l</w:t>
            </w:r>
            <w:r w:rsidR="008E6068" w:rsidRPr="001A4B94">
              <w:rPr>
                <w:sz w:val="20"/>
                <w:szCs w:val="20"/>
                <w:lang w:val="tr-TR"/>
              </w:rPr>
              <w:t>ara devam etme</w:t>
            </w:r>
            <w:r w:rsidR="005160D5" w:rsidRPr="001A4B94">
              <w:rPr>
                <w:sz w:val="20"/>
                <w:szCs w:val="20"/>
                <w:lang w:val="tr-TR"/>
              </w:rPr>
              <w:t>nin</w:t>
            </w:r>
            <w:r w:rsidR="008E6068" w:rsidRPr="001A4B94">
              <w:rPr>
                <w:sz w:val="20"/>
                <w:szCs w:val="20"/>
                <w:lang w:val="tr-TR"/>
              </w:rPr>
              <w:t xml:space="preserve"> önünde önemli sosyo-kültü</w:t>
            </w:r>
            <w:r w:rsidR="004673CB" w:rsidRPr="001A4B94">
              <w:rPr>
                <w:sz w:val="20"/>
                <w:szCs w:val="20"/>
                <w:lang w:val="tr-TR"/>
              </w:rPr>
              <w:t>r</w:t>
            </w:r>
            <w:r w:rsidR="008E6068" w:rsidRPr="001A4B94">
              <w:rPr>
                <w:sz w:val="20"/>
                <w:szCs w:val="20"/>
                <w:lang w:val="tr-TR"/>
              </w:rPr>
              <w:t>el ve ekonomik engell</w:t>
            </w:r>
            <w:r w:rsidR="004673CB" w:rsidRPr="001A4B94">
              <w:rPr>
                <w:sz w:val="20"/>
                <w:szCs w:val="20"/>
                <w:lang w:val="tr-TR"/>
              </w:rPr>
              <w:t>e</w:t>
            </w:r>
            <w:r w:rsidR="008E6068" w:rsidRPr="001A4B94">
              <w:rPr>
                <w:sz w:val="20"/>
                <w:szCs w:val="20"/>
                <w:lang w:val="tr-TR"/>
              </w:rPr>
              <w:t>r olduğunu göstermekt</w:t>
            </w:r>
            <w:r w:rsidR="004673CB" w:rsidRPr="001A4B94">
              <w:rPr>
                <w:sz w:val="20"/>
                <w:szCs w:val="20"/>
                <w:lang w:val="tr-TR"/>
              </w:rPr>
              <w:t>e</w:t>
            </w:r>
            <w:r w:rsidR="008E6068" w:rsidRPr="001A4B94">
              <w:rPr>
                <w:sz w:val="20"/>
                <w:szCs w:val="20"/>
                <w:lang w:val="tr-TR"/>
              </w:rPr>
              <w:t>dir.</w:t>
            </w:r>
            <w:r w:rsidRPr="001A4B94">
              <w:rPr>
                <w:sz w:val="20"/>
                <w:szCs w:val="20"/>
                <w:lang w:val="tr-TR"/>
              </w:rPr>
              <w:t xml:space="preserve"> </w:t>
            </w:r>
            <w:r w:rsidR="008E6068" w:rsidRPr="001A4B94">
              <w:rPr>
                <w:sz w:val="20"/>
                <w:szCs w:val="20"/>
                <w:lang w:val="tr-TR"/>
              </w:rPr>
              <w:t>Özellikle</w:t>
            </w:r>
            <w:r w:rsidR="000E44C5" w:rsidRPr="001A4B94">
              <w:rPr>
                <w:sz w:val="20"/>
                <w:szCs w:val="20"/>
                <w:lang w:val="tr-TR"/>
              </w:rPr>
              <w:t xml:space="preserve">, </w:t>
            </w:r>
            <w:r w:rsidR="008E6068" w:rsidRPr="001A4B94">
              <w:rPr>
                <w:sz w:val="20"/>
                <w:szCs w:val="20"/>
                <w:lang w:val="tr-TR"/>
              </w:rPr>
              <w:t>finansal tabana yaymada kadınlar ile erkekler arasındaki fark halen ni</w:t>
            </w:r>
            <w:r w:rsidR="004673CB" w:rsidRPr="001A4B94">
              <w:rPr>
                <w:sz w:val="20"/>
                <w:szCs w:val="20"/>
                <w:lang w:val="tr-TR"/>
              </w:rPr>
              <w:t>s</w:t>
            </w:r>
            <w:r w:rsidR="008E6068" w:rsidRPr="001A4B94">
              <w:rPr>
                <w:sz w:val="20"/>
                <w:szCs w:val="20"/>
                <w:lang w:val="tr-TR"/>
              </w:rPr>
              <w:t>peten yük</w:t>
            </w:r>
            <w:r w:rsidR="004673CB" w:rsidRPr="001A4B94">
              <w:rPr>
                <w:sz w:val="20"/>
                <w:szCs w:val="20"/>
                <w:lang w:val="tr-TR"/>
              </w:rPr>
              <w:t>s</w:t>
            </w:r>
            <w:r w:rsidR="008E6068" w:rsidRPr="001A4B94">
              <w:rPr>
                <w:sz w:val="20"/>
                <w:szCs w:val="20"/>
                <w:lang w:val="tr-TR"/>
              </w:rPr>
              <w:t>ek düzeyl</w:t>
            </w:r>
            <w:r w:rsidR="004673CB" w:rsidRPr="001A4B94">
              <w:rPr>
                <w:sz w:val="20"/>
                <w:szCs w:val="20"/>
                <w:lang w:val="tr-TR"/>
              </w:rPr>
              <w:t>e</w:t>
            </w:r>
            <w:r w:rsidR="008E6068" w:rsidRPr="001A4B94">
              <w:rPr>
                <w:sz w:val="20"/>
                <w:szCs w:val="20"/>
                <w:lang w:val="tr-TR"/>
              </w:rPr>
              <w:t xml:space="preserve">rdedir. </w:t>
            </w:r>
            <w:r w:rsidR="008E6068" w:rsidRPr="001A4B94">
              <w:rPr>
                <w:color w:val="000000" w:themeColor="text1"/>
                <w:sz w:val="20"/>
                <w:szCs w:val="20"/>
                <w:lang w:val="tr-TR"/>
              </w:rPr>
              <w:t>Bir örnek vermek gerekirse</w:t>
            </w:r>
            <w:r w:rsidRPr="001A4B94">
              <w:rPr>
                <w:color w:val="000000" w:themeColor="text1"/>
                <w:sz w:val="20"/>
                <w:szCs w:val="20"/>
                <w:lang w:val="tr-TR"/>
              </w:rPr>
              <w:t>, 2014</w:t>
            </w:r>
            <w:r w:rsidR="008E6068" w:rsidRPr="001A4B94">
              <w:rPr>
                <w:color w:val="000000" w:themeColor="text1"/>
                <w:sz w:val="20"/>
                <w:szCs w:val="20"/>
                <w:lang w:val="tr-TR"/>
              </w:rPr>
              <w:t xml:space="preserve"> yılı itibariyle</w:t>
            </w:r>
            <w:r w:rsidRPr="001A4B94">
              <w:rPr>
                <w:color w:val="000000" w:themeColor="text1"/>
                <w:sz w:val="20"/>
                <w:szCs w:val="20"/>
                <w:lang w:val="tr-TR"/>
              </w:rPr>
              <w:t xml:space="preserve">, </w:t>
            </w:r>
            <w:r w:rsidR="004673CB" w:rsidRPr="001A4B94">
              <w:rPr>
                <w:color w:val="000000" w:themeColor="text1"/>
                <w:sz w:val="20"/>
                <w:szCs w:val="20"/>
                <w:lang w:val="tr-TR"/>
              </w:rPr>
              <w:t xml:space="preserve">erkeklerin yüzde 70’i kayıtlı hesaba sahip iken bu oran kadınlar için sadece yüzde 44’tür. </w:t>
            </w:r>
          </w:p>
          <w:p w14:paraId="211A69BF" w14:textId="008FD475" w:rsidR="001A0127" w:rsidRPr="001A4B94" w:rsidRDefault="00F9149E" w:rsidP="000E44C5">
            <w:pPr>
              <w:spacing w:before="60"/>
              <w:jc w:val="both"/>
              <w:rPr>
                <w:sz w:val="20"/>
                <w:szCs w:val="20"/>
                <w:lang w:val="tr-TR"/>
              </w:rPr>
            </w:pPr>
            <w:r w:rsidRPr="001A4B94">
              <w:rPr>
                <w:i/>
                <w:sz w:val="20"/>
                <w:szCs w:val="20"/>
                <w:lang w:val="tr-TR"/>
              </w:rPr>
              <w:t>Kadınların temsil d</w:t>
            </w:r>
            <w:r w:rsidR="008E0966" w:rsidRPr="001A4B94">
              <w:rPr>
                <w:i/>
                <w:sz w:val="20"/>
                <w:szCs w:val="20"/>
                <w:lang w:val="tr-TR"/>
              </w:rPr>
              <w:t>üzeyi</w:t>
            </w:r>
            <w:r w:rsidRPr="001A4B94">
              <w:rPr>
                <w:i/>
                <w:sz w:val="20"/>
                <w:szCs w:val="20"/>
                <w:lang w:val="tr-TR"/>
              </w:rPr>
              <w:t xml:space="preserve"> nispeten zayıftır</w:t>
            </w:r>
            <w:r w:rsidR="001A0127" w:rsidRPr="001A4B94">
              <w:rPr>
                <w:i/>
                <w:sz w:val="20"/>
                <w:szCs w:val="20"/>
                <w:lang w:val="tr-TR"/>
              </w:rPr>
              <w:t>.</w:t>
            </w:r>
            <w:r w:rsidR="001A0127" w:rsidRPr="001A4B94">
              <w:rPr>
                <w:b/>
                <w:sz w:val="20"/>
                <w:szCs w:val="20"/>
                <w:lang w:val="tr-TR"/>
              </w:rPr>
              <w:t xml:space="preserve"> </w:t>
            </w:r>
            <w:r w:rsidR="00EE2F98" w:rsidRPr="001A4B94">
              <w:rPr>
                <w:sz w:val="20"/>
                <w:szCs w:val="20"/>
                <w:lang w:val="tr-TR"/>
              </w:rPr>
              <w:t>2015 itibariyle yüzde 14,</w:t>
            </w:r>
            <w:r w:rsidR="001A0127" w:rsidRPr="001A4B94">
              <w:rPr>
                <w:sz w:val="20"/>
                <w:szCs w:val="20"/>
                <w:lang w:val="tr-TR"/>
              </w:rPr>
              <w:t xml:space="preserve">9 </w:t>
            </w:r>
            <w:r w:rsidR="00EE2F98" w:rsidRPr="001A4B94">
              <w:rPr>
                <w:sz w:val="20"/>
                <w:szCs w:val="20"/>
                <w:lang w:val="tr-TR"/>
              </w:rPr>
              <w:t>olan kadınların Parlamentoda temsil oranı ECA o</w:t>
            </w:r>
            <w:r w:rsidR="00AA1085" w:rsidRPr="001A4B94">
              <w:rPr>
                <w:sz w:val="20"/>
                <w:szCs w:val="20"/>
                <w:lang w:val="tr-TR"/>
              </w:rPr>
              <w:t>r</w:t>
            </w:r>
            <w:r w:rsidR="00EE2F98" w:rsidRPr="001A4B94">
              <w:rPr>
                <w:sz w:val="20"/>
                <w:szCs w:val="20"/>
                <w:lang w:val="tr-TR"/>
              </w:rPr>
              <w:t>talaması olan yüzde 25,7</w:t>
            </w:r>
            <w:r w:rsidR="008E0966" w:rsidRPr="001A4B94">
              <w:rPr>
                <w:sz w:val="20"/>
                <w:szCs w:val="20"/>
                <w:lang w:val="tr-TR"/>
              </w:rPr>
              <w:t>’</w:t>
            </w:r>
            <w:r w:rsidR="00EE2F98" w:rsidRPr="001A4B94">
              <w:rPr>
                <w:sz w:val="20"/>
                <w:szCs w:val="20"/>
                <w:lang w:val="tr-TR"/>
              </w:rPr>
              <w:t>nin halen altındadı</w:t>
            </w:r>
            <w:r w:rsidR="00AA1085" w:rsidRPr="001A4B94">
              <w:rPr>
                <w:sz w:val="20"/>
                <w:szCs w:val="20"/>
                <w:lang w:val="tr-TR"/>
              </w:rPr>
              <w:t>r</w:t>
            </w:r>
            <w:r w:rsidR="001A0127" w:rsidRPr="001A4B94">
              <w:rPr>
                <w:sz w:val="20"/>
                <w:szCs w:val="20"/>
                <w:lang w:val="tr-TR"/>
              </w:rPr>
              <w:t xml:space="preserve">.  </w:t>
            </w:r>
            <w:r w:rsidR="00AA1085" w:rsidRPr="001A4B94">
              <w:rPr>
                <w:sz w:val="20"/>
                <w:szCs w:val="20"/>
                <w:lang w:val="tr-TR"/>
              </w:rPr>
              <w:t>Bakanlık konumundaki kadınl</w:t>
            </w:r>
            <w:r w:rsidR="008E0966" w:rsidRPr="001A4B94">
              <w:rPr>
                <w:sz w:val="20"/>
                <w:szCs w:val="20"/>
                <w:lang w:val="tr-TR"/>
              </w:rPr>
              <w:t>a</w:t>
            </w:r>
            <w:r w:rsidR="00AA1085" w:rsidRPr="001A4B94">
              <w:rPr>
                <w:sz w:val="20"/>
                <w:szCs w:val="20"/>
                <w:lang w:val="tr-TR"/>
              </w:rPr>
              <w:t xml:space="preserve">rın oranı ise yüzde 4 ile daha da düşük düzeydedir ve </w:t>
            </w:r>
            <w:r w:rsidR="0041628C" w:rsidRPr="001A4B94">
              <w:rPr>
                <w:sz w:val="20"/>
                <w:szCs w:val="20"/>
                <w:lang w:val="tr-TR"/>
              </w:rPr>
              <w:t xml:space="preserve">2015 yılı itibariyle </w:t>
            </w:r>
            <w:r w:rsidR="00AA1085" w:rsidRPr="001A4B94">
              <w:rPr>
                <w:sz w:val="20"/>
                <w:szCs w:val="20"/>
                <w:lang w:val="tr-TR"/>
              </w:rPr>
              <w:t xml:space="preserve">ECA ortalaması olan yüzde </w:t>
            </w:r>
            <w:r w:rsidR="0041628C" w:rsidRPr="001A4B94">
              <w:rPr>
                <w:sz w:val="20"/>
                <w:szCs w:val="20"/>
                <w:lang w:val="tr-TR"/>
              </w:rPr>
              <w:t>21,8’in oldukça altında kalmaktadır</w:t>
            </w:r>
            <w:r w:rsidR="001A0127" w:rsidRPr="001A4B94">
              <w:rPr>
                <w:sz w:val="20"/>
                <w:szCs w:val="20"/>
                <w:lang w:val="tr-TR"/>
              </w:rPr>
              <w:t xml:space="preserve">. </w:t>
            </w:r>
            <w:r w:rsidR="0041628C" w:rsidRPr="001A4B94">
              <w:rPr>
                <w:sz w:val="20"/>
                <w:szCs w:val="20"/>
                <w:lang w:val="tr-TR"/>
              </w:rPr>
              <w:t xml:space="preserve">Yerel düzeyde de tablo çok fazla değişmemektedir: yerel yönetim organlarındaki kadın temsilcilerin oranı sadece yüzde  4’tür. </w:t>
            </w:r>
          </w:p>
        </w:tc>
      </w:tr>
    </w:tbl>
    <w:p w14:paraId="5078D3D3" w14:textId="77777777" w:rsidR="001A0127" w:rsidRPr="001A4B94" w:rsidRDefault="001A0127" w:rsidP="00071D26">
      <w:pPr>
        <w:pStyle w:val="ListeParagraf"/>
        <w:tabs>
          <w:tab w:val="left" w:pos="426"/>
        </w:tabs>
        <w:autoSpaceDE w:val="0"/>
        <w:autoSpaceDN w:val="0"/>
        <w:adjustRightInd w:val="0"/>
        <w:spacing w:after="0" w:line="240" w:lineRule="auto"/>
        <w:ind w:left="0"/>
        <w:jc w:val="both"/>
        <w:rPr>
          <w:rFonts w:ascii="Times New Roman" w:hAnsi="Times New Roman"/>
          <w:sz w:val="12"/>
          <w:szCs w:val="12"/>
          <w:lang w:val="tr-TR"/>
        </w:rPr>
      </w:pPr>
    </w:p>
    <w:p w14:paraId="7F001A37" w14:textId="4815CEB4" w:rsidR="00786B35" w:rsidRPr="001A4B94" w:rsidRDefault="00824006" w:rsidP="00786B35">
      <w:pPr>
        <w:pStyle w:val="Balk2"/>
        <w:rPr>
          <w:rFonts w:ascii="Times New Roman" w:hAnsi="Times New Roman" w:cs="Times New Roman"/>
          <w:b/>
          <w:i/>
          <w:color w:val="auto"/>
          <w:lang w:val="tr-TR"/>
        </w:rPr>
      </w:pPr>
      <w:bookmarkStart w:id="5" w:name="_Toc494977324"/>
      <w:r w:rsidRPr="001A4B94">
        <w:rPr>
          <w:rFonts w:ascii="Times New Roman" w:hAnsi="Times New Roman" w:cs="Times New Roman"/>
          <w:b/>
          <w:i/>
          <w:color w:val="auto"/>
          <w:lang w:val="tr-TR"/>
        </w:rPr>
        <w:t>II</w:t>
      </w:r>
      <w:r w:rsidR="00786B35" w:rsidRPr="001A4B94">
        <w:rPr>
          <w:rFonts w:ascii="Times New Roman" w:hAnsi="Times New Roman" w:cs="Times New Roman"/>
          <w:b/>
          <w:i/>
          <w:color w:val="auto"/>
          <w:lang w:val="tr-TR"/>
        </w:rPr>
        <w:t xml:space="preserve">.4 </w:t>
      </w:r>
      <w:r w:rsidR="00940634" w:rsidRPr="001A4B94">
        <w:rPr>
          <w:rFonts w:ascii="Times New Roman" w:hAnsi="Times New Roman" w:cs="Times New Roman"/>
          <w:b/>
          <w:i/>
          <w:color w:val="auto"/>
          <w:lang w:val="tr-TR"/>
        </w:rPr>
        <w:t>Kalkınma Zorlukları</w:t>
      </w:r>
      <w:bookmarkEnd w:id="5"/>
      <w:r w:rsidR="00940634" w:rsidRPr="001A4B94">
        <w:rPr>
          <w:rFonts w:ascii="Times New Roman" w:hAnsi="Times New Roman" w:cs="Times New Roman"/>
          <w:b/>
          <w:i/>
          <w:color w:val="auto"/>
          <w:lang w:val="tr-TR"/>
        </w:rPr>
        <w:t xml:space="preserve"> </w:t>
      </w:r>
    </w:p>
    <w:p w14:paraId="0D6D8502" w14:textId="185CD4CC" w:rsidR="00786B35" w:rsidRPr="001A4B94" w:rsidRDefault="009863AF" w:rsidP="00786B35">
      <w:pPr>
        <w:pStyle w:val="ListeParagraf"/>
        <w:numPr>
          <w:ilvl w:val="0"/>
          <w:numId w:val="2"/>
        </w:numPr>
        <w:tabs>
          <w:tab w:val="left" w:pos="540"/>
        </w:tabs>
        <w:autoSpaceDE w:val="0"/>
        <w:autoSpaceDN w:val="0"/>
        <w:adjustRightInd w:val="0"/>
        <w:spacing w:before="100" w:beforeAutospacing="1" w:after="0" w:line="240" w:lineRule="auto"/>
        <w:ind w:left="0" w:firstLine="0"/>
        <w:contextualSpacing w:val="0"/>
        <w:jc w:val="both"/>
        <w:rPr>
          <w:rFonts w:ascii="Times New Roman" w:hAnsi="Times New Roman"/>
          <w:sz w:val="23"/>
          <w:szCs w:val="23"/>
          <w:lang w:val="tr-TR"/>
        </w:rPr>
      </w:pPr>
      <w:r w:rsidRPr="001A4B94">
        <w:rPr>
          <w:rFonts w:ascii="Times New Roman" w:hAnsi="Times New Roman"/>
          <w:b/>
          <w:sz w:val="23"/>
          <w:szCs w:val="23"/>
          <w:lang w:val="tr-TR"/>
        </w:rPr>
        <w:t xml:space="preserve">Kısa süre önce tamamlanan Sistematik Ülke Değerlendirmesi </w:t>
      </w:r>
      <w:r w:rsidR="00786B35" w:rsidRPr="001A4B94">
        <w:rPr>
          <w:rFonts w:ascii="Times New Roman" w:hAnsi="Times New Roman"/>
          <w:b/>
          <w:sz w:val="23"/>
          <w:szCs w:val="23"/>
          <w:lang w:val="tr-TR"/>
        </w:rPr>
        <w:t>(SCD</w:t>
      </w:r>
      <w:r w:rsidR="00BD1A4D" w:rsidRPr="001A4B94">
        <w:rPr>
          <w:rFonts w:ascii="Times New Roman" w:hAnsi="Times New Roman"/>
          <w:b/>
          <w:sz w:val="23"/>
          <w:szCs w:val="23"/>
          <w:lang w:val="tr-TR"/>
        </w:rPr>
        <w:t>)</w:t>
      </w:r>
      <w:r w:rsidR="00786B35" w:rsidRPr="001A4B94">
        <w:rPr>
          <w:rFonts w:ascii="Times New Roman" w:hAnsi="Times New Roman"/>
          <w:b/>
          <w:sz w:val="23"/>
          <w:szCs w:val="23"/>
          <w:lang w:val="tr-TR"/>
        </w:rPr>
        <w:t xml:space="preserve"> </w:t>
      </w:r>
      <w:r w:rsidR="00510F79" w:rsidRPr="001A4B94">
        <w:rPr>
          <w:rFonts w:ascii="Times New Roman" w:hAnsi="Times New Roman"/>
          <w:b/>
          <w:sz w:val="23"/>
          <w:szCs w:val="23"/>
          <w:lang w:val="tr-TR"/>
        </w:rPr>
        <w:t>Türkiye’nin yü</w:t>
      </w:r>
      <w:r w:rsidR="00DC3360" w:rsidRPr="001A4B94">
        <w:rPr>
          <w:rFonts w:ascii="Times New Roman" w:hAnsi="Times New Roman"/>
          <w:b/>
          <w:sz w:val="23"/>
          <w:szCs w:val="23"/>
          <w:lang w:val="tr-TR"/>
        </w:rPr>
        <w:t>k</w:t>
      </w:r>
      <w:r w:rsidR="00510F79" w:rsidRPr="001A4B94">
        <w:rPr>
          <w:rFonts w:ascii="Times New Roman" w:hAnsi="Times New Roman"/>
          <w:b/>
          <w:sz w:val="23"/>
          <w:szCs w:val="23"/>
          <w:lang w:val="tr-TR"/>
        </w:rPr>
        <w:t>s</w:t>
      </w:r>
      <w:r w:rsidR="00DC3360" w:rsidRPr="001A4B94">
        <w:rPr>
          <w:rFonts w:ascii="Times New Roman" w:hAnsi="Times New Roman"/>
          <w:b/>
          <w:sz w:val="23"/>
          <w:szCs w:val="23"/>
          <w:lang w:val="tr-TR"/>
        </w:rPr>
        <w:t>ek gelirli ülke statüsüne geçişini tamamlaması, daha f</w:t>
      </w:r>
      <w:r w:rsidR="0098471A" w:rsidRPr="001A4B94">
        <w:rPr>
          <w:rFonts w:ascii="Times New Roman" w:hAnsi="Times New Roman"/>
          <w:b/>
          <w:sz w:val="23"/>
          <w:szCs w:val="23"/>
          <w:lang w:val="tr-TR"/>
        </w:rPr>
        <w:t>a</w:t>
      </w:r>
      <w:r w:rsidR="00DC3360" w:rsidRPr="001A4B94">
        <w:rPr>
          <w:rFonts w:ascii="Times New Roman" w:hAnsi="Times New Roman"/>
          <w:b/>
          <w:sz w:val="23"/>
          <w:szCs w:val="23"/>
          <w:lang w:val="tr-TR"/>
        </w:rPr>
        <w:t>zla ve daha iyi işler yaratması, yoksulluğu azaltması ve paylaşılan refahı arttırması önündeki kilit</w:t>
      </w:r>
      <w:r w:rsidR="00510F79" w:rsidRPr="001A4B94">
        <w:rPr>
          <w:rFonts w:ascii="Times New Roman" w:hAnsi="Times New Roman"/>
          <w:b/>
          <w:sz w:val="23"/>
          <w:szCs w:val="23"/>
          <w:lang w:val="tr-TR"/>
        </w:rPr>
        <w:t xml:space="preserve"> bağlayıcı kısıtları tespit etm</w:t>
      </w:r>
      <w:r w:rsidR="00DC3360" w:rsidRPr="001A4B94">
        <w:rPr>
          <w:rFonts w:ascii="Times New Roman" w:hAnsi="Times New Roman"/>
          <w:b/>
          <w:sz w:val="23"/>
          <w:szCs w:val="23"/>
          <w:lang w:val="tr-TR"/>
        </w:rPr>
        <w:t xml:space="preserve">ektedir. </w:t>
      </w:r>
      <w:r w:rsidR="00DC3360" w:rsidRPr="001A4B94">
        <w:rPr>
          <w:rFonts w:ascii="Times New Roman" w:hAnsi="Times New Roman"/>
          <w:sz w:val="23"/>
          <w:szCs w:val="23"/>
          <w:lang w:val="tr-TR"/>
        </w:rPr>
        <w:t>Analitik çerçeve dört ana</w:t>
      </w:r>
      <w:r w:rsidR="00DC3360" w:rsidRPr="001A4B94">
        <w:rPr>
          <w:rFonts w:ascii="Times New Roman" w:hAnsi="Times New Roman"/>
          <w:b/>
          <w:sz w:val="23"/>
          <w:szCs w:val="23"/>
          <w:lang w:val="tr-TR"/>
        </w:rPr>
        <w:t xml:space="preserve"> </w:t>
      </w:r>
      <w:r w:rsidR="00DC3360" w:rsidRPr="001A4B94">
        <w:rPr>
          <w:rFonts w:ascii="Times New Roman" w:hAnsi="Times New Roman"/>
          <w:sz w:val="23"/>
          <w:szCs w:val="23"/>
          <w:lang w:val="tr-TR"/>
        </w:rPr>
        <w:t xml:space="preserve">alan </w:t>
      </w:r>
      <w:r w:rsidR="0098471A" w:rsidRPr="001A4B94">
        <w:rPr>
          <w:rFonts w:ascii="Times New Roman" w:hAnsi="Times New Roman"/>
          <w:sz w:val="23"/>
          <w:szCs w:val="23"/>
          <w:lang w:val="tr-TR"/>
        </w:rPr>
        <w:t>etrafında yapılandırılmıştır</w:t>
      </w:r>
      <w:r w:rsidR="00786B35" w:rsidRPr="001A4B94">
        <w:rPr>
          <w:rFonts w:ascii="Times New Roman" w:hAnsi="Times New Roman"/>
          <w:sz w:val="23"/>
          <w:szCs w:val="23"/>
          <w:lang w:val="tr-TR"/>
        </w:rPr>
        <w:t xml:space="preserve">: (a) </w:t>
      </w:r>
      <w:r w:rsidR="0098471A" w:rsidRPr="001A4B94">
        <w:rPr>
          <w:rFonts w:ascii="Times New Roman" w:hAnsi="Times New Roman"/>
          <w:sz w:val="23"/>
          <w:szCs w:val="23"/>
          <w:lang w:val="tr-TR"/>
        </w:rPr>
        <w:t>Kurumlar, piyasalar, ekonomik ve sosyal istikrar ü</w:t>
      </w:r>
      <w:r w:rsidR="00510F79" w:rsidRPr="001A4B94">
        <w:rPr>
          <w:rFonts w:ascii="Times New Roman" w:hAnsi="Times New Roman"/>
          <w:sz w:val="23"/>
          <w:szCs w:val="23"/>
          <w:lang w:val="tr-TR"/>
        </w:rPr>
        <w:t>z</w:t>
      </w:r>
      <w:r w:rsidR="0098471A" w:rsidRPr="001A4B94">
        <w:rPr>
          <w:rFonts w:ascii="Times New Roman" w:hAnsi="Times New Roman"/>
          <w:sz w:val="23"/>
          <w:szCs w:val="23"/>
          <w:lang w:val="tr-TR"/>
        </w:rPr>
        <w:t>erin</w:t>
      </w:r>
      <w:r w:rsidR="00510F79" w:rsidRPr="001A4B94">
        <w:rPr>
          <w:rFonts w:ascii="Times New Roman" w:hAnsi="Times New Roman"/>
          <w:sz w:val="23"/>
          <w:szCs w:val="23"/>
          <w:lang w:val="tr-TR"/>
        </w:rPr>
        <w:t>d</w:t>
      </w:r>
      <w:r w:rsidR="0098471A" w:rsidRPr="001A4B94">
        <w:rPr>
          <w:rFonts w:ascii="Times New Roman" w:hAnsi="Times New Roman"/>
          <w:sz w:val="23"/>
          <w:szCs w:val="23"/>
          <w:lang w:val="tr-TR"/>
        </w:rPr>
        <w:t xml:space="preserve">e odaklanan </w:t>
      </w:r>
      <w:r w:rsidR="0098471A" w:rsidRPr="001A4B94">
        <w:rPr>
          <w:rFonts w:ascii="Times New Roman" w:hAnsi="Times New Roman"/>
          <w:i/>
          <w:sz w:val="23"/>
          <w:szCs w:val="23"/>
          <w:lang w:val="tr-TR"/>
        </w:rPr>
        <w:t>Sağlam Temeller</w:t>
      </w:r>
      <w:r w:rsidR="00786B35" w:rsidRPr="001A4B94">
        <w:rPr>
          <w:rFonts w:ascii="Times New Roman" w:hAnsi="Times New Roman"/>
          <w:sz w:val="23"/>
          <w:szCs w:val="23"/>
          <w:lang w:val="tr-TR"/>
        </w:rPr>
        <w:t xml:space="preserve">; (b) </w:t>
      </w:r>
      <w:r w:rsidR="0098471A" w:rsidRPr="001A4B94">
        <w:rPr>
          <w:rFonts w:ascii="Times New Roman" w:hAnsi="Times New Roman"/>
          <w:sz w:val="23"/>
          <w:szCs w:val="23"/>
          <w:lang w:val="tr-TR"/>
        </w:rPr>
        <w:t>böl</w:t>
      </w:r>
      <w:r w:rsidR="00510F79" w:rsidRPr="001A4B94">
        <w:rPr>
          <w:rFonts w:ascii="Times New Roman" w:hAnsi="Times New Roman"/>
          <w:sz w:val="23"/>
          <w:szCs w:val="23"/>
          <w:lang w:val="tr-TR"/>
        </w:rPr>
        <w:t>geler arasında insanların becer</w:t>
      </w:r>
      <w:r w:rsidR="0098471A" w:rsidRPr="001A4B94">
        <w:rPr>
          <w:rFonts w:ascii="Times New Roman" w:hAnsi="Times New Roman"/>
          <w:sz w:val="23"/>
          <w:szCs w:val="23"/>
          <w:lang w:val="tr-TR"/>
        </w:rPr>
        <w:t>ilere, e</w:t>
      </w:r>
      <w:r w:rsidR="00510F79" w:rsidRPr="001A4B94">
        <w:rPr>
          <w:rFonts w:ascii="Times New Roman" w:hAnsi="Times New Roman"/>
          <w:sz w:val="23"/>
          <w:szCs w:val="23"/>
          <w:lang w:val="tr-TR"/>
        </w:rPr>
        <w:t>ğ</w:t>
      </w:r>
      <w:r w:rsidR="0098471A" w:rsidRPr="001A4B94">
        <w:rPr>
          <w:rFonts w:ascii="Times New Roman" w:hAnsi="Times New Roman"/>
          <w:sz w:val="23"/>
          <w:szCs w:val="23"/>
          <w:lang w:val="tr-TR"/>
        </w:rPr>
        <w:t xml:space="preserve">itime, sağlığa ve ekonomik fırsatlara erişimini inceleyen </w:t>
      </w:r>
      <w:r w:rsidR="0098471A" w:rsidRPr="001A4B94">
        <w:rPr>
          <w:rFonts w:ascii="Times New Roman" w:hAnsi="Times New Roman"/>
          <w:i/>
          <w:sz w:val="23"/>
          <w:szCs w:val="23"/>
          <w:lang w:val="tr-TR"/>
        </w:rPr>
        <w:t>Üret</w:t>
      </w:r>
      <w:r w:rsidR="00E82F37" w:rsidRPr="001A4B94">
        <w:rPr>
          <w:rFonts w:ascii="Times New Roman" w:hAnsi="Times New Roman"/>
          <w:i/>
          <w:sz w:val="23"/>
          <w:szCs w:val="23"/>
          <w:lang w:val="tr-TR"/>
        </w:rPr>
        <w:t>k</w:t>
      </w:r>
      <w:r w:rsidR="0098471A" w:rsidRPr="001A4B94">
        <w:rPr>
          <w:rFonts w:ascii="Times New Roman" w:hAnsi="Times New Roman"/>
          <w:i/>
          <w:sz w:val="23"/>
          <w:szCs w:val="23"/>
          <w:lang w:val="tr-TR"/>
        </w:rPr>
        <w:t>en Bireyler</w:t>
      </w:r>
      <w:r w:rsidR="00786B35" w:rsidRPr="001A4B94">
        <w:rPr>
          <w:rFonts w:ascii="Times New Roman" w:hAnsi="Times New Roman"/>
          <w:sz w:val="23"/>
          <w:szCs w:val="23"/>
          <w:lang w:val="tr-TR"/>
        </w:rPr>
        <w:t xml:space="preserve">; (c) </w:t>
      </w:r>
      <w:r w:rsidR="00230391" w:rsidRPr="001A4B94">
        <w:rPr>
          <w:rFonts w:ascii="Times New Roman" w:hAnsi="Times New Roman"/>
          <w:sz w:val="23"/>
          <w:szCs w:val="23"/>
          <w:lang w:val="tr-TR"/>
        </w:rPr>
        <w:t>şirketl</w:t>
      </w:r>
      <w:r w:rsidR="00510F79" w:rsidRPr="001A4B94">
        <w:rPr>
          <w:rFonts w:ascii="Times New Roman" w:hAnsi="Times New Roman"/>
          <w:sz w:val="23"/>
          <w:szCs w:val="23"/>
          <w:lang w:val="tr-TR"/>
        </w:rPr>
        <w:t>e</w:t>
      </w:r>
      <w:r w:rsidR="00230391" w:rsidRPr="001A4B94">
        <w:rPr>
          <w:rFonts w:ascii="Times New Roman" w:hAnsi="Times New Roman"/>
          <w:sz w:val="23"/>
          <w:szCs w:val="23"/>
          <w:lang w:val="tr-TR"/>
        </w:rPr>
        <w:t>rin</w:t>
      </w:r>
      <w:r w:rsidR="00510F79" w:rsidRPr="001A4B94">
        <w:rPr>
          <w:rFonts w:ascii="Times New Roman" w:hAnsi="Times New Roman"/>
          <w:sz w:val="23"/>
          <w:szCs w:val="23"/>
          <w:lang w:val="tr-TR"/>
        </w:rPr>
        <w:t xml:space="preserve"> </w:t>
      </w:r>
      <w:r w:rsidR="00230391" w:rsidRPr="001A4B94">
        <w:rPr>
          <w:rFonts w:ascii="Times New Roman" w:hAnsi="Times New Roman"/>
          <w:sz w:val="23"/>
          <w:szCs w:val="23"/>
          <w:lang w:val="tr-TR"/>
        </w:rPr>
        <w:t>finansmana erişimini, yenilikçiliği ve yatı</w:t>
      </w:r>
      <w:r w:rsidR="00510F79" w:rsidRPr="001A4B94">
        <w:rPr>
          <w:rFonts w:ascii="Times New Roman" w:hAnsi="Times New Roman"/>
          <w:sz w:val="23"/>
          <w:szCs w:val="23"/>
          <w:lang w:val="tr-TR"/>
        </w:rPr>
        <w:t xml:space="preserve">rım </w:t>
      </w:r>
      <w:r w:rsidR="00230391" w:rsidRPr="001A4B94">
        <w:rPr>
          <w:rFonts w:ascii="Times New Roman" w:hAnsi="Times New Roman"/>
          <w:sz w:val="23"/>
          <w:szCs w:val="23"/>
          <w:lang w:val="tr-TR"/>
        </w:rPr>
        <w:t>fırsat</w:t>
      </w:r>
      <w:r w:rsidR="00510F79" w:rsidRPr="001A4B94">
        <w:rPr>
          <w:rFonts w:ascii="Times New Roman" w:hAnsi="Times New Roman"/>
          <w:sz w:val="23"/>
          <w:szCs w:val="23"/>
          <w:lang w:val="tr-TR"/>
        </w:rPr>
        <w:t>la</w:t>
      </w:r>
      <w:r w:rsidR="00230391" w:rsidRPr="001A4B94">
        <w:rPr>
          <w:rFonts w:ascii="Times New Roman" w:hAnsi="Times New Roman"/>
          <w:sz w:val="23"/>
          <w:szCs w:val="23"/>
          <w:lang w:val="tr-TR"/>
        </w:rPr>
        <w:t xml:space="preserve">rını değerlendiren </w:t>
      </w:r>
      <w:r w:rsidR="00230391" w:rsidRPr="001A4B94">
        <w:rPr>
          <w:rFonts w:ascii="Times New Roman" w:hAnsi="Times New Roman"/>
          <w:i/>
          <w:sz w:val="23"/>
          <w:szCs w:val="23"/>
          <w:lang w:val="tr-TR"/>
        </w:rPr>
        <w:t>Dinamik Şirketler</w:t>
      </w:r>
      <w:r w:rsidR="00786B35" w:rsidRPr="001A4B94">
        <w:rPr>
          <w:rFonts w:ascii="Times New Roman" w:hAnsi="Times New Roman"/>
          <w:sz w:val="23"/>
          <w:szCs w:val="23"/>
          <w:lang w:val="tr-TR"/>
        </w:rPr>
        <w:t xml:space="preserve">; </w:t>
      </w:r>
      <w:r w:rsidR="00230391" w:rsidRPr="001A4B94">
        <w:rPr>
          <w:rFonts w:ascii="Times New Roman" w:hAnsi="Times New Roman"/>
          <w:sz w:val="23"/>
          <w:szCs w:val="23"/>
          <w:lang w:val="tr-TR"/>
        </w:rPr>
        <w:t xml:space="preserve">ve </w:t>
      </w:r>
      <w:r w:rsidR="00786B35" w:rsidRPr="001A4B94">
        <w:rPr>
          <w:rFonts w:ascii="Times New Roman" w:hAnsi="Times New Roman"/>
          <w:sz w:val="23"/>
          <w:szCs w:val="23"/>
          <w:lang w:val="tr-TR"/>
        </w:rPr>
        <w:t xml:space="preserve">(d) </w:t>
      </w:r>
      <w:r w:rsidR="00230391" w:rsidRPr="001A4B94">
        <w:rPr>
          <w:rFonts w:ascii="Times New Roman" w:hAnsi="Times New Roman"/>
          <w:sz w:val="23"/>
          <w:szCs w:val="23"/>
          <w:lang w:val="tr-TR"/>
        </w:rPr>
        <w:t xml:space="preserve">bağlantı olanaklarını, altyapıyı ve doğal kaynakların korunmasını analiz eden </w:t>
      </w:r>
      <w:r w:rsidR="00230391" w:rsidRPr="001A4B94">
        <w:rPr>
          <w:rFonts w:ascii="Times New Roman" w:hAnsi="Times New Roman"/>
          <w:i/>
          <w:sz w:val="23"/>
          <w:szCs w:val="23"/>
          <w:lang w:val="tr-TR"/>
        </w:rPr>
        <w:t>Kamu Varlıkl</w:t>
      </w:r>
      <w:r w:rsidR="00510F79" w:rsidRPr="001A4B94">
        <w:rPr>
          <w:rFonts w:ascii="Times New Roman" w:hAnsi="Times New Roman"/>
          <w:i/>
          <w:sz w:val="23"/>
          <w:szCs w:val="23"/>
          <w:lang w:val="tr-TR"/>
        </w:rPr>
        <w:t>a</w:t>
      </w:r>
      <w:r w:rsidR="00230391" w:rsidRPr="001A4B94">
        <w:rPr>
          <w:rFonts w:ascii="Times New Roman" w:hAnsi="Times New Roman"/>
          <w:i/>
          <w:sz w:val="23"/>
          <w:szCs w:val="23"/>
          <w:lang w:val="tr-TR"/>
        </w:rPr>
        <w:t>rı ve Kaynakları</w:t>
      </w:r>
      <w:r w:rsidR="00500755" w:rsidRPr="001A4B94">
        <w:rPr>
          <w:rFonts w:ascii="Times New Roman" w:hAnsi="Times New Roman"/>
          <w:sz w:val="23"/>
          <w:szCs w:val="23"/>
          <w:lang w:val="tr-TR"/>
        </w:rPr>
        <w:t>.</w:t>
      </w:r>
    </w:p>
    <w:p w14:paraId="3D945E17" w14:textId="77777777" w:rsidR="00786B35" w:rsidRPr="001A4B94" w:rsidRDefault="00786B35" w:rsidP="00786B35">
      <w:pPr>
        <w:pStyle w:val="ListeParagraf"/>
        <w:tabs>
          <w:tab w:val="left" w:pos="540"/>
        </w:tabs>
        <w:autoSpaceDE w:val="0"/>
        <w:autoSpaceDN w:val="0"/>
        <w:adjustRightInd w:val="0"/>
        <w:spacing w:after="0" w:line="240" w:lineRule="auto"/>
        <w:ind w:left="0"/>
        <w:jc w:val="both"/>
        <w:rPr>
          <w:rFonts w:ascii="Times New Roman" w:hAnsi="Times New Roman"/>
          <w:sz w:val="23"/>
          <w:szCs w:val="23"/>
          <w:lang w:val="tr-TR"/>
        </w:rPr>
      </w:pPr>
    </w:p>
    <w:p w14:paraId="7FEA7351" w14:textId="2CDCBFBE" w:rsidR="00786B35" w:rsidRPr="001A4B94" w:rsidRDefault="00230391" w:rsidP="00786B35">
      <w:pPr>
        <w:pStyle w:val="ListeParagraf"/>
        <w:numPr>
          <w:ilvl w:val="0"/>
          <w:numId w:val="2"/>
        </w:numPr>
        <w:tabs>
          <w:tab w:val="left" w:pos="540"/>
        </w:tabs>
        <w:autoSpaceDE w:val="0"/>
        <w:autoSpaceDN w:val="0"/>
        <w:adjustRightInd w:val="0"/>
        <w:spacing w:line="240" w:lineRule="auto"/>
        <w:ind w:left="0" w:firstLine="0"/>
        <w:contextualSpacing w:val="0"/>
        <w:jc w:val="both"/>
        <w:rPr>
          <w:rFonts w:ascii="Times New Roman" w:hAnsi="Times New Roman"/>
          <w:sz w:val="23"/>
          <w:szCs w:val="23"/>
          <w:lang w:val="tr-TR"/>
        </w:rPr>
      </w:pPr>
      <w:r w:rsidRPr="001A4B94">
        <w:rPr>
          <w:rFonts w:ascii="Times New Roman" w:hAnsi="Times New Roman"/>
          <w:b/>
          <w:i/>
          <w:sz w:val="23"/>
          <w:szCs w:val="23"/>
          <w:lang w:val="tr-TR"/>
        </w:rPr>
        <w:t>Sağlam Temeller</w:t>
      </w:r>
      <w:r w:rsidRPr="001A4B94">
        <w:rPr>
          <w:rFonts w:ascii="Times New Roman" w:hAnsi="Times New Roman"/>
          <w:b/>
          <w:sz w:val="23"/>
          <w:szCs w:val="23"/>
          <w:lang w:val="tr-TR"/>
        </w:rPr>
        <w:t xml:space="preserve"> alanındaki başlıca zorluklar</w:t>
      </w:r>
      <w:r w:rsidR="00E82F37" w:rsidRPr="001A4B94">
        <w:rPr>
          <w:rFonts w:ascii="Times New Roman" w:hAnsi="Times New Roman"/>
          <w:b/>
          <w:sz w:val="23"/>
          <w:szCs w:val="23"/>
          <w:lang w:val="tr-TR"/>
        </w:rPr>
        <w:t>,</w:t>
      </w:r>
      <w:r w:rsidRPr="001A4B94">
        <w:rPr>
          <w:rFonts w:ascii="Times New Roman" w:hAnsi="Times New Roman"/>
          <w:b/>
          <w:sz w:val="23"/>
          <w:szCs w:val="23"/>
          <w:lang w:val="tr-TR"/>
        </w:rPr>
        <w:t xml:space="preserve"> düzenleyici ve denetleyici kurumların kalitesini yükseltmek; Orta Doğu bölgesindeki jeopolitik çalkantıların etkilerini ortadan kaldırmak</w:t>
      </w:r>
      <w:r w:rsidR="00F91232" w:rsidRPr="001A4B94">
        <w:rPr>
          <w:rFonts w:ascii="Times New Roman" w:hAnsi="Times New Roman"/>
          <w:b/>
          <w:sz w:val="23"/>
          <w:szCs w:val="23"/>
          <w:lang w:val="tr-TR"/>
        </w:rPr>
        <w:t xml:space="preserve">; </w:t>
      </w:r>
      <w:r w:rsidRPr="001A4B94">
        <w:rPr>
          <w:rFonts w:ascii="Times New Roman" w:hAnsi="Times New Roman"/>
          <w:b/>
          <w:sz w:val="23"/>
          <w:szCs w:val="23"/>
          <w:lang w:val="tr-TR"/>
        </w:rPr>
        <w:t>sermaye piyasalarını geliştirmek ve makro-mali riskleri azaltmaktır</w:t>
      </w:r>
      <w:r w:rsidR="00F91232" w:rsidRPr="001A4B94">
        <w:rPr>
          <w:rFonts w:ascii="Times New Roman" w:hAnsi="Times New Roman"/>
          <w:b/>
          <w:sz w:val="23"/>
          <w:szCs w:val="23"/>
          <w:lang w:val="tr-TR"/>
        </w:rPr>
        <w:t>.</w:t>
      </w:r>
      <w:r w:rsidR="00F91232" w:rsidRPr="001A4B94">
        <w:rPr>
          <w:rFonts w:ascii="Times New Roman" w:hAnsi="Times New Roman"/>
          <w:sz w:val="23"/>
          <w:szCs w:val="23"/>
          <w:lang w:val="tr-TR"/>
        </w:rPr>
        <w:t xml:space="preserve"> </w:t>
      </w:r>
      <w:r w:rsidRPr="001A4B94">
        <w:rPr>
          <w:rFonts w:ascii="Times New Roman" w:hAnsi="Times New Roman"/>
          <w:sz w:val="23"/>
          <w:szCs w:val="23"/>
          <w:lang w:val="tr-TR"/>
        </w:rPr>
        <w:t xml:space="preserve">Kurumların kalitesini yükseltmek </w:t>
      </w:r>
      <w:r w:rsidR="00632205" w:rsidRPr="001A4B94">
        <w:rPr>
          <w:rFonts w:ascii="Times New Roman" w:hAnsi="Times New Roman"/>
          <w:sz w:val="23"/>
          <w:szCs w:val="23"/>
          <w:lang w:val="tr-TR"/>
        </w:rPr>
        <w:t>sermaye çekme imkanını arttıracak, yenilikçiliği teşvik edecek ve doğal kaynakları koruyacaktır</w:t>
      </w:r>
      <w:r w:rsidR="00786B35" w:rsidRPr="001A4B94">
        <w:rPr>
          <w:rFonts w:ascii="Times New Roman" w:hAnsi="Times New Roman"/>
          <w:sz w:val="23"/>
          <w:szCs w:val="23"/>
          <w:lang w:val="tr-TR"/>
        </w:rPr>
        <w:t xml:space="preserve">. </w:t>
      </w:r>
      <w:r w:rsidR="00632205" w:rsidRPr="001A4B94">
        <w:rPr>
          <w:rFonts w:ascii="Times New Roman" w:hAnsi="Times New Roman"/>
          <w:sz w:val="23"/>
          <w:szCs w:val="23"/>
          <w:lang w:val="tr-TR"/>
        </w:rPr>
        <w:t>İkinci bir kilit darboğaz</w:t>
      </w:r>
      <w:r w:rsidR="00E82F37" w:rsidRPr="001A4B94">
        <w:rPr>
          <w:rFonts w:ascii="Times New Roman" w:hAnsi="Times New Roman"/>
          <w:sz w:val="23"/>
          <w:szCs w:val="23"/>
          <w:lang w:val="tr-TR"/>
        </w:rPr>
        <w:t>,</w:t>
      </w:r>
      <w:r w:rsidR="00632205" w:rsidRPr="001A4B94">
        <w:rPr>
          <w:rFonts w:ascii="Times New Roman" w:hAnsi="Times New Roman"/>
          <w:sz w:val="23"/>
          <w:szCs w:val="23"/>
          <w:lang w:val="tr-TR"/>
        </w:rPr>
        <w:t xml:space="preserve"> Orta Doğu bölgesindeki jeopolitik çalkantılar ve bunların Türkiye’nin güneydoğusu üzerin</w:t>
      </w:r>
      <w:r w:rsidR="00510F79" w:rsidRPr="001A4B94">
        <w:rPr>
          <w:rFonts w:ascii="Times New Roman" w:hAnsi="Times New Roman"/>
          <w:sz w:val="23"/>
          <w:szCs w:val="23"/>
          <w:lang w:val="tr-TR"/>
        </w:rPr>
        <w:t>d</w:t>
      </w:r>
      <w:r w:rsidR="00632205" w:rsidRPr="001A4B94">
        <w:rPr>
          <w:rFonts w:ascii="Times New Roman" w:hAnsi="Times New Roman"/>
          <w:sz w:val="23"/>
          <w:szCs w:val="23"/>
          <w:lang w:val="tr-TR"/>
        </w:rPr>
        <w:t>eki ya</w:t>
      </w:r>
      <w:r w:rsidR="00510F79" w:rsidRPr="001A4B94">
        <w:rPr>
          <w:rFonts w:ascii="Times New Roman" w:hAnsi="Times New Roman"/>
          <w:sz w:val="23"/>
          <w:szCs w:val="23"/>
          <w:lang w:val="tr-TR"/>
        </w:rPr>
        <w:t>y</w:t>
      </w:r>
      <w:r w:rsidR="00632205" w:rsidRPr="001A4B94">
        <w:rPr>
          <w:rFonts w:ascii="Times New Roman" w:hAnsi="Times New Roman"/>
          <w:sz w:val="23"/>
          <w:szCs w:val="23"/>
          <w:lang w:val="tr-TR"/>
        </w:rPr>
        <w:t>ılma etkileridir</w:t>
      </w:r>
      <w:r w:rsidR="004B4912" w:rsidRPr="001A4B94">
        <w:rPr>
          <w:rFonts w:ascii="Times New Roman" w:hAnsi="Times New Roman"/>
          <w:sz w:val="23"/>
          <w:szCs w:val="23"/>
          <w:lang w:val="tr-TR"/>
        </w:rPr>
        <w:t xml:space="preserve">: </w:t>
      </w:r>
      <w:r w:rsidR="00632205" w:rsidRPr="001A4B94">
        <w:rPr>
          <w:rFonts w:ascii="Times New Roman" w:hAnsi="Times New Roman"/>
          <w:sz w:val="23"/>
          <w:szCs w:val="23"/>
          <w:lang w:val="tr-TR"/>
        </w:rPr>
        <w:t>hizmetleri yaygınlaştırabilmek, yatırımları çekebilmek, istihdam yaratabilmek ve insan sermayesi birikimini teşvik edebi</w:t>
      </w:r>
      <w:r w:rsidR="0088425C" w:rsidRPr="001A4B94">
        <w:rPr>
          <w:rFonts w:ascii="Times New Roman" w:hAnsi="Times New Roman"/>
          <w:sz w:val="23"/>
          <w:szCs w:val="23"/>
          <w:lang w:val="tr-TR"/>
        </w:rPr>
        <w:t>l</w:t>
      </w:r>
      <w:r w:rsidR="00632205" w:rsidRPr="001A4B94">
        <w:rPr>
          <w:rFonts w:ascii="Times New Roman" w:hAnsi="Times New Roman"/>
          <w:sz w:val="23"/>
          <w:szCs w:val="23"/>
          <w:lang w:val="tr-TR"/>
        </w:rPr>
        <w:t xml:space="preserve">mek için istikrarlı ve </w:t>
      </w:r>
      <w:r w:rsidR="0088425C" w:rsidRPr="001A4B94">
        <w:rPr>
          <w:rFonts w:ascii="Times New Roman" w:hAnsi="Times New Roman"/>
          <w:sz w:val="23"/>
          <w:szCs w:val="23"/>
          <w:lang w:val="tr-TR"/>
        </w:rPr>
        <w:t>güvenli bir ortam çok büyük önem taşır</w:t>
      </w:r>
      <w:r w:rsidR="00786B35" w:rsidRPr="001A4B94">
        <w:rPr>
          <w:rFonts w:ascii="Times New Roman" w:hAnsi="Times New Roman"/>
          <w:sz w:val="23"/>
          <w:szCs w:val="23"/>
          <w:lang w:val="tr-TR"/>
        </w:rPr>
        <w:t xml:space="preserve">. </w:t>
      </w:r>
      <w:r w:rsidR="00B21EDF" w:rsidRPr="001A4B94">
        <w:rPr>
          <w:rFonts w:ascii="Times New Roman" w:hAnsi="Times New Roman"/>
          <w:sz w:val="23"/>
          <w:szCs w:val="23"/>
          <w:lang w:val="tr-TR"/>
        </w:rPr>
        <w:t xml:space="preserve">Derinleştirilmeye ihtiyaç duyan sermaye piyasaları üçüncü bir darboğazdır. Bu darboğaz </w:t>
      </w:r>
      <w:r w:rsidR="004B4912" w:rsidRPr="001A4B94">
        <w:rPr>
          <w:rFonts w:ascii="Times New Roman" w:hAnsi="Times New Roman"/>
          <w:sz w:val="23"/>
          <w:szCs w:val="23"/>
          <w:lang w:val="tr-TR"/>
        </w:rPr>
        <w:t xml:space="preserve"> </w:t>
      </w:r>
      <w:r w:rsidR="00223C84" w:rsidRPr="001A4B94">
        <w:rPr>
          <w:rFonts w:ascii="Times New Roman" w:hAnsi="Times New Roman"/>
          <w:sz w:val="23"/>
          <w:szCs w:val="23"/>
          <w:lang w:val="tr-TR"/>
        </w:rPr>
        <w:t>kayıtlı tasarruflardaki, borçlanma düzenlerindeki, finansal okuryazarlık düzeyindeki ve kadınların finansal hizmetlere erişimindeki açıklara katkıda bulunmakta ve küçük şirketlerin büyüme ve yenilikçilik yapma imkanlarını kısıtlamaktadır</w:t>
      </w:r>
      <w:r w:rsidR="00786B35" w:rsidRPr="001A4B94">
        <w:rPr>
          <w:rFonts w:ascii="Times New Roman" w:hAnsi="Times New Roman"/>
          <w:sz w:val="23"/>
          <w:szCs w:val="23"/>
          <w:lang w:val="tr-TR"/>
        </w:rPr>
        <w:t xml:space="preserve">. </w:t>
      </w:r>
      <w:r w:rsidR="00223C84" w:rsidRPr="001A4B94">
        <w:rPr>
          <w:rFonts w:ascii="Times New Roman" w:hAnsi="Times New Roman"/>
          <w:sz w:val="23"/>
          <w:szCs w:val="23"/>
          <w:lang w:val="tr-TR"/>
        </w:rPr>
        <w:t>Dördüncü olarak</w:t>
      </w:r>
      <w:r w:rsidR="004B4912" w:rsidRPr="001A4B94">
        <w:rPr>
          <w:rFonts w:ascii="Times New Roman" w:hAnsi="Times New Roman"/>
          <w:sz w:val="23"/>
          <w:szCs w:val="23"/>
          <w:lang w:val="tr-TR"/>
        </w:rPr>
        <w:t xml:space="preserve">, </w:t>
      </w:r>
      <w:r w:rsidR="00223C84" w:rsidRPr="001A4B94">
        <w:rPr>
          <w:rFonts w:ascii="Times New Roman" w:hAnsi="Times New Roman"/>
          <w:sz w:val="23"/>
          <w:szCs w:val="23"/>
          <w:lang w:val="tr-TR"/>
        </w:rPr>
        <w:t xml:space="preserve">Türkiye </w:t>
      </w:r>
      <w:r w:rsidR="00884BA0" w:rsidRPr="001A4B94">
        <w:rPr>
          <w:rFonts w:ascii="Times New Roman" w:hAnsi="Times New Roman"/>
          <w:sz w:val="23"/>
          <w:szCs w:val="23"/>
          <w:lang w:val="tr-TR"/>
        </w:rPr>
        <w:t>makro mali risklerden kaynaklanan dışsal kırılganlıklar ile karşı karşıyadır</w:t>
      </w:r>
      <w:r w:rsidR="00793C81" w:rsidRPr="001A4B94">
        <w:rPr>
          <w:rFonts w:ascii="Times New Roman" w:hAnsi="Times New Roman"/>
          <w:sz w:val="23"/>
          <w:szCs w:val="23"/>
          <w:lang w:val="tr-TR"/>
        </w:rPr>
        <w:t>.</w:t>
      </w:r>
      <w:r w:rsidR="00884BA0" w:rsidRPr="001A4B94">
        <w:rPr>
          <w:rFonts w:ascii="Times New Roman" w:hAnsi="Times New Roman"/>
          <w:sz w:val="23"/>
          <w:szCs w:val="23"/>
          <w:lang w:val="tr-TR"/>
        </w:rPr>
        <w:t xml:space="preserve"> </w:t>
      </w:r>
      <w:r w:rsidR="00793C81" w:rsidRPr="001A4B94">
        <w:rPr>
          <w:rFonts w:ascii="Times New Roman" w:hAnsi="Times New Roman"/>
          <w:sz w:val="23"/>
          <w:szCs w:val="23"/>
          <w:lang w:val="tr-TR"/>
        </w:rPr>
        <w:t>B</w:t>
      </w:r>
      <w:r w:rsidR="00884BA0" w:rsidRPr="001A4B94">
        <w:rPr>
          <w:rFonts w:ascii="Times New Roman" w:hAnsi="Times New Roman"/>
          <w:sz w:val="23"/>
          <w:szCs w:val="23"/>
          <w:lang w:val="tr-TR"/>
        </w:rPr>
        <w:t xml:space="preserve">unlar arasında özellikle </w:t>
      </w:r>
      <w:r w:rsidR="00786B35" w:rsidRPr="001A4B94">
        <w:rPr>
          <w:rFonts w:ascii="Times New Roman" w:hAnsi="Times New Roman"/>
          <w:sz w:val="23"/>
          <w:szCs w:val="23"/>
          <w:lang w:val="tr-TR"/>
        </w:rPr>
        <w:t xml:space="preserve"> </w:t>
      </w:r>
      <w:r w:rsidR="00884BA0" w:rsidRPr="001A4B94">
        <w:rPr>
          <w:rFonts w:ascii="Times New Roman" w:hAnsi="Times New Roman"/>
          <w:sz w:val="23"/>
          <w:szCs w:val="23"/>
          <w:lang w:val="tr-TR"/>
        </w:rPr>
        <w:t>dış kaynaklı tasarruflara bağımlılık</w:t>
      </w:r>
      <w:r w:rsidR="00A061CD" w:rsidRPr="001A4B94">
        <w:rPr>
          <w:rFonts w:ascii="Times New Roman" w:hAnsi="Times New Roman"/>
          <w:sz w:val="23"/>
          <w:szCs w:val="23"/>
          <w:lang w:val="tr-TR"/>
        </w:rPr>
        <w:t xml:space="preserve"> ve yüksek miktardaki kısa vadeli borç stokunu çevirme ihtiyacı yer almaktadır. Bu bağlamda, </w:t>
      </w:r>
      <w:r w:rsidR="004B4912" w:rsidRPr="001A4B94">
        <w:rPr>
          <w:rFonts w:ascii="Times New Roman" w:hAnsi="Times New Roman"/>
          <w:sz w:val="23"/>
          <w:szCs w:val="23"/>
          <w:lang w:val="tr-TR"/>
        </w:rPr>
        <w:t xml:space="preserve"> </w:t>
      </w:r>
      <w:r w:rsidR="00A061CD" w:rsidRPr="001A4B94">
        <w:rPr>
          <w:rFonts w:ascii="Times New Roman" w:hAnsi="Times New Roman"/>
          <w:sz w:val="23"/>
          <w:szCs w:val="23"/>
          <w:lang w:val="tr-TR"/>
        </w:rPr>
        <w:t xml:space="preserve">küresel olarak artan riskten kaçınma davranışı </w:t>
      </w:r>
      <w:r w:rsidR="00A061CD" w:rsidRPr="001A4B94">
        <w:rPr>
          <w:rFonts w:ascii="Times New Roman" w:hAnsi="Times New Roman"/>
          <w:bCs/>
          <w:sz w:val="23"/>
          <w:szCs w:val="23"/>
          <w:lang w:val="tr-TR"/>
        </w:rPr>
        <w:t xml:space="preserve">Türkiye’yi hızlı sermaye çıkışlarına maruz bırakabilir. </w:t>
      </w:r>
    </w:p>
    <w:p w14:paraId="6056D7E5" w14:textId="4B5357C1" w:rsidR="00786B35" w:rsidRPr="001A4B94" w:rsidRDefault="00A061CD" w:rsidP="00FC35EF">
      <w:pPr>
        <w:pStyle w:val="ListeParagraf"/>
        <w:numPr>
          <w:ilvl w:val="0"/>
          <w:numId w:val="2"/>
        </w:numPr>
        <w:tabs>
          <w:tab w:val="left" w:pos="540"/>
        </w:tabs>
        <w:autoSpaceDE w:val="0"/>
        <w:autoSpaceDN w:val="0"/>
        <w:adjustRightInd w:val="0"/>
        <w:spacing w:after="100" w:line="240" w:lineRule="auto"/>
        <w:ind w:left="0" w:firstLine="0"/>
        <w:contextualSpacing w:val="0"/>
        <w:jc w:val="both"/>
        <w:rPr>
          <w:rFonts w:ascii="Times New Roman" w:hAnsi="Times New Roman"/>
          <w:sz w:val="23"/>
          <w:szCs w:val="23"/>
          <w:lang w:val="tr-TR"/>
        </w:rPr>
      </w:pPr>
      <w:r w:rsidRPr="001A4B94">
        <w:rPr>
          <w:rFonts w:ascii="Times New Roman" w:hAnsi="Times New Roman"/>
          <w:b/>
          <w:i/>
          <w:sz w:val="23"/>
          <w:szCs w:val="23"/>
          <w:lang w:val="tr-TR"/>
        </w:rPr>
        <w:lastRenderedPageBreak/>
        <w:t>Üretken Bireyler</w:t>
      </w:r>
      <w:r w:rsidRPr="001A4B94">
        <w:rPr>
          <w:rFonts w:ascii="Times New Roman" w:hAnsi="Times New Roman"/>
          <w:b/>
          <w:sz w:val="23"/>
          <w:szCs w:val="23"/>
          <w:lang w:val="tr-TR"/>
        </w:rPr>
        <w:t xml:space="preserve"> alanındaki </w:t>
      </w:r>
      <w:r w:rsidR="0027239C" w:rsidRPr="001A4B94">
        <w:rPr>
          <w:rFonts w:ascii="Times New Roman" w:hAnsi="Times New Roman"/>
          <w:b/>
          <w:sz w:val="23"/>
          <w:szCs w:val="23"/>
          <w:lang w:val="tr-TR"/>
        </w:rPr>
        <w:t>temel</w:t>
      </w:r>
      <w:r w:rsidRPr="001A4B94">
        <w:rPr>
          <w:rFonts w:ascii="Times New Roman" w:hAnsi="Times New Roman"/>
          <w:b/>
          <w:sz w:val="23"/>
          <w:szCs w:val="23"/>
          <w:lang w:val="tr-TR"/>
        </w:rPr>
        <w:t xml:space="preserve"> zorluklar </w:t>
      </w:r>
      <w:r w:rsidR="00793C81" w:rsidRPr="001A4B94">
        <w:rPr>
          <w:rFonts w:ascii="Times New Roman" w:hAnsi="Times New Roman"/>
          <w:b/>
          <w:sz w:val="23"/>
          <w:szCs w:val="23"/>
          <w:lang w:val="tr-TR"/>
        </w:rPr>
        <w:t xml:space="preserve">arasında; </w:t>
      </w:r>
      <w:r w:rsidR="0027239C" w:rsidRPr="001A4B94">
        <w:rPr>
          <w:rFonts w:ascii="Times New Roman" w:hAnsi="Times New Roman"/>
          <w:b/>
          <w:sz w:val="23"/>
          <w:szCs w:val="23"/>
          <w:lang w:val="tr-TR"/>
        </w:rPr>
        <w:t>eğitim başarısının düşük düzeyde olması</w:t>
      </w:r>
      <w:r w:rsidR="00786B35" w:rsidRPr="001A4B94">
        <w:rPr>
          <w:rFonts w:ascii="Times New Roman" w:hAnsi="Times New Roman"/>
          <w:b/>
          <w:sz w:val="23"/>
          <w:szCs w:val="23"/>
          <w:lang w:val="tr-TR"/>
        </w:rPr>
        <w:t xml:space="preserve">, </w:t>
      </w:r>
      <w:r w:rsidR="0027239C" w:rsidRPr="001A4B94">
        <w:rPr>
          <w:rFonts w:ascii="Times New Roman" w:hAnsi="Times New Roman"/>
          <w:b/>
          <w:sz w:val="23"/>
          <w:szCs w:val="23"/>
          <w:lang w:val="tr-TR"/>
        </w:rPr>
        <w:t>kadınların ekonomiye katılımının sınırlı olması  ve gerid</w:t>
      </w:r>
      <w:r w:rsidR="00FC68EF" w:rsidRPr="001A4B94">
        <w:rPr>
          <w:rFonts w:ascii="Times New Roman" w:hAnsi="Times New Roman"/>
          <w:b/>
          <w:sz w:val="23"/>
          <w:szCs w:val="23"/>
          <w:lang w:val="tr-TR"/>
        </w:rPr>
        <w:t>e</w:t>
      </w:r>
      <w:r w:rsidR="0027239C" w:rsidRPr="001A4B94">
        <w:rPr>
          <w:rFonts w:ascii="Times New Roman" w:hAnsi="Times New Roman"/>
          <w:b/>
          <w:sz w:val="23"/>
          <w:szCs w:val="23"/>
          <w:lang w:val="tr-TR"/>
        </w:rPr>
        <w:t xml:space="preserve"> kalmış bölgelerde </w:t>
      </w:r>
      <w:r w:rsidR="00FC68EF" w:rsidRPr="001A4B94">
        <w:rPr>
          <w:rFonts w:ascii="Times New Roman" w:hAnsi="Times New Roman"/>
          <w:b/>
          <w:sz w:val="23"/>
          <w:szCs w:val="23"/>
          <w:lang w:val="tr-TR"/>
        </w:rPr>
        <w:t>ekonomi</w:t>
      </w:r>
      <w:r w:rsidR="008C102E" w:rsidRPr="001A4B94">
        <w:rPr>
          <w:rFonts w:ascii="Times New Roman" w:hAnsi="Times New Roman"/>
          <w:b/>
          <w:sz w:val="23"/>
          <w:szCs w:val="23"/>
          <w:lang w:val="tr-TR"/>
        </w:rPr>
        <w:t>k ve sosyal hayattan dışlanma yer almaktadır</w:t>
      </w:r>
      <w:r w:rsidR="00786B35" w:rsidRPr="001A4B94">
        <w:rPr>
          <w:rFonts w:ascii="Times New Roman" w:hAnsi="Times New Roman"/>
          <w:b/>
          <w:sz w:val="23"/>
          <w:szCs w:val="23"/>
          <w:lang w:val="tr-TR"/>
        </w:rPr>
        <w:t>.</w:t>
      </w:r>
      <w:r w:rsidR="00786B35" w:rsidRPr="001A4B94">
        <w:rPr>
          <w:rFonts w:ascii="Times New Roman" w:hAnsi="Times New Roman"/>
          <w:sz w:val="23"/>
          <w:szCs w:val="23"/>
          <w:lang w:val="tr-TR"/>
        </w:rPr>
        <w:t xml:space="preserve"> </w:t>
      </w:r>
      <w:r w:rsidR="008C102E" w:rsidRPr="001A4B94">
        <w:rPr>
          <w:rFonts w:ascii="Times New Roman" w:hAnsi="Times New Roman"/>
          <w:sz w:val="23"/>
          <w:szCs w:val="23"/>
          <w:lang w:val="tr-TR"/>
        </w:rPr>
        <w:t>Şirketler yük</w:t>
      </w:r>
      <w:r w:rsidR="00FC68EF" w:rsidRPr="001A4B94">
        <w:rPr>
          <w:rFonts w:ascii="Times New Roman" w:hAnsi="Times New Roman"/>
          <w:sz w:val="23"/>
          <w:szCs w:val="23"/>
          <w:lang w:val="tr-TR"/>
        </w:rPr>
        <w:t>s</w:t>
      </w:r>
      <w:r w:rsidR="008C102E" w:rsidRPr="001A4B94">
        <w:rPr>
          <w:rFonts w:ascii="Times New Roman" w:hAnsi="Times New Roman"/>
          <w:sz w:val="23"/>
          <w:szCs w:val="23"/>
          <w:lang w:val="tr-TR"/>
        </w:rPr>
        <w:t>ek öğretim mezunl</w:t>
      </w:r>
      <w:r w:rsidR="000C3A6D" w:rsidRPr="001A4B94">
        <w:rPr>
          <w:rFonts w:ascii="Times New Roman" w:hAnsi="Times New Roman"/>
          <w:sz w:val="23"/>
          <w:szCs w:val="23"/>
          <w:lang w:val="tr-TR"/>
        </w:rPr>
        <w:t>a</w:t>
      </w:r>
      <w:r w:rsidR="008C102E" w:rsidRPr="001A4B94">
        <w:rPr>
          <w:rFonts w:ascii="Times New Roman" w:hAnsi="Times New Roman"/>
          <w:sz w:val="23"/>
          <w:szCs w:val="23"/>
          <w:lang w:val="tr-TR"/>
        </w:rPr>
        <w:t>rını işe alabildiklerinde ve bu mezunlar daha alt eğitim kademelerinde (okul öncesi dahil olmak üzere) doğru bilişsel ve davranışsal temelleri sunan kali</w:t>
      </w:r>
      <w:r w:rsidR="00FC68EF" w:rsidRPr="001A4B94">
        <w:rPr>
          <w:rFonts w:ascii="Times New Roman" w:hAnsi="Times New Roman"/>
          <w:sz w:val="23"/>
          <w:szCs w:val="23"/>
          <w:lang w:val="tr-TR"/>
        </w:rPr>
        <w:t>teli eğitimden yararlanmış olduk</w:t>
      </w:r>
      <w:r w:rsidR="008C102E" w:rsidRPr="001A4B94">
        <w:rPr>
          <w:rFonts w:ascii="Times New Roman" w:hAnsi="Times New Roman"/>
          <w:sz w:val="23"/>
          <w:szCs w:val="23"/>
          <w:lang w:val="tr-TR"/>
        </w:rPr>
        <w:t>l</w:t>
      </w:r>
      <w:r w:rsidR="00FC68EF" w:rsidRPr="001A4B94">
        <w:rPr>
          <w:rFonts w:ascii="Times New Roman" w:hAnsi="Times New Roman"/>
          <w:sz w:val="23"/>
          <w:szCs w:val="23"/>
          <w:lang w:val="tr-TR"/>
        </w:rPr>
        <w:t>a</w:t>
      </w:r>
      <w:r w:rsidR="008C102E" w:rsidRPr="001A4B94">
        <w:rPr>
          <w:rFonts w:ascii="Times New Roman" w:hAnsi="Times New Roman"/>
          <w:sz w:val="23"/>
          <w:szCs w:val="23"/>
          <w:lang w:val="tr-TR"/>
        </w:rPr>
        <w:t>rında değer zincirinde daha yu</w:t>
      </w:r>
      <w:r w:rsidR="00FC68EF" w:rsidRPr="001A4B94">
        <w:rPr>
          <w:rFonts w:ascii="Times New Roman" w:hAnsi="Times New Roman"/>
          <w:sz w:val="23"/>
          <w:szCs w:val="23"/>
          <w:lang w:val="tr-TR"/>
        </w:rPr>
        <w:t>ka</w:t>
      </w:r>
      <w:r w:rsidR="008C102E" w:rsidRPr="001A4B94">
        <w:rPr>
          <w:rFonts w:ascii="Times New Roman" w:hAnsi="Times New Roman"/>
          <w:sz w:val="23"/>
          <w:szCs w:val="23"/>
          <w:lang w:val="tr-TR"/>
        </w:rPr>
        <w:t>rı seviyelere çıkabilmekt</w:t>
      </w:r>
      <w:r w:rsidR="00FC68EF" w:rsidRPr="001A4B94">
        <w:rPr>
          <w:rFonts w:ascii="Times New Roman" w:hAnsi="Times New Roman"/>
          <w:sz w:val="23"/>
          <w:szCs w:val="23"/>
          <w:lang w:val="tr-TR"/>
        </w:rPr>
        <w:t>e</w:t>
      </w:r>
      <w:r w:rsidR="008C102E" w:rsidRPr="001A4B94">
        <w:rPr>
          <w:rFonts w:ascii="Times New Roman" w:hAnsi="Times New Roman"/>
          <w:sz w:val="23"/>
          <w:szCs w:val="23"/>
          <w:lang w:val="tr-TR"/>
        </w:rPr>
        <w:t>dir.</w:t>
      </w:r>
      <w:r w:rsidR="00786B35" w:rsidRPr="001A4B94">
        <w:rPr>
          <w:rFonts w:ascii="Times New Roman" w:hAnsi="Times New Roman"/>
          <w:sz w:val="23"/>
          <w:szCs w:val="23"/>
          <w:lang w:val="tr-TR"/>
        </w:rPr>
        <w:t xml:space="preserve"> </w:t>
      </w:r>
      <w:r w:rsidR="008C102E" w:rsidRPr="001A4B94">
        <w:rPr>
          <w:rFonts w:ascii="Times New Roman" w:hAnsi="Times New Roman"/>
          <w:sz w:val="23"/>
          <w:szCs w:val="23"/>
          <w:lang w:val="tr-TR"/>
        </w:rPr>
        <w:t>Kadınl</w:t>
      </w:r>
      <w:r w:rsidR="00FC68EF" w:rsidRPr="001A4B94">
        <w:rPr>
          <w:rFonts w:ascii="Times New Roman" w:hAnsi="Times New Roman"/>
          <w:sz w:val="23"/>
          <w:szCs w:val="23"/>
          <w:lang w:val="tr-TR"/>
        </w:rPr>
        <w:t>a</w:t>
      </w:r>
      <w:r w:rsidR="008C102E" w:rsidRPr="001A4B94">
        <w:rPr>
          <w:rFonts w:ascii="Times New Roman" w:hAnsi="Times New Roman"/>
          <w:sz w:val="23"/>
          <w:szCs w:val="23"/>
          <w:lang w:val="tr-TR"/>
        </w:rPr>
        <w:t>rın işgücüne kat</w:t>
      </w:r>
      <w:r w:rsidR="00FC68EF" w:rsidRPr="001A4B94">
        <w:rPr>
          <w:rFonts w:ascii="Times New Roman" w:hAnsi="Times New Roman"/>
          <w:sz w:val="23"/>
          <w:szCs w:val="23"/>
          <w:lang w:val="tr-TR"/>
        </w:rPr>
        <w:t>ı</w:t>
      </w:r>
      <w:r w:rsidR="008C102E" w:rsidRPr="001A4B94">
        <w:rPr>
          <w:rFonts w:ascii="Times New Roman" w:hAnsi="Times New Roman"/>
          <w:sz w:val="23"/>
          <w:szCs w:val="23"/>
          <w:lang w:val="tr-TR"/>
        </w:rPr>
        <w:t>lımının düşük olması ekonomik büyüme</w:t>
      </w:r>
      <w:r w:rsidR="00793C81" w:rsidRPr="001A4B94">
        <w:rPr>
          <w:rFonts w:ascii="Times New Roman" w:hAnsi="Times New Roman"/>
          <w:sz w:val="23"/>
          <w:szCs w:val="23"/>
          <w:lang w:val="tr-TR"/>
        </w:rPr>
        <w:t xml:space="preserve">nin kapsayıcılığını </w:t>
      </w:r>
      <w:r w:rsidR="008C102E" w:rsidRPr="001A4B94">
        <w:rPr>
          <w:rFonts w:ascii="Times New Roman" w:hAnsi="Times New Roman"/>
          <w:sz w:val="23"/>
          <w:szCs w:val="23"/>
          <w:lang w:val="tr-TR"/>
        </w:rPr>
        <w:t>kısıtlamakta ve Türkiye’nin yüksek gelirli ülkelere göre iyileşme için daha f</w:t>
      </w:r>
      <w:r w:rsidR="000C3A6D" w:rsidRPr="001A4B94">
        <w:rPr>
          <w:rFonts w:ascii="Times New Roman" w:hAnsi="Times New Roman"/>
          <w:sz w:val="23"/>
          <w:szCs w:val="23"/>
          <w:lang w:val="tr-TR"/>
        </w:rPr>
        <w:t>a</w:t>
      </w:r>
      <w:r w:rsidR="008C102E" w:rsidRPr="001A4B94">
        <w:rPr>
          <w:rFonts w:ascii="Times New Roman" w:hAnsi="Times New Roman"/>
          <w:sz w:val="23"/>
          <w:szCs w:val="23"/>
          <w:lang w:val="tr-TR"/>
        </w:rPr>
        <w:t xml:space="preserve">zla yol kat etmesi </w:t>
      </w:r>
      <w:r w:rsidR="000C3A6D" w:rsidRPr="001A4B94">
        <w:rPr>
          <w:rFonts w:ascii="Times New Roman" w:hAnsi="Times New Roman"/>
          <w:sz w:val="23"/>
          <w:szCs w:val="23"/>
          <w:lang w:val="tr-TR"/>
        </w:rPr>
        <w:t>g</w:t>
      </w:r>
      <w:r w:rsidR="008C102E" w:rsidRPr="001A4B94">
        <w:rPr>
          <w:rFonts w:ascii="Times New Roman" w:hAnsi="Times New Roman"/>
          <w:sz w:val="23"/>
          <w:szCs w:val="23"/>
          <w:lang w:val="tr-TR"/>
        </w:rPr>
        <w:t>ereken bir</w:t>
      </w:r>
      <w:r w:rsidR="000C3A6D" w:rsidRPr="001A4B94">
        <w:rPr>
          <w:rFonts w:ascii="Times New Roman" w:hAnsi="Times New Roman"/>
          <w:sz w:val="23"/>
          <w:szCs w:val="23"/>
          <w:lang w:val="tr-TR"/>
        </w:rPr>
        <w:t xml:space="preserve"> </w:t>
      </w:r>
      <w:r w:rsidR="008C102E" w:rsidRPr="001A4B94">
        <w:rPr>
          <w:rFonts w:ascii="Times New Roman" w:hAnsi="Times New Roman"/>
          <w:sz w:val="23"/>
          <w:szCs w:val="23"/>
          <w:lang w:val="tr-TR"/>
        </w:rPr>
        <w:t>zorluk sunmaktadır</w:t>
      </w:r>
      <w:r w:rsidR="00786B35" w:rsidRPr="001A4B94">
        <w:rPr>
          <w:rFonts w:ascii="Times New Roman" w:hAnsi="Times New Roman"/>
          <w:bCs/>
          <w:sz w:val="23"/>
          <w:szCs w:val="23"/>
          <w:lang w:val="tr-TR"/>
        </w:rPr>
        <w:t xml:space="preserve">. </w:t>
      </w:r>
      <w:r w:rsidR="00A215A7" w:rsidRPr="001A4B94">
        <w:rPr>
          <w:rFonts w:ascii="Times New Roman" w:hAnsi="Times New Roman"/>
          <w:bCs/>
          <w:sz w:val="23"/>
          <w:szCs w:val="23"/>
          <w:lang w:val="tr-TR"/>
        </w:rPr>
        <w:t>Çocuklar ve yaşlılar için uygun maliye</w:t>
      </w:r>
      <w:r w:rsidR="00FC68EF" w:rsidRPr="001A4B94">
        <w:rPr>
          <w:rFonts w:ascii="Times New Roman" w:hAnsi="Times New Roman"/>
          <w:bCs/>
          <w:sz w:val="23"/>
          <w:szCs w:val="23"/>
          <w:lang w:val="tr-TR"/>
        </w:rPr>
        <w:t>tli bakım hizmet</w:t>
      </w:r>
      <w:r w:rsidR="00A215A7" w:rsidRPr="001A4B94">
        <w:rPr>
          <w:rFonts w:ascii="Times New Roman" w:hAnsi="Times New Roman"/>
          <w:bCs/>
          <w:sz w:val="23"/>
          <w:szCs w:val="23"/>
          <w:lang w:val="tr-TR"/>
        </w:rPr>
        <w:t>l</w:t>
      </w:r>
      <w:r w:rsidR="00FC68EF" w:rsidRPr="001A4B94">
        <w:rPr>
          <w:rFonts w:ascii="Times New Roman" w:hAnsi="Times New Roman"/>
          <w:bCs/>
          <w:sz w:val="23"/>
          <w:szCs w:val="23"/>
          <w:lang w:val="tr-TR"/>
        </w:rPr>
        <w:t>e</w:t>
      </w:r>
      <w:r w:rsidR="00A215A7" w:rsidRPr="001A4B94">
        <w:rPr>
          <w:rFonts w:ascii="Times New Roman" w:hAnsi="Times New Roman"/>
          <w:bCs/>
          <w:sz w:val="23"/>
          <w:szCs w:val="23"/>
          <w:lang w:val="tr-TR"/>
        </w:rPr>
        <w:t xml:space="preserve">rinin sınırlı olması ve bazı bölgelerde yaygın olarak görülen </w:t>
      </w:r>
      <w:r w:rsidR="00FC68EF" w:rsidRPr="001A4B94">
        <w:rPr>
          <w:rFonts w:ascii="Times New Roman" w:hAnsi="Times New Roman"/>
          <w:bCs/>
          <w:sz w:val="23"/>
          <w:szCs w:val="23"/>
          <w:lang w:val="tr-TR"/>
        </w:rPr>
        <w:t>ata</w:t>
      </w:r>
      <w:r w:rsidR="00A215A7" w:rsidRPr="001A4B94">
        <w:rPr>
          <w:rFonts w:ascii="Times New Roman" w:hAnsi="Times New Roman"/>
          <w:bCs/>
          <w:sz w:val="23"/>
          <w:szCs w:val="23"/>
          <w:lang w:val="tr-TR"/>
        </w:rPr>
        <w:t>erkil aile yapısının güçlendirdiği kültürel normlar kadınların daha aktif katılımını kısıtlamaktadır</w:t>
      </w:r>
      <w:r w:rsidR="00E43950" w:rsidRPr="001A4B94">
        <w:rPr>
          <w:rFonts w:ascii="Times New Roman" w:hAnsi="Times New Roman"/>
          <w:bCs/>
          <w:sz w:val="23"/>
          <w:szCs w:val="23"/>
          <w:lang w:val="tr-TR"/>
        </w:rPr>
        <w:t xml:space="preserve">.  </w:t>
      </w:r>
      <w:r w:rsidR="00A215A7" w:rsidRPr="001A4B94">
        <w:rPr>
          <w:rFonts w:ascii="Times New Roman" w:hAnsi="Times New Roman"/>
          <w:sz w:val="23"/>
          <w:szCs w:val="23"/>
          <w:lang w:val="tr-TR"/>
        </w:rPr>
        <w:t>Son olarak</w:t>
      </w:r>
      <w:r w:rsidR="00786B35" w:rsidRPr="001A4B94">
        <w:rPr>
          <w:rFonts w:ascii="Times New Roman" w:hAnsi="Times New Roman"/>
          <w:sz w:val="23"/>
          <w:szCs w:val="23"/>
          <w:lang w:val="tr-TR"/>
        </w:rPr>
        <w:t xml:space="preserve">, </w:t>
      </w:r>
      <w:r w:rsidR="00A215A7" w:rsidRPr="001A4B94">
        <w:rPr>
          <w:rFonts w:ascii="Times New Roman" w:hAnsi="Times New Roman"/>
          <w:sz w:val="23"/>
          <w:szCs w:val="23"/>
          <w:lang w:val="tr-TR"/>
        </w:rPr>
        <w:t>bölgesel ekonomik ve s</w:t>
      </w:r>
      <w:r w:rsidR="00FC68EF" w:rsidRPr="001A4B94">
        <w:rPr>
          <w:rFonts w:ascii="Times New Roman" w:hAnsi="Times New Roman"/>
          <w:sz w:val="23"/>
          <w:szCs w:val="23"/>
          <w:lang w:val="tr-TR"/>
        </w:rPr>
        <w:t>osyal eşitsizlikler devam etmek</w:t>
      </w:r>
      <w:r w:rsidR="00A215A7" w:rsidRPr="001A4B94">
        <w:rPr>
          <w:rFonts w:ascii="Times New Roman" w:hAnsi="Times New Roman"/>
          <w:sz w:val="23"/>
          <w:szCs w:val="23"/>
          <w:lang w:val="tr-TR"/>
        </w:rPr>
        <w:t>t</w:t>
      </w:r>
      <w:r w:rsidR="00FC68EF" w:rsidRPr="001A4B94">
        <w:rPr>
          <w:rFonts w:ascii="Times New Roman" w:hAnsi="Times New Roman"/>
          <w:sz w:val="23"/>
          <w:szCs w:val="23"/>
          <w:lang w:val="tr-TR"/>
        </w:rPr>
        <w:t>e</w:t>
      </w:r>
      <w:r w:rsidR="00A215A7" w:rsidRPr="001A4B94">
        <w:rPr>
          <w:rFonts w:ascii="Times New Roman" w:hAnsi="Times New Roman"/>
          <w:sz w:val="23"/>
          <w:szCs w:val="23"/>
          <w:lang w:val="tr-TR"/>
        </w:rPr>
        <w:t>dir ve geride kalmış b</w:t>
      </w:r>
      <w:r w:rsidR="00FC68EF" w:rsidRPr="001A4B94">
        <w:rPr>
          <w:rFonts w:ascii="Times New Roman" w:hAnsi="Times New Roman"/>
          <w:sz w:val="23"/>
          <w:szCs w:val="23"/>
          <w:lang w:val="tr-TR"/>
        </w:rPr>
        <w:t>ölgelerde elde edile</w:t>
      </w:r>
      <w:r w:rsidR="00A215A7" w:rsidRPr="001A4B94">
        <w:rPr>
          <w:rFonts w:ascii="Times New Roman" w:hAnsi="Times New Roman"/>
          <w:sz w:val="23"/>
          <w:szCs w:val="23"/>
          <w:lang w:val="tr-TR"/>
        </w:rPr>
        <w:t>n sonuçlar daha geli</w:t>
      </w:r>
      <w:r w:rsidR="00FC68EF" w:rsidRPr="001A4B94">
        <w:rPr>
          <w:rFonts w:ascii="Times New Roman" w:hAnsi="Times New Roman"/>
          <w:sz w:val="23"/>
          <w:szCs w:val="23"/>
          <w:lang w:val="tr-TR"/>
        </w:rPr>
        <w:t>şmiş bölgeleri yakalamak için</w:t>
      </w:r>
      <w:r w:rsidR="00A215A7" w:rsidRPr="001A4B94">
        <w:rPr>
          <w:rFonts w:ascii="Times New Roman" w:hAnsi="Times New Roman"/>
          <w:sz w:val="23"/>
          <w:szCs w:val="23"/>
          <w:lang w:val="tr-TR"/>
        </w:rPr>
        <w:t xml:space="preserve"> halen yavaştır</w:t>
      </w:r>
      <w:r w:rsidR="00C36483" w:rsidRPr="001A4B94">
        <w:rPr>
          <w:rFonts w:ascii="Times New Roman" w:hAnsi="Times New Roman"/>
          <w:sz w:val="23"/>
          <w:szCs w:val="23"/>
          <w:lang w:val="tr-TR"/>
        </w:rPr>
        <w:t xml:space="preserve">. </w:t>
      </w:r>
    </w:p>
    <w:p w14:paraId="77E00DF8" w14:textId="42827416" w:rsidR="00BE6BD5" w:rsidRPr="001A4B94" w:rsidRDefault="00A215A7" w:rsidP="00FC35EF">
      <w:pPr>
        <w:pStyle w:val="ListeParagraf"/>
        <w:numPr>
          <w:ilvl w:val="0"/>
          <w:numId w:val="2"/>
        </w:numPr>
        <w:tabs>
          <w:tab w:val="left" w:pos="540"/>
        </w:tabs>
        <w:autoSpaceDE w:val="0"/>
        <w:autoSpaceDN w:val="0"/>
        <w:adjustRightInd w:val="0"/>
        <w:spacing w:before="100" w:beforeAutospacing="1" w:after="100" w:line="240" w:lineRule="auto"/>
        <w:ind w:left="0" w:firstLine="0"/>
        <w:contextualSpacing w:val="0"/>
        <w:jc w:val="both"/>
        <w:rPr>
          <w:rFonts w:ascii="Times New Roman" w:hAnsi="Times New Roman"/>
          <w:bCs/>
          <w:sz w:val="23"/>
          <w:szCs w:val="23"/>
          <w:lang w:val="tr-TR"/>
        </w:rPr>
      </w:pPr>
      <w:r w:rsidRPr="001A4B94">
        <w:rPr>
          <w:rFonts w:ascii="Times New Roman" w:hAnsi="Times New Roman"/>
          <w:b/>
          <w:i/>
          <w:sz w:val="23"/>
          <w:szCs w:val="23"/>
          <w:lang w:val="tr-TR"/>
        </w:rPr>
        <w:t xml:space="preserve">Dinamik Şirketler </w:t>
      </w:r>
      <w:r w:rsidRPr="001A4B94">
        <w:rPr>
          <w:rFonts w:ascii="Times New Roman" w:hAnsi="Times New Roman"/>
          <w:b/>
          <w:sz w:val="23"/>
          <w:szCs w:val="23"/>
          <w:lang w:val="tr-TR"/>
        </w:rPr>
        <w:t>alanında</w:t>
      </w:r>
      <w:r w:rsidRPr="001A4B94">
        <w:rPr>
          <w:rFonts w:ascii="Times New Roman" w:hAnsi="Times New Roman"/>
          <w:b/>
          <w:i/>
          <w:sz w:val="23"/>
          <w:szCs w:val="23"/>
          <w:lang w:val="tr-TR"/>
        </w:rPr>
        <w:t xml:space="preserve"> </w:t>
      </w:r>
      <w:r w:rsidRPr="001A4B94">
        <w:rPr>
          <w:rFonts w:ascii="Times New Roman" w:hAnsi="Times New Roman"/>
          <w:b/>
          <w:sz w:val="23"/>
          <w:szCs w:val="23"/>
          <w:lang w:val="tr-TR"/>
        </w:rPr>
        <w:t xml:space="preserve">düşük teknolojili ürünlerden uzaklaşma </w:t>
      </w:r>
      <w:r w:rsidR="00FC68EF" w:rsidRPr="001A4B94">
        <w:rPr>
          <w:rFonts w:ascii="Times New Roman" w:hAnsi="Times New Roman"/>
          <w:b/>
          <w:sz w:val="23"/>
          <w:szCs w:val="23"/>
          <w:lang w:val="tr-TR"/>
        </w:rPr>
        <w:t>süreci</w:t>
      </w:r>
      <w:r w:rsidRPr="001A4B94">
        <w:rPr>
          <w:rFonts w:ascii="Times New Roman" w:hAnsi="Times New Roman"/>
          <w:b/>
          <w:sz w:val="23"/>
          <w:szCs w:val="23"/>
          <w:lang w:val="tr-TR"/>
        </w:rPr>
        <w:t xml:space="preserve"> devam etmektedir</w:t>
      </w:r>
      <w:r w:rsidR="00A917BB" w:rsidRPr="001A4B94">
        <w:rPr>
          <w:rFonts w:ascii="Times New Roman" w:hAnsi="Times New Roman"/>
          <w:b/>
          <w:sz w:val="23"/>
          <w:szCs w:val="23"/>
          <w:lang w:val="tr-TR"/>
        </w:rPr>
        <w:t>,</w:t>
      </w:r>
      <w:r w:rsidR="00B2333E" w:rsidRPr="001A4B94">
        <w:rPr>
          <w:rFonts w:ascii="Times New Roman" w:hAnsi="Times New Roman"/>
          <w:b/>
          <w:sz w:val="23"/>
          <w:szCs w:val="23"/>
          <w:lang w:val="tr-TR"/>
        </w:rPr>
        <w:t xml:space="preserve"> </w:t>
      </w:r>
      <w:r w:rsidRPr="001A4B94">
        <w:rPr>
          <w:rFonts w:ascii="Times New Roman" w:hAnsi="Times New Roman"/>
          <w:b/>
          <w:sz w:val="23"/>
          <w:szCs w:val="23"/>
          <w:lang w:val="tr-TR"/>
        </w:rPr>
        <w:t xml:space="preserve">ancak yüksek teknolojili ürünler </w:t>
      </w:r>
      <w:r w:rsidR="000F0BC5" w:rsidRPr="001A4B94">
        <w:rPr>
          <w:rFonts w:ascii="Times New Roman" w:hAnsi="Times New Roman"/>
          <w:b/>
          <w:sz w:val="23"/>
          <w:szCs w:val="23"/>
          <w:lang w:val="tr-TR"/>
        </w:rPr>
        <w:t>toplam yaratılan katma</w:t>
      </w:r>
      <w:r w:rsidR="00FC68EF" w:rsidRPr="001A4B94">
        <w:rPr>
          <w:rFonts w:ascii="Times New Roman" w:hAnsi="Times New Roman"/>
          <w:b/>
          <w:sz w:val="23"/>
          <w:szCs w:val="23"/>
          <w:lang w:val="tr-TR"/>
        </w:rPr>
        <w:t xml:space="preserve"> değerin çok küçük bir p</w:t>
      </w:r>
      <w:r w:rsidR="000F0BC5" w:rsidRPr="001A4B94">
        <w:rPr>
          <w:rFonts w:ascii="Times New Roman" w:hAnsi="Times New Roman"/>
          <w:b/>
          <w:sz w:val="23"/>
          <w:szCs w:val="23"/>
          <w:lang w:val="tr-TR"/>
        </w:rPr>
        <w:t>ayını oluşturmakta ve bu pay da son yıllarda düşüş yaşamaktadır</w:t>
      </w:r>
      <w:r w:rsidR="00786B35" w:rsidRPr="001A4B94">
        <w:rPr>
          <w:rFonts w:ascii="Times New Roman" w:hAnsi="Times New Roman"/>
          <w:b/>
          <w:sz w:val="23"/>
          <w:szCs w:val="23"/>
          <w:lang w:val="tr-TR"/>
        </w:rPr>
        <w:t xml:space="preserve">. </w:t>
      </w:r>
      <w:r w:rsidR="00CF6021" w:rsidRPr="001A4B94">
        <w:rPr>
          <w:rFonts w:ascii="Times New Roman" w:hAnsi="Times New Roman"/>
          <w:sz w:val="23"/>
          <w:szCs w:val="23"/>
          <w:lang w:val="tr-TR"/>
        </w:rPr>
        <w:t>T</w:t>
      </w:r>
      <w:r w:rsidR="000F0BC5" w:rsidRPr="001A4B94">
        <w:rPr>
          <w:rFonts w:ascii="Times New Roman" w:hAnsi="Times New Roman"/>
          <w:sz w:val="23"/>
          <w:szCs w:val="23"/>
          <w:lang w:val="tr-TR"/>
        </w:rPr>
        <w:t xml:space="preserve">ürkiye </w:t>
      </w:r>
      <w:r w:rsidR="00CD6929" w:rsidRPr="001A4B94">
        <w:rPr>
          <w:rFonts w:ascii="Times New Roman" w:hAnsi="Times New Roman"/>
          <w:sz w:val="23"/>
          <w:szCs w:val="23"/>
          <w:lang w:val="tr-TR"/>
        </w:rPr>
        <w:t>özel sektörde yenilik</w:t>
      </w:r>
      <w:r w:rsidR="00FC68EF" w:rsidRPr="001A4B94">
        <w:rPr>
          <w:rFonts w:ascii="Times New Roman" w:hAnsi="Times New Roman"/>
          <w:sz w:val="23"/>
          <w:szCs w:val="23"/>
          <w:lang w:val="tr-TR"/>
        </w:rPr>
        <w:t>çiliği teşvik etmek için iyi fi</w:t>
      </w:r>
      <w:r w:rsidR="00CD6929" w:rsidRPr="001A4B94">
        <w:rPr>
          <w:rFonts w:ascii="Times New Roman" w:hAnsi="Times New Roman"/>
          <w:sz w:val="23"/>
          <w:szCs w:val="23"/>
          <w:lang w:val="tr-TR"/>
        </w:rPr>
        <w:t>nanse edilen birkaç programa sahiptir</w:t>
      </w:r>
      <w:r w:rsidR="00CF6021" w:rsidRPr="001A4B94">
        <w:rPr>
          <w:rFonts w:ascii="Times New Roman" w:hAnsi="Times New Roman"/>
          <w:sz w:val="23"/>
          <w:szCs w:val="23"/>
          <w:lang w:val="tr-TR"/>
        </w:rPr>
        <w:t>.  2016</w:t>
      </w:r>
      <w:r w:rsidR="00CD6929" w:rsidRPr="001A4B94">
        <w:rPr>
          <w:rFonts w:ascii="Times New Roman" w:hAnsi="Times New Roman"/>
          <w:sz w:val="23"/>
          <w:szCs w:val="23"/>
          <w:lang w:val="tr-TR"/>
        </w:rPr>
        <w:t xml:space="preserve"> yılında</w:t>
      </w:r>
      <w:r w:rsidR="00CF6021" w:rsidRPr="001A4B94">
        <w:rPr>
          <w:rFonts w:ascii="Times New Roman" w:hAnsi="Times New Roman"/>
          <w:sz w:val="23"/>
          <w:szCs w:val="23"/>
          <w:lang w:val="tr-TR"/>
        </w:rPr>
        <w:t xml:space="preserve">, </w:t>
      </w:r>
      <w:r w:rsidR="00D306F0" w:rsidRPr="001A4B94">
        <w:rPr>
          <w:rFonts w:ascii="Times New Roman" w:hAnsi="Times New Roman"/>
          <w:sz w:val="23"/>
          <w:szCs w:val="23"/>
          <w:lang w:val="tr-TR"/>
        </w:rPr>
        <w:t>hükümet daha f</w:t>
      </w:r>
      <w:r w:rsidR="00FC68EF" w:rsidRPr="001A4B94">
        <w:rPr>
          <w:rFonts w:ascii="Times New Roman" w:hAnsi="Times New Roman"/>
          <w:sz w:val="23"/>
          <w:szCs w:val="23"/>
          <w:lang w:val="tr-TR"/>
        </w:rPr>
        <w:t>a</w:t>
      </w:r>
      <w:r w:rsidR="00D306F0" w:rsidRPr="001A4B94">
        <w:rPr>
          <w:rFonts w:ascii="Times New Roman" w:hAnsi="Times New Roman"/>
          <w:sz w:val="23"/>
          <w:szCs w:val="23"/>
          <w:lang w:val="tr-TR"/>
        </w:rPr>
        <w:t>zla d</w:t>
      </w:r>
      <w:r w:rsidR="00FC68EF" w:rsidRPr="001A4B94">
        <w:rPr>
          <w:rFonts w:ascii="Times New Roman" w:hAnsi="Times New Roman"/>
          <w:sz w:val="23"/>
          <w:szCs w:val="23"/>
          <w:lang w:val="tr-TR"/>
        </w:rPr>
        <w:t>e</w:t>
      </w:r>
      <w:r w:rsidR="00D306F0" w:rsidRPr="001A4B94">
        <w:rPr>
          <w:rFonts w:ascii="Times New Roman" w:hAnsi="Times New Roman"/>
          <w:sz w:val="23"/>
          <w:szCs w:val="23"/>
          <w:lang w:val="tr-TR"/>
        </w:rPr>
        <w:t xml:space="preserve">stek sağlamak amacıyla aralarında yeni bir araştırma ve geliştirme kanunu, </w:t>
      </w:r>
      <w:r w:rsidR="00FC68EF" w:rsidRPr="001A4B94">
        <w:rPr>
          <w:rFonts w:ascii="Times New Roman" w:hAnsi="Times New Roman"/>
          <w:sz w:val="23"/>
          <w:szCs w:val="23"/>
          <w:lang w:val="tr-TR"/>
        </w:rPr>
        <w:t>yatırım ortamına ilişkin bir kanun ve sınai mülkiyet kanunu da bulunan yeni düzenlemeleri yürürlüğe koymuştur</w:t>
      </w:r>
      <w:r w:rsidR="00CF6021" w:rsidRPr="001A4B94">
        <w:rPr>
          <w:rFonts w:ascii="Times New Roman" w:hAnsi="Times New Roman"/>
          <w:sz w:val="23"/>
          <w:szCs w:val="23"/>
          <w:lang w:val="tr-TR"/>
        </w:rPr>
        <w:t xml:space="preserve">.  </w:t>
      </w:r>
      <w:r w:rsidR="00D57D1D" w:rsidRPr="001A4B94">
        <w:rPr>
          <w:rFonts w:ascii="Times New Roman" w:hAnsi="Times New Roman"/>
          <w:sz w:val="23"/>
          <w:szCs w:val="23"/>
          <w:lang w:val="tr-TR"/>
        </w:rPr>
        <w:t>B</w:t>
      </w:r>
      <w:r w:rsidR="00FC68EF" w:rsidRPr="001A4B94">
        <w:rPr>
          <w:rFonts w:ascii="Times New Roman" w:hAnsi="Times New Roman"/>
          <w:sz w:val="23"/>
          <w:szCs w:val="23"/>
          <w:lang w:val="tr-TR"/>
        </w:rPr>
        <w:t>ununla birlikte, halen iyileştirilmesi gereken hususlar mevcuttur</w:t>
      </w:r>
      <w:r w:rsidR="00CF6021" w:rsidRPr="001A4B94">
        <w:rPr>
          <w:rFonts w:ascii="Times New Roman" w:hAnsi="Times New Roman"/>
          <w:sz w:val="23"/>
          <w:szCs w:val="23"/>
          <w:lang w:val="tr-TR"/>
        </w:rPr>
        <w:t xml:space="preserve">: </w:t>
      </w:r>
      <w:r w:rsidR="00557576" w:rsidRPr="001A4B94">
        <w:rPr>
          <w:rFonts w:ascii="Times New Roman" w:hAnsi="Times New Roman"/>
          <w:sz w:val="23"/>
          <w:szCs w:val="23"/>
          <w:lang w:val="tr-TR"/>
        </w:rPr>
        <w:t>T</w:t>
      </w:r>
      <w:r w:rsidR="00FE5205" w:rsidRPr="001A4B94">
        <w:rPr>
          <w:rFonts w:ascii="Times New Roman" w:hAnsi="Times New Roman"/>
          <w:sz w:val="23"/>
          <w:szCs w:val="23"/>
          <w:lang w:val="tr-TR"/>
        </w:rPr>
        <w:t>ürkiye’nin teknoloji emilimi ve yenilikçilik alanındaki düşük performansı OECD tarafından topl</w:t>
      </w:r>
      <w:r w:rsidR="00B452ED" w:rsidRPr="001A4B94">
        <w:rPr>
          <w:rFonts w:ascii="Times New Roman" w:hAnsi="Times New Roman"/>
          <w:sz w:val="23"/>
          <w:szCs w:val="23"/>
          <w:lang w:val="tr-TR"/>
        </w:rPr>
        <w:t>a</w:t>
      </w:r>
      <w:r w:rsidR="00FE5205" w:rsidRPr="001A4B94">
        <w:rPr>
          <w:rFonts w:ascii="Times New Roman" w:hAnsi="Times New Roman"/>
          <w:sz w:val="23"/>
          <w:szCs w:val="23"/>
          <w:lang w:val="tr-TR"/>
        </w:rPr>
        <w:t>nan Ar-Ge ve yenilikçilik göstergelerinde açık bir şekilde görülmektedir.</w:t>
      </w:r>
      <w:r w:rsidR="00786B35" w:rsidRPr="001A4B94">
        <w:rPr>
          <w:rFonts w:ascii="Times New Roman" w:hAnsi="Times New Roman"/>
          <w:sz w:val="23"/>
          <w:szCs w:val="23"/>
          <w:lang w:val="tr-TR"/>
        </w:rPr>
        <w:t xml:space="preserve"> </w:t>
      </w:r>
      <w:r w:rsidR="00FE5205" w:rsidRPr="001A4B94">
        <w:rPr>
          <w:rFonts w:ascii="Times New Roman" w:hAnsi="Times New Roman"/>
          <w:sz w:val="23"/>
          <w:szCs w:val="23"/>
          <w:lang w:val="tr-TR"/>
        </w:rPr>
        <w:t>Bu kısıt eğitimdeki düşük başarı düzeyi ile ilişkilidir</w:t>
      </w:r>
      <w:r w:rsidR="00786B35" w:rsidRPr="001A4B94">
        <w:rPr>
          <w:rFonts w:ascii="Times New Roman" w:hAnsi="Times New Roman"/>
          <w:sz w:val="23"/>
          <w:szCs w:val="23"/>
          <w:lang w:val="tr-TR"/>
        </w:rPr>
        <w:t xml:space="preserve">: </w:t>
      </w:r>
      <w:r w:rsidR="00FE5205" w:rsidRPr="001A4B94">
        <w:rPr>
          <w:rFonts w:ascii="Times New Roman" w:hAnsi="Times New Roman"/>
          <w:sz w:val="23"/>
          <w:szCs w:val="23"/>
          <w:lang w:val="tr-TR"/>
        </w:rPr>
        <w:t>zayıf insan sermayesi yenilikçilik olanaklarını sınırlamaktadır</w:t>
      </w:r>
      <w:r w:rsidR="00786B35" w:rsidRPr="001A4B94">
        <w:rPr>
          <w:rFonts w:ascii="Times New Roman" w:hAnsi="Times New Roman"/>
          <w:sz w:val="23"/>
          <w:szCs w:val="23"/>
          <w:lang w:val="tr-TR"/>
        </w:rPr>
        <w:t xml:space="preserve">. </w:t>
      </w:r>
      <w:r w:rsidR="00FE5205" w:rsidRPr="001A4B94">
        <w:rPr>
          <w:rFonts w:ascii="Times New Roman" w:hAnsi="Times New Roman"/>
          <w:sz w:val="23"/>
          <w:szCs w:val="23"/>
          <w:lang w:val="tr-TR"/>
        </w:rPr>
        <w:t>Bu aynı zamanda düzenleyici ve denetleyici kuruml</w:t>
      </w:r>
      <w:r w:rsidR="00B452ED" w:rsidRPr="001A4B94">
        <w:rPr>
          <w:rFonts w:ascii="Times New Roman" w:hAnsi="Times New Roman"/>
          <w:sz w:val="23"/>
          <w:szCs w:val="23"/>
          <w:lang w:val="tr-TR"/>
        </w:rPr>
        <w:t>a</w:t>
      </w:r>
      <w:r w:rsidR="00FE5205" w:rsidRPr="001A4B94">
        <w:rPr>
          <w:rFonts w:ascii="Times New Roman" w:hAnsi="Times New Roman"/>
          <w:sz w:val="23"/>
          <w:szCs w:val="23"/>
          <w:lang w:val="tr-TR"/>
        </w:rPr>
        <w:t>rın kalitesi ile de ilişkilidir. Özel yatırımlar, yenilikçilik ve girişimcilik için daha iyi teşvikler sunabilmek amacıyla bu kurumların kalitesinin de iyileştirilmesi gerekmektedir.</w:t>
      </w:r>
      <w:r w:rsidR="00786B35" w:rsidRPr="001A4B94">
        <w:rPr>
          <w:rFonts w:ascii="Times New Roman" w:hAnsi="Times New Roman"/>
          <w:sz w:val="23"/>
          <w:szCs w:val="23"/>
          <w:lang w:val="tr-TR"/>
        </w:rPr>
        <w:t xml:space="preserve"> </w:t>
      </w:r>
      <w:r w:rsidR="00FE5205" w:rsidRPr="001A4B94">
        <w:rPr>
          <w:rFonts w:ascii="Times New Roman" w:hAnsi="Times New Roman"/>
          <w:sz w:val="23"/>
          <w:szCs w:val="23"/>
          <w:lang w:val="tr-TR"/>
        </w:rPr>
        <w:t xml:space="preserve">Kurumsal yönetişim </w:t>
      </w:r>
      <w:r w:rsidR="005E612A" w:rsidRPr="001A4B94">
        <w:rPr>
          <w:rFonts w:ascii="Times New Roman" w:hAnsi="Times New Roman"/>
          <w:sz w:val="23"/>
          <w:szCs w:val="23"/>
          <w:lang w:val="tr-TR"/>
        </w:rPr>
        <w:t xml:space="preserve">ile </w:t>
      </w:r>
      <w:r w:rsidR="002710FC" w:rsidRPr="001A4B94">
        <w:rPr>
          <w:rFonts w:ascii="Times New Roman" w:hAnsi="Times New Roman"/>
          <w:sz w:val="23"/>
          <w:szCs w:val="23"/>
          <w:lang w:val="tr-TR"/>
        </w:rPr>
        <w:t>rekabet politikası ve bunl</w:t>
      </w:r>
      <w:r w:rsidR="005E612A" w:rsidRPr="001A4B94">
        <w:rPr>
          <w:rFonts w:ascii="Times New Roman" w:hAnsi="Times New Roman"/>
          <w:sz w:val="23"/>
          <w:szCs w:val="23"/>
          <w:lang w:val="tr-TR"/>
        </w:rPr>
        <w:t>a</w:t>
      </w:r>
      <w:r w:rsidR="002710FC" w:rsidRPr="001A4B94">
        <w:rPr>
          <w:rFonts w:ascii="Times New Roman" w:hAnsi="Times New Roman"/>
          <w:sz w:val="23"/>
          <w:szCs w:val="23"/>
          <w:lang w:val="tr-TR"/>
        </w:rPr>
        <w:t>rın uygulanm</w:t>
      </w:r>
      <w:r w:rsidR="005E612A" w:rsidRPr="001A4B94">
        <w:rPr>
          <w:rFonts w:ascii="Times New Roman" w:hAnsi="Times New Roman"/>
          <w:sz w:val="23"/>
          <w:szCs w:val="23"/>
          <w:lang w:val="tr-TR"/>
        </w:rPr>
        <w:t>a</w:t>
      </w:r>
      <w:r w:rsidR="002710FC" w:rsidRPr="001A4B94">
        <w:rPr>
          <w:rFonts w:ascii="Times New Roman" w:hAnsi="Times New Roman"/>
          <w:sz w:val="23"/>
          <w:szCs w:val="23"/>
          <w:lang w:val="tr-TR"/>
        </w:rPr>
        <w:t xml:space="preserve">sı </w:t>
      </w:r>
      <w:r w:rsidR="005E612A" w:rsidRPr="001A4B94">
        <w:rPr>
          <w:rFonts w:ascii="Times New Roman" w:hAnsi="Times New Roman"/>
          <w:sz w:val="23"/>
          <w:szCs w:val="23"/>
          <w:lang w:val="tr-TR"/>
        </w:rPr>
        <w:t>Türkiye’nin şirketlerinin dinamizminin desteklenmesi için güçlendirilmesi gereken çok önemli ilave kısıtlardır</w:t>
      </w:r>
      <w:r w:rsidR="00B2333E" w:rsidRPr="001A4B94">
        <w:rPr>
          <w:rFonts w:ascii="Times New Roman" w:hAnsi="Times New Roman"/>
          <w:sz w:val="23"/>
          <w:szCs w:val="23"/>
          <w:lang w:val="tr-TR"/>
        </w:rPr>
        <w:t>.</w:t>
      </w:r>
      <w:r w:rsidR="00786B35" w:rsidRPr="001A4B94">
        <w:rPr>
          <w:rFonts w:ascii="Times New Roman" w:hAnsi="Times New Roman"/>
          <w:sz w:val="23"/>
          <w:szCs w:val="23"/>
          <w:lang w:val="tr-TR"/>
        </w:rPr>
        <w:t xml:space="preserve"> </w:t>
      </w:r>
      <w:r w:rsidR="003403E1" w:rsidRPr="001A4B94">
        <w:rPr>
          <w:rFonts w:ascii="Times New Roman" w:hAnsi="Times New Roman"/>
          <w:sz w:val="23"/>
          <w:szCs w:val="23"/>
          <w:lang w:val="tr-TR"/>
        </w:rPr>
        <w:t xml:space="preserve"> </w:t>
      </w:r>
      <w:r w:rsidR="005E612A" w:rsidRPr="001A4B94">
        <w:rPr>
          <w:rFonts w:ascii="Times New Roman" w:hAnsi="Times New Roman"/>
          <w:sz w:val="23"/>
          <w:szCs w:val="23"/>
          <w:lang w:val="tr-TR"/>
        </w:rPr>
        <w:t xml:space="preserve">Hükümet </w:t>
      </w:r>
      <w:r w:rsidR="00702EA3" w:rsidRPr="001A4B94">
        <w:rPr>
          <w:rFonts w:ascii="Times New Roman" w:hAnsi="Times New Roman"/>
          <w:sz w:val="23"/>
          <w:szCs w:val="23"/>
          <w:lang w:val="tr-TR"/>
        </w:rPr>
        <w:t xml:space="preserve">son yıllarda Ar-Ge yatırımlarını </w:t>
      </w:r>
      <w:r w:rsidR="009C39DD" w:rsidRPr="001A4B94">
        <w:rPr>
          <w:rFonts w:ascii="Times New Roman" w:hAnsi="Times New Roman"/>
          <w:sz w:val="23"/>
          <w:szCs w:val="23"/>
          <w:lang w:val="tr-TR"/>
        </w:rPr>
        <w:t>teşvik etmek, yatırım ortamını iyileştirmek ve sınai mülkiyet çerçevesini uluslararası standartlar ile uyumlaştırmak için bir dizi kanun çıkararak önemli adımlar atmıştır</w:t>
      </w:r>
      <w:r w:rsidR="003403E1" w:rsidRPr="001A4B94">
        <w:rPr>
          <w:rFonts w:ascii="Times New Roman" w:hAnsi="Times New Roman"/>
          <w:sz w:val="23"/>
          <w:szCs w:val="23"/>
          <w:lang w:val="tr-TR"/>
        </w:rPr>
        <w:t xml:space="preserve">.  </w:t>
      </w:r>
      <w:r w:rsidR="009C39DD" w:rsidRPr="001A4B94">
        <w:rPr>
          <w:rFonts w:ascii="Times New Roman" w:hAnsi="Times New Roman"/>
          <w:sz w:val="23"/>
          <w:szCs w:val="23"/>
          <w:lang w:val="tr-TR"/>
        </w:rPr>
        <w:t>Ancak</w:t>
      </w:r>
      <w:r w:rsidR="003403E1" w:rsidRPr="001A4B94">
        <w:rPr>
          <w:rFonts w:ascii="Times New Roman" w:hAnsi="Times New Roman"/>
          <w:sz w:val="23"/>
          <w:szCs w:val="23"/>
          <w:lang w:val="tr-TR"/>
        </w:rPr>
        <w:t xml:space="preserve">, </w:t>
      </w:r>
      <w:r w:rsidR="002A2471" w:rsidRPr="001A4B94">
        <w:rPr>
          <w:rFonts w:ascii="Times New Roman" w:hAnsi="Times New Roman"/>
          <w:sz w:val="23"/>
          <w:szCs w:val="23"/>
          <w:lang w:val="tr-TR"/>
        </w:rPr>
        <w:t>düzenleyici ve denetleyici kurumların güçlendirilmesi bu önlemlerin etkili bir şekilde uygulanmasında başarı sağlamak için kilit bir öneme sahip olacaktır</w:t>
      </w:r>
      <w:r w:rsidR="003403E1" w:rsidRPr="001A4B94">
        <w:rPr>
          <w:rFonts w:ascii="Times New Roman" w:hAnsi="Times New Roman"/>
          <w:sz w:val="23"/>
          <w:szCs w:val="23"/>
          <w:lang w:val="tr-TR"/>
        </w:rPr>
        <w:t>.</w:t>
      </w:r>
    </w:p>
    <w:p w14:paraId="64548151" w14:textId="6A9636AB" w:rsidR="00786B35" w:rsidRPr="001A4B94" w:rsidRDefault="002A2471" w:rsidP="00FC35EF">
      <w:pPr>
        <w:pStyle w:val="ListeParagraf"/>
        <w:numPr>
          <w:ilvl w:val="0"/>
          <w:numId w:val="2"/>
        </w:numPr>
        <w:tabs>
          <w:tab w:val="left" w:pos="540"/>
        </w:tabs>
        <w:autoSpaceDE w:val="0"/>
        <w:autoSpaceDN w:val="0"/>
        <w:adjustRightInd w:val="0"/>
        <w:spacing w:before="100" w:beforeAutospacing="1" w:after="100" w:line="240" w:lineRule="auto"/>
        <w:ind w:left="0" w:firstLine="0"/>
        <w:contextualSpacing w:val="0"/>
        <w:jc w:val="both"/>
        <w:rPr>
          <w:rFonts w:ascii="Times New Roman" w:hAnsi="Times New Roman"/>
          <w:bCs/>
          <w:sz w:val="23"/>
          <w:szCs w:val="23"/>
          <w:lang w:val="tr-TR"/>
        </w:rPr>
      </w:pPr>
      <w:r w:rsidRPr="001A4B94">
        <w:rPr>
          <w:rFonts w:ascii="Times New Roman" w:hAnsi="Times New Roman"/>
          <w:b/>
          <w:i/>
          <w:sz w:val="23"/>
          <w:szCs w:val="23"/>
          <w:lang w:val="tr-TR"/>
        </w:rPr>
        <w:t xml:space="preserve">Kamu Varlıkları ve Kaynakları </w:t>
      </w:r>
      <w:r w:rsidRPr="001A4B94">
        <w:rPr>
          <w:rFonts w:ascii="Times New Roman" w:hAnsi="Times New Roman"/>
          <w:b/>
          <w:sz w:val="23"/>
          <w:szCs w:val="23"/>
          <w:lang w:val="tr-TR"/>
        </w:rPr>
        <w:t>alanında</w:t>
      </w:r>
      <w:r w:rsidR="00CB03CA" w:rsidRPr="001A4B94">
        <w:rPr>
          <w:rFonts w:ascii="Times New Roman" w:hAnsi="Times New Roman"/>
          <w:b/>
          <w:sz w:val="23"/>
          <w:szCs w:val="23"/>
          <w:lang w:val="tr-TR"/>
        </w:rPr>
        <w:t>ki</w:t>
      </w:r>
      <w:r w:rsidR="00786B35" w:rsidRPr="001A4B94">
        <w:rPr>
          <w:rFonts w:ascii="Times New Roman" w:hAnsi="Times New Roman"/>
          <w:b/>
          <w:i/>
          <w:sz w:val="23"/>
          <w:szCs w:val="23"/>
          <w:lang w:val="tr-TR"/>
        </w:rPr>
        <w:t xml:space="preserve"> </w:t>
      </w:r>
      <w:r w:rsidR="00D87438" w:rsidRPr="001A4B94">
        <w:rPr>
          <w:rFonts w:ascii="Times New Roman" w:hAnsi="Times New Roman"/>
          <w:b/>
          <w:sz w:val="23"/>
          <w:szCs w:val="23"/>
          <w:lang w:val="tr-TR"/>
        </w:rPr>
        <w:t>kısıtlar arazi, su, enerji ve trafik sıkışıklığı ile ilgilidir</w:t>
      </w:r>
      <w:r w:rsidR="00786B35" w:rsidRPr="001A4B94">
        <w:rPr>
          <w:rFonts w:ascii="Times New Roman" w:hAnsi="Times New Roman"/>
          <w:b/>
          <w:sz w:val="23"/>
          <w:szCs w:val="23"/>
          <w:lang w:val="tr-TR"/>
        </w:rPr>
        <w:t>.</w:t>
      </w:r>
      <w:r w:rsidR="00786B35" w:rsidRPr="001A4B94">
        <w:rPr>
          <w:rFonts w:ascii="Times New Roman" w:hAnsi="Times New Roman"/>
          <w:sz w:val="23"/>
          <w:szCs w:val="23"/>
          <w:lang w:val="tr-TR"/>
        </w:rPr>
        <w:t xml:space="preserve"> </w:t>
      </w:r>
      <w:r w:rsidR="00D87438" w:rsidRPr="001A4B94">
        <w:rPr>
          <w:rFonts w:ascii="Times New Roman" w:hAnsi="Times New Roman"/>
          <w:sz w:val="23"/>
          <w:szCs w:val="23"/>
          <w:lang w:val="tr-TR"/>
        </w:rPr>
        <w:t>Baz</w:t>
      </w:r>
      <w:r w:rsidR="0083691D" w:rsidRPr="001A4B94">
        <w:rPr>
          <w:rFonts w:ascii="Times New Roman" w:hAnsi="Times New Roman"/>
          <w:sz w:val="23"/>
          <w:szCs w:val="23"/>
          <w:lang w:val="tr-TR"/>
        </w:rPr>
        <w:t>ı</w:t>
      </w:r>
      <w:r w:rsidR="00D87438" w:rsidRPr="001A4B94">
        <w:rPr>
          <w:rFonts w:ascii="Times New Roman" w:hAnsi="Times New Roman"/>
          <w:sz w:val="23"/>
          <w:szCs w:val="23"/>
          <w:lang w:val="tr-TR"/>
        </w:rPr>
        <w:t xml:space="preserve"> şehirler </w:t>
      </w:r>
      <w:r w:rsidR="00E43950" w:rsidRPr="001A4B94">
        <w:rPr>
          <w:rFonts w:ascii="Times New Roman" w:hAnsi="Times New Roman"/>
          <w:sz w:val="23"/>
          <w:szCs w:val="23"/>
          <w:lang w:val="tr-TR"/>
        </w:rPr>
        <w:t>(</w:t>
      </w:r>
      <w:r w:rsidR="00D87438" w:rsidRPr="001A4B94">
        <w:rPr>
          <w:rFonts w:ascii="Times New Roman" w:hAnsi="Times New Roman"/>
          <w:sz w:val="23"/>
          <w:szCs w:val="23"/>
          <w:lang w:val="tr-TR"/>
        </w:rPr>
        <w:t>İ</w:t>
      </w:r>
      <w:r w:rsidR="00E43950" w:rsidRPr="001A4B94">
        <w:rPr>
          <w:rFonts w:ascii="Times New Roman" w:hAnsi="Times New Roman"/>
          <w:sz w:val="23"/>
          <w:szCs w:val="23"/>
          <w:lang w:val="tr-TR"/>
        </w:rPr>
        <w:t xml:space="preserve">stanbul </w:t>
      </w:r>
      <w:r w:rsidR="00D87438" w:rsidRPr="001A4B94">
        <w:rPr>
          <w:rFonts w:ascii="Times New Roman" w:hAnsi="Times New Roman"/>
          <w:sz w:val="23"/>
          <w:szCs w:val="23"/>
          <w:lang w:val="tr-TR"/>
        </w:rPr>
        <w:t xml:space="preserve">ve </w:t>
      </w:r>
      <w:r w:rsidR="00E43950" w:rsidRPr="001A4B94">
        <w:rPr>
          <w:rFonts w:ascii="Times New Roman" w:hAnsi="Times New Roman"/>
          <w:sz w:val="23"/>
          <w:szCs w:val="23"/>
          <w:lang w:val="tr-TR"/>
        </w:rPr>
        <w:t xml:space="preserve">Kocaeli) </w:t>
      </w:r>
      <w:r w:rsidR="0083691D" w:rsidRPr="001A4B94">
        <w:rPr>
          <w:rFonts w:ascii="Times New Roman" w:hAnsi="Times New Roman"/>
          <w:sz w:val="23"/>
          <w:szCs w:val="23"/>
          <w:lang w:val="tr-TR"/>
        </w:rPr>
        <w:t>trafik</w:t>
      </w:r>
      <w:r w:rsidR="00D87438" w:rsidRPr="001A4B94">
        <w:rPr>
          <w:rFonts w:ascii="Times New Roman" w:hAnsi="Times New Roman"/>
          <w:sz w:val="23"/>
          <w:szCs w:val="23"/>
          <w:lang w:val="tr-TR"/>
        </w:rPr>
        <w:t xml:space="preserve"> sıkışıklığı sorunu yaşamakt</w:t>
      </w:r>
      <w:r w:rsidR="0083691D" w:rsidRPr="001A4B94">
        <w:rPr>
          <w:rFonts w:ascii="Times New Roman" w:hAnsi="Times New Roman"/>
          <w:sz w:val="23"/>
          <w:szCs w:val="23"/>
          <w:lang w:val="tr-TR"/>
        </w:rPr>
        <w:t>a</w:t>
      </w:r>
      <w:r w:rsidR="00D87438" w:rsidRPr="001A4B94">
        <w:rPr>
          <w:rFonts w:ascii="Times New Roman" w:hAnsi="Times New Roman"/>
          <w:sz w:val="23"/>
          <w:szCs w:val="23"/>
          <w:lang w:val="tr-TR"/>
        </w:rPr>
        <w:t>dır</w:t>
      </w:r>
      <w:r w:rsidR="00293A35" w:rsidRPr="001A4B94">
        <w:rPr>
          <w:rFonts w:ascii="Times New Roman" w:hAnsi="Times New Roman"/>
          <w:sz w:val="23"/>
          <w:szCs w:val="23"/>
          <w:lang w:val="tr-TR"/>
        </w:rPr>
        <w:t xml:space="preserve">, </w:t>
      </w:r>
      <w:r w:rsidR="00D87438" w:rsidRPr="001A4B94">
        <w:rPr>
          <w:rFonts w:ascii="Times New Roman" w:hAnsi="Times New Roman"/>
          <w:sz w:val="23"/>
          <w:szCs w:val="23"/>
          <w:lang w:val="tr-TR"/>
        </w:rPr>
        <w:t>dolayısıyla geçmişte büyümeye ve yoksullu</w:t>
      </w:r>
      <w:r w:rsidR="0083691D" w:rsidRPr="001A4B94">
        <w:rPr>
          <w:rFonts w:ascii="Times New Roman" w:hAnsi="Times New Roman"/>
          <w:sz w:val="23"/>
          <w:szCs w:val="23"/>
          <w:lang w:val="tr-TR"/>
        </w:rPr>
        <w:t>ğ</w:t>
      </w:r>
      <w:r w:rsidR="00D87438" w:rsidRPr="001A4B94">
        <w:rPr>
          <w:rFonts w:ascii="Times New Roman" w:hAnsi="Times New Roman"/>
          <w:sz w:val="23"/>
          <w:szCs w:val="23"/>
          <w:lang w:val="tr-TR"/>
        </w:rPr>
        <w:t>un azaltılmasına katkıda bulunmuş olan yığınlaşmanın faydalarını tehlikeye atmaktadır</w:t>
      </w:r>
      <w:r w:rsidR="00786B35" w:rsidRPr="001A4B94">
        <w:rPr>
          <w:rFonts w:ascii="Times New Roman" w:hAnsi="Times New Roman"/>
          <w:sz w:val="23"/>
          <w:szCs w:val="23"/>
          <w:lang w:val="tr-TR"/>
        </w:rPr>
        <w:t xml:space="preserve">. </w:t>
      </w:r>
      <w:r w:rsidR="00D87438" w:rsidRPr="001A4B94">
        <w:rPr>
          <w:rFonts w:ascii="Times New Roman" w:hAnsi="Times New Roman"/>
          <w:sz w:val="23"/>
          <w:szCs w:val="23"/>
          <w:lang w:val="tr-TR"/>
        </w:rPr>
        <w:t>Kentsel büyümenin sürd</w:t>
      </w:r>
      <w:r w:rsidR="0083691D" w:rsidRPr="001A4B94">
        <w:rPr>
          <w:rFonts w:ascii="Times New Roman" w:hAnsi="Times New Roman"/>
          <w:sz w:val="23"/>
          <w:szCs w:val="23"/>
          <w:lang w:val="tr-TR"/>
        </w:rPr>
        <w:t>ü</w:t>
      </w:r>
      <w:r w:rsidR="00D87438" w:rsidRPr="001A4B94">
        <w:rPr>
          <w:rFonts w:ascii="Times New Roman" w:hAnsi="Times New Roman"/>
          <w:sz w:val="23"/>
          <w:szCs w:val="23"/>
          <w:lang w:val="tr-TR"/>
        </w:rPr>
        <w:t>rüleb</w:t>
      </w:r>
      <w:r w:rsidR="0083691D" w:rsidRPr="001A4B94">
        <w:rPr>
          <w:rFonts w:ascii="Times New Roman" w:hAnsi="Times New Roman"/>
          <w:sz w:val="23"/>
          <w:szCs w:val="23"/>
          <w:lang w:val="tr-TR"/>
        </w:rPr>
        <w:t>i</w:t>
      </w:r>
      <w:r w:rsidR="00D87438" w:rsidRPr="001A4B94">
        <w:rPr>
          <w:rFonts w:ascii="Times New Roman" w:hAnsi="Times New Roman"/>
          <w:sz w:val="23"/>
          <w:szCs w:val="23"/>
          <w:lang w:val="tr-TR"/>
        </w:rPr>
        <w:t xml:space="preserve">lir kılınması için çevre düzeni planları ile uyumlu </w:t>
      </w:r>
      <w:r w:rsidR="00D87438" w:rsidRPr="001A4B94">
        <w:rPr>
          <w:rFonts w:ascii="Times New Roman" w:hAnsi="Times New Roman"/>
          <w:bCs/>
          <w:sz w:val="23"/>
          <w:szCs w:val="23"/>
          <w:lang w:val="tr-TR"/>
        </w:rPr>
        <w:t>finansman ve sermaye yatırım planlaması temel bir önem taşımaktadır</w:t>
      </w:r>
      <w:r w:rsidR="00786B35" w:rsidRPr="001A4B94">
        <w:rPr>
          <w:rFonts w:ascii="Times New Roman" w:hAnsi="Times New Roman"/>
          <w:bCs/>
          <w:sz w:val="23"/>
          <w:szCs w:val="23"/>
          <w:lang w:val="tr-TR"/>
        </w:rPr>
        <w:t xml:space="preserve">. </w:t>
      </w:r>
      <w:r w:rsidR="001C7988" w:rsidRPr="001A4B94">
        <w:rPr>
          <w:rFonts w:ascii="Times New Roman" w:hAnsi="Times New Roman"/>
          <w:bCs/>
          <w:sz w:val="23"/>
          <w:szCs w:val="23"/>
          <w:lang w:val="tr-TR"/>
        </w:rPr>
        <w:t>Çevresel açıdan düşük maliyetler</w:t>
      </w:r>
      <w:r w:rsidR="00ED5A9A" w:rsidRPr="001A4B94">
        <w:rPr>
          <w:rFonts w:ascii="Times New Roman" w:hAnsi="Times New Roman"/>
          <w:bCs/>
          <w:sz w:val="23"/>
          <w:szCs w:val="23"/>
          <w:lang w:val="tr-TR"/>
        </w:rPr>
        <w:t>le</w:t>
      </w:r>
      <w:r w:rsidR="001C7988" w:rsidRPr="001A4B94">
        <w:rPr>
          <w:rFonts w:ascii="Times New Roman" w:hAnsi="Times New Roman"/>
          <w:bCs/>
          <w:sz w:val="23"/>
          <w:szCs w:val="23"/>
          <w:lang w:val="tr-TR"/>
        </w:rPr>
        <w:t xml:space="preserve"> </w:t>
      </w:r>
      <w:r w:rsidR="00615944" w:rsidRPr="001A4B94">
        <w:rPr>
          <w:rFonts w:ascii="Times New Roman" w:hAnsi="Times New Roman"/>
          <w:bCs/>
          <w:sz w:val="23"/>
          <w:szCs w:val="23"/>
          <w:lang w:val="tr-TR"/>
        </w:rPr>
        <w:t>insanların ve işlerin etkin bir şekilde buluşturulması</w:t>
      </w:r>
      <w:r w:rsidR="00B7290E" w:rsidRPr="001A4B94">
        <w:rPr>
          <w:rFonts w:ascii="Times New Roman" w:hAnsi="Times New Roman"/>
          <w:bCs/>
          <w:sz w:val="23"/>
          <w:szCs w:val="23"/>
          <w:lang w:val="tr-TR"/>
        </w:rPr>
        <w:t>, rekabet gücünün ve sürdürülebili</w:t>
      </w:r>
      <w:r w:rsidR="0083691D" w:rsidRPr="001A4B94">
        <w:rPr>
          <w:rFonts w:ascii="Times New Roman" w:hAnsi="Times New Roman"/>
          <w:bCs/>
          <w:sz w:val="23"/>
          <w:szCs w:val="23"/>
          <w:lang w:val="tr-TR"/>
        </w:rPr>
        <w:t>rli</w:t>
      </w:r>
      <w:r w:rsidR="00B7290E" w:rsidRPr="001A4B94">
        <w:rPr>
          <w:rFonts w:ascii="Times New Roman" w:hAnsi="Times New Roman"/>
          <w:bCs/>
          <w:sz w:val="23"/>
          <w:szCs w:val="23"/>
          <w:lang w:val="tr-TR"/>
        </w:rPr>
        <w:t>ğin korunması için temel bir gerekliliktir.</w:t>
      </w:r>
      <w:r w:rsidR="00557576" w:rsidRPr="001A4B94">
        <w:rPr>
          <w:rFonts w:ascii="Times New Roman" w:hAnsi="Times New Roman"/>
          <w:bCs/>
          <w:sz w:val="23"/>
          <w:szCs w:val="23"/>
          <w:lang w:val="tr-TR"/>
        </w:rPr>
        <w:t xml:space="preserve"> </w:t>
      </w:r>
      <w:r w:rsidR="00B7290E" w:rsidRPr="001A4B94">
        <w:rPr>
          <w:rFonts w:ascii="Times New Roman" w:hAnsi="Times New Roman"/>
          <w:bCs/>
          <w:sz w:val="23"/>
          <w:szCs w:val="23"/>
          <w:lang w:val="tr-TR"/>
        </w:rPr>
        <w:t>Su mevcudiyeti şimdilik genel olarak yeterli olmakla birlikte, su kullanımındaki artış projeksiyonları 2030 yılına kadar su mevcudiy</w:t>
      </w:r>
      <w:r w:rsidR="0083691D" w:rsidRPr="001A4B94">
        <w:rPr>
          <w:rFonts w:ascii="Times New Roman" w:hAnsi="Times New Roman"/>
          <w:bCs/>
          <w:sz w:val="23"/>
          <w:szCs w:val="23"/>
          <w:lang w:val="tr-TR"/>
        </w:rPr>
        <w:t>e</w:t>
      </w:r>
      <w:r w:rsidR="00B7290E" w:rsidRPr="001A4B94">
        <w:rPr>
          <w:rFonts w:ascii="Times New Roman" w:hAnsi="Times New Roman"/>
          <w:bCs/>
          <w:sz w:val="23"/>
          <w:szCs w:val="23"/>
          <w:lang w:val="tr-TR"/>
        </w:rPr>
        <w:t>tinin aşılabileceğini göstermektedir</w:t>
      </w:r>
      <w:r w:rsidR="00FB1B6B" w:rsidRPr="001A4B94">
        <w:rPr>
          <w:rStyle w:val="DipnotBavurusu"/>
          <w:rFonts w:ascii="Times New Roman" w:hAnsi="Times New Roman"/>
          <w:bCs/>
          <w:sz w:val="23"/>
          <w:szCs w:val="23"/>
          <w:lang w:val="tr-TR"/>
        </w:rPr>
        <w:footnoteReference w:id="4"/>
      </w:r>
      <w:r w:rsidR="002F33A1" w:rsidRPr="001A4B94">
        <w:rPr>
          <w:rFonts w:ascii="Times New Roman" w:hAnsi="Times New Roman"/>
          <w:bCs/>
          <w:sz w:val="23"/>
          <w:szCs w:val="23"/>
          <w:lang w:val="tr-TR"/>
        </w:rPr>
        <w:t xml:space="preserve"> </w:t>
      </w:r>
      <w:r w:rsidR="00B7290E" w:rsidRPr="001A4B94">
        <w:rPr>
          <w:rFonts w:ascii="Times New Roman" w:hAnsi="Times New Roman"/>
          <w:bCs/>
          <w:sz w:val="23"/>
          <w:szCs w:val="23"/>
          <w:lang w:val="tr-TR"/>
        </w:rPr>
        <w:t xml:space="preserve">ve bu </w:t>
      </w:r>
      <w:r w:rsidR="003A14E7" w:rsidRPr="001A4B94">
        <w:rPr>
          <w:rFonts w:ascii="Times New Roman" w:hAnsi="Times New Roman"/>
          <w:bCs/>
          <w:sz w:val="23"/>
          <w:szCs w:val="23"/>
          <w:lang w:val="tr-TR"/>
        </w:rPr>
        <w:t>durum tarım ve sanayide büyüme için frenleyici bir etki yaratırken</w:t>
      </w:r>
      <w:r w:rsidR="00786B35" w:rsidRPr="001A4B94">
        <w:rPr>
          <w:rFonts w:ascii="Times New Roman" w:hAnsi="Times New Roman"/>
          <w:bCs/>
          <w:sz w:val="23"/>
          <w:szCs w:val="23"/>
          <w:lang w:val="tr-TR"/>
        </w:rPr>
        <w:t xml:space="preserve">, </w:t>
      </w:r>
      <w:r w:rsidR="003A14E7" w:rsidRPr="001A4B94">
        <w:rPr>
          <w:rFonts w:ascii="Times New Roman" w:hAnsi="Times New Roman"/>
          <w:bCs/>
          <w:sz w:val="23"/>
          <w:szCs w:val="23"/>
          <w:lang w:val="tr-TR"/>
        </w:rPr>
        <w:t>refahı da ciddi bir şekilde etkileyeb</w:t>
      </w:r>
      <w:r w:rsidR="0083691D" w:rsidRPr="001A4B94">
        <w:rPr>
          <w:rFonts w:ascii="Times New Roman" w:hAnsi="Times New Roman"/>
          <w:bCs/>
          <w:sz w:val="23"/>
          <w:szCs w:val="23"/>
          <w:lang w:val="tr-TR"/>
        </w:rPr>
        <w:t>i</w:t>
      </w:r>
      <w:r w:rsidR="003A14E7" w:rsidRPr="001A4B94">
        <w:rPr>
          <w:rFonts w:ascii="Times New Roman" w:hAnsi="Times New Roman"/>
          <w:bCs/>
          <w:sz w:val="23"/>
          <w:szCs w:val="23"/>
          <w:lang w:val="tr-TR"/>
        </w:rPr>
        <w:t>lir</w:t>
      </w:r>
      <w:r w:rsidR="00786B35" w:rsidRPr="001A4B94">
        <w:rPr>
          <w:rFonts w:ascii="Times New Roman" w:hAnsi="Times New Roman"/>
          <w:bCs/>
          <w:sz w:val="23"/>
          <w:szCs w:val="23"/>
          <w:lang w:val="tr-TR"/>
        </w:rPr>
        <w:t xml:space="preserve">. </w:t>
      </w:r>
      <w:r w:rsidR="003A14E7" w:rsidRPr="001A4B94">
        <w:rPr>
          <w:rFonts w:ascii="Times New Roman" w:hAnsi="Times New Roman"/>
          <w:bCs/>
          <w:sz w:val="23"/>
          <w:szCs w:val="23"/>
          <w:lang w:val="tr-TR"/>
        </w:rPr>
        <w:t>Enerji tük</w:t>
      </w:r>
      <w:r w:rsidR="0083691D" w:rsidRPr="001A4B94">
        <w:rPr>
          <w:rFonts w:ascii="Times New Roman" w:hAnsi="Times New Roman"/>
          <w:bCs/>
          <w:sz w:val="23"/>
          <w:szCs w:val="23"/>
          <w:lang w:val="tr-TR"/>
        </w:rPr>
        <w:t>e</w:t>
      </w:r>
      <w:r w:rsidR="003A14E7" w:rsidRPr="001A4B94">
        <w:rPr>
          <w:rFonts w:ascii="Times New Roman" w:hAnsi="Times New Roman"/>
          <w:bCs/>
          <w:sz w:val="23"/>
          <w:szCs w:val="23"/>
          <w:lang w:val="tr-TR"/>
        </w:rPr>
        <w:t>timinde verimliliğin arttırılm</w:t>
      </w:r>
      <w:r w:rsidR="0083691D" w:rsidRPr="001A4B94">
        <w:rPr>
          <w:rFonts w:ascii="Times New Roman" w:hAnsi="Times New Roman"/>
          <w:bCs/>
          <w:sz w:val="23"/>
          <w:szCs w:val="23"/>
          <w:lang w:val="tr-TR"/>
        </w:rPr>
        <w:t>a</w:t>
      </w:r>
      <w:r w:rsidR="003A14E7" w:rsidRPr="001A4B94">
        <w:rPr>
          <w:rFonts w:ascii="Times New Roman" w:hAnsi="Times New Roman"/>
          <w:bCs/>
          <w:sz w:val="23"/>
          <w:szCs w:val="23"/>
          <w:lang w:val="tr-TR"/>
        </w:rPr>
        <w:t xml:space="preserve">sı ve ithal enerji kaynaklarına bağımlılığın azaltılması </w:t>
      </w:r>
      <w:r w:rsidR="0083691D" w:rsidRPr="001A4B94">
        <w:rPr>
          <w:rFonts w:ascii="Times New Roman" w:hAnsi="Times New Roman"/>
          <w:bCs/>
          <w:sz w:val="23"/>
          <w:szCs w:val="23"/>
          <w:lang w:val="tr-TR"/>
        </w:rPr>
        <w:t>da rekabet gücü ve sürdürülebilir ekonomik büyüme için kritik önem taşımaktadır</w:t>
      </w:r>
      <w:r w:rsidR="00786B35" w:rsidRPr="001A4B94">
        <w:rPr>
          <w:rFonts w:ascii="Times New Roman" w:hAnsi="Times New Roman"/>
          <w:bCs/>
          <w:sz w:val="23"/>
          <w:szCs w:val="23"/>
          <w:lang w:val="tr-TR"/>
        </w:rPr>
        <w:t>.</w:t>
      </w:r>
      <w:r w:rsidR="00557576" w:rsidRPr="001A4B94">
        <w:rPr>
          <w:rFonts w:ascii="Times New Roman" w:hAnsi="Times New Roman"/>
          <w:sz w:val="23"/>
          <w:szCs w:val="23"/>
          <w:lang w:val="tr-TR"/>
        </w:rPr>
        <w:t xml:space="preserve"> </w:t>
      </w:r>
      <w:r w:rsidR="0083691D" w:rsidRPr="001A4B94">
        <w:rPr>
          <w:rFonts w:ascii="Times New Roman" w:hAnsi="Times New Roman"/>
          <w:sz w:val="23"/>
          <w:szCs w:val="23"/>
          <w:lang w:val="tr-TR"/>
        </w:rPr>
        <w:t>Verimsiz arazi yönetimi şehir planlamasını, belediye altyapısının finansmanını ve kırsal refahı  olumsuz etkilemektedir</w:t>
      </w:r>
      <w:r w:rsidR="00786B35" w:rsidRPr="001A4B94">
        <w:rPr>
          <w:rFonts w:ascii="Times New Roman" w:hAnsi="Times New Roman"/>
          <w:sz w:val="23"/>
          <w:szCs w:val="23"/>
          <w:lang w:val="tr-TR"/>
        </w:rPr>
        <w:t xml:space="preserve">. </w:t>
      </w:r>
    </w:p>
    <w:p w14:paraId="0EF9AC3E" w14:textId="11E133C6" w:rsidR="0030747A" w:rsidRPr="001A4B94" w:rsidRDefault="0030747A" w:rsidP="00987009">
      <w:pPr>
        <w:pStyle w:val="Balk1"/>
        <w:jc w:val="center"/>
        <w:rPr>
          <w:rFonts w:eastAsiaTheme="minorEastAsia"/>
          <w:b/>
          <w:sz w:val="28"/>
          <w:lang w:val="tr-TR"/>
        </w:rPr>
      </w:pPr>
      <w:bookmarkStart w:id="6" w:name="_Toc494977325"/>
      <w:r w:rsidRPr="001A4B94">
        <w:rPr>
          <w:rFonts w:ascii="Times New Roman" w:eastAsiaTheme="minorEastAsia" w:hAnsi="Times New Roman" w:cs="Times New Roman"/>
          <w:b/>
          <w:color w:val="auto"/>
          <w:sz w:val="28"/>
          <w:lang w:val="tr-TR"/>
        </w:rPr>
        <w:lastRenderedPageBreak/>
        <w:t xml:space="preserve">III. </w:t>
      </w:r>
      <w:r w:rsidR="00202232" w:rsidRPr="001A4B94">
        <w:rPr>
          <w:rFonts w:ascii="Times New Roman" w:eastAsiaTheme="minorEastAsia" w:hAnsi="Times New Roman" w:cs="Times New Roman"/>
          <w:b/>
          <w:color w:val="auto"/>
          <w:sz w:val="28"/>
          <w:lang w:val="tr-TR"/>
        </w:rPr>
        <w:t>DÜNYA BANKASI GRUBU İŞBİRLİĞİ ÇERÇEVESİ</w:t>
      </w:r>
      <w:bookmarkEnd w:id="6"/>
      <w:r w:rsidR="00202232" w:rsidRPr="001A4B94">
        <w:rPr>
          <w:rFonts w:ascii="Times New Roman" w:eastAsiaTheme="minorEastAsia" w:hAnsi="Times New Roman" w:cs="Times New Roman"/>
          <w:b/>
          <w:color w:val="auto"/>
          <w:sz w:val="28"/>
          <w:lang w:val="tr-TR"/>
        </w:rPr>
        <w:t xml:space="preserve"> </w:t>
      </w:r>
    </w:p>
    <w:p w14:paraId="1B518D09" w14:textId="77777777" w:rsidR="0030747A" w:rsidRPr="001A4B94" w:rsidRDefault="0030747A" w:rsidP="0030747A">
      <w:pPr>
        <w:widowControl w:val="0"/>
        <w:autoSpaceDE w:val="0"/>
        <w:autoSpaceDN w:val="0"/>
        <w:adjustRightInd w:val="0"/>
        <w:jc w:val="center"/>
        <w:rPr>
          <w:b/>
          <w:bCs/>
          <w:color w:val="000000"/>
          <w:lang w:val="tr-TR"/>
        </w:rPr>
      </w:pPr>
    </w:p>
    <w:p w14:paraId="229C42D3" w14:textId="1819D387" w:rsidR="0030747A" w:rsidRPr="001A4B94" w:rsidRDefault="00824006" w:rsidP="0030747A">
      <w:pPr>
        <w:pStyle w:val="Balk2"/>
        <w:rPr>
          <w:rFonts w:ascii="Times New Roman" w:hAnsi="Times New Roman" w:cs="Times New Roman"/>
          <w:b/>
          <w:sz w:val="23"/>
          <w:szCs w:val="23"/>
          <w:lang w:val="tr-TR"/>
        </w:rPr>
      </w:pPr>
      <w:bookmarkStart w:id="7" w:name="_Toc494977326"/>
      <w:r w:rsidRPr="001A4B94">
        <w:rPr>
          <w:rFonts w:ascii="Times New Roman" w:hAnsi="Times New Roman" w:cs="Times New Roman"/>
          <w:b/>
          <w:color w:val="auto"/>
          <w:sz w:val="23"/>
          <w:szCs w:val="23"/>
          <w:lang w:val="tr-TR"/>
        </w:rPr>
        <w:t>III</w:t>
      </w:r>
      <w:r w:rsidR="00791AB8" w:rsidRPr="001A4B94">
        <w:rPr>
          <w:rFonts w:ascii="Times New Roman" w:hAnsi="Times New Roman" w:cs="Times New Roman"/>
          <w:b/>
          <w:color w:val="auto"/>
          <w:sz w:val="23"/>
          <w:szCs w:val="23"/>
          <w:lang w:val="tr-TR"/>
        </w:rPr>
        <w:t>.1</w:t>
      </w:r>
      <w:r w:rsidR="00E3484C" w:rsidRPr="001A4B94">
        <w:rPr>
          <w:rFonts w:ascii="Times New Roman" w:hAnsi="Times New Roman" w:cs="Times New Roman"/>
          <w:b/>
          <w:color w:val="auto"/>
          <w:sz w:val="23"/>
          <w:szCs w:val="23"/>
          <w:lang w:val="tr-TR"/>
        </w:rPr>
        <w:t>.</w:t>
      </w:r>
      <w:r w:rsidR="00791AB8" w:rsidRPr="001A4B94">
        <w:rPr>
          <w:rFonts w:ascii="Times New Roman" w:hAnsi="Times New Roman" w:cs="Times New Roman"/>
          <w:b/>
          <w:color w:val="auto"/>
          <w:sz w:val="23"/>
          <w:szCs w:val="23"/>
          <w:lang w:val="tr-TR"/>
        </w:rPr>
        <w:t xml:space="preserve"> </w:t>
      </w:r>
      <w:r w:rsidR="00202232" w:rsidRPr="001A4B94">
        <w:rPr>
          <w:rFonts w:ascii="Times New Roman" w:hAnsi="Times New Roman" w:cs="Times New Roman"/>
          <w:b/>
          <w:color w:val="auto"/>
          <w:sz w:val="23"/>
          <w:szCs w:val="23"/>
          <w:lang w:val="tr-TR"/>
        </w:rPr>
        <w:t>Hükümetin Programı ve Orta Vadeli Stratejisi</w:t>
      </w:r>
      <w:bookmarkEnd w:id="7"/>
      <w:r w:rsidR="00202232" w:rsidRPr="001A4B94">
        <w:rPr>
          <w:rFonts w:ascii="Times New Roman" w:hAnsi="Times New Roman" w:cs="Times New Roman"/>
          <w:b/>
          <w:color w:val="auto"/>
          <w:sz w:val="23"/>
          <w:szCs w:val="23"/>
          <w:lang w:val="tr-TR"/>
        </w:rPr>
        <w:t xml:space="preserve"> </w:t>
      </w:r>
    </w:p>
    <w:p w14:paraId="5FBC671A" w14:textId="77777777" w:rsidR="00530FA2" w:rsidRPr="001A4B94" w:rsidRDefault="00530FA2" w:rsidP="00530FA2">
      <w:pPr>
        <w:jc w:val="both"/>
        <w:rPr>
          <w:sz w:val="10"/>
          <w:szCs w:val="10"/>
          <w:lang w:val="tr-TR"/>
        </w:rPr>
      </w:pPr>
    </w:p>
    <w:p w14:paraId="4CA75F43" w14:textId="741EE616" w:rsidR="009B5479" w:rsidRPr="001A4B94" w:rsidRDefault="008A44F5" w:rsidP="009B5479">
      <w:pPr>
        <w:pStyle w:val="ListeParagraf"/>
        <w:numPr>
          <w:ilvl w:val="0"/>
          <w:numId w:val="2"/>
        </w:numPr>
        <w:tabs>
          <w:tab w:val="left" w:pos="426"/>
        </w:tabs>
        <w:autoSpaceDE w:val="0"/>
        <w:autoSpaceDN w:val="0"/>
        <w:adjustRightInd w:val="0"/>
        <w:spacing w:after="0" w:line="240" w:lineRule="auto"/>
        <w:ind w:left="0" w:firstLine="0"/>
        <w:jc w:val="both"/>
        <w:rPr>
          <w:rFonts w:ascii="Times New Roman" w:eastAsiaTheme="minorHAnsi" w:hAnsi="Times New Roman"/>
          <w:sz w:val="23"/>
          <w:szCs w:val="23"/>
          <w:lang w:val="tr-TR"/>
        </w:rPr>
      </w:pPr>
      <w:r w:rsidRPr="001A4B94">
        <w:rPr>
          <w:rFonts w:ascii="Times New Roman" w:hAnsi="Times New Roman"/>
          <w:b/>
          <w:sz w:val="23"/>
          <w:szCs w:val="23"/>
          <w:lang w:val="tr-TR"/>
        </w:rPr>
        <w:t>T</w:t>
      </w:r>
      <w:r w:rsidR="003B711C" w:rsidRPr="001A4B94">
        <w:rPr>
          <w:rFonts w:ascii="Times New Roman" w:hAnsi="Times New Roman"/>
          <w:b/>
          <w:sz w:val="23"/>
          <w:szCs w:val="23"/>
          <w:lang w:val="tr-TR"/>
        </w:rPr>
        <w:t>ürk</w:t>
      </w:r>
      <w:r w:rsidR="009A4AAF" w:rsidRPr="001A4B94">
        <w:rPr>
          <w:rFonts w:ascii="Times New Roman" w:hAnsi="Times New Roman"/>
          <w:b/>
          <w:sz w:val="23"/>
          <w:szCs w:val="23"/>
          <w:lang w:val="tr-TR"/>
        </w:rPr>
        <w:t>iye’nin kapsamlı kalkınma hedef</w:t>
      </w:r>
      <w:r w:rsidR="003B711C" w:rsidRPr="001A4B94">
        <w:rPr>
          <w:rFonts w:ascii="Times New Roman" w:hAnsi="Times New Roman"/>
          <w:b/>
          <w:sz w:val="23"/>
          <w:szCs w:val="23"/>
          <w:lang w:val="tr-TR"/>
        </w:rPr>
        <w:t>l</w:t>
      </w:r>
      <w:r w:rsidR="009A4AAF" w:rsidRPr="001A4B94">
        <w:rPr>
          <w:rFonts w:ascii="Times New Roman" w:hAnsi="Times New Roman"/>
          <w:b/>
          <w:sz w:val="23"/>
          <w:szCs w:val="23"/>
          <w:lang w:val="tr-TR"/>
        </w:rPr>
        <w:t>e</w:t>
      </w:r>
      <w:r w:rsidR="003B711C" w:rsidRPr="001A4B94">
        <w:rPr>
          <w:rFonts w:ascii="Times New Roman" w:hAnsi="Times New Roman"/>
          <w:b/>
          <w:sz w:val="23"/>
          <w:szCs w:val="23"/>
          <w:lang w:val="tr-TR"/>
        </w:rPr>
        <w:t>ri, 2014 yılında uyg</w:t>
      </w:r>
      <w:r w:rsidR="00F02896" w:rsidRPr="001A4B94">
        <w:rPr>
          <w:rFonts w:ascii="Times New Roman" w:hAnsi="Times New Roman"/>
          <w:b/>
          <w:sz w:val="23"/>
          <w:szCs w:val="23"/>
          <w:lang w:val="tr-TR"/>
        </w:rPr>
        <w:t>u</w:t>
      </w:r>
      <w:r w:rsidR="003B711C" w:rsidRPr="001A4B94">
        <w:rPr>
          <w:rFonts w:ascii="Times New Roman" w:hAnsi="Times New Roman"/>
          <w:b/>
          <w:sz w:val="23"/>
          <w:szCs w:val="23"/>
          <w:lang w:val="tr-TR"/>
        </w:rPr>
        <w:t>lanmaya başlayan 10. Kalkınma Planın</w:t>
      </w:r>
      <w:r w:rsidR="00ED5A9A" w:rsidRPr="001A4B94">
        <w:rPr>
          <w:rFonts w:ascii="Times New Roman" w:hAnsi="Times New Roman"/>
          <w:b/>
          <w:sz w:val="23"/>
          <w:szCs w:val="23"/>
          <w:lang w:val="tr-TR"/>
        </w:rPr>
        <w:t>da</w:t>
      </w:r>
      <w:r w:rsidR="003B711C" w:rsidRPr="001A4B94">
        <w:rPr>
          <w:rFonts w:ascii="Times New Roman" w:hAnsi="Times New Roman"/>
          <w:b/>
          <w:sz w:val="23"/>
          <w:szCs w:val="23"/>
          <w:lang w:val="tr-TR"/>
        </w:rPr>
        <w:t xml:space="preserve"> </w:t>
      </w:r>
      <w:r w:rsidR="00F6727B" w:rsidRPr="001A4B94">
        <w:rPr>
          <w:rFonts w:ascii="Times New Roman" w:hAnsi="Times New Roman"/>
          <w:b/>
          <w:sz w:val="23"/>
          <w:szCs w:val="23"/>
          <w:lang w:val="tr-TR"/>
        </w:rPr>
        <w:t>(</w:t>
      </w:r>
      <w:r w:rsidR="003B711C" w:rsidRPr="001A4B94">
        <w:rPr>
          <w:rFonts w:ascii="Times New Roman" w:hAnsi="Times New Roman"/>
          <w:b/>
          <w:sz w:val="23"/>
          <w:szCs w:val="23"/>
          <w:lang w:val="tr-TR"/>
        </w:rPr>
        <w:t>K</w:t>
      </w:r>
      <w:r w:rsidR="001A0127" w:rsidRPr="001A4B94">
        <w:rPr>
          <w:rFonts w:ascii="Times New Roman" w:hAnsi="Times New Roman"/>
          <w:b/>
          <w:sz w:val="23"/>
          <w:szCs w:val="23"/>
          <w:lang w:val="tr-TR"/>
        </w:rPr>
        <w:t>P</w:t>
      </w:r>
      <w:r w:rsidR="00B403DC" w:rsidRPr="001A4B94">
        <w:rPr>
          <w:rFonts w:ascii="Times New Roman" w:hAnsi="Times New Roman"/>
          <w:b/>
          <w:sz w:val="23"/>
          <w:szCs w:val="23"/>
          <w:lang w:val="tr-TR"/>
        </w:rPr>
        <w:t xml:space="preserve"> </w:t>
      </w:r>
      <w:r w:rsidR="001A0127" w:rsidRPr="001A4B94">
        <w:rPr>
          <w:rFonts w:ascii="Times New Roman" w:hAnsi="Times New Roman"/>
          <w:b/>
          <w:sz w:val="23"/>
          <w:szCs w:val="23"/>
          <w:lang w:val="tr-TR"/>
        </w:rPr>
        <w:t xml:space="preserve"> </w:t>
      </w:r>
      <w:r w:rsidR="00F6727B" w:rsidRPr="001A4B94">
        <w:rPr>
          <w:rFonts w:ascii="Times New Roman" w:hAnsi="Times New Roman"/>
          <w:b/>
          <w:sz w:val="23"/>
          <w:szCs w:val="23"/>
          <w:lang w:val="tr-TR"/>
        </w:rPr>
        <w:t>2014-2018)</w:t>
      </w:r>
      <w:r w:rsidR="003B711C" w:rsidRPr="001A4B94">
        <w:rPr>
          <w:rFonts w:ascii="Times New Roman" w:hAnsi="Times New Roman"/>
          <w:b/>
          <w:sz w:val="23"/>
          <w:szCs w:val="23"/>
          <w:lang w:val="tr-TR"/>
        </w:rPr>
        <w:t xml:space="preserve"> ortaya konulmuştur</w:t>
      </w:r>
      <w:r w:rsidR="00F6727B" w:rsidRPr="001A4B94">
        <w:rPr>
          <w:rFonts w:ascii="Times New Roman" w:hAnsi="Times New Roman"/>
          <w:b/>
          <w:sz w:val="23"/>
          <w:szCs w:val="23"/>
          <w:lang w:val="tr-TR"/>
        </w:rPr>
        <w:t xml:space="preserve">.  </w:t>
      </w:r>
      <w:r w:rsidR="00F02896" w:rsidRPr="001A4B94">
        <w:rPr>
          <w:rFonts w:ascii="Times New Roman" w:hAnsi="Times New Roman"/>
          <w:sz w:val="23"/>
          <w:szCs w:val="23"/>
          <w:lang w:val="tr-TR"/>
        </w:rPr>
        <w:t>Onun</w:t>
      </w:r>
      <w:r w:rsidR="00ED5A9A" w:rsidRPr="001A4B94">
        <w:rPr>
          <w:rFonts w:ascii="Times New Roman" w:hAnsi="Times New Roman"/>
          <w:sz w:val="23"/>
          <w:szCs w:val="23"/>
          <w:lang w:val="tr-TR"/>
        </w:rPr>
        <w:t>c</w:t>
      </w:r>
      <w:r w:rsidR="00F02896" w:rsidRPr="001A4B94">
        <w:rPr>
          <w:rFonts w:ascii="Times New Roman" w:hAnsi="Times New Roman"/>
          <w:sz w:val="23"/>
          <w:szCs w:val="23"/>
          <w:lang w:val="tr-TR"/>
        </w:rPr>
        <w:t xml:space="preserve">u Kalkınma Planında takip edilen öncelikler, Dokuzuncu Kalkınma Planında belirlenen önceliklerin çoğu ile aynıdır ve Türkiye’nin geniş </w:t>
      </w:r>
      <w:r w:rsidR="00ED5A9A" w:rsidRPr="001A4B94">
        <w:rPr>
          <w:rFonts w:ascii="Times New Roman" w:hAnsi="Times New Roman"/>
          <w:sz w:val="23"/>
          <w:szCs w:val="23"/>
          <w:lang w:val="tr-TR"/>
        </w:rPr>
        <w:t xml:space="preserve">kapsamlı </w:t>
      </w:r>
      <w:r w:rsidR="00F02896" w:rsidRPr="001A4B94">
        <w:rPr>
          <w:rFonts w:ascii="Times New Roman" w:hAnsi="Times New Roman"/>
          <w:sz w:val="23"/>
          <w:szCs w:val="23"/>
          <w:lang w:val="tr-TR"/>
        </w:rPr>
        <w:t>bir reform ve kalkınma programları dizisine olan bağlılığını vurgulamaktadır</w:t>
      </w:r>
      <w:r w:rsidR="00F6727B" w:rsidRPr="001A4B94">
        <w:rPr>
          <w:rFonts w:ascii="Times New Roman" w:hAnsi="Times New Roman"/>
          <w:sz w:val="23"/>
          <w:szCs w:val="23"/>
          <w:lang w:val="tr-TR"/>
        </w:rPr>
        <w:t xml:space="preserve">.  </w:t>
      </w:r>
      <w:r w:rsidR="00F02896" w:rsidRPr="001A4B94">
        <w:rPr>
          <w:rFonts w:ascii="Times New Roman" w:hAnsi="Times New Roman"/>
          <w:sz w:val="23"/>
          <w:szCs w:val="23"/>
          <w:lang w:val="tr-TR"/>
        </w:rPr>
        <w:t>Birbirini takip</w:t>
      </w:r>
      <w:r w:rsidR="009A4AAF" w:rsidRPr="001A4B94">
        <w:rPr>
          <w:rFonts w:ascii="Times New Roman" w:hAnsi="Times New Roman"/>
          <w:sz w:val="23"/>
          <w:szCs w:val="23"/>
          <w:lang w:val="tr-TR"/>
        </w:rPr>
        <w:t xml:space="preserve"> </w:t>
      </w:r>
      <w:r w:rsidR="00F02896" w:rsidRPr="001A4B94">
        <w:rPr>
          <w:rFonts w:ascii="Times New Roman" w:hAnsi="Times New Roman"/>
          <w:sz w:val="23"/>
          <w:szCs w:val="23"/>
          <w:lang w:val="tr-TR"/>
        </w:rPr>
        <w:t>eden kalkınma planlarının uygulama performansı övgüye değerdir</w:t>
      </w:r>
      <w:r w:rsidR="006C5B66" w:rsidRPr="001A4B94">
        <w:rPr>
          <w:rFonts w:ascii="Times New Roman" w:hAnsi="Times New Roman"/>
          <w:sz w:val="23"/>
          <w:szCs w:val="23"/>
          <w:lang w:val="tr-TR"/>
        </w:rPr>
        <w:t xml:space="preserve">. </w:t>
      </w:r>
      <w:r w:rsidR="00F02896" w:rsidRPr="001A4B94">
        <w:rPr>
          <w:rFonts w:ascii="Times New Roman" w:hAnsi="Times New Roman"/>
          <w:sz w:val="23"/>
          <w:szCs w:val="23"/>
          <w:lang w:val="tr-TR"/>
        </w:rPr>
        <w:t xml:space="preserve">Kalkınma Planları geleneksel olarak Türkiye ile Dünya Bankası Grubu arasındaki </w:t>
      </w:r>
      <w:r w:rsidR="00AF758F" w:rsidRPr="001A4B94">
        <w:rPr>
          <w:rFonts w:ascii="Times New Roman" w:hAnsi="Times New Roman"/>
          <w:sz w:val="23"/>
          <w:szCs w:val="23"/>
          <w:lang w:val="tr-TR"/>
        </w:rPr>
        <w:t xml:space="preserve">işbirliğinin temelini oluşturmuştur. Bir önceki Ülke İşbirliği Stratejisi </w:t>
      </w:r>
      <w:r w:rsidR="006C5B66" w:rsidRPr="001A4B94">
        <w:rPr>
          <w:rFonts w:ascii="Times New Roman" w:hAnsi="Times New Roman"/>
          <w:sz w:val="23"/>
          <w:szCs w:val="23"/>
          <w:lang w:val="tr-TR"/>
        </w:rPr>
        <w:t>(</w:t>
      </w:r>
      <w:r w:rsidR="00AF758F" w:rsidRPr="001A4B94">
        <w:rPr>
          <w:rFonts w:ascii="Times New Roman" w:hAnsi="Times New Roman"/>
          <w:sz w:val="23"/>
          <w:szCs w:val="23"/>
          <w:lang w:val="tr-TR"/>
        </w:rPr>
        <w:t>2012</w:t>
      </w:r>
      <w:r w:rsidR="006C5B66" w:rsidRPr="001A4B94">
        <w:rPr>
          <w:rFonts w:ascii="Times New Roman" w:hAnsi="Times New Roman"/>
          <w:sz w:val="23"/>
          <w:szCs w:val="23"/>
          <w:lang w:val="tr-TR"/>
        </w:rPr>
        <w:t>-16</w:t>
      </w:r>
      <w:r w:rsidR="00AF758F" w:rsidRPr="001A4B94">
        <w:rPr>
          <w:rFonts w:ascii="Times New Roman" w:hAnsi="Times New Roman"/>
          <w:sz w:val="23"/>
          <w:szCs w:val="23"/>
          <w:lang w:val="tr-TR"/>
        </w:rPr>
        <w:t xml:space="preserve"> MY</w:t>
      </w:r>
      <w:r w:rsidR="006C5B66" w:rsidRPr="001A4B94">
        <w:rPr>
          <w:rFonts w:ascii="Times New Roman" w:hAnsi="Times New Roman"/>
          <w:sz w:val="23"/>
          <w:szCs w:val="23"/>
          <w:lang w:val="tr-TR"/>
        </w:rPr>
        <w:t xml:space="preserve">) </w:t>
      </w:r>
      <w:r w:rsidR="00AF758F" w:rsidRPr="001A4B94">
        <w:rPr>
          <w:rFonts w:ascii="Times New Roman" w:hAnsi="Times New Roman"/>
          <w:sz w:val="23"/>
          <w:szCs w:val="23"/>
          <w:lang w:val="tr-TR"/>
        </w:rPr>
        <w:t xml:space="preserve">amaçlarını Dokuzuncu Kalkınma Planının (2007-2013) amaçları ile uyumlaştırırken, Ülke İşbirliği Stratejisi İlerleme Raporu </w:t>
      </w:r>
      <w:r w:rsidR="00DF371B" w:rsidRPr="001A4B94">
        <w:rPr>
          <w:rFonts w:ascii="Times New Roman" w:hAnsi="Times New Roman"/>
          <w:sz w:val="23"/>
          <w:szCs w:val="23"/>
          <w:lang w:val="tr-TR"/>
        </w:rPr>
        <w:t xml:space="preserve">(2014) </w:t>
      </w:r>
      <w:r w:rsidR="009A4AAF" w:rsidRPr="001A4B94">
        <w:rPr>
          <w:rFonts w:ascii="Times New Roman" w:hAnsi="Times New Roman"/>
          <w:sz w:val="23"/>
          <w:szCs w:val="23"/>
          <w:lang w:val="tr-TR"/>
        </w:rPr>
        <w:t>Onuncu Kalkınma Planı amaçları ile uyumlaşma sağlamıştır</w:t>
      </w:r>
      <w:r w:rsidR="006950D2" w:rsidRPr="001A4B94">
        <w:rPr>
          <w:rFonts w:ascii="Times New Roman" w:hAnsi="Times New Roman"/>
          <w:sz w:val="23"/>
          <w:szCs w:val="23"/>
          <w:lang w:val="tr-TR"/>
        </w:rPr>
        <w:t>.</w:t>
      </w:r>
      <w:r w:rsidR="00F6727B" w:rsidRPr="001A4B94">
        <w:rPr>
          <w:rFonts w:ascii="Times New Roman" w:hAnsi="Times New Roman"/>
          <w:sz w:val="23"/>
          <w:szCs w:val="23"/>
          <w:lang w:val="tr-TR"/>
        </w:rPr>
        <w:t xml:space="preserve">  </w:t>
      </w:r>
    </w:p>
    <w:p w14:paraId="7A365C77" w14:textId="77777777" w:rsidR="009B5479" w:rsidRPr="001A4B94" w:rsidRDefault="009B5479" w:rsidP="009B5479">
      <w:pPr>
        <w:pStyle w:val="ListeParagraf"/>
        <w:tabs>
          <w:tab w:val="left" w:pos="426"/>
        </w:tabs>
        <w:autoSpaceDE w:val="0"/>
        <w:autoSpaceDN w:val="0"/>
        <w:adjustRightInd w:val="0"/>
        <w:spacing w:after="0" w:line="240" w:lineRule="auto"/>
        <w:ind w:left="0"/>
        <w:jc w:val="both"/>
        <w:rPr>
          <w:rFonts w:ascii="Times New Roman" w:eastAsiaTheme="minorHAnsi" w:hAnsi="Times New Roman"/>
          <w:sz w:val="10"/>
          <w:szCs w:val="10"/>
          <w:lang w:val="tr-TR"/>
        </w:rPr>
      </w:pPr>
    </w:p>
    <w:p w14:paraId="7B1790AC" w14:textId="1CDC19E7" w:rsidR="008F71A4" w:rsidRPr="001A4B94" w:rsidRDefault="009A4AAF" w:rsidP="009B5479">
      <w:pPr>
        <w:pStyle w:val="ListeParagraf"/>
        <w:numPr>
          <w:ilvl w:val="0"/>
          <w:numId w:val="2"/>
        </w:numPr>
        <w:tabs>
          <w:tab w:val="left" w:pos="426"/>
        </w:tabs>
        <w:autoSpaceDE w:val="0"/>
        <w:autoSpaceDN w:val="0"/>
        <w:adjustRightInd w:val="0"/>
        <w:spacing w:after="0" w:line="240" w:lineRule="auto"/>
        <w:ind w:left="0" w:firstLine="0"/>
        <w:jc w:val="both"/>
        <w:rPr>
          <w:rFonts w:ascii="Times New Roman" w:eastAsiaTheme="minorHAnsi" w:hAnsi="Times New Roman"/>
          <w:sz w:val="23"/>
          <w:szCs w:val="23"/>
          <w:lang w:val="tr-TR"/>
        </w:rPr>
      </w:pPr>
      <w:r w:rsidRPr="001A4B94">
        <w:rPr>
          <w:rFonts w:ascii="Times New Roman" w:hAnsi="Times New Roman"/>
          <w:b/>
          <w:sz w:val="23"/>
          <w:szCs w:val="23"/>
          <w:lang w:val="tr-TR"/>
        </w:rPr>
        <w:t xml:space="preserve">Kalkınma Planı Türkiye’nin </w:t>
      </w:r>
      <w:r w:rsidR="005C1729" w:rsidRPr="001A4B94">
        <w:rPr>
          <w:rFonts w:ascii="Times New Roman" w:hAnsi="Times New Roman"/>
          <w:b/>
          <w:sz w:val="23"/>
          <w:szCs w:val="23"/>
          <w:lang w:val="tr-TR"/>
        </w:rPr>
        <w:t>“orta gelir tuzağından” kurtularak yük</w:t>
      </w:r>
      <w:r w:rsidR="00874317" w:rsidRPr="001A4B94">
        <w:rPr>
          <w:rFonts w:ascii="Times New Roman" w:hAnsi="Times New Roman"/>
          <w:b/>
          <w:sz w:val="23"/>
          <w:szCs w:val="23"/>
          <w:lang w:val="tr-TR"/>
        </w:rPr>
        <w:t>s</w:t>
      </w:r>
      <w:r w:rsidR="005C1729" w:rsidRPr="001A4B94">
        <w:rPr>
          <w:rFonts w:ascii="Times New Roman" w:hAnsi="Times New Roman"/>
          <w:b/>
          <w:sz w:val="23"/>
          <w:szCs w:val="23"/>
          <w:lang w:val="tr-TR"/>
        </w:rPr>
        <w:t>ek gelirli ülk</w:t>
      </w:r>
      <w:r w:rsidR="00170C02" w:rsidRPr="001A4B94">
        <w:rPr>
          <w:rFonts w:ascii="Times New Roman" w:hAnsi="Times New Roman"/>
          <w:b/>
          <w:sz w:val="23"/>
          <w:szCs w:val="23"/>
          <w:lang w:val="tr-TR"/>
        </w:rPr>
        <w:t>e seviyesine ulaşma hedefini ba</w:t>
      </w:r>
      <w:r w:rsidR="005C1729" w:rsidRPr="001A4B94">
        <w:rPr>
          <w:rFonts w:ascii="Times New Roman" w:hAnsi="Times New Roman"/>
          <w:b/>
          <w:sz w:val="23"/>
          <w:szCs w:val="23"/>
          <w:lang w:val="tr-TR"/>
        </w:rPr>
        <w:t>ş</w:t>
      </w:r>
      <w:r w:rsidR="00170C02" w:rsidRPr="001A4B94">
        <w:rPr>
          <w:rFonts w:ascii="Times New Roman" w:hAnsi="Times New Roman"/>
          <w:b/>
          <w:sz w:val="23"/>
          <w:szCs w:val="23"/>
          <w:lang w:val="tr-TR"/>
        </w:rPr>
        <w:t>a</w:t>
      </w:r>
      <w:r w:rsidR="005C1729" w:rsidRPr="001A4B94">
        <w:rPr>
          <w:rFonts w:ascii="Times New Roman" w:hAnsi="Times New Roman"/>
          <w:b/>
          <w:sz w:val="23"/>
          <w:szCs w:val="23"/>
          <w:lang w:val="tr-TR"/>
        </w:rPr>
        <w:t>rabilmesi için aşması gereken kilit zorluklar</w:t>
      </w:r>
      <w:r w:rsidR="00E53925" w:rsidRPr="001A4B94">
        <w:rPr>
          <w:rFonts w:ascii="Times New Roman" w:hAnsi="Times New Roman"/>
          <w:b/>
          <w:sz w:val="23"/>
          <w:szCs w:val="23"/>
          <w:lang w:val="tr-TR"/>
        </w:rPr>
        <w:t>ı</w:t>
      </w:r>
      <w:r w:rsidR="005C1729" w:rsidRPr="001A4B94">
        <w:rPr>
          <w:rFonts w:ascii="Times New Roman" w:hAnsi="Times New Roman"/>
          <w:b/>
          <w:sz w:val="23"/>
          <w:szCs w:val="23"/>
          <w:lang w:val="tr-TR"/>
        </w:rPr>
        <w:t xml:space="preserve"> tespit etmektedir</w:t>
      </w:r>
      <w:r w:rsidR="006950D2" w:rsidRPr="001A4B94">
        <w:rPr>
          <w:rFonts w:ascii="Times New Roman" w:hAnsi="Times New Roman"/>
          <w:b/>
          <w:sz w:val="23"/>
          <w:szCs w:val="23"/>
          <w:lang w:val="tr-TR"/>
        </w:rPr>
        <w:t>.</w:t>
      </w:r>
      <w:r w:rsidR="006950D2" w:rsidRPr="001A4B94">
        <w:rPr>
          <w:rFonts w:ascii="Times New Roman" w:hAnsi="Times New Roman"/>
          <w:sz w:val="23"/>
          <w:szCs w:val="23"/>
          <w:lang w:val="tr-TR"/>
        </w:rPr>
        <w:t xml:space="preserve">  </w:t>
      </w:r>
      <w:r w:rsidR="005C1729" w:rsidRPr="001A4B94">
        <w:rPr>
          <w:rFonts w:ascii="Times New Roman" w:hAnsi="Times New Roman"/>
          <w:sz w:val="23"/>
          <w:szCs w:val="23"/>
          <w:lang w:val="tr-TR"/>
        </w:rPr>
        <w:t xml:space="preserve">Kalkınma Planı dört Üst Düzey Amaca sahiptir: </w:t>
      </w:r>
      <w:r w:rsidR="00F6727B" w:rsidRPr="001A4B94">
        <w:rPr>
          <w:rFonts w:ascii="Times New Roman" w:hAnsi="Times New Roman"/>
          <w:sz w:val="23"/>
          <w:szCs w:val="23"/>
          <w:lang w:val="tr-TR"/>
        </w:rPr>
        <w:t xml:space="preserve">(1) </w:t>
      </w:r>
      <w:r w:rsidR="00F25DD5" w:rsidRPr="001A4B94">
        <w:rPr>
          <w:rFonts w:ascii="Times New Roman" w:hAnsi="Times New Roman"/>
          <w:i/>
          <w:sz w:val="23"/>
          <w:szCs w:val="23"/>
          <w:lang w:val="tr-TR"/>
        </w:rPr>
        <w:t>Yenilikçi Üretim, İstikrarlı Yüksek Büyüme</w:t>
      </w:r>
      <w:r w:rsidR="00C95B79" w:rsidRPr="001A4B94">
        <w:rPr>
          <w:rFonts w:ascii="Times New Roman" w:hAnsi="Times New Roman"/>
          <w:sz w:val="23"/>
          <w:szCs w:val="23"/>
          <w:lang w:val="tr-TR"/>
        </w:rPr>
        <w:t xml:space="preserve"> (</w:t>
      </w:r>
      <w:r w:rsidR="00A91EA6" w:rsidRPr="001A4B94">
        <w:rPr>
          <w:rFonts w:ascii="Times New Roman" w:hAnsi="Times New Roman"/>
          <w:sz w:val="23"/>
          <w:szCs w:val="23"/>
          <w:lang w:val="tr-TR"/>
        </w:rPr>
        <w:t>bu amaç makroekonomik önlemleri, üretkenlik</w:t>
      </w:r>
      <w:r w:rsidR="00C95B79" w:rsidRPr="001A4B94">
        <w:rPr>
          <w:rFonts w:ascii="Times New Roman" w:hAnsi="Times New Roman"/>
          <w:sz w:val="23"/>
          <w:szCs w:val="23"/>
          <w:lang w:val="tr-TR"/>
        </w:rPr>
        <w:t xml:space="preserve">, </w:t>
      </w:r>
      <w:r w:rsidR="00A91EA6" w:rsidRPr="001A4B94">
        <w:rPr>
          <w:rFonts w:ascii="Times New Roman" w:hAnsi="Times New Roman"/>
          <w:sz w:val="23"/>
          <w:szCs w:val="23"/>
          <w:lang w:val="tr-TR"/>
        </w:rPr>
        <w:t>enerji</w:t>
      </w:r>
      <w:r w:rsidR="00C95B79" w:rsidRPr="001A4B94">
        <w:rPr>
          <w:rFonts w:ascii="Times New Roman" w:hAnsi="Times New Roman"/>
          <w:sz w:val="23"/>
          <w:szCs w:val="23"/>
          <w:lang w:val="tr-TR"/>
        </w:rPr>
        <w:t xml:space="preserve">, </w:t>
      </w:r>
      <w:r w:rsidR="00A91EA6" w:rsidRPr="001A4B94">
        <w:rPr>
          <w:rFonts w:ascii="Times New Roman" w:hAnsi="Times New Roman"/>
          <w:sz w:val="23"/>
          <w:szCs w:val="23"/>
          <w:lang w:val="tr-TR"/>
        </w:rPr>
        <w:t>lojistik</w:t>
      </w:r>
      <w:r w:rsidR="00C95B79" w:rsidRPr="001A4B94">
        <w:rPr>
          <w:rFonts w:ascii="Times New Roman" w:hAnsi="Times New Roman"/>
          <w:sz w:val="23"/>
          <w:szCs w:val="23"/>
          <w:lang w:val="tr-TR"/>
        </w:rPr>
        <w:t xml:space="preserve">, </w:t>
      </w:r>
      <w:r w:rsidR="00A91EA6" w:rsidRPr="001A4B94">
        <w:rPr>
          <w:rFonts w:ascii="Times New Roman" w:hAnsi="Times New Roman"/>
          <w:sz w:val="23"/>
          <w:szCs w:val="23"/>
          <w:lang w:val="tr-TR"/>
        </w:rPr>
        <w:t>altyapı alanlarında daha fazla yenilikçiliği ve teknoloji kapasitesini hedeflemektedir)</w:t>
      </w:r>
      <w:r w:rsidR="00C95B79" w:rsidRPr="001A4B94">
        <w:rPr>
          <w:rFonts w:ascii="Times New Roman" w:hAnsi="Times New Roman"/>
          <w:sz w:val="23"/>
          <w:szCs w:val="23"/>
          <w:lang w:val="tr-TR"/>
        </w:rPr>
        <w:t xml:space="preserve">; </w:t>
      </w:r>
      <w:r w:rsidR="00F6727B" w:rsidRPr="001A4B94">
        <w:rPr>
          <w:rFonts w:ascii="Times New Roman" w:hAnsi="Times New Roman"/>
          <w:sz w:val="23"/>
          <w:szCs w:val="23"/>
          <w:lang w:val="tr-TR"/>
        </w:rPr>
        <w:t>(2)</w:t>
      </w:r>
      <w:r w:rsidR="00C95B79" w:rsidRPr="001A4B94">
        <w:rPr>
          <w:rFonts w:ascii="Times New Roman" w:hAnsi="Times New Roman"/>
          <w:sz w:val="23"/>
          <w:szCs w:val="23"/>
          <w:lang w:val="tr-TR"/>
        </w:rPr>
        <w:t xml:space="preserve"> </w:t>
      </w:r>
      <w:r w:rsidR="00A91EA6" w:rsidRPr="001A4B94">
        <w:rPr>
          <w:rFonts w:ascii="Times New Roman" w:hAnsi="Times New Roman"/>
          <w:i/>
          <w:sz w:val="23"/>
          <w:szCs w:val="23"/>
          <w:lang w:val="tr-TR"/>
        </w:rPr>
        <w:t xml:space="preserve">Nitelikli İnsan, Güçlü Toplum  </w:t>
      </w:r>
      <w:r w:rsidR="00C95B79" w:rsidRPr="001A4B94">
        <w:rPr>
          <w:rFonts w:ascii="Times New Roman" w:hAnsi="Times New Roman"/>
          <w:sz w:val="23"/>
          <w:szCs w:val="23"/>
          <w:lang w:val="tr-TR"/>
        </w:rPr>
        <w:t>(</w:t>
      </w:r>
      <w:r w:rsidR="00A91EA6" w:rsidRPr="001A4B94">
        <w:rPr>
          <w:rFonts w:ascii="Times New Roman" w:hAnsi="Times New Roman"/>
          <w:sz w:val="23"/>
          <w:szCs w:val="23"/>
          <w:lang w:val="tr-TR"/>
        </w:rPr>
        <w:t>bu amaç sosyal refah, sağlık, eğitim, kamu hizmetl</w:t>
      </w:r>
      <w:r w:rsidR="00170C02" w:rsidRPr="001A4B94">
        <w:rPr>
          <w:rFonts w:ascii="Times New Roman" w:hAnsi="Times New Roman"/>
          <w:sz w:val="23"/>
          <w:szCs w:val="23"/>
          <w:lang w:val="tr-TR"/>
        </w:rPr>
        <w:t>e</w:t>
      </w:r>
      <w:r w:rsidR="00A91EA6" w:rsidRPr="001A4B94">
        <w:rPr>
          <w:rFonts w:ascii="Times New Roman" w:hAnsi="Times New Roman"/>
          <w:sz w:val="23"/>
          <w:szCs w:val="23"/>
          <w:lang w:val="tr-TR"/>
        </w:rPr>
        <w:t>ri ve i</w:t>
      </w:r>
      <w:r w:rsidR="00170C02" w:rsidRPr="001A4B94">
        <w:rPr>
          <w:rFonts w:ascii="Times New Roman" w:hAnsi="Times New Roman"/>
          <w:sz w:val="23"/>
          <w:szCs w:val="23"/>
          <w:lang w:val="tr-TR"/>
        </w:rPr>
        <w:t>s</w:t>
      </w:r>
      <w:r w:rsidR="00A91EA6" w:rsidRPr="001A4B94">
        <w:rPr>
          <w:rFonts w:ascii="Times New Roman" w:hAnsi="Times New Roman"/>
          <w:sz w:val="23"/>
          <w:szCs w:val="23"/>
          <w:lang w:val="tr-TR"/>
        </w:rPr>
        <w:t>tihdam üzerinde odaklanmaktadır</w:t>
      </w:r>
      <w:r w:rsidR="00C95B79" w:rsidRPr="001A4B94">
        <w:rPr>
          <w:rFonts w:ascii="Times New Roman" w:hAnsi="Times New Roman"/>
          <w:sz w:val="23"/>
          <w:szCs w:val="23"/>
          <w:lang w:val="tr-TR"/>
        </w:rPr>
        <w:t xml:space="preserve">); </w:t>
      </w:r>
      <w:r w:rsidR="00F6727B" w:rsidRPr="001A4B94">
        <w:rPr>
          <w:rFonts w:ascii="Times New Roman" w:hAnsi="Times New Roman"/>
          <w:sz w:val="23"/>
          <w:szCs w:val="23"/>
          <w:lang w:val="tr-TR"/>
        </w:rPr>
        <w:t xml:space="preserve"> (3) </w:t>
      </w:r>
      <w:r w:rsidR="00A91EA6" w:rsidRPr="001A4B94">
        <w:rPr>
          <w:rFonts w:ascii="Times New Roman" w:hAnsi="Times New Roman"/>
          <w:i/>
          <w:sz w:val="23"/>
          <w:szCs w:val="23"/>
          <w:lang w:val="tr-TR"/>
        </w:rPr>
        <w:t xml:space="preserve">Yaşanabilir Mekânlar, Sürdürülebilir Çevre  </w:t>
      </w:r>
      <w:r w:rsidR="00441912" w:rsidRPr="001A4B94">
        <w:rPr>
          <w:rFonts w:ascii="Times New Roman" w:hAnsi="Times New Roman"/>
          <w:sz w:val="23"/>
          <w:szCs w:val="23"/>
          <w:lang w:val="tr-TR"/>
        </w:rPr>
        <w:t>(</w:t>
      </w:r>
      <w:r w:rsidR="00A91EA6" w:rsidRPr="001A4B94">
        <w:rPr>
          <w:rFonts w:ascii="Times New Roman" w:hAnsi="Times New Roman"/>
          <w:sz w:val="23"/>
          <w:szCs w:val="23"/>
          <w:lang w:val="tr-TR"/>
        </w:rPr>
        <w:t>bu amaç bölgeler arası eşitsizliklerin azaltılması</w:t>
      </w:r>
      <w:r w:rsidR="00F6727B" w:rsidRPr="001A4B94">
        <w:rPr>
          <w:rFonts w:ascii="Times New Roman" w:hAnsi="Times New Roman"/>
          <w:sz w:val="23"/>
          <w:szCs w:val="23"/>
          <w:lang w:val="tr-TR"/>
        </w:rPr>
        <w:t xml:space="preserve">, </w:t>
      </w:r>
      <w:r w:rsidR="00A91EA6" w:rsidRPr="001A4B94">
        <w:rPr>
          <w:rFonts w:ascii="Times New Roman" w:hAnsi="Times New Roman"/>
          <w:sz w:val="23"/>
          <w:szCs w:val="23"/>
          <w:lang w:val="tr-TR"/>
        </w:rPr>
        <w:t>sürdürül</w:t>
      </w:r>
      <w:r w:rsidR="00170C02" w:rsidRPr="001A4B94">
        <w:rPr>
          <w:rFonts w:ascii="Times New Roman" w:hAnsi="Times New Roman"/>
          <w:sz w:val="23"/>
          <w:szCs w:val="23"/>
          <w:lang w:val="tr-TR"/>
        </w:rPr>
        <w:t>e</w:t>
      </w:r>
      <w:r w:rsidR="00A91EA6" w:rsidRPr="001A4B94">
        <w:rPr>
          <w:rFonts w:ascii="Times New Roman" w:hAnsi="Times New Roman"/>
          <w:sz w:val="23"/>
          <w:szCs w:val="23"/>
          <w:lang w:val="tr-TR"/>
        </w:rPr>
        <w:t>b</w:t>
      </w:r>
      <w:r w:rsidR="00170C02" w:rsidRPr="001A4B94">
        <w:rPr>
          <w:rFonts w:ascii="Times New Roman" w:hAnsi="Times New Roman"/>
          <w:sz w:val="23"/>
          <w:szCs w:val="23"/>
          <w:lang w:val="tr-TR"/>
        </w:rPr>
        <w:t xml:space="preserve">ilir </w:t>
      </w:r>
      <w:r w:rsidR="00A91EA6" w:rsidRPr="001A4B94">
        <w:rPr>
          <w:rFonts w:ascii="Times New Roman" w:hAnsi="Times New Roman"/>
          <w:sz w:val="23"/>
          <w:szCs w:val="23"/>
          <w:lang w:val="tr-TR"/>
        </w:rPr>
        <w:t>şehirlerin ve hizmetl</w:t>
      </w:r>
      <w:r w:rsidR="00170C02" w:rsidRPr="001A4B94">
        <w:rPr>
          <w:rFonts w:ascii="Times New Roman" w:hAnsi="Times New Roman"/>
          <w:sz w:val="23"/>
          <w:szCs w:val="23"/>
          <w:lang w:val="tr-TR"/>
        </w:rPr>
        <w:t>e</w:t>
      </w:r>
      <w:r w:rsidR="00A91EA6" w:rsidRPr="001A4B94">
        <w:rPr>
          <w:rFonts w:ascii="Times New Roman" w:hAnsi="Times New Roman"/>
          <w:sz w:val="23"/>
          <w:szCs w:val="23"/>
          <w:lang w:val="tr-TR"/>
        </w:rPr>
        <w:t xml:space="preserve">rin </w:t>
      </w:r>
      <w:r w:rsidR="00170C02" w:rsidRPr="001A4B94">
        <w:rPr>
          <w:rFonts w:ascii="Times New Roman" w:hAnsi="Times New Roman"/>
          <w:sz w:val="23"/>
          <w:szCs w:val="23"/>
          <w:lang w:val="tr-TR"/>
        </w:rPr>
        <w:t xml:space="preserve">teşvik edilmesi </w:t>
      </w:r>
      <w:r w:rsidR="00A91EA6" w:rsidRPr="001A4B94">
        <w:rPr>
          <w:rFonts w:ascii="Times New Roman" w:hAnsi="Times New Roman"/>
          <w:sz w:val="23"/>
          <w:szCs w:val="23"/>
          <w:lang w:val="tr-TR"/>
        </w:rPr>
        <w:t>ve doğal kaynakların sorumlu kullanımı üzer</w:t>
      </w:r>
      <w:r w:rsidR="00170C02" w:rsidRPr="001A4B94">
        <w:rPr>
          <w:rFonts w:ascii="Times New Roman" w:hAnsi="Times New Roman"/>
          <w:sz w:val="23"/>
          <w:szCs w:val="23"/>
          <w:lang w:val="tr-TR"/>
        </w:rPr>
        <w:t>i</w:t>
      </w:r>
      <w:r w:rsidR="00A91EA6" w:rsidRPr="001A4B94">
        <w:rPr>
          <w:rFonts w:ascii="Times New Roman" w:hAnsi="Times New Roman"/>
          <w:sz w:val="23"/>
          <w:szCs w:val="23"/>
          <w:lang w:val="tr-TR"/>
        </w:rPr>
        <w:t>n</w:t>
      </w:r>
      <w:r w:rsidR="00170C02" w:rsidRPr="001A4B94">
        <w:rPr>
          <w:rFonts w:ascii="Times New Roman" w:hAnsi="Times New Roman"/>
          <w:sz w:val="23"/>
          <w:szCs w:val="23"/>
          <w:lang w:val="tr-TR"/>
        </w:rPr>
        <w:t>d</w:t>
      </w:r>
      <w:r w:rsidR="00A91EA6" w:rsidRPr="001A4B94">
        <w:rPr>
          <w:rFonts w:ascii="Times New Roman" w:hAnsi="Times New Roman"/>
          <w:sz w:val="23"/>
          <w:szCs w:val="23"/>
          <w:lang w:val="tr-TR"/>
        </w:rPr>
        <w:t>e odaklanmaktadır</w:t>
      </w:r>
      <w:r w:rsidR="00441912" w:rsidRPr="001A4B94">
        <w:rPr>
          <w:rFonts w:ascii="Times New Roman" w:hAnsi="Times New Roman"/>
          <w:sz w:val="23"/>
          <w:szCs w:val="23"/>
          <w:lang w:val="tr-TR"/>
        </w:rPr>
        <w:t>)</w:t>
      </w:r>
      <w:r w:rsidR="006950D2" w:rsidRPr="001A4B94">
        <w:rPr>
          <w:rFonts w:ascii="Times New Roman" w:hAnsi="Times New Roman"/>
          <w:sz w:val="23"/>
          <w:szCs w:val="23"/>
          <w:lang w:val="tr-TR"/>
        </w:rPr>
        <w:t xml:space="preserve">; </w:t>
      </w:r>
      <w:r w:rsidR="00A91EA6" w:rsidRPr="001A4B94">
        <w:rPr>
          <w:rFonts w:ascii="Times New Roman" w:hAnsi="Times New Roman"/>
          <w:sz w:val="23"/>
          <w:szCs w:val="23"/>
          <w:lang w:val="tr-TR"/>
        </w:rPr>
        <w:t xml:space="preserve">ve </w:t>
      </w:r>
      <w:r w:rsidR="006950D2" w:rsidRPr="001A4B94">
        <w:rPr>
          <w:rFonts w:ascii="Times New Roman" w:hAnsi="Times New Roman"/>
          <w:sz w:val="23"/>
          <w:szCs w:val="23"/>
          <w:lang w:val="tr-TR"/>
        </w:rPr>
        <w:t>(</w:t>
      </w:r>
      <w:r w:rsidR="00F6727B" w:rsidRPr="001A4B94">
        <w:rPr>
          <w:rFonts w:ascii="Times New Roman" w:hAnsi="Times New Roman"/>
          <w:sz w:val="23"/>
          <w:szCs w:val="23"/>
          <w:lang w:val="tr-TR"/>
        </w:rPr>
        <w:t xml:space="preserve">4) </w:t>
      </w:r>
      <w:r w:rsidR="00170C02" w:rsidRPr="001A4B94">
        <w:rPr>
          <w:rFonts w:ascii="Times New Roman" w:hAnsi="Times New Roman"/>
          <w:i/>
          <w:sz w:val="23"/>
          <w:szCs w:val="23"/>
          <w:lang w:val="tr-TR"/>
        </w:rPr>
        <w:t xml:space="preserve">Kalkınma İçin Uluslararası İşbirliği </w:t>
      </w:r>
      <w:r w:rsidR="00441912" w:rsidRPr="001A4B94">
        <w:rPr>
          <w:rFonts w:ascii="Times New Roman" w:hAnsi="Times New Roman"/>
          <w:sz w:val="23"/>
          <w:szCs w:val="23"/>
          <w:lang w:val="tr-TR"/>
        </w:rPr>
        <w:t>(</w:t>
      </w:r>
      <w:r w:rsidR="00170C02" w:rsidRPr="001A4B94">
        <w:rPr>
          <w:rFonts w:ascii="Times New Roman" w:hAnsi="Times New Roman"/>
          <w:sz w:val="23"/>
          <w:szCs w:val="23"/>
          <w:lang w:val="tr-TR"/>
        </w:rPr>
        <w:t>bu amaç Türkiye’nin olumlu kalkınma deneyimlerinin başka ülkeler ile paylaşılması üzerinde odaklanmaktadır</w:t>
      </w:r>
      <w:r w:rsidR="00441912" w:rsidRPr="001A4B94">
        <w:rPr>
          <w:rFonts w:ascii="Times New Roman" w:hAnsi="Times New Roman"/>
          <w:sz w:val="23"/>
          <w:szCs w:val="23"/>
          <w:lang w:val="tr-TR"/>
        </w:rPr>
        <w:t>)</w:t>
      </w:r>
      <w:r w:rsidR="006950D2" w:rsidRPr="001A4B94">
        <w:rPr>
          <w:rFonts w:ascii="Times New Roman" w:hAnsi="Times New Roman"/>
          <w:sz w:val="23"/>
          <w:szCs w:val="23"/>
          <w:lang w:val="tr-TR"/>
        </w:rPr>
        <w:t xml:space="preserve">. </w:t>
      </w:r>
      <w:r w:rsidR="00170C02" w:rsidRPr="001A4B94">
        <w:rPr>
          <w:rFonts w:ascii="Times New Roman" w:hAnsi="Times New Roman"/>
          <w:sz w:val="23"/>
          <w:szCs w:val="23"/>
          <w:lang w:val="tr-TR"/>
        </w:rPr>
        <w:t>Bu amaçların ilk üçü kapsamında izlenecek reform adımlarının ve yapılacak yatırım türlerini daha ayrıntılı olarak belirlendiği 25 Dönüşüm Programı hazırlanmıştır</w:t>
      </w:r>
      <w:r w:rsidR="0052199E" w:rsidRPr="001A4B94">
        <w:rPr>
          <w:rFonts w:ascii="Times New Roman" w:eastAsiaTheme="minorHAnsi" w:hAnsi="Times New Roman"/>
          <w:sz w:val="23"/>
          <w:szCs w:val="23"/>
          <w:lang w:val="tr-TR"/>
        </w:rPr>
        <w:t>.</w:t>
      </w:r>
      <w:r w:rsidR="004231DB" w:rsidRPr="001A4B94">
        <w:rPr>
          <w:rFonts w:ascii="Times New Roman" w:hAnsi="Times New Roman"/>
          <w:sz w:val="23"/>
          <w:szCs w:val="23"/>
          <w:lang w:val="tr-TR"/>
        </w:rPr>
        <w:t xml:space="preserve">  </w:t>
      </w:r>
      <w:r w:rsidR="008F71A4" w:rsidRPr="001A4B94">
        <w:rPr>
          <w:rFonts w:ascii="Times New Roman" w:hAnsi="Times New Roman"/>
          <w:sz w:val="23"/>
          <w:szCs w:val="23"/>
          <w:lang w:val="tr-TR"/>
        </w:rPr>
        <w:t>T</w:t>
      </w:r>
      <w:r w:rsidR="00170C02" w:rsidRPr="001A4B94">
        <w:rPr>
          <w:rFonts w:ascii="Times New Roman" w:hAnsi="Times New Roman"/>
          <w:sz w:val="23"/>
          <w:szCs w:val="23"/>
          <w:lang w:val="tr-TR"/>
        </w:rPr>
        <w:t xml:space="preserve">ürkiye aynı zamanda </w:t>
      </w:r>
      <w:r w:rsidR="00932C72" w:rsidRPr="001A4B94">
        <w:rPr>
          <w:rFonts w:ascii="Times New Roman" w:hAnsi="Times New Roman"/>
          <w:sz w:val="23"/>
          <w:szCs w:val="23"/>
          <w:lang w:val="tr-TR"/>
        </w:rPr>
        <w:t xml:space="preserve">AB’ye katılım ile ilişkili  kısa ve orta vadeli politika eylemlerini ve yapısal reform önceliklerini ayrıntılı olarak ortaya koyan </w:t>
      </w:r>
      <w:r w:rsidR="00170C02" w:rsidRPr="001A4B94">
        <w:rPr>
          <w:rFonts w:ascii="Times New Roman" w:hAnsi="Times New Roman"/>
          <w:sz w:val="23"/>
          <w:szCs w:val="23"/>
          <w:lang w:val="tr-TR"/>
        </w:rPr>
        <w:t xml:space="preserve">AB Katılım Öncesi Ekonomik Reform Programları </w:t>
      </w:r>
      <w:r w:rsidR="00932C72" w:rsidRPr="001A4B94">
        <w:rPr>
          <w:rFonts w:ascii="Times New Roman" w:hAnsi="Times New Roman"/>
          <w:sz w:val="23"/>
          <w:szCs w:val="23"/>
          <w:lang w:val="tr-TR"/>
        </w:rPr>
        <w:t>(ERP) hazırlamaktadır</w:t>
      </w:r>
      <w:r w:rsidR="008F71A4" w:rsidRPr="001A4B94">
        <w:rPr>
          <w:rFonts w:ascii="Times New Roman" w:hAnsi="Times New Roman"/>
          <w:sz w:val="23"/>
          <w:szCs w:val="23"/>
          <w:lang w:val="tr-TR"/>
        </w:rPr>
        <w:t>. 201</w:t>
      </w:r>
      <w:r w:rsidR="00293A35" w:rsidRPr="001A4B94">
        <w:rPr>
          <w:rFonts w:ascii="Times New Roman" w:hAnsi="Times New Roman"/>
          <w:sz w:val="23"/>
          <w:szCs w:val="23"/>
          <w:lang w:val="tr-TR"/>
        </w:rPr>
        <w:t>7-2019</w:t>
      </w:r>
      <w:r w:rsidR="008F71A4" w:rsidRPr="001A4B94">
        <w:rPr>
          <w:rFonts w:ascii="Times New Roman" w:hAnsi="Times New Roman"/>
          <w:sz w:val="23"/>
          <w:szCs w:val="23"/>
          <w:lang w:val="tr-TR"/>
        </w:rPr>
        <w:t xml:space="preserve"> </w:t>
      </w:r>
      <w:r w:rsidR="00932C72" w:rsidRPr="001A4B94">
        <w:rPr>
          <w:rFonts w:ascii="Times New Roman" w:hAnsi="Times New Roman"/>
          <w:sz w:val="23"/>
          <w:szCs w:val="23"/>
          <w:lang w:val="tr-TR"/>
        </w:rPr>
        <w:t>dönemini kapsayan son ERP Ocak 2017’de yayınlanmıştır</w:t>
      </w:r>
      <w:r w:rsidR="008F71A4" w:rsidRPr="001A4B94">
        <w:rPr>
          <w:rFonts w:ascii="Times New Roman" w:hAnsi="Times New Roman"/>
          <w:sz w:val="23"/>
          <w:szCs w:val="23"/>
          <w:lang w:val="tr-TR"/>
        </w:rPr>
        <w:t xml:space="preserve">.  </w:t>
      </w:r>
    </w:p>
    <w:p w14:paraId="31ED4CA8" w14:textId="77777777" w:rsidR="008F71A4" w:rsidRPr="001A4B94" w:rsidRDefault="008F71A4" w:rsidP="008F71A4">
      <w:pPr>
        <w:pStyle w:val="ListeParagraf"/>
        <w:rPr>
          <w:rFonts w:ascii="Times New Roman" w:eastAsiaTheme="minorHAnsi" w:hAnsi="Times New Roman"/>
          <w:b/>
          <w:sz w:val="10"/>
          <w:szCs w:val="10"/>
          <w:lang w:val="tr-TR"/>
        </w:rPr>
      </w:pPr>
    </w:p>
    <w:p w14:paraId="0077D4E6" w14:textId="4EF1F918" w:rsidR="00DF5648" w:rsidRPr="001A4B94" w:rsidRDefault="00B03097" w:rsidP="009B5479">
      <w:pPr>
        <w:pStyle w:val="ListeParagraf"/>
        <w:numPr>
          <w:ilvl w:val="0"/>
          <w:numId w:val="2"/>
        </w:numPr>
        <w:tabs>
          <w:tab w:val="left" w:pos="426"/>
        </w:tabs>
        <w:autoSpaceDE w:val="0"/>
        <w:autoSpaceDN w:val="0"/>
        <w:adjustRightInd w:val="0"/>
        <w:spacing w:after="0" w:line="240" w:lineRule="auto"/>
        <w:ind w:left="0" w:firstLine="0"/>
        <w:jc w:val="both"/>
        <w:rPr>
          <w:rFonts w:ascii="Times New Roman" w:eastAsiaTheme="minorHAnsi" w:hAnsi="Times New Roman"/>
          <w:sz w:val="23"/>
          <w:szCs w:val="23"/>
          <w:lang w:val="tr-TR"/>
        </w:rPr>
      </w:pPr>
      <w:r w:rsidRPr="001A4B94">
        <w:rPr>
          <w:rFonts w:ascii="Times New Roman" w:eastAsiaTheme="minorHAnsi" w:hAnsi="Times New Roman"/>
          <w:b/>
          <w:sz w:val="23"/>
          <w:szCs w:val="23"/>
          <w:lang w:val="tr-TR"/>
        </w:rPr>
        <w:t xml:space="preserve">Hükümet </w:t>
      </w:r>
      <w:r w:rsidR="00E01584" w:rsidRPr="001A4B94">
        <w:rPr>
          <w:rFonts w:ascii="Times New Roman" w:eastAsiaTheme="minorHAnsi" w:hAnsi="Times New Roman"/>
          <w:b/>
          <w:sz w:val="23"/>
          <w:szCs w:val="23"/>
          <w:lang w:val="tr-TR"/>
        </w:rPr>
        <w:t xml:space="preserve"> </w:t>
      </w:r>
      <w:r w:rsidR="005C4F70" w:rsidRPr="001A4B94">
        <w:rPr>
          <w:rFonts w:ascii="Times New Roman" w:hAnsi="Times New Roman"/>
          <w:b/>
          <w:sz w:val="23"/>
          <w:szCs w:val="23"/>
          <w:lang w:val="tr-TR"/>
        </w:rPr>
        <w:t>10. Kalkınma Planın</w:t>
      </w:r>
      <w:r w:rsidR="005C4F70" w:rsidRPr="001A4B94">
        <w:rPr>
          <w:rFonts w:ascii="Times New Roman" w:eastAsiaTheme="minorHAnsi" w:hAnsi="Times New Roman"/>
          <w:b/>
          <w:sz w:val="23"/>
          <w:szCs w:val="23"/>
          <w:lang w:val="tr-TR"/>
        </w:rPr>
        <w:t>a ve Dönüşüm Progra</w:t>
      </w:r>
      <w:r w:rsidR="006C3933" w:rsidRPr="001A4B94">
        <w:rPr>
          <w:rFonts w:ascii="Times New Roman" w:eastAsiaTheme="minorHAnsi" w:hAnsi="Times New Roman"/>
          <w:b/>
          <w:sz w:val="23"/>
          <w:szCs w:val="23"/>
          <w:lang w:val="tr-TR"/>
        </w:rPr>
        <w:t>m</w:t>
      </w:r>
      <w:r w:rsidR="005C4F70" w:rsidRPr="001A4B94">
        <w:rPr>
          <w:rFonts w:ascii="Times New Roman" w:eastAsiaTheme="minorHAnsi" w:hAnsi="Times New Roman"/>
          <w:b/>
          <w:sz w:val="23"/>
          <w:szCs w:val="23"/>
          <w:lang w:val="tr-TR"/>
        </w:rPr>
        <w:t>larına bağlılığını korumaktadır</w:t>
      </w:r>
      <w:r w:rsidR="00E01584" w:rsidRPr="001A4B94">
        <w:rPr>
          <w:rFonts w:ascii="Times New Roman" w:eastAsiaTheme="minorHAnsi" w:hAnsi="Times New Roman"/>
          <w:b/>
          <w:sz w:val="23"/>
          <w:szCs w:val="23"/>
          <w:lang w:val="tr-TR"/>
        </w:rPr>
        <w:t>.</w:t>
      </w:r>
      <w:r w:rsidR="004231DB" w:rsidRPr="001A4B94">
        <w:rPr>
          <w:rFonts w:ascii="Times New Roman" w:eastAsiaTheme="minorHAnsi" w:hAnsi="Times New Roman"/>
          <w:b/>
          <w:sz w:val="23"/>
          <w:szCs w:val="23"/>
          <w:lang w:val="tr-TR"/>
        </w:rPr>
        <w:t xml:space="preserve">  </w:t>
      </w:r>
      <w:r w:rsidR="00A06F34" w:rsidRPr="001A4B94">
        <w:rPr>
          <w:rFonts w:ascii="Times New Roman" w:eastAsiaTheme="minorHAnsi" w:hAnsi="Times New Roman"/>
          <w:sz w:val="23"/>
          <w:szCs w:val="23"/>
          <w:lang w:val="tr-TR"/>
        </w:rPr>
        <w:t>Bu</w:t>
      </w:r>
      <w:r w:rsidR="00A06F34" w:rsidRPr="001A4B94">
        <w:rPr>
          <w:rFonts w:ascii="Times New Roman" w:eastAsiaTheme="minorHAnsi" w:hAnsi="Times New Roman"/>
          <w:b/>
          <w:sz w:val="23"/>
          <w:szCs w:val="23"/>
          <w:lang w:val="tr-TR"/>
        </w:rPr>
        <w:t xml:space="preserve"> </w:t>
      </w:r>
      <w:r w:rsidR="00A06F34" w:rsidRPr="001A4B94">
        <w:rPr>
          <w:rFonts w:ascii="Times New Roman" w:eastAsiaTheme="minorHAnsi" w:hAnsi="Times New Roman"/>
          <w:sz w:val="23"/>
          <w:szCs w:val="23"/>
          <w:lang w:val="tr-TR"/>
        </w:rPr>
        <w:t xml:space="preserve">programlara ilişkin </w:t>
      </w:r>
      <w:r w:rsidR="00BC7918" w:rsidRPr="001A4B94">
        <w:rPr>
          <w:rFonts w:ascii="Times New Roman" w:eastAsiaTheme="minorHAnsi" w:hAnsi="Times New Roman"/>
          <w:sz w:val="23"/>
          <w:szCs w:val="23"/>
          <w:lang w:val="tr-TR"/>
        </w:rPr>
        <w:t xml:space="preserve">reform </w:t>
      </w:r>
      <w:r w:rsidR="00A06F34" w:rsidRPr="001A4B94">
        <w:rPr>
          <w:rFonts w:ascii="Times New Roman" w:eastAsiaTheme="minorHAnsi" w:hAnsi="Times New Roman"/>
          <w:sz w:val="23"/>
          <w:szCs w:val="23"/>
          <w:lang w:val="tr-TR"/>
        </w:rPr>
        <w:t>yolu ve y</w:t>
      </w:r>
      <w:r w:rsidR="006C3933" w:rsidRPr="001A4B94">
        <w:rPr>
          <w:rFonts w:ascii="Times New Roman" w:eastAsiaTheme="minorHAnsi" w:hAnsi="Times New Roman"/>
          <w:sz w:val="23"/>
          <w:szCs w:val="23"/>
          <w:lang w:val="tr-TR"/>
        </w:rPr>
        <w:t>a</w:t>
      </w:r>
      <w:r w:rsidR="00A06F34" w:rsidRPr="001A4B94">
        <w:rPr>
          <w:rFonts w:ascii="Times New Roman" w:eastAsiaTheme="minorHAnsi" w:hAnsi="Times New Roman"/>
          <w:sz w:val="23"/>
          <w:szCs w:val="23"/>
          <w:lang w:val="tr-TR"/>
        </w:rPr>
        <w:t>tırım öncelikleri ayrıntılandırılmıştır ve uygulama devam etmektedir;</w:t>
      </w:r>
      <w:r w:rsidR="00BC7918" w:rsidRPr="001A4B94">
        <w:rPr>
          <w:rFonts w:ascii="Times New Roman" w:eastAsiaTheme="minorHAnsi" w:hAnsi="Times New Roman"/>
          <w:sz w:val="23"/>
          <w:szCs w:val="23"/>
          <w:lang w:val="tr-TR"/>
        </w:rPr>
        <w:t xml:space="preserve"> </w:t>
      </w:r>
      <w:r w:rsidR="00A06F34" w:rsidRPr="001A4B94">
        <w:rPr>
          <w:rFonts w:ascii="Times New Roman" w:eastAsiaTheme="minorHAnsi" w:hAnsi="Times New Roman"/>
          <w:sz w:val="23"/>
          <w:szCs w:val="23"/>
          <w:lang w:val="tr-TR"/>
        </w:rPr>
        <w:t>prog</w:t>
      </w:r>
      <w:r w:rsidR="006C3933" w:rsidRPr="001A4B94">
        <w:rPr>
          <w:rFonts w:ascii="Times New Roman" w:eastAsiaTheme="minorHAnsi" w:hAnsi="Times New Roman"/>
          <w:sz w:val="23"/>
          <w:szCs w:val="23"/>
          <w:lang w:val="tr-TR"/>
        </w:rPr>
        <w:t>r</w:t>
      </w:r>
      <w:r w:rsidR="00A06F34" w:rsidRPr="001A4B94">
        <w:rPr>
          <w:rFonts w:ascii="Times New Roman" w:eastAsiaTheme="minorHAnsi" w:hAnsi="Times New Roman"/>
          <w:sz w:val="23"/>
          <w:szCs w:val="23"/>
          <w:lang w:val="tr-TR"/>
        </w:rPr>
        <w:t>ama bağlı olarak farklı derecelerde ilerleme kaydedilmiş durumdadır.</w:t>
      </w:r>
      <w:r w:rsidR="00BC7918" w:rsidRPr="001A4B94">
        <w:rPr>
          <w:rFonts w:ascii="Times New Roman" w:eastAsiaTheme="minorHAnsi" w:hAnsi="Times New Roman"/>
          <w:sz w:val="23"/>
          <w:szCs w:val="23"/>
          <w:lang w:val="tr-TR"/>
        </w:rPr>
        <w:t xml:space="preserve">  </w:t>
      </w:r>
      <w:r w:rsidR="00A06F34" w:rsidRPr="001A4B94">
        <w:rPr>
          <w:rFonts w:ascii="Times New Roman" w:eastAsiaTheme="minorHAnsi" w:hAnsi="Times New Roman"/>
          <w:sz w:val="23"/>
          <w:szCs w:val="23"/>
          <w:lang w:val="tr-TR"/>
        </w:rPr>
        <w:t>Aynı zamanda</w:t>
      </w:r>
      <w:r w:rsidR="004231DB" w:rsidRPr="001A4B94">
        <w:rPr>
          <w:rFonts w:ascii="Times New Roman" w:eastAsiaTheme="minorHAnsi" w:hAnsi="Times New Roman"/>
          <w:sz w:val="23"/>
          <w:szCs w:val="23"/>
          <w:lang w:val="tr-TR"/>
        </w:rPr>
        <w:t xml:space="preserve">, </w:t>
      </w:r>
      <w:r w:rsidR="006C3933" w:rsidRPr="001A4B94">
        <w:rPr>
          <w:rFonts w:ascii="Times New Roman" w:eastAsiaTheme="minorHAnsi" w:hAnsi="Times New Roman"/>
          <w:sz w:val="23"/>
          <w:szCs w:val="23"/>
          <w:lang w:val="tr-TR"/>
        </w:rPr>
        <w:t>Dünya Bankası Gr</w:t>
      </w:r>
      <w:r w:rsidR="00A06F34" w:rsidRPr="001A4B94">
        <w:rPr>
          <w:rFonts w:ascii="Times New Roman" w:eastAsiaTheme="minorHAnsi" w:hAnsi="Times New Roman"/>
          <w:sz w:val="23"/>
          <w:szCs w:val="23"/>
          <w:lang w:val="tr-TR"/>
        </w:rPr>
        <w:t>ubu’nun h</w:t>
      </w:r>
      <w:r w:rsidR="006C3933" w:rsidRPr="001A4B94">
        <w:rPr>
          <w:rFonts w:ascii="Times New Roman" w:eastAsiaTheme="minorHAnsi" w:hAnsi="Times New Roman"/>
          <w:sz w:val="23"/>
          <w:szCs w:val="23"/>
          <w:lang w:val="tr-TR"/>
        </w:rPr>
        <w:t>a</w:t>
      </w:r>
      <w:r w:rsidR="00A06F34" w:rsidRPr="001A4B94">
        <w:rPr>
          <w:rFonts w:ascii="Times New Roman" w:eastAsiaTheme="minorHAnsi" w:hAnsi="Times New Roman"/>
          <w:sz w:val="23"/>
          <w:szCs w:val="23"/>
          <w:lang w:val="tr-TR"/>
        </w:rPr>
        <w:t>zırlamış olduğu Sistematik Ülke Değerl</w:t>
      </w:r>
      <w:r w:rsidR="006C3933" w:rsidRPr="001A4B94">
        <w:rPr>
          <w:rFonts w:ascii="Times New Roman" w:eastAsiaTheme="minorHAnsi" w:hAnsi="Times New Roman"/>
          <w:sz w:val="23"/>
          <w:szCs w:val="23"/>
          <w:lang w:val="tr-TR"/>
        </w:rPr>
        <w:t>e</w:t>
      </w:r>
      <w:r w:rsidR="00A06F34" w:rsidRPr="001A4B94">
        <w:rPr>
          <w:rFonts w:ascii="Times New Roman" w:eastAsiaTheme="minorHAnsi" w:hAnsi="Times New Roman"/>
          <w:sz w:val="23"/>
          <w:szCs w:val="23"/>
          <w:lang w:val="tr-TR"/>
        </w:rPr>
        <w:t>ndirmesi (</w:t>
      </w:r>
      <w:r w:rsidR="004231DB" w:rsidRPr="001A4B94">
        <w:rPr>
          <w:rFonts w:ascii="Times New Roman" w:eastAsiaTheme="minorHAnsi" w:hAnsi="Times New Roman"/>
          <w:sz w:val="23"/>
          <w:szCs w:val="23"/>
          <w:lang w:val="tr-TR"/>
        </w:rPr>
        <w:t>SCD</w:t>
      </w:r>
      <w:r w:rsidR="00A06F34" w:rsidRPr="001A4B94">
        <w:rPr>
          <w:rFonts w:ascii="Times New Roman" w:eastAsiaTheme="minorHAnsi" w:hAnsi="Times New Roman"/>
          <w:sz w:val="23"/>
          <w:szCs w:val="23"/>
          <w:lang w:val="tr-TR"/>
        </w:rPr>
        <w:t>), her ne kadar uyumlaştırm</w:t>
      </w:r>
      <w:r w:rsidR="006C3933" w:rsidRPr="001A4B94">
        <w:rPr>
          <w:rFonts w:ascii="Times New Roman" w:eastAsiaTheme="minorHAnsi" w:hAnsi="Times New Roman"/>
          <w:sz w:val="23"/>
          <w:szCs w:val="23"/>
          <w:lang w:val="tr-TR"/>
        </w:rPr>
        <w:t>a</w:t>
      </w:r>
      <w:r w:rsidR="00A06F34" w:rsidRPr="001A4B94">
        <w:rPr>
          <w:rFonts w:ascii="Times New Roman" w:eastAsiaTheme="minorHAnsi" w:hAnsi="Times New Roman"/>
          <w:sz w:val="23"/>
          <w:szCs w:val="23"/>
          <w:lang w:val="tr-TR"/>
        </w:rPr>
        <w:t xml:space="preserve"> amacı olmayan tamamen ba</w:t>
      </w:r>
      <w:r w:rsidR="0028560E" w:rsidRPr="001A4B94">
        <w:rPr>
          <w:rFonts w:ascii="Times New Roman" w:eastAsiaTheme="minorHAnsi" w:hAnsi="Times New Roman"/>
          <w:sz w:val="23"/>
          <w:szCs w:val="23"/>
          <w:lang w:val="tr-TR"/>
        </w:rPr>
        <w:t>ğ</w:t>
      </w:r>
      <w:r w:rsidR="00A06F34" w:rsidRPr="001A4B94">
        <w:rPr>
          <w:rFonts w:ascii="Times New Roman" w:eastAsiaTheme="minorHAnsi" w:hAnsi="Times New Roman"/>
          <w:sz w:val="23"/>
          <w:szCs w:val="23"/>
          <w:lang w:val="tr-TR"/>
        </w:rPr>
        <w:t>ımsız bir tanılama çalışm</w:t>
      </w:r>
      <w:r w:rsidR="006C3933" w:rsidRPr="001A4B94">
        <w:rPr>
          <w:rFonts w:ascii="Times New Roman" w:eastAsiaTheme="minorHAnsi" w:hAnsi="Times New Roman"/>
          <w:sz w:val="23"/>
          <w:szCs w:val="23"/>
          <w:lang w:val="tr-TR"/>
        </w:rPr>
        <w:t>a</w:t>
      </w:r>
      <w:r w:rsidR="00A06F34" w:rsidRPr="001A4B94">
        <w:rPr>
          <w:rFonts w:ascii="Times New Roman" w:eastAsiaTheme="minorHAnsi" w:hAnsi="Times New Roman"/>
          <w:sz w:val="23"/>
          <w:szCs w:val="23"/>
          <w:lang w:val="tr-TR"/>
        </w:rPr>
        <w:t>sı olsa da, kalkınma zorluklarının KP amaçları ile yakın uyum içindeki bir öncelikl</w:t>
      </w:r>
      <w:r w:rsidR="006C3933" w:rsidRPr="001A4B94">
        <w:rPr>
          <w:rFonts w:ascii="Times New Roman" w:eastAsiaTheme="minorHAnsi" w:hAnsi="Times New Roman"/>
          <w:sz w:val="23"/>
          <w:szCs w:val="23"/>
          <w:lang w:val="tr-TR"/>
        </w:rPr>
        <w:t>e</w:t>
      </w:r>
      <w:r w:rsidR="00A06F34" w:rsidRPr="001A4B94">
        <w:rPr>
          <w:rFonts w:ascii="Times New Roman" w:eastAsiaTheme="minorHAnsi" w:hAnsi="Times New Roman"/>
          <w:sz w:val="23"/>
          <w:szCs w:val="23"/>
          <w:lang w:val="tr-TR"/>
        </w:rPr>
        <w:t xml:space="preserve">ndirmesini sunmaktadır </w:t>
      </w:r>
      <w:r w:rsidR="00557576" w:rsidRPr="001A4B94">
        <w:rPr>
          <w:rFonts w:ascii="Times New Roman" w:eastAsiaTheme="minorHAnsi" w:hAnsi="Times New Roman"/>
          <w:sz w:val="23"/>
          <w:szCs w:val="23"/>
          <w:lang w:val="tr-TR"/>
        </w:rPr>
        <w:t>(</w:t>
      </w:r>
      <w:r w:rsidR="00A06F34" w:rsidRPr="001A4B94">
        <w:rPr>
          <w:rFonts w:ascii="Times New Roman" w:eastAsiaTheme="minorHAnsi" w:hAnsi="Times New Roman"/>
          <w:sz w:val="23"/>
          <w:szCs w:val="23"/>
          <w:lang w:val="tr-TR"/>
        </w:rPr>
        <w:t xml:space="preserve">bakınız Şekil </w:t>
      </w:r>
      <w:r w:rsidR="006D4769" w:rsidRPr="001A4B94">
        <w:rPr>
          <w:rFonts w:ascii="Times New Roman" w:eastAsiaTheme="minorHAnsi" w:hAnsi="Times New Roman"/>
          <w:sz w:val="23"/>
          <w:szCs w:val="23"/>
          <w:lang w:val="tr-TR"/>
        </w:rPr>
        <w:t>1</w:t>
      </w:r>
      <w:r w:rsidR="00557576" w:rsidRPr="001A4B94">
        <w:rPr>
          <w:rFonts w:ascii="Times New Roman" w:eastAsiaTheme="minorHAnsi" w:hAnsi="Times New Roman"/>
          <w:sz w:val="23"/>
          <w:szCs w:val="23"/>
          <w:lang w:val="tr-TR"/>
        </w:rPr>
        <w:t>)</w:t>
      </w:r>
      <w:r w:rsidR="00915462" w:rsidRPr="001A4B94">
        <w:rPr>
          <w:rFonts w:ascii="Times New Roman" w:eastAsiaTheme="minorHAnsi" w:hAnsi="Times New Roman"/>
          <w:sz w:val="23"/>
          <w:szCs w:val="23"/>
          <w:lang w:val="tr-TR"/>
        </w:rPr>
        <w:t xml:space="preserve">. </w:t>
      </w:r>
      <w:r w:rsidR="00A06F34" w:rsidRPr="001A4B94">
        <w:rPr>
          <w:rFonts w:ascii="Times New Roman" w:eastAsiaTheme="minorHAnsi" w:hAnsi="Times New Roman"/>
          <w:sz w:val="23"/>
          <w:szCs w:val="23"/>
          <w:lang w:val="tr-TR"/>
        </w:rPr>
        <w:t>Bu</w:t>
      </w:r>
      <w:r w:rsidR="006C3933" w:rsidRPr="001A4B94">
        <w:rPr>
          <w:rFonts w:ascii="Times New Roman" w:eastAsiaTheme="minorHAnsi" w:hAnsi="Times New Roman"/>
          <w:sz w:val="23"/>
          <w:szCs w:val="23"/>
          <w:lang w:val="tr-TR"/>
        </w:rPr>
        <w:t xml:space="preserve">, Kalkınma Planının ilerleme için sağlam bir </w:t>
      </w:r>
      <w:r w:rsidR="00A06F34" w:rsidRPr="001A4B94">
        <w:rPr>
          <w:rFonts w:ascii="Times New Roman" w:eastAsiaTheme="minorHAnsi" w:hAnsi="Times New Roman"/>
          <w:sz w:val="23"/>
          <w:szCs w:val="23"/>
          <w:lang w:val="tr-TR"/>
        </w:rPr>
        <w:t xml:space="preserve"> </w:t>
      </w:r>
      <w:r w:rsidR="006C3933" w:rsidRPr="001A4B94">
        <w:rPr>
          <w:rFonts w:ascii="Times New Roman" w:eastAsiaTheme="minorHAnsi" w:hAnsi="Times New Roman"/>
          <w:sz w:val="23"/>
          <w:szCs w:val="23"/>
          <w:lang w:val="tr-TR"/>
        </w:rPr>
        <w:t>temel sunduğunu</w:t>
      </w:r>
      <w:r w:rsidR="00915462" w:rsidRPr="001A4B94">
        <w:rPr>
          <w:rFonts w:ascii="Times New Roman" w:eastAsiaTheme="minorHAnsi" w:hAnsi="Times New Roman"/>
          <w:sz w:val="23"/>
          <w:szCs w:val="23"/>
          <w:lang w:val="tr-TR"/>
        </w:rPr>
        <w:t xml:space="preserve">, </w:t>
      </w:r>
      <w:r w:rsidR="006C3933" w:rsidRPr="001A4B94">
        <w:rPr>
          <w:rFonts w:ascii="Times New Roman" w:eastAsiaTheme="minorHAnsi" w:hAnsi="Times New Roman"/>
          <w:sz w:val="23"/>
          <w:szCs w:val="23"/>
          <w:lang w:val="tr-TR"/>
        </w:rPr>
        <w:t>dolayısıyla önümüzdeki dönemde üzerinde odaklanılması gereken hususun uygulamanın hızlandırılması olduğunu teyit etmektedir.</w:t>
      </w:r>
      <w:r w:rsidR="00F513C4" w:rsidRPr="001A4B94">
        <w:rPr>
          <w:rFonts w:ascii="Times New Roman" w:eastAsiaTheme="minorHAnsi" w:hAnsi="Times New Roman"/>
          <w:sz w:val="23"/>
          <w:szCs w:val="23"/>
          <w:lang w:val="tr-TR"/>
        </w:rPr>
        <w:t xml:space="preserve"> </w:t>
      </w:r>
    </w:p>
    <w:p w14:paraId="6EEA4D81" w14:textId="77777777" w:rsidR="00C36483" w:rsidRPr="001A4B94" w:rsidRDefault="00C36483" w:rsidP="00C36483">
      <w:pPr>
        <w:pStyle w:val="ListeParagraf"/>
        <w:rPr>
          <w:rFonts w:ascii="Times New Roman" w:eastAsiaTheme="minorHAnsi" w:hAnsi="Times New Roman"/>
          <w:sz w:val="10"/>
          <w:szCs w:val="10"/>
          <w:lang w:val="tr-TR"/>
        </w:rPr>
      </w:pPr>
    </w:p>
    <w:p w14:paraId="142FE65C" w14:textId="71DF9BE8" w:rsidR="00C36483" w:rsidRPr="001A4B94" w:rsidRDefault="003559A5" w:rsidP="00C36483">
      <w:pPr>
        <w:pStyle w:val="ListeParagraf"/>
        <w:numPr>
          <w:ilvl w:val="0"/>
          <w:numId w:val="2"/>
        </w:numPr>
        <w:tabs>
          <w:tab w:val="left" w:pos="426"/>
        </w:tabs>
        <w:autoSpaceDE w:val="0"/>
        <w:autoSpaceDN w:val="0"/>
        <w:adjustRightInd w:val="0"/>
        <w:spacing w:after="0" w:line="240" w:lineRule="auto"/>
        <w:ind w:left="0" w:firstLine="0"/>
        <w:jc w:val="both"/>
        <w:rPr>
          <w:rFonts w:ascii="Times New Roman" w:eastAsiaTheme="minorHAnsi" w:hAnsi="Times New Roman"/>
          <w:sz w:val="23"/>
          <w:szCs w:val="23"/>
          <w:lang w:val="tr-TR"/>
        </w:rPr>
      </w:pPr>
      <w:r w:rsidRPr="001A4B94">
        <w:rPr>
          <w:rFonts w:ascii="Times New Roman" w:eastAsiaTheme="minorHAnsi" w:hAnsi="Times New Roman"/>
          <w:b/>
          <w:sz w:val="23"/>
          <w:szCs w:val="23"/>
          <w:lang w:val="tr-TR"/>
        </w:rPr>
        <w:t xml:space="preserve">Kalkınma Planı çerçevesi içerisinde, Hükümet </w:t>
      </w:r>
      <w:r w:rsidR="00A35D2A" w:rsidRPr="001A4B94">
        <w:rPr>
          <w:rFonts w:ascii="Times New Roman" w:eastAsiaTheme="minorHAnsi" w:hAnsi="Times New Roman"/>
          <w:b/>
          <w:sz w:val="23"/>
          <w:szCs w:val="23"/>
          <w:lang w:val="tr-TR"/>
        </w:rPr>
        <w:t>hangi Dönüşüm P</w:t>
      </w:r>
      <w:r w:rsidR="006525B0" w:rsidRPr="001A4B94">
        <w:rPr>
          <w:rFonts w:ascii="Times New Roman" w:eastAsiaTheme="minorHAnsi" w:hAnsi="Times New Roman"/>
          <w:b/>
          <w:sz w:val="23"/>
          <w:szCs w:val="23"/>
          <w:lang w:val="tr-TR"/>
        </w:rPr>
        <w:t>r</w:t>
      </w:r>
      <w:r w:rsidR="00A35D2A" w:rsidRPr="001A4B94">
        <w:rPr>
          <w:rFonts w:ascii="Times New Roman" w:eastAsiaTheme="minorHAnsi" w:hAnsi="Times New Roman"/>
          <w:b/>
          <w:sz w:val="23"/>
          <w:szCs w:val="23"/>
          <w:lang w:val="tr-TR"/>
        </w:rPr>
        <w:t>ogramları için hangi kalkınma ortakları ile birlikte çalışacağını ve bu ortak çalışmanın nasıl tasarlanacağını ve g</w:t>
      </w:r>
      <w:r w:rsidR="006525B0" w:rsidRPr="001A4B94">
        <w:rPr>
          <w:rFonts w:ascii="Times New Roman" w:eastAsiaTheme="minorHAnsi" w:hAnsi="Times New Roman"/>
          <w:b/>
          <w:sz w:val="23"/>
          <w:szCs w:val="23"/>
          <w:lang w:val="tr-TR"/>
        </w:rPr>
        <w:t>e</w:t>
      </w:r>
      <w:r w:rsidR="00A35D2A" w:rsidRPr="001A4B94">
        <w:rPr>
          <w:rFonts w:ascii="Times New Roman" w:eastAsiaTheme="minorHAnsi" w:hAnsi="Times New Roman"/>
          <w:b/>
          <w:sz w:val="23"/>
          <w:szCs w:val="23"/>
          <w:lang w:val="tr-TR"/>
        </w:rPr>
        <w:t>rçekleştirileceğini belirlemektedir.</w:t>
      </w:r>
      <w:r w:rsidR="00C36483" w:rsidRPr="001A4B94">
        <w:rPr>
          <w:rFonts w:ascii="Times New Roman" w:eastAsiaTheme="minorHAnsi" w:hAnsi="Times New Roman"/>
          <w:b/>
          <w:sz w:val="23"/>
          <w:szCs w:val="23"/>
          <w:lang w:val="tr-TR"/>
        </w:rPr>
        <w:t xml:space="preserve"> </w:t>
      </w:r>
      <w:r w:rsidR="006525B0" w:rsidRPr="001A4B94">
        <w:rPr>
          <w:rFonts w:ascii="Times New Roman" w:eastAsiaTheme="minorHAnsi" w:hAnsi="Times New Roman"/>
          <w:sz w:val="23"/>
          <w:szCs w:val="23"/>
          <w:lang w:val="tr-TR"/>
        </w:rPr>
        <w:t xml:space="preserve">Çok çeşitli potansiyel ortakları ve uluslararası piyasalarda finansmana erişim imkanları bulunan Türkiye geleneksel olarak hem finansman hem de danışmanlık hizmetleri için Dünya </w:t>
      </w:r>
      <w:r w:rsidR="00E53925" w:rsidRPr="001A4B94">
        <w:rPr>
          <w:rFonts w:ascii="Times New Roman" w:eastAsiaTheme="minorHAnsi" w:hAnsi="Times New Roman"/>
          <w:sz w:val="23"/>
          <w:szCs w:val="23"/>
          <w:lang w:val="tr-TR"/>
        </w:rPr>
        <w:t>B</w:t>
      </w:r>
      <w:r w:rsidR="006525B0" w:rsidRPr="001A4B94">
        <w:rPr>
          <w:rFonts w:ascii="Times New Roman" w:eastAsiaTheme="minorHAnsi" w:hAnsi="Times New Roman"/>
          <w:sz w:val="23"/>
          <w:szCs w:val="23"/>
          <w:lang w:val="tr-TR"/>
        </w:rPr>
        <w:t>ankası Grubu’nun da bulunduğu ortakları ile bilinçli bir çerçeve içerisinde çalışmıştır</w:t>
      </w:r>
      <w:r w:rsidR="00A43154" w:rsidRPr="001A4B94">
        <w:rPr>
          <w:rFonts w:ascii="Times New Roman" w:eastAsiaTheme="minorHAnsi" w:hAnsi="Times New Roman"/>
          <w:sz w:val="23"/>
          <w:szCs w:val="23"/>
          <w:lang w:val="tr-TR"/>
        </w:rPr>
        <w:t xml:space="preserve">. </w:t>
      </w:r>
      <w:r w:rsidR="006525B0" w:rsidRPr="001A4B94">
        <w:rPr>
          <w:rFonts w:ascii="Times New Roman" w:eastAsiaTheme="minorHAnsi" w:hAnsi="Times New Roman"/>
          <w:sz w:val="23"/>
          <w:szCs w:val="23"/>
          <w:lang w:val="tr-TR"/>
        </w:rPr>
        <w:t xml:space="preserve">Kalkınma Planının hazırlanması sürecinde, Hükümet genel olarak Dünya </w:t>
      </w:r>
      <w:r w:rsidR="00AD6BA0" w:rsidRPr="001A4B94">
        <w:rPr>
          <w:rFonts w:ascii="Times New Roman" w:eastAsiaTheme="minorHAnsi" w:hAnsi="Times New Roman"/>
          <w:sz w:val="23"/>
          <w:szCs w:val="23"/>
          <w:lang w:val="tr-TR"/>
        </w:rPr>
        <w:t>B</w:t>
      </w:r>
      <w:r w:rsidR="006525B0" w:rsidRPr="001A4B94">
        <w:rPr>
          <w:rFonts w:ascii="Times New Roman" w:eastAsiaTheme="minorHAnsi" w:hAnsi="Times New Roman"/>
          <w:sz w:val="23"/>
          <w:szCs w:val="23"/>
          <w:lang w:val="tr-TR"/>
        </w:rPr>
        <w:t>ankası Grubu’ndan görüş istemiştir</w:t>
      </w:r>
      <w:r w:rsidR="00C36483" w:rsidRPr="001A4B94">
        <w:rPr>
          <w:rFonts w:ascii="Times New Roman" w:eastAsiaTheme="minorHAnsi" w:hAnsi="Times New Roman"/>
          <w:sz w:val="23"/>
          <w:szCs w:val="23"/>
          <w:lang w:val="tr-TR"/>
        </w:rPr>
        <w:t xml:space="preserve">, </w:t>
      </w:r>
      <w:r w:rsidR="006525B0" w:rsidRPr="001A4B94">
        <w:rPr>
          <w:rFonts w:ascii="Times New Roman" w:eastAsiaTheme="minorHAnsi" w:hAnsi="Times New Roman"/>
          <w:sz w:val="23"/>
          <w:szCs w:val="23"/>
          <w:lang w:val="tr-TR"/>
        </w:rPr>
        <w:t xml:space="preserve">ancak Banka Grubu’nun finansal desteği ve yatırımları için yapılan talepler çok daha seçici olmuştur </w:t>
      </w:r>
      <w:r w:rsidR="00C36483" w:rsidRPr="001A4B94">
        <w:rPr>
          <w:rFonts w:ascii="Times New Roman" w:eastAsiaTheme="minorHAnsi" w:hAnsi="Times New Roman"/>
          <w:sz w:val="23"/>
          <w:szCs w:val="23"/>
          <w:lang w:val="tr-TR"/>
        </w:rPr>
        <w:t>(</w:t>
      </w:r>
      <w:r w:rsidR="006525B0" w:rsidRPr="001A4B94">
        <w:rPr>
          <w:rFonts w:ascii="Times New Roman" w:eastAsiaTheme="minorHAnsi" w:hAnsi="Times New Roman"/>
          <w:sz w:val="23"/>
          <w:szCs w:val="23"/>
          <w:lang w:val="tr-TR"/>
        </w:rPr>
        <w:t xml:space="preserve">Tamamlama </w:t>
      </w:r>
      <w:r w:rsidR="00B90591" w:rsidRPr="001A4B94">
        <w:rPr>
          <w:rFonts w:ascii="Times New Roman" w:eastAsiaTheme="minorHAnsi" w:hAnsi="Times New Roman"/>
          <w:sz w:val="23"/>
          <w:szCs w:val="23"/>
          <w:lang w:val="tr-TR"/>
        </w:rPr>
        <w:t xml:space="preserve">ve </w:t>
      </w:r>
      <w:r w:rsidR="006525B0" w:rsidRPr="001A4B94">
        <w:rPr>
          <w:rFonts w:ascii="Times New Roman" w:eastAsiaTheme="minorHAnsi" w:hAnsi="Times New Roman"/>
          <w:sz w:val="23"/>
          <w:szCs w:val="23"/>
          <w:lang w:val="tr-TR"/>
        </w:rPr>
        <w:t>Öğrenme İncelemesinde belirtildiği gibi</w:t>
      </w:r>
      <w:r w:rsidR="00C36483" w:rsidRPr="001A4B94">
        <w:rPr>
          <w:rFonts w:ascii="Times New Roman" w:eastAsiaTheme="minorHAnsi" w:hAnsi="Times New Roman"/>
          <w:sz w:val="23"/>
          <w:szCs w:val="23"/>
          <w:lang w:val="tr-TR"/>
        </w:rPr>
        <w:t xml:space="preserve">). </w:t>
      </w:r>
      <w:r w:rsidR="006525B0" w:rsidRPr="001A4B94">
        <w:rPr>
          <w:rFonts w:ascii="Times New Roman" w:eastAsiaTheme="minorHAnsi" w:hAnsi="Times New Roman"/>
          <w:sz w:val="23"/>
          <w:szCs w:val="23"/>
          <w:lang w:val="tr-TR"/>
        </w:rPr>
        <w:t>Türkiye’de bu talep odaklı yaklaşım devam edecektir</w:t>
      </w:r>
      <w:r w:rsidR="00C36483" w:rsidRPr="001A4B94">
        <w:rPr>
          <w:rFonts w:ascii="Times New Roman" w:eastAsiaTheme="minorHAnsi" w:hAnsi="Times New Roman"/>
          <w:sz w:val="23"/>
          <w:szCs w:val="23"/>
          <w:lang w:val="tr-TR"/>
        </w:rPr>
        <w:t xml:space="preserve">.  </w:t>
      </w:r>
    </w:p>
    <w:p w14:paraId="3CFA71BE" w14:textId="77777777" w:rsidR="00C36483" w:rsidRPr="001A4B94" w:rsidRDefault="00C36483" w:rsidP="00C36483">
      <w:pPr>
        <w:pStyle w:val="ListeParagraf"/>
        <w:tabs>
          <w:tab w:val="left" w:pos="426"/>
        </w:tabs>
        <w:autoSpaceDE w:val="0"/>
        <w:autoSpaceDN w:val="0"/>
        <w:adjustRightInd w:val="0"/>
        <w:spacing w:after="0" w:line="240" w:lineRule="auto"/>
        <w:ind w:left="0"/>
        <w:jc w:val="both"/>
        <w:rPr>
          <w:rFonts w:ascii="Times New Roman" w:eastAsiaTheme="minorHAnsi" w:hAnsi="Times New Roman"/>
          <w:sz w:val="24"/>
          <w:szCs w:val="24"/>
          <w:lang w:val="tr-TR"/>
        </w:rPr>
      </w:pPr>
    </w:p>
    <w:p w14:paraId="0CDFF8AD" w14:textId="77777777" w:rsidR="004766FE" w:rsidRPr="001A4B94" w:rsidRDefault="004766FE">
      <w:pPr>
        <w:spacing w:after="160" w:line="259" w:lineRule="auto"/>
        <w:rPr>
          <w:rFonts w:eastAsia="Calibri"/>
          <w:b/>
          <w:lang w:val="tr-TR"/>
        </w:rPr>
      </w:pPr>
      <w:r w:rsidRPr="001A4B94">
        <w:rPr>
          <w:b/>
          <w:lang w:val="tr-TR"/>
        </w:rPr>
        <w:br w:type="page"/>
      </w:r>
    </w:p>
    <w:p w14:paraId="54B227B8" w14:textId="5980EDB1" w:rsidR="00557576" w:rsidRPr="001A4B94" w:rsidRDefault="00616F55" w:rsidP="00FF11AA">
      <w:pPr>
        <w:pStyle w:val="ListeParagraf"/>
        <w:tabs>
          <w:tab w:val="left" w:pos="426"/>
          <w:tab w:val="left" w:pos="2970"/>
        </w:tabs>
        <w:autoSpaceDE w:val="0"/>
        <w:autoSpaceDN w:val="0"/>
        <w:adjustRightInd w:val="0"/>
        <w:spacing w:after="0" w:line="240" w:lineRule="auto"/>
        <w:ind w:left="-426" w:right="-563"/>
        <w:jc w:val="center"/>
        <w:rPr>
          <w:rFonts w:ascii="Times New Roman" w:hAnsi="Times New Roman"/>
          <w:b/>
          <w:sz w:val="24"/>
          <w:szCs w:val="24"/>
          <w:lang w:val="tr-TR"/>
        </w:rPr>
      </w:pPr>
      <w:r w:rsidRPr="001A4B94">
        <w:rPr>
          <w:rFonts w:ascii="Times New Roman" w:hAnsi="Times New Roman"/>
          <w:b/>
          <w:sz w:val="24"/>
          <w:szCs w:val="24"/>
          <w:lang w:val="tr-TR"/>
        </w:rPr>
        <w:lastRenderedPageBreak/>
        <w:t>Şekil</w:t>
      </w:r>
      <w:r w:rsidR="006D4769" w:rsidRPr="001A4B94">
        <w:rPr>
          <w:rFonts w:ascii="Times New Roman" w:hAnsi="Times New Roman"/>
          <w:b/>
          <w:sz w:val="24"/>
          <w:szCs w:val="24"/>
          <w:lang w:val="tr-TR"/>
        </w:rPr>
        <w:t xml:space="preserve"> 1</w:t>
      </w:r>
      <w:r w:rsidR="00557576" w:rsidRPr="001A4B94">
        <w:rPr>
          <w:rFonts w:ascii="Times New Roman" w:hAnsi="Times New Roman"/>
          <w:b/>
          <w:sz w:val="24"/>
          <w:szCs w:val="24"/>
          <w:lang w:val="tr-TR"/>
        </w:rPr>
        <w:t xml:space="preserve">: SCD </w:t>
      </w:r>
      <w:r w:rsidRPr="001A4B94">
        <w:rPr>
          <w:rFonts w:ascii="Times New Roman" w:hAnsi="Times New Roman"/>
          <w:b/>
          <w:sz w:val="24"/>
          <w:szCs w:val="24"/>
          <w:lang w:val="tr-TR"/>
        </w:rPr>
        <w:t xml:space="preserve">öncelikleri </w:t>
      </w:r>
      <w:r w:rsidR="001A0127" w:rsidRPr="001A4B94">
        <w:rPr>
          <w:rFonts w:ascii="Times New Roman" w:hAnsi="Times New Roman"/>
          <w:b/>
          <w:sz w:val="24"/>
          <w:szCs w:val="24"/>
          <w:lang w:val="tr-TR"/>
        </w:rPr>
        <w:t>(</w:t>
      </w:r>
      <w:r w:rsidRPr="001A4B94">
        <w:rPr>
          <w:rFonts w:ascii="Times New Roman" w:hAnsi="Times New Roman"/>
          <w:b/>
          <w:sz w:val="24"/>
          <w:szCs w:val="24"/>
          <w:lang w:val="tr-TR"/>
        </w:rPr>
        <w:t>10. Kalkınma Planı öncelikli dönüşüm programları ile ilişkilendirilmiş</w:t>
      </w:r>
      <w:r w:rsidR="00557576" w:rsidRPr="001A4B94">
        <w:rPr>
          <w:rFonts w:ascii="Times New Roman" w:hAnsi="Times New Roman"/>
          <w:b/>
          <w:sz w:val="24"/>
          <w:szCs w:val="24"/>
          <w:lang w:val="tr-TR"/>
        </w:rPr>
        <w:t>)</w:t>
      </w:r>
    </w:p>
    <w:p w14:paraId="456773EA" w14:textId="541DEE26" w:rsidR="00557576" w:rsidRPr="001A4B94" w:rsidRDefault="001643F2" w:rsidP="00557576">
      <w:pPr>
        <w:pStyle w:val="ListeParagraf"/>
        <w:ind w:left="0"/>
        <w:rPr>
          <w:rFonts w:ascii="Times New Roman" w:eastAsiaTheme="minorHAnsi" w:hAnsi="Times New Roman"/>
          <w:sz w:val="24"/>
          <w:szCs w:val="24"/>
          <w:lang w:val="tr-TR"/>
        </w:rPr>
      </w:pPr>
      <w:r w:rsidRPr="001A4B94">
        <w:rPr>
          <w:rFonts w:ascii="Times New Roman" w:eastAsiaTheme="minorHAnsi" w:hAnsi="Times New Roman"/>
          <w:noProof/>
          <w:sz w:val="24"/>
          <w:szCs w:val="24"/>
          <w:lang w:val="en-GB" w:eastAsia="en-GB"/>
        </w:rPr>
        <mc:AlternateContent>
          <mc:Choice Requires="wpg">
            <w:drawing>
              <wp:anchor distT="0" distB="0" distL="114300" distR="114300" simplePos="0" relativeHeight="251684864" behindDoc="0" locked="0" layoutInCell="1" allowOverlap="1" wp14:anchorId="1B461042" wp14:editId="2F8EE118">
                <wp:simplePos x="0" y="0"/>
                <wp:positionH relativeFrom="column">
                  <wp:posOffset>19050</wp:posOffset>
                </wp:positionH>
                <wp:positionV relativeFrom="paragraph">
                  <wp:posOffset>240030</wp:posOffset>
                </wp:positionV>
                <wp:extent cx="5848350" cy="3230880"/>
                <wp:effectExtent l="0" t="0" r="19050" b="26670"/>
                <wp:wrapNone/>
                <wp:docPr id="26" name="Grup 26"/>
                <wp:cNvGraphicFramePr/>
                <a:graphic xmlns:a="http://schemas.openxmlformats.org/drawingml/2006/main">
                  <a:graphicData uri="http://schemas.microsoft.com/office/word/2010/wordprocessingGroup">
                    <wpg:wgp>
                      <wpg:cNvGrpSpPr/>
                      <wpg:grpSpPr>
                        <a:xfrm>
                          <a:off x="0" y="0"/>
                          <a:ext cx="5848350" cy="3230880"/>
                          <a:chOff x="0" y="0"/>
                          <a:chExt cx="5848350" cy="3230880"/>
                        </a:xfrm>
                      </wpg:grpSpPr>
                      <wps:wsp>
                        <wps:cNvPr id="20" name="Metin kutusu 3"/>
                        <wps:cNvSpPr txBox="1"/>
                        <wps:spPr>
                          <a:xfrm>
                            <a:off x="0" y="9525"/>
                            <a:ext cx="1809750" cy="628650"/>
                          </a:xfrm>
                          <a:prstGeom prst="rect">
                            <a:avLst/>
                          </a:prstGeom>
                          <a:solidFill>
                            <a:schemeClr val="tx2">
                              <a:lumMod val="40000"/>
                              <a:lumOff val="60000"/>
                            </a:schemeClr>
                          </a:solidFill>
                        </wps:spPr>
                        <wps:txbx>
                          <w:txbxContent>
                            <w:p w14:paraId="6348FB70" w14:textId="77777777" w:rsidR="0010534D" w:rsidRPr="003D0466" w:rsidRDefault="0010534D" w:rsidP="00492794">
                              <w:pPr>
                                <w:pStyle w:val="NormalWeb"/>
                                <w:spacing w:before="0" w:beforeAutospacing="0" w:after="0" w:afterAutospacing="0"/>
                                <w:jc w:val="center"/>
                                <w:rPr>
                                  <w:sz w:val="14"/>
                                  <w:lang w:val="tr-TR"/>
                                </w:rPr>
                              </w:pPr>
                              <w:r w:rsidRPr="003D0466">
                                <w:rPr>
                                  <w:rFonts w:asciiTheme="minorHAnsi" w:hAnsi="Calibri" w:cstheme="minorBidi"/>
                                  <w:b/>
                                  <w:bCs/>
                                  <w:color w:val="000000" w:themeColor="text1"/>
                                  <w:kern w:val="24"/>
                                  <w:sz w:val="20"/>
                                  <w:szCs w:val="36"/>
                                  <w:u w:val="single"/>
                                  <w:lang w:val="tr-TR"/>
                                </w:rPr>
                                <w:t>Büyüme</w:t>
                              </w:r>
                            </w:p>
                            <w:p w14:paraId="01E2F160" w14:textId="77777777" w:rsidR="0010534D" w:rsidRPr="003D0466" w:rsidRDefault="0010534D" w:rsidP="00492794">
                              <w:pPr>
                                <w:pStyle w:val="NormalWeb"/>
                                <w:spacing w:before="0" w:beforeAutospacing="0" w:after="0" w:afterAutospacing="0"/>
                                <w:jc w:val="center"/>
                                <w:rPr>
                                  <w:sz w:val="14"/>
                                  <w:lang w:val="tr-TR"/>
                                </w:rPr>
                              </w:pPr>
                              <w:r w:rsidRPr="003D0466">
                                <w:rPr>
                                  <w:rFonts w:asciiTheme="minorHAnsi" w:hAnsi="Calibri" w:cstheme="minorBidi"/>
                                  <w:b/>
                                  <w:bCs/>
                                  <w:color w:val="000000" w:themeColor="text1"/>
                                  <w:kern w:val="24"/>
                                  <w:sz w:val="16"/>
                                  <w:szCs w:val="28"/>
                                  <w:lang w:val="tr-TR"/>
                                </w:rPr>
                                <w:t xml:space="preserve">(SCD Öncelikleri 1 ve 2: sağlam temeller, dinamik şirketler) </w:t>
                              </w:r>
                            </w:p>
                            <w:p w14:paraId="7A52A2C0" w14:textId="77777777" w:rsidR="0010534D" w:rsidRPr="003D0466" w:rsidRDefault="0010534D" w:rsidP="00492794">
                              <w:pPr>
                                <w:pStyle w:val="NormalWeb"/>
                                <w:spacing w:before="0" w:beforeAutospacing="0" w:after="0" w:afterAutospacing="0"/>
                                <w:jc w:val="center"/>
                                <w:rPr>
                                  <w:sz w:val="14"/>
                                  <w:lang w:val="tr-TR"/>
                                </w:rPr>
                              </w:pPr>
                              <w:r w:rsidRPr="003D0466">
                                <w:rPr>
                                  <w:rFonts w:asciiTheme="minorHAnsi" w:hAnsi="Calibri" w:cstheme="minorBidi"/>
                                  <w:color w:val="000000" w:themeColor="text1"/>
                                  <w:kern w:val="24"/>
                                  <w:sz w:val="16"/>
                                  <w:szCs w:val="28"/>
                                  <w:lang w:val="tr-TR"/>
                                </w:rPr>
                                <w:t xml:space="preserve">(UKP Amacı 1: yenilikçi üretim, istikrarlı yüksek büyüme) </w:t>
                              </w:r>
                            </w:p>
                          </w:txbxContent>
                        </wps:txbx>
                        <wps:bodyPr wrap="square" lIns="0" tIns="0" rIns="0" bIns="0" rtlCol="0">
                          <a:noAutofit/>
                        </wps:bodyPr>
                      </wps:wsp>
                      <wps:wsp>
                        <wps:cNvPr id="21" name="Metin kutusu 4"/>
                        <wps:cNvSpPr txBox="1"/>
                        <wps:spPr>
                          <a:xfrm>
                            <a:off x="2028825" y="9525"/>
                            <a:ext cx="1781175" cy="619125"/>
                          </a:xfrm>
                          <a:prstGeom prst="rect">
                            <a:avLst/>
                          </a:prstGeom>
                          <a:solidFill>
                            <a:schemeClr val="tx2">
                              <a:lumMod val="40000"/>
                              <a:lumOff val="60000"/>
                            </a:schemeClr>
                          </a:solidFill>
                        </wps:spPr>
                        <wps:txbx>
                          <w:txbxContent>
                            <w:p w14:paraId="7700F5AD" w14:textId="77777777" w:rsidR="0010534D" w:rsidRPr="00CE6FFE" w:rsidRDefault="0010534D" w:rsidP="00D13886">
                              <w:pPr>
                                <w:pStyle w:val="NormalWeb"/>
                                <w:spacing w:before="0" w:beforeAutospacing="0" w:after="0" w:afterAutospacing="0"/>
                                <w:jc w:val="center"/>
                                <w:rPr>
                                  <w:sz w:val="20"/>
                                  <w:szCs w:val="20"/>
                                  <w:lang w:val="tr-TR"/>
                                </w:rPr>
                              </w:pPr>
                              <w:r w:rsidRPr="00CE6FFE">
                                <w:rPr>
                                  <w:rFonts w:asciiTheme="minorHAnsi" w:hAnsi="Calibri" w:cstheme="minorBidi"/>
                                  <w:b/>
                                  <w:bCs/>
                                  <w:color w:val="000000" w:themeColor="text1"/>
                                  <w:kern w:val="24"/>
                                  <w:sz w:val="20"/>
                                  <w:szCs w:val="20"/>
                                  <w:u w:val="single"/>
                                  <w:lang w:val="tr-TR"/>
                                </w:rPr>
                                <w:t>Kapsama</w:t>
                              </w:r>
                            </w:p>
                            <w:p w14:paraId="7ADDE894" w14:textId="77777777" w:rsidR="0010534D" w:rsidRPr="00CE6FFE" w:rsidRDefault="0010534D" w:rsidP="00D13886">
                              <w:pPr>
                                <w:pStyle w:val="NormalWeb"/>
                                <w:spacing w:before="0" w:beforeAutospacing="0" w:after="0" w:afterAutospacing="0"/>
                                <w:jc w:val="center"/>
                                <w:rPr>
                                  <w:sz w:val="16"/>
                                  <w:szCs w:val="16"/>
                                  <w:lang w:val="tr-TR"/>
                                </w:rPr>
                              </w:pPr>
                              <w:r w:rsidRPr="00CE6FFE">
                                <w:rPr>
                                  <w:rFonts w:asciiTheme="minorHAnsi" w:hAnsi="Calibri" w:cstheme="minorBidi"/>
                                  <w:b/>
                                  <w:bCs/>
                                  <w:color w:val="000000" w:themeColor="text1"/>
                                  <w:kern w:val="24"/>
                                  <w:sz w:val="18"/>
                                  <w:szCs w:val="28"/>
                                  <w:lang w:val="tr-TR"/>
                                </w:rPr>
                                <w:t>(</w:t>
                              </w:r>
                              <w:r w:rsidRPr="00CE6FFE">
                                <w:rPr>
                                  <w:rFonts w:asciiTheme="minorHAnsi" w:hAnsi="Calibri" w:cstheme="minorBidi"/>
                                  <w:b/>
                                  <w:bCs/>
                                  <w:color w:val="000000" w:themeColor="text1"/>
                                  <w:kern w:val="24"/>
                                  <w:sz w:val="16"/>
                                  <w:szCs w:val="16"/>
                                  <w:lang w:val="tr-TR"/>
                                </w:rPr>
                                <w:t xml:space="preserve">SCD Önceliği 3: üretken bireyler) </w:t>
                              </w:r>
                            </w:p>
                            <w:p w14:paraId="2E3063FD" w14:textId="77777777" w:rsidR="0010534D" w:rsidRPr="00CE6FFE" w:rsidRDefault="0010534D" w:rsidP="00D13886">
                              <w:pPr>
                                <w:pStyle w:val="NormalWeb"/>
                                <w:spacing w:before="0" w:beforeAutospacing="0" w:after="0" w:afterAutospacing="0"/>
                                <w:jc w:val="center"/>
                                <w:rPr>
                                  <w:sz w:val="16"/>
                                  <w:szCs w:val="16"/>
                                  <w:lang w:val="tr-TR"/>
                                </w:rPr>
                              </w:pPr>
                              <w:r w:rsidRPr="00CE6FFE">
                                <w:rPr>
                                  <w:rFonts w:asciiTheme="minorHAnsi" w:hAnsi="Calibri" w:cstheme="minorBidi"/>
                                  <w:color w:val="000000" w:themeColor="text1"/>
                                  <w:kern w:val="24"/>
                                  <w:sz w:val="16"/>
                                  <w:szCs w:val="16"/>
                                  <w:lang w:val="tr-TR"/>
                                </w:rPr>
                                <w:t xml:space="preserve">(UKP Amacı 2: nitelikli bireyler, güçlü toplum) </w:t>
                              </w:r>
                            </w:p>
                          </w:txbxContent>
                        </wps:txbx>
                        <wps:bodyPr wrap="square" lIns="0" tIns="0" rIns="0" bIns="0" rtlCol="0">
                          <a:noAutofit/>
                        </wps:bodyPr>
                      </wps:wsp>
                      <wps:wsp>
                        <wps:cNvPr id="22" name="Metin kutusu 5"/>
                        <wps:cNvSpPr txBox="1"/>
                        <wps:spPr>
                          <a:xfrm>
                            <a:off x="4038600" y="0"/>
                            <a:ext cx="1800225" cy="628650"/>
                          </a:xfrm>
                          <a:prstGeom prst="rect">
                            <a:avLst/>
                          </a:prstGeom>
                          <a:solidFill>
                            <a:schemeClr val="tx2">
                              <a:lumMod val="40000"/>
                              <a:lumOff val="60000"/>
                            </a:schemeClr>
                          </a:solidFill>
                        </wps:spPr>
                        <wps:txbx>
                          <w:txbxContent>
                            <w:p w14:paraId="3935116D" w14:textId="77777777" w:rsidR="0010534D" w:rsidRPr="00CE6FFE" w:rsidRDefault="0010534D" w:rsidP="00D13886">
                              <w:pPr>
                                <w:pStyle w:val="NormalWeb"/>
                                <w:spacing w:before="0" w:beforeAutospacing="0" w:after="0" w:afterAutospacing="0"/>
                                <w:jc w:val="center"/>
                                <w:rPr>
                                  <w:sz w:val="14"/>
                                  <w:lang w:val="tr-TR"/>
                                </w:rPr>
                              </w:pPr>
                              <w:r w:rsidRPr="00CE6FFE">
                                <w:rPr>
                                  <w:rFonts w:asciiTheme="minorHAnsi" w:hAnsi="Calibri" w:cstheme="minorBidi"/>
                                  <w:b/>
                                  <w:bCs/>
                                  <w:color w:val="000000" w:themeColor="text1"/>
                                  <w:kern w:val="24"/>
                                  <w:sz w:val="20"/>
                                  <w:szCs w:val="36"/>
                                  <w:u w:val="single"/>
                                  <w:lang w:val="tr-TR"/>
                                </w:rPr>
                                <w:t>Sürdürülebilirlik</w:t>
                              </w:r>
                            </w:p>
                            <w:p w14:paraId="43EA582A" w14:textId="77777777" w:rsidR="0010534D" w:rsidRPr="00CE6FFE" w:rsidRDefault="0010534D" w:rsidP="00D13886">
                              <w:pPr>
                                <w:pStyle w:val="NormalWeb"/>
                                <w:spacing w:before="0" w:beforeAutospacing="0" w:after="0" w:afterAutospacing="0"/>
                                <w:jc w:val="center"/>
                                <w:rPr>
                                  <w:sz w:val="14"/>
                                  <w:lang w:val="tr-TR"/>
                                </w:rPr>
                              </w:pPr>
                              <w:r w:rsidRPr="00CE6FFE">
                                <w:rPr>
                                  <w:rFonts w:asciiTheme="minorHAnsi" w:hAnsi="Calibri" w:cstheme="minorBidi"/>
                                  <w:b/>
                                  <w:bCs/>
                                  <w:color w:val="000000" w:themeColor="text1"/>
                                  <w:kern w:val="24"/>
                                  <w:sz w:val="16"/>
                                  <w:szCs w:val="28"/>
                                  <w:lang w:val="tr-TR"/>
                                </w:rPr>
                                <w:t xml:space="preserve">(SCD Önceliği 4: kamu varlıkları ve kaynakları) </w:t>
                              </w:r>
                            </w:p>
                            <w:p w14:paraId="10452DBC" w14:textId="77777777" w:rsidR="0010534D" w:rsidRPr="00CE6FFE" w:rsidRDefault="0010534D" w:rsidP="00D13886">
                              <w:pPr>
                                <w:pStyle w:val="NormalWeb"/>
                                <w:spacing w:before="0" w:beforeAutospacing="0" w:after="0" w:afterAutospacing="0"/>
                                <w:jc w:val="center"/>
                                <w:rPr>
                                  <w:sz w:val="14"/>
                                  <w:lang w:val="tr-TR"/>
                                </w:rPr>
                              </w:pPr>
                              <w:r w:rsidRPr="00CE6FFE">
                                <w:rPr>
                                  <w:rFonts w:asciiTheme="minorHAnsi" w:hAnsi="Calibri" w:cstheme="minorBidi"/>
                                  <w:color w:val="000000" w:themeColor="text1"/>
                                  <w:kern w:val="24"/>
                                  <w:sz w:val="16"/>
                                  <w:szCs w:val="28"/>
                                  <w:lang w:val="tr-TR"/>
                                </w:rPr>
                                <w:t>(UKP Amacı 3: yaşanabilir mekanlar, sürdürülebilir çevre)</w:t>
                              </w:r>
                            </w:p>
                          </w:txbxContent>
                        </wps:txbx>
                        <wps:bodyPr wrap="square" rtlCol="0">
                          <a:noAutofit/>
                        </wps:bodyPr>
                      </wps:wsp>
                      <wps:wsp>
                        <wps:cNvPr id="23" name="Metin kutusu 7"/>
                        <wps:cNvSpPr txBox="1"/>
                        <wps:spPr>
                          <a:xfrm>
                            <a:off x="0" y="638175"/>
                            <a:ext cx="1809750" cy="2592705"/>
                          </a:xfrm>
                          <a:prstGeom prst="rect">
                            <a:avLst/>
                          </a:prstGeom>
                          <a:solidFill>
                            <a:schemeClr val="bg1"/>
                          </a:solidFill>
                          <a:ln>
                            <a:solidFill>
                              <a:schemeClr val="accent1">
                                <a:lumMod val="50000"/>
                              </a:schemeClr>
                            </a:solidFill>
                          </a:ln>
                        </wps:spPr>
                        <wps:txbx>
                          <w:txbxContent>
                            <w:p w14:paraId="146DD994" w14:textId="0F611B7A" w:rsidR="0010534D" w:rsidRPr="00812F71" w:rsidRDefault="0010534D" w:rsidP="000E238C">
                              <w:pPr>
                                <w:pStyle w:val="NormalWeb"/>
                                <w:spacing w:before="0" w:beforeAutospacing="0" w:after="80" w:afterAutospacing="0"/>
                                <w:rPr>
                                  <w:sz w:val="17"/>
                                  <w:szCs w:val="17"/>
                                  <w:lang w:val="tr-TR"/>
                                </w:rPr>
                              </w:pPr>
                              <w:r w:rsidRPr="00812F71">
                                <w:rPr>
                                  <w:rFonts w:asciiTheme="minorHAnsi" w:hAnsi="Calibri" w:cstheme="minorBidi"/>
                                  <w:b/>
                                  <w:bCs/>
                                  <w:color w:val="1F4E79" w:themeColor="accent1" w:themeShade="80"/>
                                  <w:kern w:val="24"/>
                                  <w:sz w:val="17"/>
                                  <w:szCs w:val="17"/>
                                  <w:lang w:val="tr-TR"/>
                                </w:rPr>
                                <w:t>1. Makro-mali risklerin ortadan kaldırılması</w:t>
                              </w:r>
                              <w:r>
                                <w:rPr>
                                  <w:rFonts w:asciiTheme="minorHAnsi" w:hAnsi="Calibri" w:cstheme="minorBidi"/>
                                  <w:b/>
                                  <w:bCs/>
                                  <w:color w:val="1F4E79" w:themeColor="accent1" w:themeShade="80"/>
                                  <w:kern w:val="24"/>
                                  <w:sz w:val="17"/>
                                  <w:szCs w:val="17"/>
                                  <w:lang w:val="tr-TR"/>
                                </w:rPr>
                                <w:t xml:space="preserve">  </w:t>
                              </w:r>
                              <w:r w:rsidRPr="00812F71">
                                <w:rPr>
                                  <w:rFonts w:asciiTheme="minorHAnsi" w:hAnsi="Calibri" w:cstheme="minorBidi"/>
                                  <w:color w:val="000000" w:themeColor="text1"/>
                                  <w:kern w:val="24"/>
                                  <w:sz w:val="17"/>
                                  <w:szCs w:val="17"/>
                                  <w:lang w:val="tr-TR"/>
                                </w:rPr>
                                <w:t xml:space="preserve">(yurt içi tasarruflar, gelirler, harcamalar) </w:t>
                              </w:r>
                            </w:p>
                            <w:p w14:paraId="2203F1BC" w14:textId="00536188"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2. Finansal piyasaların geliştirilmesi</w:t>
                              </w:r>
                            </w:p>
                            <w:p w14:paraId="5D662369" w14:textId="4F18B6D8"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3. Düzenleyici ve denetleyici kurumların kalitesinin yükseltilmesi </w:t>
                              </w:r>
                            </w:p>
                            <w:p w14:paraId="022B6932" w14:textId="4A12AD05"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4. </w:t>
                              </w:r>
                              <w:r>
                                <w:rPr>
                                  <w:rFonts w:asciiTheme="minorHAnsi" w:hAnsi="Calibri" w:cstheme="minorBidi"/>
                                  <w:b/>
                                  <w:bCs/>
                                  <w:color w:val="1F4E79" w:themeColor="accent1" w:themeShade="80"/>
                                  <w:kern w:val="24"/>
                                  <w:sz w:val="17"/>
                                  <w:szCs w:val="17"/>
                                  <w:lang w:val="tr-TR"/>
                                </w:rPr>
                                <w:t>R</w:t>
                              </w:r>
                              <w:r w:rsidRPr="00812F71">
                                <w:rPr>
                                  <w:rFonts w:asciiTheme="minorHAnsi" w:hAnsi="Calibri" w:cstheme="minorBidi"/>
                                  <w:b/>
                                  <w:bCs/>
                                  <w:color w:val="1F4E79" w:themeColor="accent1" w:themeShade="80"/>
                                  <w:kern w:val="24"/>
                                  <w:sz w:val="17"/>
                                  <w:szCs w:val="17"/>
                                  <w:lang w:val="tr-TR"/>
                                </w:rPr>
                                <w:t xml:space="preserve">ekabet politikasının geliştirilmesi </w:t>
                              </w:r>
                            </w:p>
                            <w:p w14:paraId="1B974ED7" w14:textId="58C8F43B"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5. Kurumsal yönetişimin iyileştirilmesi</w:t>
                              </w:r>
                              <w:r>
                                <w:rPr>
                                  <w:rFonts w:asciiTheme="minorHAnsi" w:hAnsi="Calibri" w:cstheme="minorBidi"/>
                                  <w:b/>
                                  <w:bCs/>
                                  <w:color w:val="1F4E79" w:themeColor="accent1" w:themeShade="80"/>
                                  <w:kern w:val="24"/>
                                  <w:sz w:val="17"/>
                                  <w:szCs w:val="17"/>
                                  <w:lang w:val="tr-TR"/>
                                </w:rPr>
                                <w:t xml:space="preserve"> </w:t>
                              </w:r>
                              <w:r w:rsidRPr="00B26C81">
                                <w:rPr>
                                  <w:rFonts w:asciiTheme="minorHAnsi" w:hAnsi="Calibri" w:cstheme="minorBidi"/>
                                  <w:color w:val="000000" w:themeColor="text1"/>
                                  <w:kern w:val="24"/>
                                  <w:sz w:val="17"/>
                                  <w:szCs w:val="17"/>
                                  <w:lang w:val="tr-TR"/>
                                </w:rPr>
                                <w:t>(iş ortamı ve yatırım ortamı, üretkenlik artışı)</w:t>
                              </w:r>
                              <w:r>
                                <w:rPr>
                                  <w:rFonts w:asciiTheme="minorHAnsi" w:hAnsi="Calibri" w:cstheme="minorBidi"/>
                                  <w:b/>
                                  <w:bCs/>
                                  <w:color w:val="1F4E79" w:themeColor="accent1" w:themeShade="80"/>
                                  <w:kern w:val="24"/>
                                  <w:sz w:val="17"/>
                                  <w:szCs w:val="17"/>
                                  <w:lang w:val="tr-TR"/>
                                </w:rPr>
                                <w:t xml:space="preserve">  </w:t>
                              </w:r>
                              <w:r w:rsidRPr="00812F71">
                                <w:rPr>
                                  <w:rFonts w:asciiTheme="minorHAnsi" w:hAnsi="Calibri" w:cstheme="minorBidi"/>
                                  <w:b/>
                                  <w:bCs/>
                                  <w:color w:val="1F4E79" w:themeColor="accent1" w:themeShade="80"/>
                                  <w:kern w:val="24"/>
                                  <w:sz w:val="17"/>
                                  <w:szCs w:val="17"/>
                                  <w:lang w:val="tr-TR"/>
                                </w:rPr>
                                <w:t xml:space="preserve"> </w:t>
                              </w:r>
                            </w:p>
                            <w:p w14:paraId="61BED7E1" w14:textId="2E37699D"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6. Teknoloji emiliminin ve yenilikçiliğin arttırılması</w:t>
                              </w:r>
                              <w:r>
                                <w:rPr>
                                  <w:rFonts w:asciiTheme="minorHAnsi" w:hAnsi="Calibri" w:cstheme="minorBidi"/>
                                  <w:b/>
                                  <w:bCs/>
                                  <w:color w:val="1F4E79" w:themeColor="accent1" w:themeShade="80"/>
                                  <w:kern w:val="24"/>
                                  <w:sz w:val="17"/>
                                  <w:szCs w:val="17"/>
                                  <w:lang w:val="tr-TR"/>
                                </w:rPr>
                                <w:t xml:space="preserve"> </w:t>
                              </w:r>
                              <w:r w:rsidRPr="00AF5BC4">
                                <w:rPr>
                                  <w:rFonts w:asciiTheme="minorHAnsi" w:hAnsi="Calibri" w:cstheme="minorBidi"/>
                                  <w:color w:val="000000" w:themeColor="text1"/>
                                  <w:kern w:val="24"/>
                                  <w:sz w:val="17"/>
                                  <w:szCs w:val="17"/>
                                  <w:lang w:val="tr-TR"/>
                                </w:rPr>
                                <w:t>(teknoloji geliştirme)</w:t>
                              </w:r>
                              <w:r>
                                <w:rPr>
                                  <w:rFonts w:asciiTheme="minorHAnsi" w:hAnsi="Calibri" w:cstheme="minorBidi"/>
                                  <w:b/>
                                  <w:bCs/>
                                  <w:color w:val="1F4E79" w:themeColor="accent1" w:themeShade="80"/>
                                  <w:kern w:val="24"/>
                                  <w:sz w:val="17"/>
                                  <w:szCs w:val="17"/>
                                  <w:lang w:val="tr-TR"/>
                                </w:rPr>
                                <w:t xml:space="preserve"> </w:t>
                              </w:r>
                            </w:p>
                            <w:p w14:paraId="1B1B377C" w14:textId="36CFDFBF"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7. Doğu ve güneydoğudaki jeopolitik gerilimlerin ele alınması </w:t>
                              </w:r>
                            </w:p>
                            <w:p w14:paraId="5FC772C9" w14:textId="14F262C2"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8. Küçük ölçekli karma ürünlü tarımdan uzaklaşılarak ilerleme kaydedilmesi </w:t>
                              </w:r>
                            </w:p>
                          </w:txbxContent>
                        </wps:txbx>
                        <wps:bodyPr wrap="square" lIns="0" tIns="0" rIns="0" bIns="0" rtlCol="0">
                          <a:noAutofit/>
                        </wps:bodyPr>
                      </wps:wsp>
                      <wps:wsp>
                        <wps:cNvPr id="24" name="Metin kutusu 7"/>
                        <wps:cNvSpPr txBox="1"/>
                        <wps:spPr>
                          <a:xfrm>
                            <a:off x="2019300" y="628650"/>
                            <a:ext cx="1809750" cy="2592705"/>
                          </a:xfrm>
                          <a:prstGeom prst="rect">
                            <a:avLst/>
                          </a:prstGeom>
                          <a:solidFill>
                            <a:schemeClr val="bg1"/>
                          </a:solidFill>
                          <a:ln>
                            <a:solidFill>
                              <a:schemeClr val="accent1">
                                <a:lumMod val="50000"/>
                              </a:schemeClr>
                            </a:solidFill>
                          </a:ln>
                        </wps:spPr>
                        <wps:txbx>
                          <w:txbxContent>
                            <w:p w14:paraId="272D80B8" w14:textId="5B1B88C3" w:rsidR="0010534D" w:rsidRPr="00812F71" w:rsidRDefault="0010534D" w:rsidP="000E238C">
                              <w:pPr>
                                <w:spacing w:after="80"/>
                                <w:rPr>
                                  <w:sz w:val="17"/>
                                  <w:szCs w:val="17"/>
                                  <w:lang w:val="tr-TR"/>
                                </w:rPr>
                              </w:pPr>
                              <w:r>
                                <w:rPr>
                                  <w:rFonts w:asciiTheme="minorHAnsi" w:hAnsi="Calibri" w:cstheme="minorBidi"/>
                                  <w:b/>
                                  <w:bCs/>
                                  <w:color w:val="1F4E79" w:themeColor="accent1" w:themeShade="80"/>
                                  <w:kern w:val="24"/>
                                  <w:sz w:val="17"/>
                                  <w:szCs w:val="17"/>
                                  <w:lang w:val="tr-TR"/>
                                </w:rPr>
                                <w:t xml:space="preserve">9 </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Bölgesel farklılıkların ve yakınsama eksikliğinin giderilmesi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sağlıklı yaşam ve hareketlilik, sağlık endüstrilerinde dönüşüm)</w:t>
                              </w:r>
                              <w:r w:rsidRPr="00812F71">
                                <w:rPr>
                                  <w:rFonts w:asciiTheme="minorHAnsi" w:hAnsi="Calibri" w:cstheme="minorBidi"/>
                                  <w:color w:val="000000" w:themeColor="text1"/>
                                  <w:kern w:val="24"/>
                                  <w:sz w:val="17"/>
                                  <w:szCs w:val="17"/>
                                  <w:lang w:val="tr-TR"/>
                                </w:rPr>
                                <w:t xml:space="preserve"> </w:t>
                              </w:r>
                            </w:p>
                            <w:p w14:paraId="17AFCD84" w14:textId="79117D00" w:rsidR="0010534D" w:rsidRPr="00812F71" w:rsidRDefault="0010534D" w:rsidP="000E238C">
                              <w:pPr>
                                <w:spacing w:after="80"/>
                                <w:rPr>
                                  <w:rFonts w:asciiTheme="minorHAnsi" w:hAnsi="Calibri" w:cstheme="minorBidi"/>
                                  <w:b/>
                                  <w:bCs/>
                                  <w:color w:val="1F4E79" w:themeColor="accent1" w:themeShade="80"/>
                                  <w:kern w:val="24"/>
                                  <w:sz w:val="17"/>
                                  <w:szCs w:val="17"/>
                                  <w:lang w:val="tr-TR"/>
                                </w:rPr>
                              </w:pPr>
                              <w:r>
                                <w:rPr>
                                  <w:rFonts w:asciiTheme="minorHAnsi" w:hAnsi="Calibri" w:cstheme="minorBidi"/>
                                  <w:b/>
                                  <w:bCs/>
                                  <w:color w:val="1F4E79" w:themeColor="accent1" w:themeShade="80"/>
                                  <w:kern w:val="24"/>
                                  <w:sz w:val="17"/>
                                  <w:szCs w:val="17"/>
                                  <w:lang w:val="tr-TR"/>
                                </w:rPr>
                                <w:t>10</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Kadınların işgücüne katılımını narttırılması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işgücü piyasasının etkililiği)</w:t>
                              </w:r>
                            </w:p>
                            <w:p w14:paraId="4E6BFD0C" w14:textId="2284AE52" w:rsidR="0010534D" w:rsidRDefault="0010534D" w:rsidP="000E238C">
                              <w:pPr>
                                <w:spacing w:after="80"/>
                                <w:rPr>
                                  <w:rFonts w:asciiTheme="minorHAnsi" w:hAnsi="Calibri" w:cstheme="minorBidi"/>
                                  <w:color w:val="000000" w:themeColor="text1"/>
                                  <w:kern w:val="24"/>
                                  <w:sz w:val="17"/>
                                  <w:szCs w:val="17"/>
                                  <w:lang w:val="tr-TR"/>
                                </w:rPr>
                              </w:pPr>
                              <w:r>
                                <w:rPr>
                                  <w:rFonts w:asciiTheme="minorHAnsi" w:hAnsi="Calibri" w:cstheme="minorBidi"/>
                                  <w:b/>
                                  <w:bCs/>
                                  <w:color w:val="1F4E79" w:themeColor="accent1" w:themeShade="80"/>
                                  <w:kern w:val="24"/>
                                  <w:sz w:val="17"/>
                                  <w:szCs w:val="17"/>
                                  <w:lang w:val="tr-TR"/>
                                </w:rPr>
                                <w:t>11</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Eğitimde başarı seviyelerinin yükseltilmesi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temel ve mesleki becerilerin geliştirilmesi)</w:t>
                              </w:r>
                            </w:p>
                            <w:p w14:paraId="57204685" w14:textId="7DB774D3" w:rsidR="0010534D" w:rsidRPr="00812F71" w:rsidRDefault="0010534D" w:rsidP="000E238C">
                              <w:pPr>
                                <w:spacing w:after="80"/>
                                <w:rPr>
                                  <w:rFonts w:asciiTheme="minorHAnsi" w:hAnsi="Calibri" w:cstheme="minorBidi"/>
                                  <w:b/>
                                  <w:bCs/>
                                  <w:color w:val="1F4E79" w:themeColor="accent1" w:themeShade="80"/>
                                  <w:kern w:val="24"/>
                                  <w:sz w:val="17"/>
                                  <w:szCs w:val="17"/>
                                  <w:lang w:val="tr-TR"/>
                                </w:rPr>
                              </w:pP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yerel düzeyde kapasite geliştirme [4 no’lu SCD önceliği ile bağlantılı])</w:t>
                              </w:r>
                            </w:p>
                          </w:txbxContent>
                        </wps:txbx>
                        <wps:bodyPr wrap="square" lIns="0" tIns="0" rIns="0" bIns="0" rtlCol="0">
                          <a:noAutofit/>
                        </wps:bodyPr>
                      </wps:wsp>
                      <wps:wsp>
                        <wps:cNvPr id="25" name="Metin kutusu 7"/>
                        <wps:cNvSpPr txBox="1"/>
                        <wps:spPr>
                          <a:xfrm>
                            <a:off x="4038600" y="638175"/>
                            <a:ext cx="1809750" cy="2592705"/>
                          </a:xfrm>
                          <a:prstGeom prst="rect">
                            <a:avLst/>
                          </a:prstGeom>
                          <a:solidFill>
                            <a:schemeClr val="bg1"/>
                          </a:solidFill>
                          <a:ln>
                            <a:solidFill>
                              <a:schemeClr val="accent1">
                                <a:lumMod val="50000"/>
                              </a:schemeClr>
                            </a:solidFill>
                          </a:ln>
                        </wps:spPr>
                        <wps:txbx>
                          <w:txbxContent>
                            <w:p w14:paraId="360B8728" w14:textId="44EACB6B" w:rsidR="0010534D" w:rsidRPr="00812F71" w:rsidRDefault="0010534D" w:rsidP="000E238C">
                              <w:pPr>
                                <w:spacing w:after="80"/>
                                <w:rPr>
                                  <w:sz w:val="17"/>
                                  <w:szCs w:val="17"/>
                                  <w:lang w:val="tr-TR"/>
                                </w:rPr>
                              </w:pPr>
                              <w:r>
                                <w:rPr>
                                  <w:rFonts w:asciiTheme="minorHAnsi" w:hAnsi="Calibri" w:cstheme="minorBidi"/>
                                  <w:b/>
                                  <w:bCs/>
                                  <w:color w:val="1F4E79" w:themeColor="accent1" w:themeShade="80"/>
                                  <w:kern w:val="24"/>
                                  <w:sz w:val="17"/>
                                  <w:szCs w:val="17"/>
                                  <w:lang w:val="tr-TR"/>
                                </w:rPr>
                                <w:t>12</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Enerji tüketiminin GSYH artışı ile bağlantılandırılması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yerel kaynaklardan enerji tüketimi, enerji verimliliğinin arttırılması)</w:t>
                              </w:r>
                              <w:r w:rsidRPr="00812F71">
                                <w:rPr>
                                  <w:rFonts w:asciiTheme="minorHAnsi" w:hAnsi="Calibri" w:cstheme="minorBidi"/>
                                  <w:color w:val="000000" w:themeColor="text1"/>
                                  <w:kern w:val="24"/>
                                  <w:sz w:val="17"/>
                                  <w:szCs w:val="17"/>
                                  <w:lang w:val="tr-TR"/>
                                </w:rPr>
                                <w:t xml:space="preserve"> </w:t>
                              </w:r>
                            </w:p>
                            <w:p w14:paraId="734CDFD9" w14:textId="13154C43" w:rsidR="0010534D" w:rsidRPr="00812F71" w:rsidRDefault="0010534D" w:rsidP="000E238C">
                              <w:pPr>
                                <w:spacing w:after="80"/>
                                <w:rPr>
                                  <w:rFonts w:asciiTheme="minorHAnsi" w:hAnsi="Calibri" w:cstheme="minorBidi"/>
                                  <w:b/>
                                  <w:bCs/>
                                  <w:color w:val="1F4E79" w:themeColor="accent1" w:themeShade="80"/>
                                  <w:kern w:val="24"/>
                                  <w:sz w:val="17"/>
                                  <w:szCs w:val="17"/>
                                  <w:lang w:val="tr-TR"/>
                                </w:rPr>
                              </w:pPr>
                              <w:r>
                                <w:rPr>
                                  <w:rFonts w:asciiTheme="minorHAnsi" w:hAnsi="Calibri" w:cstheme="minorBidi"/>
                                  <w:b/>
                                  <w:bCs/>
                                  <w:color w:val="1F4E79" w:themeColor="accent1" w:themeShade="80"/>
                                  <w:kern w:val="24"/>
                                  <w:sz w:val="17"/>
                                  <w:szCs w:val="17"/>
                                  <w:lang w:val="tr-TR"/>
                                </w:rPr>
                                <w:t>13</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Kentsel gelişimin yönetilmesi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rekabet gücü ve sosyal uyum için kentsel yeniden gelişim, taşımacılıktan lojistiğe geçiş + yerel düzeyde kapasite geliştirme [UKP 2 no’lu amaç ile bağlantılı)</w:t>
                              </w:r>
                            </w:p>
                            <w:p w14:paraId="67346B43" w14:textId="3C296ECB" w:rsidR="0010534D" w:rsidRDefault="0010534D" w:rsidP="000E238C">
                              <w:pPr>
                                <w:spacing w:after="80"/>
                                <w:rPr>
                                  <w:rFonts w:asciiTheme="minorHAnsi" w:hAnsi="Calibri" w:cstheme="minorBidi"/>
                                  <w:color w:val="000000" w:themeColor="text1"/>
                                  <w:kern w:val="24"/>
                                  <w:sz w:val="17"/>
                                  <w:szCs w:val="17"/>
                                  <w:lang w:val="tr-TR"/>
                                </w:rPr>
                              </w:pPr>
                              <w:r>
                                <w:rPr>
                                  <w:rFonts w:asciiTheme="minorHAnsi" w:hAnsi="Calibri" w:cstheme="minorBidi"/>
                                  <w:b/>
                                  <w:bCs/>
                                  <w:color w:val="1F4E79" w:themeColor="accent1" w:themeShade="80"/>
                                  <w:kern w:val="24"/>
                                  <w:sz w:val="17"/>
                                  <w:szCs w:val="17"/>
                                  <w:lang w:val="tr-TR"/>
                                </w:rPr>
                                <w:t>14</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Su kıtlığının giderilmesi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tarımda suyun etkili kullanılması)</w:t>
                              </w:r>
                            </w:p>
                            <w:p w14:paraId="6103C4AD" w14:textId="6E4AC019" w:rsidR="0010534D" w:rsidRPr="00812F71" w:rsidRDefault="0010534D" w:rsidP="00616F55">
                              <w:pPr>
                                <w:spacing w:after="80"/>
                                <w:rPr>
                                  <w:rFonts w:asciiTheme="minorHAnsi" w:hAnsi="Calibri" w:cstheme="minorBidi"/>
                                  <w:b/>
                                  <w:bCs/>
                                  <w:color w:val="1F4E79" w:themeColor="accent1" w:themeShade="80"/>
                                  <w:kern w:val="24"/>
                                  <w:sz w:val="17"/>
                                  <w:szCs w:val="17"/>
                                  <w:lang w:val="tr-TR"/>
                                </w:rPr>
                              </w:pPr>
                              <w:r>
                                <w:rPr>
                                  <w:rFonts w:asciiTheme="minorHAnsi" w:hAnsi="Calibri" w:cstheme="minorBidi"/>
                                  <w:b/>
                                  <w:bCs/>
                                  <w:color w:val="1F4E79" w:themeColor="accent1" w:themeShade="80"/>
                                  <w:kern w:val="24"/>
                                  <w:sz w:val="17"/>
                                  <w:szCs w:val="17"/>
                                  <w:lang w:val="tr-TR"/>
                                </w:rPr>
                                <w:t>15</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Arazi yönetiminin iyileştirilmesi </w:t>
                              </w:r>
                            </w:p>
                          </w:txbxContent>
                        </wps:txbx>
                        <wps:bodyPr wrap="square" lIns="0" tIns="0" rIns="0" bIns="0" rtlCol="0">
                          <a:noAutofit/>
                        </wps:bodyPr>
                      </wps:wsp>
                    </wpg:wgp>
                  </a:graphicData>
                </a:graphic>
                <wp14:sizeRelV relativeFrom="margin">
                  <wp14:pctHeight>0</wp14:pctHeight>
                </wp14:sizeRelV>
              </wp:anchor>
            </w:drawing>
          </mc:Choice>
          <mc:Fallback xmlns:mv="urn:schemas-microsoft-com:mac:vml" xmlns:mo="http://schemas.microsoft.com/office/mac/office/2008/main">
            <w:pict>
              <v:group w14:anchorId="1B461042" id="Grup_x0020_26" o:spid="_x0000_s1026" style="position:absolute;margin-left:1.5pt;margin-top:18.9pt;width:460.5pt;height:254.4pt;z-index:251684864;mso-height-relative:margin" coordsize="5848350,3230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">
                <v:shapetype id="_x0000_t202" coordsize="21600,21600" o:spt="202" path="m0,0l0,21600,21600,21600,21600,0xe">
                  <v:stroke joinstyle="miter"/>
                  <v:path gradientshapeok="t" o:connecttype="rect"/>
                </v:shapetype>
                <v:shape id="Metin_x0020_kutusu_x0020_3" o:spid="_x0000_s1027" type="#_x0000_t202" style="position:absolute;top:9525;width:1809750;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5r9wgAA&#10;ANsAAAAPAAAAZHJzL2Rvd25yZXYueG1sRE/JasMwEL0X+g9iCrmURkoOpnUjmxASaG7NQsG3wRov&#10;xBo5lho7f18dAj0+3r7KJ9uJGw2+daxhMVcgiEtnWq41nE+7t3cQPiAb7ByThjt5yLPnpxWmxo18&#10;oNsx1CKGsE9RQxNCn0rpy4Ys+rnriSNXucFiiHCopRlwjOG2k0ulEmmx5djQYE+bhsrL8ddqqF7V&#10;z75Q2/21Ct/u9FEkxZhctZ69TOtPEIGm8C9+uL+MhmVcH7/EHy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nmv3CAAAA2wAAAA8AAAAAAAAAAAAAAAAAlwIAAGRycy9kb3du&#10;cmV2LnhtbFBLBQYAAAAABAAEAPUAAACGAwAAAAA=&#10;" fillcolor="#acb9ca [1311]" stroked="f">
                  <v:textbox inset="0,0,0,0">
                    <w:txbxContent>
                      <w:p w14:paraId="6348FB70" w14:textId="77777777" w:rsidR="0010534D" w:rsidRPr="003D0466" w:rsidRDefault="0010534D" w:rsidP="00492794">
                        <w:pPr>
                          <w:pStyle w:val="NormalWeb"/>
                          <w:spacing w:before="0" w:beforeAutospacing="0" w:after="0" w:afterAutospacing="0"/>
                          <w:jc w:val="center"/>
                          <w:rPr>
                            <w:sz w:val="14"/>
                            <w:lang w:val="tr-TR"/>
                          </w:rPr>
                        </w:pPr>
                        <w:r w:rsidRPr="003D0466">
                          <w:rPr>
                            <w:rFonts w:asciiTheme="minorHAnsi" w:hAnsi="Calibri" w:cstheme="minorBidi"/>
                            <w:b/>
                            <w:bCs/>
                            <w:color w:val="000000" w:themeColor="text1"/>
                            <w:kern w:val="24"/>
                            <w:sz w:val="20"/>
                            <w:szCs w:val="36"/>
                            <w:u w:val="single"/>
                            <w:lang w:val="tr-TR"/>
                          </w:rPr>
                          <w:t>Büyüme</w:t>
                        </w:r>
                      </w:p>
                      <w:p w14:paraId="01E2F160" w14:textId="77777777" w:rsidR="0010534D" w:rsidRPr="003D0466" w:rsidRDefault="0010534D" w:rsidP="00492794">
                        <w:pPr>
                          <w:pStyle w:val="NormalWeb"/>
                          <w:spacing w:before="0" w:beforeAutospacing="0" w:after="0" w:afterAutospacing="0"/>
                          <w:jc w:val="center"/>
                          <w:rPr>
                            <w:sz w:val="14"/>
                            <w:lang w:val="tr-TR"/>
                          </w:rPr>
                        </w:pPr>
                        <w:r w:rsidRPr="003D0466">
                          <w:rPr>
                            <w:rFonts w:asciiTheme="minorHAnsi" w:hAnsi="Calibri" w:cstheme="minorBidi"/>
                            <w:b/>
                            <w:bCs/>
                            <w:color w:val="000000" w:themeColor="text1"/>
                            <w:kern w:val="24"/>
                            <w:sz w:val="16"/>
                            <w:szCs w:val="28"/>
                            <w:lang w:val="tr-TR"/>
                          </w:rPr>
                          <w:t xml:space="preserve">(SCD Öncelikleri 1 ve 2: sağlam temeller, dinamik şirketler) </w:t>
                        </w:r>
                      </w:p>
                      <w:p w14:paraId="7A52A2C0" w14:textId="77777777" w:rsidR="0010534D" w:rsidRPr="003D0466" w:rsidRDefault="0010534D" w:rsidP="00492794">
                        <w:pPr>
                          <w:pStyle w:val="NormalWeb"/>
                          <w:spacing w:before="0" w:beforeAutospacing="0" w:after="0" w:afterAutospacing="0"/>
                          <w:jc w:val="center"/>
                          <w:rPr>
                            <w:sz w:val="14"/>
                            <w:lang w:val="tr-TR"/>
                          </w:rPr>
                        </w:pPr>
                        <w:r w:rsidRPr="003D0466">
                          <w:rPr>
                            <w:rFonts w:asciiTheme="minorHAnsi" w:hAnsi="Calibri" w:cstheme="minorBidi"/>
                            <w:color w:val="000000" w:themeColor="text1"/>
                            <w:kern w:val="24"/>
                            <w:sz w:val="16"/>
                            <w:szCs w:val="28"/>
                            <w:lang w:val="tr-TR"/>
                          </w:rPr>
                          <w:t xml:space="preserve">(UKP Amacı 1: yenilikçi üretim, istikrarlı yüksek büyüme) </w:t>
                        </w:r>
                      </w:p>
                    </w:txbxContent>
                  </v:textbox>
                </v:shape>
                <v:shape id="Metin_x0020_kutusu_x0020_4" o:spid="_x0000_s1028" type="#_x0000_t202" style="position:absolute;left:2028825;top:9525;width:1781175;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z9mxQAA&#10;ANsAAAAPAAAAZHJzL2Rvd25yZXYueG1sRI/NawIxFMTvgv9DeIIXqYkelro1ShELeqsfCHt7bN5+&#10;0M3Luknd7X/fFIQeh5n5DbPeDrYRD+p87VjDYq5AEOfO1FxquF4+Xl5B+IBssHFMGn7Iw3YzHq0x&#10;Na7nEz3OoRQRwj5FDVUIbSqlzyuy6OeuJY5e4TqLIcqulKbDPsJtI5dKJdJizXGhwpZ2FeVf52+r&#10;oZip2zFT++O9CJ/ussqSrE/uWk8nw/sbiEBD+A8/2wejYbmA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rP2bFAAAA2wAAAA8AAAAAAAAAAAAAAAAAlwIAAGRycy9k&#10;b3ducmV2LnhtbFBLBQYAAAAABAAEAPUAAACJAwAAAAA=&#10;" fillcolor="#acb9ca [1311]" stroked="f">
                  <v:textbox inset="0,0,0,0">
                    <w:txbxContent>
                      <w:p w14:paraId="7700F5AD" w14:textId="77777777" w:rsidR="0010534D" w:rsidRPr="00CE6FFE" w:rsidRDefault="0010534D" w:rsidP="00D13886">
                        <w:pPr>
                          <w:pStyle w:val="NormalWeb"/>
                          <w:spacing w:before="0" w:beforeAutospacing="0" w:after="0" w:afterAutospacing="0"/>
                          <w:jc w:val="center"/>
                          <w:rPr>
                            <w:sz w:val="20"/>
                            <w:szCs w:val="20"/>
                            <w:lang w:val="tr-TR"/>
                          </w:rPr>
                        </w:pPr>
                        <w:r w:rsidRPr="00CE6FFE">
                          <w:rPr>
                            <w:rFonts w:asciiTheme="minorHAnsi" w:hAnsi="Calibri" w:cstheme="minorBidi"/>
                            <w:b/>
                            <w:bCs/>
                            <w:color w:val="000000" w:themeColor="text1"/>
                            <w:kern w:val="24"/>
                            <w:sz w:val="20"/>
                            <w:szCs w:val="20"/>
                            <w:u w:val="single"/>
                            <w:lang w:val="tr-TR"/>
                          </w:rPr>
                          <w:t>Kapsama</w:t>
                        </w:r>
                      </w:p>
                      <w:p w14:paraId="7ADDE894" w14:textId="77777777" w:rsidR="0010534D" w:rsidRPr="00CE6FFE" w:rsidRDefault="0010534D" w:rsidP="00D13886">
                        <w:pPr>
                          <w:pStyle w:val="NormalWeb"/>
                          <w:spacing w:before="0" w:beforeAutospacing="0" w:after="0" w:afterAutospacing="0"/>
                          <w:jc w:val="center"/>
                          <w:rPr>
                            <w:sz w:val="16"/>
                            <w:szCs w:val="16"/>
                            <w:lang w:val="tr-TR"/>
                          </w:rPr>
                        </w:pPr>
                        <w:r w:rsidRPr="00CE6FFE">
                          <w:rPr>
                            <w:rFonts w:asciiTheme="minorHAnsi" w:hAnsi="Calibri" w:cstheme="minorBidi"/>
                            <w:b/>
                            <w:bCs/>
                            <w:color w:val="000000" w:themeColor="text1"/>
                            <w:kern w:val="24"/>
                            <w:sz w:val="18"/>
                            <w:szCs w:val="28"/>
                            <w:lang w:val="tr-TR"/>
                          </w:rPr>
                          <w:t>(</w:t>
                        </w:r>
                        <w:r w:rsidRPr="00CE6FFE">
                          <w:rPr>
                            <w:rFonts w:asciiTheme="minorHAnsi" w:hAnsi="Calibri" w:cstheme="minorBidi"/>
                            <w:b/>
                            <w:bCs/>
                            <w:color w:val="000000" w:themeColor="text1"/>
                            <w:kern w:val="24"/>
                            <w:sz w:val="16"/>
                            <w:szCs w:val="16"/>
                            <w:lang w:val="tr-TR"/>
                          </w:rPr>
                          <w:t xml:space="preserve">SCD Önceliği 3: üretken bireyler) </w:t>
                        </w:r>
                      </w:p>
                      <w:p w14:paraId="2E3063FD" w14:textId="77777777" w:rsidR="0010534D" w:rsidRPr="00CE6FFE" w:rsidRDefault="0010534D" w:rsidP="00D13886">
                        <w:pPr>
                          <w:pStyle w:val="NormalWeb"/>
                          <w:spacing w:before="0" w:beforeAutospacing="0" w:after="0" w:afterAutospacing="0"/>
                          <w:jc w:val="center"/>
                          <w:rPr>
                            <w:sz w:val="16"/>
                            <w:szCs w:val="16"/>
                            <w:lang w:val="tr-TR"/>
                          </w:rPr>
                        </w:pPr>
                        <w:r w:rsidRPr="00CE6FFE">
                          <w:rPr>
                            <w:rFonts w:asciiTheme="minorHAnsi" w:hAnsi="Calibri" w:cstheme="minorBidi"/>
                            <w:color w:val="000000" w:themeColor="text1"/>
                            <w:kern w:val="24"/>
                            <w:sz w:val="16"/>
                            <w:szCs w:val="16"/>
                            <w:lang w:val="tr-TR"/>
                          </w:rPr>
                          <w:t xml:space="preserve">(UKP Amacı 2: nitelikli bireyler, güçlü toplum) </w:t>
                        </w:r>
                      </w:p>
                    </w:txbxContent>
                  </v:textbox>
                </v:shape>
                <v:shape id="Metin_x0020_kutusu_x0020_5" o:spid="_x0000_s1029" type="#_x0000_t202" style="position:absolute;left:4038600;width:1800225;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OhAxgAA&#10;ANsAAAAPAAAAZHJzL2Rvd25yZXYueG1sRI9Pa8JAFMTvQr/D8gpepNkYsJToKlXoH1EPjV68PbLP&#10;JDX7NmTXGPvpu0Khx2FmfsPMFr2pRUetqywrGEcxCOLc6ooLBYf929MLCOeRNdaWScGNHCzmD4MZ&#10;ptpe+Yu6zBciQNilqKD0vkmldHlJBl1kG+LgnWxr0AfZFlK3eA1wU8skjp+lwYrDQokNrUrKz9nF&#10;KBhtd9Rny+7743112+yWdFxPfo5KDR/71ykIT73/D/+1P7WCJIH7l/AD5P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lOhAxgAAANsAAAAPAAAAAAAAAAAAAAAAAJcCAABkcnMv&#10;ZG93bnJldi54bWxQSwUGAAAAAAQABAD1AAAAigMAAAAA&#10;" fillcolor="#acb9ca [1311]" stroked="f">
                  <v:textbox>
                    <w:txbxContent>
                      <w:p w14:paraId="3935116D" w14:textId="77777777" w:rsidR="0010534D" w:rsidRPr="00CE6FFE" w:rsidRDefault="0010534D" w:rsidP="00D13886">
                        <w:pPr>
                          <w:pStyle w:val="NormalWeb"/>
                          <w:spacing w:before="0" w:beforeAutospacing="0" w:after="0" w:afterAutospacing="0"/>
                          <w:jc w:val="center"/>
                          <w:rPr>
                            <w:sz w:val="14"/>
                            <w:lang w:val="tr-TR"/>
                          </w:rPr>
                        </w:pPr>
                        <w:r w:rsidRPr="00CE6FFE">
                          <w:rPr>
                            <w:rFonts w:asciiTheme="minorHAnsi" w:hAnsi="Calibri" w:cstheme="minorBidi"/>
                            <w:b/>
                            <w:bCs/>
                            <w:color w:val="000000" w:themeColor="text1"/>
                            <w:kern w:val="24"/>
                            <w:sz w:val="20"/>
                            <w:szCs w:val="36"/>
                            <w:u w:val="single"/>
                            <w:lang w:val="tr-TR"/>
                          </w:rPr>
                          <w:t>Sürdürülebilirlik</w:t>
                        </w:r>
                      </w:p>
                      <w:p w14:paraId="43EA582A" w14:textId="77777777" w:rsidR="0010534D" w:rsidRPr="00CE6FFE" w:rsidRDefault="0010534D" w:rsidP="00D13886">
                        <w:pPr>
                          <w:pStyle w:val="NormalWeb"/>
                          <w:spacing w:before="0" w:beforeAutospacing="0" w:after="0" w:afterAutospacing="0"/>
                          <w:jc w:val="center"/>
                          <w:rPr>
                            <w:sz w:val="14"/>
                            <w:lang w:val="tr-TR"/>
                          </w:rPr>
                        </w:pPr>
                        <w:r w:rsidRPr="00CE6FFE">
                          <w:rPr>
                            <w:rFonts w:asciiTheme="minorHAnsi" w:hAnsi="Calibri" w:cstheme="minorBidi"/>
                            <w:b/>
                            <w:bCs/>
                            <w:color w:val="000000" w:themeColor="text1"/>
                            <w:kern w:val="24"/>
                            <w:sz w:val="16"/>
                            <w:szCs w:val="28"/>
                            <w:lang w:val="tr-TR"/>
                          </w:rPr>
                          <w:t xml:space="preserve">(SCD Önceliği 4: kamu varlıkları ve kaynakları) </w:t>
                        </w:r>
                      </w:p>
                      <w:p w14:paraId="10452DBC" w14:textId="77777777" w:rsidR="0010534D" w:rsidRPr="00CE6FFE" w:rsidRDefault="0010534D" w:rsidP="00D13886">
                        <w:pPr>
                          <w:pStyle w:val="NormalWeb"/>
                          <w:spacing w:before="0" w:beforeAutospacing="0" w:after="0" w:afterAutospacing="0"/>
                          <w:jc w:val="center"/>
                          <w:rPr>
                            <w:sz w:val="14"/>
                            <w:lang w:val="tr-TR"/>
                          </w:rPr>
                        </w:pPr>
                        <w:r w:rsidRPr="00CE6FFE">
                          <w:rPr>
                            <w:rFonts w:asciiTheme="minorHAnsi" w:hAnsi="Calibri" w:cstheme="minorBidi"/>
                            <w:color w:val="000000" w:themeColor="text1"/>
                            <w:kern w:val="24"/>
                            <w:sz w:val="16"/>
                            <w:szCs w:val="28"/>
                            <w:lang w:val="tr-TR"/>
                          </w:rPr>
                          <w:t>(UKP Amacı 3: yaşanabilir mekanlar, sürdürülebilir çevre)</w:t>
                        </w:r>
                      </w:p>
                    </w:txbxContent>
                  </v:textbox>
                </v:shape>
                <v:shape id="Metin_x0020_kutusu_x0020_7" o:spid="_x0000_s1030" type="#_x0000_t202" style="position:absolute;top:638175;width:1809750;height:2592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u7wwAA&#10;ANsAAAAPAAAAZHJzL2Rvd25yZXYueG1sRI9BawIxFITvBf9DeEJvNXEFka1RtLRYvKmF9vjYPDfr&#10;bl7CJtXtv28KBY/DzHzDLNeD68SV+th41jCdKBDElTcN1xo+Tm9PCxAxIRvsPJOGH4qwXo0ellga&#10;f+MDXY+pFhnCsUQNNqVQShkrSw7jxAfi7J197zBl2dfS9HjLcNfJQqm5dNhwXrAY6MVS1R6/nYbX&#10;UB2sIrXfuq8iXKb7z3nb7rR+HA+bZxCJhnQP/7ffjYZiBn9f8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h/u7wwAAANsAAAAPAAAAAAAAAAAAAAAAAJcCAABkcnMvZG93&#10;bnJldi54bWxQSwUGAAAAAAQABAD1AAAAhwMAAAAA&#10;" fillcolor="white [3212]" strokecolor="#1f4d78 [1604]">
                  <v:textbox inset="0,0,0,0">
                    <w:txbxContent>
                      <w:p w14:paraId="146DD994" w14:textId="0F611B7A" w:rsidR="0010534D" w:rsidRPr="00812F71" w:rsidRDefault="0010534D" w:rsidP="000E238C">
                        <w:pPr>
                          <w:pStyle w:val="NormalWeb"/>
                          <w:spacing w:before="0" w:beforeAutospacing="0" w:after="80" w:afterAutospacing="0"/>
                          <w:rPr>
                            <w:sz w:val="17"/>
                            <w:szCs w:val="17"/>
                            <w:lang w:val="tr-TR"/>
                          </w:rPr>
                        </w:pPr>
                        <w:r w:rsidRPr="00812F71">
                          <w:rPr>
                            <w:rFonts w:asciiTheme="minorHAnsi" w:hAnsi="Calibri" w:cstheme="minorBidi"/>
                            <w:b/>
                            <w:bCs/>
                            <w:color w:val="1F4E79" w:themeColor="accent1" w:themeShade="80"/>
                            <w:kern w:val="24"/>
                            <w:sz w:val="17"/>
                            <w:szCs w:val="17"/>
                            <w:lang w:val="tr-TR"/>
                          </w:rPr>
                          <w:t>1. Makro-mali risklerin ortadan kaldırılması</w:t>
                        </w:r>
                        <w:r>
                          <w:rPr>
                            <w:rFonts w:asciiTheme="minorHAnsi" w:hAnsi="Calibri" w:cstheme="minorBidi"/>
                            <w:b/>
                            <w:bCs/>
                            <w:color w:val="1F4E79" w:themeColor="accent1" w:themeShade="80"/>
                            <w:kern w:val="24"/>
                            <w:sz w:val="17"/>
                            <w:szCs w:val="17"/>
                            <w:lang w:val="tr-TR"/>
                          </w:rPr>
                          <w:t xml:space="preserve">  </w:t>
                        </w:r>
                        <w:r w:rsidRPr="00812F71">
                          <w:rPr>
                            <w:rFonts w:asciiTheme="minorHAnsi" w:hAnsi="Calibri" w:cstheme="minorBidi"/>
                            <w:color w:val="000000" w:themeColor="text1"/>
                            <w:kern w:val="24"/>
                            <w:sz w:val="17"/>
                            <w:szCs w:val="17"/>
                            <w:lang w:val="tr-TR"/>
                          </w:rPr>
                          <w:t xml:space="preserve">(yurt içi tasarruflar, gelirler, harcamalar) </w:t>
                        </w:r>
                      </w:p>
                      <w:p w14:paraId="2203F1BC" w14:textId="00536188"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2. Finansal piyasaların geliştirilmesi</w:t>
                        </w:r>
                      </w:p>
                      <w:p w14:paraId="5D662369" w14:textId="4F18B6D8"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3. Düzenleyici ve denetleyici kurumların kalitesinin yükseltilmesi </w:t>
                        </w:r>
                      </w:p>
                      <w:p w14:paraId="022B6932" w14:textId="4A12AD05"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4. </w:t>
                        </w:r>
                        <w:r>
                          <w:rPr>
                            <w:rFonts w:asciiTheme="minorHAnsi" w:hAnsi="Calibri" w:cstheme="minorBidi"/>
                            <w:b/>
                            <w:bCs/>
                            <w:color w:val="1F4E79" w:themeColor="accent1" w:themeShade="80"/>
                            <w:kern w:val="24"/>
                            <w:sz w:val="17"/>
                            <w:szCs w:val="17"/>
                            <w:lang w:val="tr-TR"/>
                          </w:rPr>
                          <w:t>R</w:t>
                        </w:r>
                        <w:r w:rsidRPr="00812F71">
                          <w:rPr>
                            <w:rFonts w:asciiTheme="minorHAnsi" w:hAnsi="Calibri" w:cstheme="minorBidi"/>
                            <w:b/>
                            <w:bCs/>
                            <w:color w:val="1F4E79" w:themeColor="accent1" w:themeShade="80"/>
                            <w:kern w:val="24"/>
                            <w:sz w:val="17"/>
                            <w:szCs w:val="17"/>
                            <w:lang w:val="tr-TR"/>
                          </w:rPr>
                          <w:t xml:space="preserve">ekabet politikasının geliştirilmesi </w:t>
                        </w:r>
                      </w:p>
                      <w:p w14:paraId="1B974ED7" w14:textId="58C8F43B"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5. Kurumsal yönetişimin iyileştirilmesi</w:t>
                        </w:r>
                        <w:r>
                          <w:rPr>
                            <w:rFonts w:asciiTheme="minorHAnsi" w:hAnsi="Calibri" w:cstheme="minorBidi"/>
                            <w:b/>
                            <w:bCs/>
                            <w:color w:val="1F4E79" w:themeColor="accent1" w:themeShade="80"/>
                            <w:kern w:val="24"/>
                            <w:sz w:val="17"/>
                            <w:szCs w:val="17"/>
                            <w:lang w:val="tr-TR"/>
                          </w:rPr>
                          <w:t xml:space="preserve"> </w:t>
                        </w:r>
                        <w:r w:rsidRPr="00B26C81">
                          <w:rPr>
                            <w:rFonts w:asciiTheme="minorHAnsi" w:hAnsi="Calibri" w:cstheme="minorBidi"/>
                            <w:color w:val="000000" w:themeColor="text1"/>
                            <w:kern w:val="24"/>
                            <w:sz w:val="17"/>
                            <w:szCs w:val="17"/>
                            <w:lang w:val="tr-TR"/>
                          </w:rPr>
                          <w:t>(iş ortamı ve yatırım ortamı, üretkenlik artışı)</w:t>
                        </w:r>
                        <w:r>
                          <w:rPr>
                            <w:rFonts w:asciiTheme="minorHAnsi" w:hAnsi="Calibri" w:cstheme="minorBidi"/>
                            <w:b/>
                            <w:bCs/>
                            <w:color w:val="1F4E79" w:themeColor="accent1" w:themeShade="80"/>
                            <w:kern w:val="24"/>
                            <w:sz w:val="17"/>
                            <w:szCs w:val="17"/>
                            <w:lang w:val="tr-TR"/>
                          </w:rPr>
                          <w:t xml:space="preserve">  </w:t>
                        </w:r>
                        <w:r w:rsidRPr="00812F71">
                          <w:rPr>
                            <w:rFonts w:asciiTheme="minorHAnsi" w:hAnsi="Calibri" w:cstheme="minorBidi"/>
                            <w:b/>
                            <w:bCs/>
                            <w:color w:val="1F4E79" w:themeColor="accent1" w:themeShade="80"/>
                            <w:kern w:val="24"/>
                            <w:sz w:val="17"/>
                            <w:szCs w:val="17"/>
                            <w:lang w:val="tr-TR"/>
                          </w:rPr>
                          <w:t xml:space="preserve"> </w:t>
                        </w:r>
                      </w:p>
                      <w:p w14:paraId="61BED7E1" w14:textId="2E37699D"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6. Teknoloji emiliminin ve yenilikçiliğin arttırılması</w:t>
                        </w:r>
                        <w:r>
                          <w:rPr>
                            <w:rFonts w:asciiTheme="minorHAnsi" w:hAnsi="Calibri" w:cstheme="minorBidi"/>
                            <w:b/>
                            <w:bCs/>
                            <w:color w:val="1F4E79" w:themeColor="accent1" w:themeShade="80"/>
                            <w:kern w:val="24"/>
                            <w:sz w:val="17"/>
                            <w:szCs w:val="17"/>
                            <w:lang w:val="tr-TR"/>
                          </w:rPr>
                          <w:t xml:space="preserve"> </w:t>
                        </w:r>
                        <w:r w:rsidRPr="00AF5BC4">
                          <w:rPr>
                            <w:rFonts w:asciiTheme="minorHAnsi" w:hAnsi="Calibri" w:cstheme="minorBidi"/>
                            <w:color w:val="000000" w:themeColor="text1"/>
                            <w:kern w:val="24"/>
                            <w:sz w:val="17"/>
                            <w:szCs w:val="17"/>
                            <w:lang w:val="tr-TR"/>
                          </w:rPr>
                          <w:t>(teknoloji geliştirme)</w:t>
                        </w:r>
                        <w:r>
                          <w:rPr>
                            <w:rFonts w:asciiTheme="minorHAnsi" w:hAnsi="Calibri" w:cstheme="minorBidi"/>
                            <w:b/>
                            <w:bCs/>
                            <w:color w:val="1F4E79" w:themeColor="accent1" w:themeShade="80"/>
                            <w:kern w:val="24"/>
                            <w:sz w:val="17"/>
                            <w:szCs w:val="17"/>
                            <w:lang w:val="tr-TR"/>
                          </w:rPr>
                          <w:t xml:space="preserve"> </w:t>
                        </w:r>
                      </w:p>
                      <w:p w14:paraId="1B1B377C" w14:textId="36CFDFBF"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7. Doğu ve güneydoğudaki jeopolitik gerilimlerin ele alınması </w:t>
                        </w:r>
                      </w:p>
                      <w:p w14:paraId="5FC772C9" w14:textId="14F262C2" w:rsidR="0010534D" w:rsidRPr="00812F71" w:rsidRDefault="0010534D" w:rsidP="000E238C">
                        <w:pPr>
                          <w:pStyle w:val="NormalWeb"/>
                          <w:spacing w:before="0" w:beforeAutospacing="0" w:after="80" w:afterAutospacing="0"/>
                          <w:rPr>
                            <w:rFonts w:asciiTheme="minorHAnsi" w:hAnsi="Calibri" w:cstheme="minorBidi"/>
                            <w:b/>
                            <w:bCs/>
                            <w:color w:val="1F4E79" w:themeColor="accent1" w:themeShade="80"/>
                            <w:kern w:val="24"/>
                            <w:sz w:val="17"/>
                            <w:szCs w:val="17"/>
                            <w:lang w:val="tr-TR"/>
                          </w:rPr>
                        </w:pPr>
                        <w:r w:rsidRPr="00812F71">
                          <w:rPr>
                            <w:rFonts w:asciiTheme="minorHAnsi" w:hAnsi="Calibri" w:cstheme="minorBidi"/>
                            <w:b/>
                            <w:bCs/>
                            <w:color w:val="1F4E79" w:themeColor="accent1" w:themeShade="80"/>
                            <w:kern w:val="24"/>
                            <w:sz w:val="17"/>
                            <w:szCs w:val="17"/>
                            <w:lang w:val="tr-TR"/>
                          </w:rPr>
                          <w:t xml:space="preserve">8. Küçük ölçekli karma ürünlü tarımdan uzaklaşılarak ilerleme kaydedilmesi </w:t>
                        </w:r>
                      </w:p>
                    </w:txbxContent>
                  </v:textbox>
                </v:shape>
                <v:shape id="Metin_x0020_kutusu_x0020_7" o:spid="_x0000_s1031" type="#_x0000_t202" style="position:absolute;left:2019300;top:628650;width:1809750;height:2592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mPPwwAA&#10;ANsAAAAPAAAAZHJzL2Rvd25yZXYueG1sRI9BawIxFITvBf9DeEJvNXERka1RtLRYvKmF9vjYPDfr&#10;bl7CJtXtv28KBY/DzHzDLNeD68SV+th41jCdKBDElTcN1xo+Tm9PCxAxIRvsPJOGH4qwXo0ellga&#10;f+MDXY+pFhnCsUQNNqVQShkrSw7jxAfi7J197zBl2dfS9HjLcNfJQqm5dNhwXrAY6MVS1R6/nYbX&#10;UB2sIrXfuq8iXKb7z3nb7rR+HA+bZxCJhnQP/7ffjYZiBn9f8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bmPPwwAAANsAAAAPAAAAAAAAAAAAAAAAAJcCAABkcnMvZG93&#10;bnJldi54bWxQSwUGAAAAAAQABAD1AAAAhwMAAAAA&#10;" fillcolor="white [3212]" strokecolor="#1f4d78 [1604]">
                  <v:textbox inset="0,0,0,0">
                    <w:txbxContent>
                      <w:p w14:paraId="272D80B8" w14:textId="5B1B88C3" w:rsidR="0010534D" w:rsidRPr="00812F71" w:rsidRDefault="0010534D" w:rsidP="000E238C">
                        <w:pPr>
                          <w:spacing w:after="80"/>
                          <w:rPr>
                            <w:sz w:val="17"/>
                            <w:szCs w:val="17"/>
                            <w:lang w:val="tr-TR"/>
                          </w:rPr>
                        </w:pPr>
                        <w:r>
                          <w:rPr>
                            <w:rFonts w:asciiTheme="minorHAnsi" w:hAnsi="Calibri" w:cstheme="minorBidi"/>
                            <w:b/>
                            <w:bCs/>
                            <w:color w:val="1F4E79" w:themeColor="accent1" w:themeShade="80"/>
                            <w:kern w:val="24"/>
                            <w:sz w:val="17"/>
                            <w:szCs w:val="17"/>
                            <w:lang w:val="tr-TR"/>
                          </w:rPr>
                          <w:t xml:space="preserve">9 </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Bölgesel farklılıkların ve yakınsama eksikliğinin giderilmesi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sağlıklı yaşam ve hareketlilik, sağlık endüstrilerinde dönüşüm)</w:t>
                        </w:r>
                        <w:r w:rsidRPr="00812F71">
                          <w:rPr>
                            <w:rFonts w:asciiTheme="minorHAnsi" w:hAnsi="Calibri" w:cstheme="minorBidi"/>
                            <w:color w:val="000000" w:themeColor="text1"/>
                            <w:kern w:val="24"/>
                            <w:sz w:val="17"/>
                            <w:szCs w:val="17"/>
                            <w:lang w:val="tr-TR"/>
                          </w:rPr>
                          <w:t xml:space="preserve"> </w:t>
                        </w:r>
                      </w:p>
                      <w:p w14:paraId="17AFCD84" w14:textId="79117D00" w:rsidR="0010534D" w:rsidRPr="00812F71" w:rsidRDefault="0010534D" w:rsidP="000E238C">
                        <w:pPr>
                          <w:spacing w:after="80"/>
                          <w:rPr>
                            <w:rFonts w:asciiTheme="minorHAnsi" w:hAnsi="Calibri" w:cstheme="minorBidi"/>
                            <w:b/>
                            <w:bCs/>
                            <w:color w:val="1F4E79" w:themeColor="accent1" w:themeShade="80"/>
                            <w:kern w:val="24"/>
                            <w:sz w:val="17"/>
                            <w:szCs w:val="17"/>
                            <w:lang w:val="tr-TR"/>
                          </w:rPr>
                        </w:pPr>
                        <w:r>
                          <w:rPr>
                            <w:rFonts w:asciiTheme="minorHAnsi" w:hAnsi="Calibri" w:cstheme="minorBidi"/>
                            <w:b/>
                            <w:bCs/>
                            <w:color w:val="1F4E79" w:themeColor="accent1" w:themeShade="80"/>
                            <w:kern w:val="24"/>
                            <w:sz w:val="17"/>
                            <w:szCs w:val="17"/>
                            <w:lang w:val="tr-TR"/>
                          </w:rPr>
                          <w:t>10</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Kadınların işgücüne katılımını narttırılması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işgücü piyasasının etkililiği)</w:t>
                        </w:r>
                      </w:p>
                      <w:p w14:paraId="4E6BFD0C" w14:textId="2284AE52" w:rsidR="0010534D" w:rsidRDefault="0010534D" w:rsidP="000E238C">
                        <w:pPr>
                          <w:spacing w:after="80"/>
                          <w:rPr>
                            <w:rFonts w:asciiTheme="minorHAnsi" w:hAnsi="Calibri" w:cstheme="minorBidi"/>
                            <w:color w:val="000000" w:themeColor="text1"/>
                            <w:kern w:val="24"/>
                            <w:sz w:val="17"/>
                            <w:szCs w:val="17"/>
                            <w:lang w:val="tr-TR"/>
                          </w:rPr>
                        </w:pPr>
                        <w:r>
                          <w:rPr>
                            <w:rFonts w:asciiTheme="minorHAnsi" w:hAnsi="Calibri" w:cstheme="minorBidi"/>
                            <w:b/>
                            <w:bCs/>
                            <w:color w:val="1F4E79" w:themeColor="accent1" w:themeShade="80"/>
                            <w:kern w:val="24"/>
                            <w:sz w:val="17"/>
                            <w:szCs w:val="17"/>
                            <w:lang w:val="tr-TR"/>
                          </w:rPr>
                          <w:t>11</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Eğitimde başarı seviyelerinin yükseltilmesi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temel ve mesleki becerilerin geliştirilmesi)</w:t>
                        </w:r>
                      </w:p>
                      <w:p w14:paraId="57204685" w14:textId="7DB774D3" w:rsidR="0010534D" w:rsidRPr="00812F71" w:rsidRDefault="0010534D" w:rsidP="000E238C">
                        <w:pPr>
                          <w:spacing w:after="80"/>
                          <w:rPr>
                            <w:rFonts w:asciiTheme="minorHAnsi" w:hAnsi="Calibri" w:cstheme="minorBidi"/>
                            <w:b/>
                            <w:bCs/>
                            <w:color w:val="1F4E79" w:themeColor="accent1" w:themeShade="80"/>
                            <w:kern w:val="24"/>
                            <w:sz w:val="17"/>
                            <w:szCs w:val="17"/>
                            <w:lang w:val="tr-TR"/>
                          </w:rPr>
                        </w:pP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yerel düzeyde kapasite geliştirme [4 no’lu SCD önceliği ile bağlantılı])</w:t>
                        </w:r>
                      </w:p>
                    </w:txbxContent>
                  </v:textbox>
                </v:shape>
                <v:shape id="Metin_x0020_kutusu_x0020_7" o:spid="_x0000_s1032" type="#_x0000_t202" style="position:absolute;left:4038600;top:638175;width:1809750;height:2592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IsZUwwAA&#10;ANsAAAAPAAAAZHJzL2Rvd25yZXYueG1sRI9BawIxFITvBf9DeEJvNXFBka1RtLRYvKmF9vjYPDfr&#10;bl7CJtXtv28KBY/DzHzDLNeD68SV+th41jCdKBDElTcN1xo+Tm9PCxAxIRvsPJOGH4qwXo0ellga&#10;f+MDXY+pFhnCsUQNNqVQShkrSw7jxAfi7J197zBl2dfS9HjLcNfJQqm5dNhwXrAY6MVS1R6/nYbX&#10;UB2sIrXfuq8iXKb7z3nb7rR+HA+bZxCJhnQP/7ffjYZiBn9f8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IsZUwwAAANsAAAAPAAAAAAAAAAAAAAAAAJcCAABkcnMvZG93&#10;bnJldi54bWxQSwUGAAAAAAQABAD1AAAAhwMAAAAA&#10;" fillcolor="white [3212]" strokecolor="#1f4d78 [1604]">
                  <v:textbox inset="0,0,0,0">
                    <w:txbxContent>
                      <w:p w14:paraId="360B8728" w14:textId="44EACB6B" w:rsidR="0010534D" w:rsidRPr="00812F71" w:rsidRDefault="0010534D" w:rsidP="000E238C">
                        <w:pPr>
                          <w:spacing w:after="80"/>
                          <w:rPr>
                            <w:sz w:val="17"/>
                            <w:szCs w:val="17"/>
                            <w:lang w:val="tr-TR"/>
                          </w:rPr>
                        </w:pPr>
                        <w:r>
                          <w:rPr>
                            <w:rFonts w:asciiTheme="minorHAnsi" w:hAnsi="Calibri" w:cstheme="minorBidi"/>
                            <w:b/>
                            <w:bCs/>
                            <w:color w:val="1F4E79" w:themeColor="accent1" w:themeShade="80"/>
                            <w:kern w:val="24"/>
                            <w:sz w:val="17"/>
                            <w:szCs w:val="17"/>
                            <w:lang w:val="tr-TR"/>
                          </w:rPr>
                          <w:t>12</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Enerji tüketiminin GSYH artışı ile bağlantılandırılması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yerel kaynaklardan enerji tüketimi, enerji verimliliğinin arttırılması)</w:t>
                        </w:r>
                        <w:r w:rsidRPr="00812F71">
                          <w:rPr>
                            <w:rFonts w:asciiTheme="minorHAnsi" w:hAnsi="Calibri" w:cstheme="minorBidi"/>
                            <w:color w:val="000000" w:themeColor="text1"/>
                            <w:kern w:val="24"/>
                            <w:sz w:val="17"/>
                            <w:szCs w:val="17"/>
                            <w:lang w:val="tr-TR"/>
                          </w:rPr>
                          <w:t xml:space="preserve"> </w:t>
                        </w:r>
                      </w:p>
                      <w:p w14:paraId="734CDFD9" w14:textId="13154C43" w:rsidR="0010534D" w:rsidRPr="00812F71" w:rsidRDefault="0010534D" w:rsidP="000E238C">
                        <w:pPr>
                          <w:spacing w:after="80"/>
                          <w:rPr>
                            <w:rFonts w:asciiTheme="minorHAnsi" w:hAnsi="Calibri" w:cstheme="minorBidi"/>
                            <w:b/>
                            <w:bCs/>
                            <w:color w:val="1F4E79" w:themeColor="accent1" w:themeShade="80"/>
                            <w:kern w:val="24"/>
                            <w:sz w:val="17"/>
                            <w:szCs w:val="17"/>
                            <w:lang w:val="tr-TR"/>
                          </w:rPr>
                        </w:pPr>
                        <w:r>
                          <w:rPr>
                            <w:rFonts w:asciiTheme="minorHAnsi" w:hAnsi="Calibri" w:cstheme="minorBidi"/>
                            <w:b/>
                            <w:bCs/>
                            <w:color w:val="1F4E79" w:themeColor="accent1" w:themeShade="80"/>
                            <w:kern w:val="24"/>
                            <w:sz w:val="17"/>
                            <w:szCs w:val="17"/>
                            <w:lang w:val="tr-TR"/>
                          </w:rPr>
                          <w:t>13</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Kentsel gelişimin yönetilmesi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rekabet gücü ve sosyal uyum için kentsel yeniden gelişim, taşımacılıktan lojistiğe geçiş + yerel düzeyde kapasite geliştirme [UKP 2 no’lu amaç ile bağlantılı)</w:t>
                        </w:r>
                      </w:p>
                      <w:p w14:paraId="67346B43" w14:textId="3C296ECB" w:rsidR="0010534D" w:rsidRDefault="0010534D" w:rsidP="000E238C">
                        <w:pPr>
                          <w:spacing w:after="80"/>
                          <w:rPr>
                            <w:rFonts w:asciiTheme="minorHAnsi" w:hAnsi="Calibri" w:cstheme="minorBidi"/>
                            <w:color w:val="000000" w:themeColor="text1"/>
                            <w:kern w:val="24"/>
                            <w:sz w:val="17"/>
                            <w:szCs w:val="17"/>
                            <w:lang w:val="tr-TR"/>
                          </w:rPr>
                        </w:pPr>
                        <w:r>
                          <w:rPr>
                            <w:rFonts w:asciiTheme="minorHAnsi" w:hAnsi="Calibri" w:cstheme="minorBidi"/>
                            <w:b/>
                            <w:bCs/>
                            <w:color w:val="1F4E79" w:themeColor="accent1" w:themeShade="80"/>
                            <w:kern w:val="24"/>
                            <w:sz w:val="17"/>
                            <w:szCs w:val="17"/>
                            <w:lang w:val="tr-TR"/>
                          </w:rPr>
                          <w:t>14</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Su kıtlığının giderilmesi </w:t>
                        </w:r>
                        <w:r w:rsidRPr="00812F71">
                          <w:rPr>
                            <w:rFonts w:asciiTheme="minorHAnsi" w:hAnsi="Calibri" w:cstheme="minorBidi"/>
                            <w:color w:val="000000" w:themeColor="text1"/>
                            <w:kern w:val="24"/>
                            <w:sz w:val="17"/>
                            <w:szCs w:val="17"/>
                            <w:lang w:val="tr-TR"/>
                          </w:rPr>
                          <w:t>(</w:t>
                        </w:r>
                        <w:r>
                          <w:rPr>
                            <w:rFonts w:asciiTheme="minorHAnsi" w:hAnsi="Calibri" w:cstheme="minorBidi"/>
                            <w:color w:val="000000" w:themeColor="text1"/>
                            <w:kern w:val="24"/>
                            <w:sz w:val="17"/>
                            <w:szCs w:val="17"/>
                            <w:lang w:val="tr-TR"/>
                          </w:rPr>
                          <w:t>tarımda suyun etkili kullanılması)</w:t>
                        </w:r>
                      </w:p>
                      <w:p w14:paraId="6103C4AD" w14:textId="6E4AC019" w:rsidR="0010534D" w:rsidRPr="00812F71" w:rsidRDefault="0010534D" w:rsidP="00616F55">
                        <w:pPr>
                          <w:spacing w:after="80"/>
                          <w:rPr>
                            <w:rFonts w:asciiTheme="minorHAnsi" w:hAnsi="Calibri" w:cstheme="minorBidi"/>
                            <w:b/>
                            <w:bCs/>
                            <w:color w:val="1F4E79" w:themeColor="accent1" w:themeShade="80"/>
                            <w:kern w:val="24"/>
                            <w:sz w:val="17"/>
                            <w:szCs w:val="17"/>
                            <w:lang w:val="tr-TR"/>
                          </w:rPr>
                        </w:pPr>
                        <w:r>
                          <w:rPr>
                            <w:rFonts w:asciiTheme="minorHAnsi" w:hAnsi="Calibri" w:cstheme="minorBidi"/>
                            <w:b/>
                            <w:bCs/>
                            <w:color w:val="1F4E79" w:themeColor="accent1" w:themeShade="80"/>
                            <w:kern w:val="24"/>
                            <w:sz w:val="17"/>
                            <w:szCs w:val="17"/>
                            <w:lang w:val="tr-TR"/>
                          </w:rPr>
                          <w:t>15</w:t>
                        </w:r>
                        <w:r w:rsidRPr="00812F71">
                          <w:rPr>
                            <w:rFonts w:asciiTheme="minorHAnsi" w:hAnsi="Calibri" w:cstheme="minorBidi"/>
                            <w:b/>
                            <w:bCs/>
                            <w:color w:val="1F4E79" w:themeColor="accent1" w:themeShade="80"/>
                            <w:kern w:val="24"/>
                            <w:sz w:val="17"/>
                            <w:szCs w:val="17"/>
                            <w:lang w:val="tr-TR"/>
                          </w:rPr>
                          <w:t xml:space="preserve">. </w:t>
                        </w:r>
                        <w:r>
                          <w:rPr>
                            <w:rFonts w:asciiTheme="minorHAnsi" w:hAnsi="Calibri" w:cstheme="minorBidi"/>
                            <w:b/>
                            <w:bCs/>
                            <w:color w:val="1F4E79" w:themeColor="accent1" w:themeShade="80"/>
                            <w:kern w:val="24"/>
                            <w:sz w:val="17"/>
                            <w:szCs w:val="17"/>
                            <w:lang w:val="tr-TR"/>
                          </w:rPr>
                          <w:t xml:space="preserve">Arazi yönetiminin iyileştirilmesi </w:t>
                        </w:r>
                      </w:p>
                    </w:txbxContent>
                  </v:textbox>
                </v:shape>
              </v:group>
            </w:pict>
          </mc:Fallback>
        </mc:AlternateContent>
      </w:r>
      <w:r w:rsidR="00492794" w:rsidRPr="001A4B94">
        <w:rPr>
          <w:rFonts w:ascii="Times New Roman" w:eastAsiaTheme="minorHAnsi" w:hAnsi="Times New Roman"/>
          <w:sz w:val="24"/>
          <w:szCs w:val="24"/>
          <w:lang w:val="tr-TR"/>
        </w:rPr>
        <w:t xml:space="preserve"> </w:t>
      </w:r>
      <w:r w:rsidR="00D13886" w:rsidRPr="001A4B94">
        <w:rPr>
          <w:rFonts w:ascii="Times New Roman" w:eastAsiaTheme="minorHAnsi" w:hAnsi="Times New Roman"/>
          <w:sz w:val="24"/>
          <w:szCs w:val="24"/>
          <w:lang w:val="tr-TR"/>
        </w:rPr>
        <w:t xml:space="preserve">  </w:t>
      </w:r>
      <w:r w:rsidR="00321C98" w:rsidRPr="001A4B94">
        <w:rPr>
          <w:rFonts w:ascii="Times New Roman" w:eastAsiaTheme="minorHAnsi" w:hAnsi="Times New Roman"/>
          <w:sz w:val="24"/>
          <w:szCs w:val="24"/>
          <w:lang w:val="tr-TR"/>
        </w:rPr>
        <w:t xml:space="preserve"> </w:t>
      </w:r>
      <w:r w:rsidR="00514081" w:rsidRPr="001A4B94">
        <w:rPr>
          <w:rFonts w:ascii="Times New Roman" w:eastAsiaTheme="minorHAnsi" w:hAnsi="Times New Roman"/>
          <w:noProof/>
          <w:sz w:val="24"/>
          <w:szCs w:val="24"/>
          <w:lang w:val="en-GB" w:eastAsia="en-GB"/>
        </w:rPr>
        <w:drawing>
          <wp:inline distT="0" distB="0" distL="0" distR="0" wp14:anchorId="4577D613" wp14:editId="19648F9A">
            <wp:extent cx="5905500" cy="32596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6219" cy="3265525"/>
                    </a:xfrm>
                    <a:prstGeom prst="rect">
                      <a:avLst/>
                    </a:prstGeom>
                    <a:noFill/>
                  </pic:spPr>
                </pic:pic>
              </a:graphicData>
            </a:graphic>
          </wp:inline>
        </w:drawing>
      </w:r>
    </w:p>
    <w:p w14:paraId="71647F12" w14:textId="01C06A0F" w:rsidR="0030747A" w:rsidRPr="001A4B94" w:rsidRDefault="00824006" w:rsidP="00600216">
      <w:pPr>
        <w:pStyle w:val="Balk2"/>
        <w:rPr>
          <w:rFonts w:ascii="Times New Roman" w:hAnsi="Times New Roman" w:cs="Times New Roman"/>
          <w:b/>
          <w:color w:val="auto"/>
          <w:sz w:val="23"/>
          <w:szCs w:val="23"/>
          <w:lang w:val="tr-TR"/>
        </w:rPr>
      </w:pPr>
      <w:bookmarkStart w:id="8" w:name="_Toc494977327"/>
      <w:r w:rsidRPr="001A4B94">
        <w:rPr>
          <w:rFonts w:ascii="Times New Roman" w:hAnsi="Times New Roman" w:cs="Times New Roman"/>
          <w:b/>
          <w:color w:val="auto"/>
          <w:sz w:val="23"/>
          <w:szCs w:val="23"/>
          <w:lang w:val="tr-TR"/>
        </w:rPr>
        <w:t>III</w:t>
      </w:r>
      <w:r w:rsidR="00791AB8" w:rsidRPr="001A4B94">
        <w:rPr>
          <w:rFonts w:ascii="Times New Roman" w:hAnsi="Times New Roman" w:cs="Times New Roman"/>
          <w:b/>
          <w:color w:val="auto"/>
          <w:sz w:val="23"/>
          <w:szCs w:val="23"/>
          <w:lang w:val="tr-TR"/>
        </w:rPr>
        <w:t>.2</w:t>
      </w:r>
      <w:r w:rsidR="0030747A" w:rsidRPr="001A4B94">
        <w:rPr>
          <w:rFonts w:ascii="Times New Roman" w:hAnsi="Times New Roman" w:cs="Times New Roman"/>
          <w:b/>
          <w:color w:val="auto"/>
          <w:sz w:val="23"/>
          <w:szCs w:val="23"/>
          <w:lang w:val="tr-TR"/>
        </w:rPr>
        <w:t xml:space="preserve"> </w:t>
      </w:r>
      <w:r w:rsidR="00B90591" w:rsidRPr="001A4B94">
        <w:rPr>
          <w:rFonts w:ascii="Times New Roman" w:hAnsi="Times New Roman" w:cs="Times New Roman"/>
          <w:b/>
          <w:color w:val="auto"/>
          <w:sz w:val="23"/>
          <w:szCs w:val="23"/>
          <w:lang w:val="tr-TR"/>
        </w:rPr>
        <w:t>CPS T</w:t>
      </w:r>
      <w:r w:rsidR="00B64093" w:rsidRPr="001A4B94">
        <w:rPr>
          <w:rFonts w:ascii="Times New Roman" w:hAnsi="Times New Roman" w:cs="Times New Roman"/>
          <w:b/>
          <w:color w:val="auto"/>
          <w:sz w:val="23"/>
          <w:szCs w:val="23"/>
          <w:lang w:val="tr-TR"/>
        </w:rPr>
        <w:t>amamlama ve Öğrenme İncelemesind</w:t>
      </w:r>
      <w:r w:rsidR="00B90591" w:rsidRPr="001A4B94">
        <w:rPr>
          <w:rFonts w:ascii="Times New Roman" w:hAnsi="Times New Roman" w:cs="Times New Roman"/>
          <w:b/>
          <w:color w:val="auto"/>
          <w:sz w:val="23"/>
          <w:szCs w:val="23"/>
          <w:lang w:val="tr-TR"/>
        </w:rPr>
        <w:t>e</w:t>
      </w:r>
      <w:r w:rsidR="00B64093" w:rsidRPr="001A4B94">
        <w:rPr>
          <w:rFonts w:ascii="Times New Roman" w:hAnsi="Times New Roman" w:cs="Times New Roman"/>
          <w:b/>
          <w:color w:val="auto"/>
          <w:sz w:val="23"/>
          <w:szCs w:val="23"/>
          <w:lang w:val="tr-TR"/>
        </w:rPr>
        <w:t>n</w:t>
      </w:r>
      <w:r w:rsidR="00164EFD" w:rsidRPr="001A4B94">
        <w:rPr>
          <w:rFonts w:ascii="Times New Roman" w:hAnsi="Times New Roman" w:cs="Times New Roman"/>
          <w:b/>
          <w:color w:val="auto"/>
          <w:sz w:val="23"/>
          <w:szCs w:val="23"/>
          <w:lang w:val="tr-TR"/>
        </w:rPr>
        <w:t xml:space="preserve"> </w:t>
      </w:r>
      <w:r w:rsidR="00B64093" w:rsidRPr="001A4B94">
        <w:rPr>
          <w:rFonts w:ascii="Times New Roman" w:hAnsi="Times New Roman" w:cs="Times New Roman"/>
          <w:b/>
          <w:color w:val="auto"/>
          <w:sz w:val="23"/>
          <w:szCs w:val="23"/>
          <w:lang w:val="tr-TR"/>
        </w:rPr>
        <w:t>ve Bağımsız Değerlendirme Grubu (IEG) Değerlendirmelerinden Ç</w:t>
      </w:r>
      <w:r w:rsidR="00B90591" w:rsidRPr="001A4B94">
        <w:rPr>
          <w:rFonts w:ascii="Times New Roman" w:hAnsi="Times New Roman" w:cs="Times New Roman"/>
          <w:b/>
          <w:color w:val="auto"/>
          <w:sz w:val="23"/>
          <w:szCs w:val="23"/>
          <w:lang w:val="tr-TR"/>
        </w:rPr>
        <w:t xml:space="preserve">ıkarılan </w:t>
      </w:r>
      <w:r w:rsidR="00B64093" w:rsidRPr="001A4B94">
        <w:rPr>
          <w:rFonts w:ascii="Times New Roman" w:hAnsi="Times New Roman" w:cs="Times New Roman"/>
          <w:b/>
          <w:color w:val="auto"/>
          <w:sz w:val="23"/>
          <w:szCs w:val="23"/>
          <w:lang w:val="tr-TR"/>
        </w:rPr>
        <w:t>D</w:t>
      </w:r>
      <w:r w:rsidR="00B90591" w:rsidRPr="001A4B94">
        <w:rPr>
          <w:rFonts w:ascii="Times New Roman" w:hAnsi="Times New Roman" w:cs="Times New Roman"/>
          <w:b/>
          <w:color w:val="auto"/>
          <w:sz w:val="23"/>
          <w:szCs w:val="23"/>
          <w:lang w:val="tr-TR"/>
        </w:rPr>
        <w:t>ersler</w:t>
      </w:r>
      <w:bookmarkEnd w:id="8"/>
      <w:r w:rsidR="00B90591" w:rsidRPr="001A4B94">
        <w:rPr>
          <w:rFonts w:ascii="Times New Roman" w:hAnsi="Times New Roman" w:cs="Times New Roman"/>
          <w:b/>
          <w:color w:val="auto"/>
          <w:sz w:val="23"/>
          <w:szCs w:val="23"/>
          <w:lang w:val="tr-TR"/>
        </w:rPr>
        <w:t xml:space="preserve"> </w:t>
      </w:r>
    </w:p>
    <w:p w14:paraId="376BC76E" w14:textId="77777777" w:rsidR="00C92B81" w:rsidRPr="001A4B94" w:rsidRDefault="00C92B81" w:rsidP="00C34BD1">
      <w:pPr>
        <w:rPr>
          <w:b/>
          <w:i/>
          <w:sz w:val="6"/>
          <w:szCs w:val="6"/>
          <w:lang w:val="tr-TR"/>
        </w:rPr>
      </w:pPr>
    </w:p>
    <w:p w14:paraId="2D88867F" w14:textId="30FCA859" w:rsidR="00EA26C8" w:rsidRPr="001A4B94" w:rsidRDefault="00164EFD" w:rsidP="00C47367">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iCs/>
          <w:sz w:val="23"/>
          <w:szCs w:val="23"/>
          <w:lang w:val="tr-TR"/>
        </w:rPr>
      </w:pPr>
      <w:r w:rsidRPr="001A4B94">
        <w:rPr>
          <w:rFonts w:ascii="Times New Roman" w:hAnsi="Times New Roman"/>
          <w:b/>
          <w:sz w:val="23"/>
          <w:szCs w:val="23"/>
          <w:lang w:val="tr-TR"/>
        </w:rPr>
        <w:t>Tamamlama ve Öğrenme İncelemesi (CLR) Dünya Bank</w:t>
      </w:r>
      <w:r w:rsidR="00F9564F" w:rsidRPr="001A4B94">
        <w:rPr>
          <w:rFonts w:ascii="Times New Roman" w:hAnsi="Times New Roman"/>
          <w:b/>
          <w:sz w:val="23"/>
          <w:szCs w:val="23"/>
          <w:lang w:val="tr-TR"/>
        </w:rPr>
        <w:t>a</w:t>
      </w:r>
      <w:r w:rsidRPr="001A4B94">
        <w:rPr>
          <w:rFonts w:ascii="Times New Roman" w:hAnsi="Times New Roman"/>
          <w:b/>
          <w:sz w:val="23"/>
          <w:szCs w:val="23"/>
          <w:lang w:val="tr-TR"/>
        </w:rPr>
        <w:t>sı Grubu’nun çalışmalarının Türkiye’nin kendi kalkınma amaçları ile etkili bir şekilde uyumlu oldu</w:t>
      </w:r>
      <w:r w:rsidR="00973781" w:rsidRPr="001A4B94">
        <w:rPr>
          <w:rFonts w:ascii="Times New Roman" w:hAnsi="Times New Roman"/>
          <w:b/>
          <w:sz w:val="23"/>
          <w:szCs w:val="23"/>
          <w:lang w:val="tr-TR"/>
        </w:rPr>
        <w:t>ğ</w:t>
      </w:r>
      <w:r w:rsidRPr="001A4B94">
        <w:rPr>
          <w:rFonts w:ascii="Times New Roman" w:hAnsi="Times New Roman"/>
          <w:b/>
          <w:sz w:val="23"/>
          <w:szCs w:val="23"/>
          <w:lang w:val="tr-TR"/>
        </w:rPr>
        <w:t>unu göstermiştir.</w:t>
      </w:r>
      <w:r w:rsidR="00464B64" w:rsidRPr="001A4B94">
        <w:rPr>
          <w:rFonts w:ascii="Times New Roman" w:hAnsi="Times New Roman"/>
          <w:b/>
          <w:iCs/>
          <w:sz w:val="23"/>
          <w:szCs w:val="23"/>
          <w:lang w:val="tr-TR"/>
        </w:rPr>
        <w:t xml:space="preserve">  </w:t>
      </w:r>
      <w:r w:rsidRPr="001A4B94">
        <w:rPr>
          <w:rFonts w:ascii="Times New Roman" w:hAnsi="Times New Roman"/>
          <w:iCs/>
          <w:sz w:val="23"/>
          <w:szCs w:val="23"/>
          <w:lang w:val="tr-TR"/>
        </w:rPr>
        <w:t>Kalkınma Planı ile olan uyum, CPS tasarımına rehberlik etmiştir</w:t>
      </w:r>
      <w:r w:rsidR="00B52693" w:rsidRPr="001A4B94">
        <w:rPr>
          <w:rFonts w:ascii="Times New Roman" w:hAnsi="Times New Roman"/>
          <w:iCs/>
          <w:sz w:val="23"/>
          <w:szCs w:val="23"/>
          <w:lang w:val="tr-TR"/>
        </w:rPr>
        <w:t xml:space="preserve">.  </w:t>
      </w:r>
      <w:r w:rsidRPr="001A4B94">
        <w:rPr>
          <w:rFonts w:ascii="Times New Roman" w:hAnsi="Times New Roman"/>
          <w:iCs/>
          <w:sz w:val="23"/>
          <w:szCs w:val="23"/>
          <w:lang w:val="tr-TR"/>
        </w:rPr>
        <w:t>IBRD finansmanının nerede ve nasıl devreye sokulacağı ile ilgili Hükümet tarafındaki güçlü</w:t>
      </w:r>
      <w:r w:rsidRPr="001A4B94">
        <w:rPr>
          <w:rFonts w:ascii="Times New Roman" w:hAnsi="Times New Roman"/>
          <w:b/>
          <w:sz w:val="23"/>
          <w:szCs w:val="23"/>
          <w:lang w:val="tr-TR"/>
        </w:rPr>
        <w:t xml:space="preserve"> </w:t>
      </w:r>
      <w:r w:rsidRPr="001A4B94">
        <w:rPr>
          <w:rFonts w:ascii="Times New Roman" w:hAnsi="Times New Roman"/>
          <w:sz w:val="23"/>
          <w:szCs w:val="23"/>
          <w:lang w:val="tr-TR"/>
        </w:rPr>
        <w:t xml:space="preserve">seçicilik </w:t>
      </w:r>
      <w:r w:rsidR="003B6121" w:rsidRPr="001A4B94">
        <w:rPr>
          <w:rFonts w:ascii="Times New Roman" w:hAnsi="Times New Roman"/>
          <w:sz w:val="23"/>
          <w:szCs w:val="23"/>
          <w:lang w:val="tr-TR"/>
        </w:rPr>
        <w:t xml:space="preserve">duygusu </w:t>
      </w:r>
      <w:r w:rsidRPr="001A4B94">
        <w:rPr>
          <w:rFonts w:ascii="Times New Roman" w:hAnsi="Times New Roman"/>
          <w:sz w:val="23"/>
          <w:szCs w:val="23"/>
          <w:lang w:val="tr-TR"/>
        </w:rPr>
        <w:t>ile birlikte bu husus</w:t>
      </w:r>
      <w:r w:rsidR="003B6121" w:rsidRPr="001A4B94">
        <w:rPr>
          <w:rFonts w:ascii="Times New Roman" w:hAnsi="Times New Roman"/>
          <w:sz w:val="23"/>
          <w:szCs w:val="23"/>
          <w:lang w:val="tr-TR"/>
        </w:rPr>
        <w:t xml:space="preserve">, enerji sektörü ve finansal </w:t>
      </w:r>
      <w:r w:rsidR="00B52693" w:rsidRPr="001A4B94">
        <w:rPr>
          <w:rFonts w:ascii="Times New Roman" w:hAnsi="Times New Roman"/>
          <w:iCs/>
          <w:sz w:val="23"/>
          <w:szCs w:val="23"/>
          <w:lang w:val="tr-TR"/>
        </w:rPr>
        <w:t xml:space="preserve"> </w:t>
      </w:r>
      <w:r w:rsidR="003B6121" w:rsidRPr="001A4B94">
        <w:rPr>
          <w:rFonts w:ascii="Times New Roman" w:hAnsi="Times New Roman"/>
          <w:iCs/>
          <w:sz w:val="23"/>
          <w:szCs w:val="23"/>
          <w:lang w:val="tr-TR"/>
        </w:rPr>
        <w:t>sektör üzerinde odaklanan daha küçük bir portföy</w:t>
      </w:r>
      <w:r w:rsidR="00141976" w:rsidRPr="001A4B94">
        <w:rPr>
          <w:rFonts w:ascii="Times New Roman" w:hAnsi="Times New Roman"/>
          <w:iCs/>
          <w:sz w:val="23"/>
          <w:szCs w:val="23"/>
          <w:lang w:val="tr-TR"/>
        </w:rPr>
        <w:t xml:space="preserve"> </w:t>
      </w:r>
      <w:r w:rsidR="003B6121" w:rsidRPr="001A4B94">
        <w:rPr>
          <w:rFonts w:ascii="Times New Roman" w:hAnsi="Times New Roman"/>
          <w:iCs/>
          <w:sz w:val="23"/>
          <w:szCs w:val="23"/>
          <w:lang w:val="tr-TR"/>
        </w:rPr>
        <w:t>sağlamış ve bu da IBRD’nin istenilen sonuçlara ulaşm</w:t>
      </w:r>
      <w:r w:rsidR="00973781" w:rsidRPr="001A4B94">
        <w:rPr>
          <w:rFonts w:ascii="Times New Roman" w:hAnsi="Times New Roman"/>
          <w:iCs/>
          <w:sz w:val="23"/>
          <w:szCs w:val="23"/>
          <w:lang w:val="tr-TR"/>
        </w:rPr>
        <w:t>a</w:t>
      </w:r>
      <w:r w:rsidR="003B6121" w:rsidRPr="001A4B94">
        <w:rPr>
          <w:rFonts w:ascii="Times New Roman" w:hAnsi="Times New Roman"/>
          <w:iCs/>
          <w:sz w:val="23"/>
          <w:szCs w:val="23"/>
          <w:lang w:val="tr-TR"/>
        </w:rPr>
        <w:t>sına katkıda bu</w:t>
      </w:r>
      <w:r w:rsidR="00973781" w:rsidRPr="001A4B94">
        <w:rPr>
          <w:rFonts w:ascii="Times New Roman" w:hAnsi="Times New Roman"/>
          <w:iCs/>
          <w:sz w:val="23"/>
          <w:szCs w:val="23"/>
          <w:lang w:val="tr-TR"/>
        </w:rPr>
        <w:t>l</w:t>
      </w:r>
      <w:r w:rsidR="003B6121" w:rsidRPr="001A4B94">
        <w:rPr>
          <w:rFonts w:ascii="Times New Roman" w:hAnsi="Times New Roman"/>
          <w:iCs/>
          <w:sz w:val="23"/>
          <w:szCs w:val="23"/>
          <w:lang w:val="tr-TR"/>
        </w:rPr>
        <w:t>unmuştur</w:t>
      </w:r>
      <w:r w:rsidR="00141976" w:rsidRPr="001A4B94">
        <w:rPr>
          <w:rFonts w:ascii="Times New Roman" w:hAnsi="Times New Roman"/>
          <w:iCs/>
          <w:sz w:val="23"/>
          <w:szCs w:val="23"/>
          <w:lang w:val="tr-TR"/>
        </w:rPr>
        <w:t xml:space="preserve">.  </w:t>
      </w:r>
      <w:r w:rsidR="003B6121" w:rsidRPr="001A4B94">
        <w:rPr>
          <w:rFonts w:ascii="Times New Roman" w:hAnsi="Times New Roman"/>
          <w:iCs/>
          <w:sz w:val="23"/>
          <w:szCs w:val="23"/>
          <w:lang w:val="tr-TR"/>
        </w:rPr>
        <w:t>Bununla birlikte</w:t>
      </w:r>
      <w:r w:rsidR="00B52693" w:rsidRPr="001A4B94">
        <w:rPr>
          <w:rFonts w:ascii="Times New Roman" w:hAnsi="Times New Roman"/>
          <w:iCs/>
          <w:sz w:val="23"/>
          <w:szCs w:val="23"/>
          <w:lang w:val="tr-TR"/>
        </w:rPr>
        <w:t xml:space="preserve">, </w:t>
      </w:r>
      <w:r w:rsidR="003B6121" w:rsidRPr="001A4B94">
        <w:rPr>
          <w:rFonts w:ascii="Times New Roman" w:hAnsi="Times New Roman"/>
          <w:iCs/>
          <w:sz w:val="23"/>
          <w:szCs w:val="23"/>
          <w:lang w:val="tr-TR"/>
        </w:rPr>
        <w:t>CLR’n</w:t>
      </w:r>
      <w:r w:rsidR="00973781" w:rsidRPr="001A4B94">
        <w:rPr>
          <w:rFonts w:ascii="Times New Roman" w:hAnsi="Times New Roman"/>
          <w:iCs/>
          <w:sz w:val="23"/>
          <w:szCs w:val="23"/>
          <w:lang w:val="tr-TR"/>
        </w:rPr>
        <w:t>i</w:t>
      </w:r>
      <w:r w:rsidR="003B6121" w:rsidRPr="001A4B94">
        <w:rPr>
          <w:rFonts w:ascii="Times New Roman" w:hAnsi="Times New Roman"/>
          <w:iCs/>
          <w:sz w:val="23"/>
          <w:szCs w:val="23"/>
          <w:lang w:val="tr-TR"/>
        </w:rPr>
        <w:t>n önemli sonuçlarından birisi</w:t>
      </w:r>
      <w:r w:rsidR="00973781" w:rsidRPr="001A4B94">
        <w:rPr>
          <w:rFonts w:ascii="Times New Roman" w:hAnsi="Times New Roman"/>
          <w:iCs/>
          <w:sz w:val="23"/>
          <w:szCs w:val="23"/>
          <w:lang w:val="tr-TR"/>
        </w:rPr>
        <w:t>;</w:t>
      </w:r>
      <w:r w:rsidR="003B6121" w:rsidRPr="001A4B94">
        <w:rPr>
          <w:rFonts w:ascii="Times New Roman" w:hAnsi="Times New Roman"/>
          <w:iCs/>
          <w:sz w:val="23"/>
          <w:szCs w:val="23"/>
          <w:lang w:val="tr-TR"/>
        </w:rPr>
        <w:t xml:space="preserve"> </w:t>
      </w:r>
      <w:r w:rsidR="00973781" w:rsidRPr="001A4B94">
        <w:rPr>
          <w:rFonts w:ascii="Times New Roman" w:hAnsi="Times New Roman"/>
          <w:iCs/>
          <w:sz w:val="23"/>
          <w:szCs w:val="23"/>
          <w:lang w:val="tr-TR"/>
        </w:rPr>
        <w:t>IBRD’nin programına göre Türkiye ekonomisinin büyüklüğünün, DBG programının katkısı ile ülke düz</w:t>
      </w:r>
      <w:r w:rsidR="00C47367" w:rsidRPr="001A4B94">
        <w:rPr>
          <w:rFonts w:ascii="Times New Roman" w:hAnsi="Times New Roman"/>
          <w:iCs/>
          <w:sz w:val="23"/>
          <w:szCs w:val="23"/>
          <w:lang w:val="tr-TR"/>
        </w:rPr>
        <w:t>e</w:t>
      </w:r>
      <w:r w:rsidR="00973781" w:rsidRPr="001A4B94">
        <w:rPr>
          <w:rFonts w:ascii="Times New Roman" w:hAnsi="Times New Roman"/>
          <w:iCs/>
          <w:sz w:val="23"/>
          <w:szCs w:val="23"/>
          <w:lang w:val="tr-TR"/>
        </w:rPr>
        <w:t xml:space="preserve">yindeki sonuçlar arasında </w:t>
      </w:r>
      <w:r w:rsidR="00C47367" w:rsidRPr="001A4B94">
        <w:rPr>
          <w:rFonts w:ascii="Times New Roman" w:hAnsi="Times New Roman"/>
          <w:iCs/>
          <w:sz w:val="23"/>
          <w:szCs w:val="23"/>
          <w:lang w:val="tr-TR"/>
        </w:rPr>
        <w:t>açık bağlantılar kurmada ve sonuçları DBG müdahalelerinin atfetmede zorluklar olduğunu göstermesidir</w:t>
      </w:r>
      <w:r w:rsidR="00EA26C8" w:rsidRPr="001A4B94">
        <w:rPr>
          <w:rFonts w:ascii="Times New Roman" w:hAnsi="Times New Roman"/>
          <w:iCs/>
          <w:sz w:val="23"/>
          <w:szCs w:val="23"/>
          <w:lang w:val="tr-TR"/>
        </w:rPr>
        <w:t>.</w:t>
      </w:r>
      <w:r w:rsidR="009275EC" w:rsidRPr="001A4B94">
        <w:rPr>
          <w:rFonts w:ascii="Times New Roman" w:hAnsi="Times New Roman"/>
          <w:iCs/>
          <w:sz w:val="23"/>
          <w:szCs w:val="23"/>
          <w:lang w:val="tr-TR"/>
        </w:rPr>
        <w:t xml:space="preserve">  </w:t>
      </w:r>
      <w:r w:rsidR="00EA26C8" w:rsidRPr="001A4B94">
        <w:rPr>
          <w:rFonts w:ascii="Times New Roman" w:hAnsi="Times New Roman"/>
          <w:iCs/>
          <w:sz w:val="23"/>
          <w:szCs w:val="23"/>
          <w:lang w:val="tr-TR"/>
        </w:rPr>
        <w:t xml:space="preserve"> </w:t>
      </w:r>
    </w:p>
    <w:p w14:paraId="4B587D13" w14:textId="460DBE0A" w:rsidR="00EA26C8" w:rsidRPr="001A4B94" w:rsidRDefault="006B57C3" w:rsidP="00EA26C8">
      <w:pPr>
        <w:pStyle w:val="ListeParagraf"/>
        <w:tabs>
          <w:tab w:val="left" w:pos="426"/>
        </w:tabs>
        <w:autoSpaceDE w:val="0"/>
        <w:autoSpaceDN w:val="0"/>
        <w:adjustRightInd w:val="0"/>
        <w:spacing w:after="0" w:line="240" w:lineRule="auto"/>
        <w:ind w:left="0"/>
        <w:jc w:val="both"/>
        <w:rPr>
          <w:rFonts w:ascii="Times New Roman" w:hAnsi="Times New Roman"/>
          <w:iCs/>
          <w:sz w:val="10"/>
          <w:szCs w:val="10"/>
          <w:lang w:val="tr-TR"/>
        </w:rPr>
      </w:pPr>
      <w:r w:rsidRPr="001A4B94">
        <w:rPr>
          <w:rFonts w:ascii="Times New Roman" w:hAnsi="Times New Roman"/>
          <w:iCs/>
          <w:sz w:val="10"/>
          <w:szCs w:val="10"/>
          <w:lang w:val="tr-TR"/>
        </w:rPr>
        <w:t>3</w:t>
      </w:r>
    </w:p>
    <w:p w14:paraId="44E40951" w14:textId="2551755A" w:rsidR="00E43950" w:rsidRPr="001A4B94" w:rsidRDefault="00C47367" w:rsidP="00E43950">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iCs/>
          <w:sz w:val="23"/>
          <w:szCs w:val="23"/>
          <w:lang w:val="tr-TR"/>
        </w:rPr>
      </w:pPr>
      <w:r w:rsidRPr="001A4B94">
        <w:rPr>
          <w:rFonts w:ascii="Times New Roman" w:hAnsi="Times New Roman"/>
          <w:b/>
          <w:iCs/>
          <w:sz w:val="23"/>
          <w:szCs w:val="23"/>
          <w:lang w:val="tr-TR"/>
        </w:rPr>
        <w:t xml:space="preserve">Ortak bir Dünya Bankası Grubu </w:t>
      </w:r>
      <w:r w:rsidR="00E06D71" w:rsidRPr="001A4B94">
        <w:rPr>
          <w:rFonts w:ascii="Times New Roman" w:hAnsi="Times New Roman"/>
          <w:b/>
          <w:iCs/>
          <w:sz w:val="23"/>
          <w:szCs w:val="23"/>
          <w:lang w:val="tr-TR"/>
        </w:rPr>
        <w:t xml:space="preserve"> </w:t>
      </w:r>
      <w:r w:rsidR="007968E7" w:rsidRPr="001A4B94">
        <w:rPr>
          <w:rFonts w:ascii="Times New Roman" w:hAnsi="Times New Roman"/>
          <w:b/>
          <w:iCs/>
          <w:sz w:val="23"/>
          <w:szCs w:val="23"/>
          <w:lang w:val="tr-TR"/>
        </w:rPr>
        <w:t xml:space="preserve">CPS </w:t>
      </w:r>
      <w:r w:rsidRPr="001A4B94">
        <w:rPr>
          <w:rFonts w:ascii="Times New Roman" w:hAnsi="Times New Roman"/>
          <w:b/>
          <w:iCs/>
          <w:sz w:val="23"/>
          <w:szCs w:val="23"/>
          <w:lang w:val="tr-TR"/>
        </w:rPr>
        <w:t xml:space="preserve">çalışması eşgüdümlü bir strateji sağlamış ve ortak programlar </w:t>
      </w:r>
      <w:r w:rsidR="00E06D71" w:rsidRPr="001A4B94">
        <w:rPr>
          <w:rFonts w:ascii="Times New Roman" w:hAnsi="Times New Roman"/>
          <w:b/>
          <w:iCs/>
          <w:sz w:val="23"/>
          <w:szCs w:val="23"/>
          <w:lang w:val="tr-TR"/>
        </w:rPr>
        <w:t>(</w:t>
      </w:r>
      <w:r w:rsidR="00AB63C6" w:rsidRPr="001A4B94">
        <w:rPr>
          <w:rFonts w:ascii="Times New Roman" w:hAnsi="Times New Roman"/>
          <w:b/>
          <w:iCs/>
          <w:sz w:val="23"/>
          <w:szCs w:val="23"/>
          <w:lang w:val="tr-TR"/>
        </w:rPr>
        <w:t>sürdürülebilir ve sıralandırılmış müdahaleler içeren</w:t>
      </w:r>
      <w:r w:rsidR="00E06D71" w:rsidRPr="001A4B94">
        <w:rPr>
          <w:rFonts w:ascii="Times New Roman" w:hAnsi="Times New Roman"/>
          <w:b/>
          <w:iCs/>
          <w:sz w:val="23"/>
          <w:szCs w:val="23"/>
          <w:lang w:val="tr-TR"/>
        </w:rPr>
        <w:t xml:space="preserve">) </w:t>
      </w:r>
      <w:r w:rsidRPr="001A4B94">
        <w:rPr>
          <w:rFonts w:ascii="Times New Roman" w:hAnsi="Times New Roman"/>
          <w:b/>
          <w:iCs/>
          <w:sz w:val="23"/>
          <w:szCs w:val="23"/>
          <w:lang w:val="tr-TR"/>
        </w:rPr>
        <w:t>genellikle daha iyi sonuçlar vermiştir</w:t>
      </w:r>
      <w:r w:rsidR="00EA26C8" w:rsidRPr="001A4B94">
        <w:rPr>
          <w:rFonts w:ascii="Times New Roman" w:hAnsi="Times New Roman"/>
          <w:iCs/>
          <w:sz w:val="23"/>
          <w:szCs w:val="23"/>
          <w:lang w:val="tr-TR"/>
        </w:rPr>
        <w:t xml:space="preserve">.  </w:t>
      </w:r>
      <w:r w:rsidR="00AB63C6" w:rsidRPr="001A4B94">
        <w:rPr>
          <w:rFonts w:ascii="Times New Roman" w:hAnsi="Times New Roman"/>
          <w:iCs/>
          <w:sz w:val="23"/>
          <w:szCs w:val="23"/>
          <w:lang w:val="tr-TR"/>
        </w:rPr>
        <w:t xml:space="preserve">Bazı örneklerde </w:t>
      </w:r>
      <w:r w:rsidR="00E06D71" w:rsidRPr="001A4B94">
        <w:rPr>
          <w:rFonts w:ascii="Times New Roman" w:hAnsi="Times New Roman"/>
          <w:iCs/>
          <w:sz w:val="23"/>
          <w:szCs w:val="23"/>
          <w:lang w:val="tr-TR"/>
        </w:rPr>
        <w:t>(</w:t>
      </w:r>
      <w:r w:rsidR="00AB63C6" w:rsidRPr="001A4B94">
        <w:rPr>
          <w:rFonts w:ascii="Times New Roman" w:hAnsi="Times New Roman"/>
          <w:iCs/>
          <w:sz w:val="23"/>
          <w:szCs w:val="23"/>
          <w:lang w:val="tr-TR"/>
        </w:rPr>
        <w:t>b</w:t>
      </w:r>
      <w:r w:rsidR="009538D5" w:rsidRPr="001A4B94">
        <w:rPr>
          <w:rFonts w:ascii="Times New Roman" w:hAnsi="Times New Roman"/>
          <w:iCs/>
          <w:sz w:val="23"/>
          <w:szCs w:val="23"/>
          <w:lang w:val="tr-TR"/>
        </w:rPr>
        <w:t>e</w:t>
      </w:r>
      <w:r w:rsidR="00AB63C6" w:rsidRPr="001A4B94">
        <w:rPr>
          <w:rFonts w:ascii="Times New Roman" w:hAnsi="Times New Roman"/>
          <w:iCs/>
          <w:sz w:val="23"/>
          <w:szCs w:val="23"/>
          <w:lang w:val="tr-TR"/>
        </w:rPr>
        <w:t>lediye geliştirme</w:t>
      </w:r>
      <w:r w:rsidR="00E06D71" w:rsidRPr="001A4B94">
        <w:rPr>
          <w:rFonts w:ascii="Times New Roman" w:hAnsi="Times New Roman"/>
          <w:iCs/>
          <w:sz w:val="23"/>
          <w:szCs w:val="23"/>
          <w:lang w:val="tr-TR"/>
        </w:rPr>
        <w:t xml:space="preserve">, </w:t>
      </w:r>
      <w:r w:rsidR="00AB63C6" w:rsidRPr="001A4B94">
        <w:rPr>
          <w:rFonts w:ascii="Times New Roman" w:hAnsi="Times New Roman"/>
          <w:iCs/>
          <w:sz w:val="23"/>
          <w:szCs w:val="23"/>
          <w:lang w:val="tr-TR"/>
        </w:rPr>
        <w:t>enerji</w:t>
      </w:r>
      <w:r w:rsidR="006E0668" w:rsidRPr="001A4B94">
        <w:rPr>
          <w:rFonts w:ascii="Times New Roman" w:hAnsi="Times New Roman"/>
          <w:iCs/>
          <w:sz w:val="23"/>
          <w:szCs w:val="23"/>
          <w:lang w:val="tr-TR"/>
        </w:rPr>
        <w:t xml:space="preserve">, </w:t>
      </w:r>
      <w:r w:rsidR="00AB63C6" w:rsidRPr="001A4B94">
        <w:rPr>
          <w:rFonts w:ascii="Times New Roman" w:hAnsi="Times New Roman"/>
          <w:iCs/>
          <w:sz w:val="23"/>
          <w:szCs w:val="23"/>
          <w:lang w:val="tr-TR"/>
        </w:rPr>
        <w:t>finansal sektör ve sağlık sektörü</w:t>
      </w:r>
      <w:r w:rsidR="00E06D71" w:rsidRPr="001A4B94">
        <w:rPr>
          <w:rFonts w:ascii="Times New Roman" w:hAnsi="Times New Roman"/>
          <w:iCs/>
          <w:sz w:val="23"/>
          <w:szCs w:val="23"/>
          <w:lang w:val="tr-TR"/>
        </w:rPr>
        <w:t xml:space="preserve">), </w:t>
      </w:r>
      <w:r w:rsidR="00EA26C8" w:rsidRPr="001A4B94">
        <w:rPr>
          <w:rFonts w:ascii="Times New Roman" w:hAnsi="Times New Roman"/>
          <w:iCs/>
          <w:sz w:val="23"/>
          <w:szCs w:val="23"/>
          <w:lang w:val="tr-TR"/>
        </w:rPr>
        <w:t xml:space="preserve">IBRD </w:t>
      </w:r>
      <w:r w:rsidR="00AB63C6" w:rsidRPr="001A4B94">
        <w:rPr>
          <w:rFonts w:ascii="Times New Roman" w:hAnsi="Times New Roman"/>
          <w:iCs/>
          <w:sz w:val="23"/>
          <w:szCs w:val="23"/>
          <w:lang w:val="tr-TR"/>
        </w:rPr>
        <w:t>yukarı yönlü politika reforml</w:t>
      </w:r>
      <w:r w:rsidR="009538D5" w:rsidRPr="001A4B94">
        <w:rPr>
          <w:rFonts w:ascii="Times New Roman" w:hAnsi="Times New Roman"/>
          <w:iCs/>
          <w:sz w:val="23"/>
          <w:szCs w:val="23"/>
          <w:lang w:val="tr-TR"/>
        </w:rPr>
        <w:t>a</w:t>
      </w:r>
      <w:r w:rsidR="00AB63C6" w:rsidRPr="001A4B94">
        <w:rPr>
          <w:rFonts w:ascii="Times New Roman" w:hAnsi="Times New Roman"/>
          <w:iCs/>
          <w:sz w:val="23"/>
          <w:szCs w:val="23"/>
          <w:lang w:val="tr-TR"/>
        </w:rPr>
        <w:t xml:space="preserve">rını desteklemiştir </w:t>
      </w:r>
      <w:r w:rsidR="00427F55" w:rsidRPr="001A4B94">
        <w:rPr>
          <w:rFonts w:ascii="Times New Roman" w:hAnsi="Times New Roman"/>
          <w:iCs/>
          <w:sz w:val="23"/>
          <w:szCs w:val="23"/>
          <w:lang w:val="tr-TR"/>
        </w:rPr>
        <w:t>(</w:t>
      </w:r>
      <w:r w:rsidR="00AB63C6" w:rsidRPr="001A4B94">
        <w:rPr>
          <w:rFonts w:ascii="Times New Roman" w:hAnsi="Times New Roman"/>
          <w:iCs/>
          <w:sz w:val="23"/>
          <w:szCs w:val="23"/>
          <w:lang w:val="tr-TR"/>
        </w:rPr>
        <w:t>DPL’ler yoluyla</w:t>
      </w:r>
      <w:r w:rsidR="00427F55" w:rsidRPr="001A4B94">
        <w:rPr>
          <w:rFonts w:ascii="Times New Roman" w:hAnsi="Times New Roman"/>
          <w:iCs/>
          <w:sz w:val="23"/>
          <w:szCs w:val="23"/>
          <w:lang w:val="tr-TR"/>
        </w:rPr>
        <w:t xml:space="preserve">) </w:t>
      </w:r>
      <w:r w:rsidR="00AB63C6" w:rsidRPr="001A4B94">
        <w:rPr>
          <w:rFonts w:ascii="Times New Roman" w:hAnsi="Times New Roman"/>
          <w:iCs/>
          <w:sz w:val="23"/>
          <w:szCs w:val="23"/>
          <w:lang w:val="tr-TR"/>
        </w:rPr>
        <w:t xml:space="preserve">ve bu durum aşağı yönlü olarak daha güçlü temeller inşa edilmesini sağlayarak  </w:t>
      </w:r>
      <w:r w:rsidR="00EA26C8" w:rsidRPr="001A4B94">
        <w:rPr>
          <w:rFonts w:ascii="Times New Roman" w:hAnsi="Times New Roman"/>
          <w:iCs/>
          <w:sz w:val="23"/>
          <w:szCs w:val="23"/>
          <w:lang w:val="tr-TR"/>
        </w:rPr>
        <w:t>IFC</w:t>
      </w:r>
      <w:r w:rsidR="00464B64" w:rsidRPr="001A4B94">
        <w:rPr>
          <w:rFonts w:ascii="Times New Roman" w:hAnsi="Times New Roman"/>
          <w:iCs/>
          <w:sz w:val="23"/>
          <w:szCs w:val="23"/>
          <w:lang w:val="tr-TR"/>
        </w:rPr>
        <w:t>/MIGA</w:t>
      </w:r>
      <w:r w:rsidR="00EA26C8" w:rsidRPr="001A4B94">
        <w:rPr>
          <w:rFonts w:ascii="Times New Roman" w:hAnsi="Times New Roman"/>
          <w:iCs/>
          <w:sz w:val="23"/>
          <w:szCs w:val="23"/>
          <w:lang w:val="tr-TR"/>
        </w:rPr>
        <w:t xml:space="preserve"> </w:t>
      </w:r>
      <w:r w:rsidR="00AB63C6" w:rsidRPr="001A4B94">
        <w:rPr>
          <w:rFonts w:ascii="Times New Roman" w:hAnsi="Times New Roman"/>
          <w:iCs/>
          <w:sz w:val="23"/>
          <w:szCs w:val="23"/>
          <w:lang w:val="tr-TR"/>
        </w:rPr>
        <w:t xml:space="preserve">çalışmalarının  ve </w:t>
      </w:r>
      <w:r w:rsidR="009538D5" w:rsidRPr="001A4B94">
        <w:rPr>
          <w:rFonts w:ascii="Times New Roman" w:hAnsi="Times New Roman"/>
          <w:iCs/>
          <w:sz w:val="23"/>
          <w:szCs w:val="23"/>
          <w:lang w:val="tr-TR"/>
        </w:rPr>
        <w:t>ö</w:t>
      </w:r>
      <w:r w:rsidR="00AB63C6" w:rsidRPr="001A4B94">
        <w:rPr>
          <w:rFonts w:ascii="Times New Roman" w:hAnsi="Times New Roman"/>
          <w:iCs/>
          <w:sz w:val="23"/>
          <w:szCs w:val="23"/>
          <w:lang w:val="tr-TR"/>
        </w:rPr>
        <w:t>zel sektör yatırıml</w:t>
      </w:r>
      <w:r w:rsidR="009538D5" w:rsidRPr="001A4B94">
        <w:rPr>
          <w:rFonts w:ascii="Times New Roman" w:hAnsi="Times New Roman"/>
          <w:iCs/>
          <w:sz w:val="23"/>
          <w:szCs w:val="23"/>
          <w:lang w:val="tr-TR"/>
        </w:rPr>
        <w:t>a</w:t>
      </w:r>
      <w:r w:rsidR="00AB63C6" w:rsidRPr="001A4B94">
        <w:rPr>
          <w:rFonts w:ascii="Times New Roman" w:hAnsi="Times New Roman"/>
          <w:iCs/>
          <w:sz w:val="23"/>
          <w:szCs w:val="23"/>
          <w:lang w:val="tr-TR"/>
        </w:rPr>
        <w:t xml:space="preserve">rının yolunu açmıştır </w:t>
      </w:r>
      <w:r w:rsidR="00B52693" w:rsidRPr="001A4B94">
        <w:rPr>
          <w:rFonts w:ascii="Times New Roman" w:hAnsi="Times New Roman"/>
          <w:iCs/>
          <w:sz w:val="23"/>
          <w:szCs w:val="23"/>
          <w:lang w:val="tr-TR"/>
        </w:rPr>
        <w:t>(</w:t>
      </w:r>
      <w:r w:rsidR="00AB63C6" w:rsidRPr="001A4B94">
        <w:rPr>
          <w:rFonts w:ascii="Times New Roman" w:hAnsi="Times New Roman"/>
          <w:iCs/>
          <w:sz w:val="23"/>
          <w:szCs w:val="23"/>
          <w:lang w:val="tr-TR"/>
        </w:rPr>
        <w:t xml:space="preserve">Şekil </w:t>
      </w:r>
      <w:r w:rsidR="00B52693" w:rsidRPr="001A4B94">
        <w:rPr>
          <w:rFonts w:ascii="Times New Roman" w:hAnsi="Times New Roman"/>
          <w:iCs/>
          <w:sz w:val="23"/>
          <w:szCs w:val="23"/>
          <w:lang w:val="tr-TR"/>
        </w:rPr>
        <w:t xml:space="preserve">2 </w:t>
      </w:r>
      <w:r w:rsidR="00AB63C6" w:rsidRPr="001A4B94">
        <w:rPr>
          <w:rFonts w:ascii="Times New Roman" w:hAnsi="Times New Roman"/>
          <w:iCs/>
          <w:sz w:val="23"/>
          <w:szCs w:val="23"/>
          <w:lang w:val="tr-TR"/>
        </w:rPr>
        <w:t xml:space="preserve">bu </w:t>
      </w:r>
      <w:r w:rsidR="00862D69" w:rsidRPr="001A4B94">
        <w:rPr>
          <w:rFonts w:ascii="Times New Roman" w:hAnsi="Times New Roman"/>
          <w:iCs/>
          <w:sz w:val="23"/>
          <w:szCs w:val="23"/>
          <w:lang w:val="tr-TR"/>
        </w:rPr>
        <w:t>“</w:t>
      </w:r>
      <w:r w:rsidR="00AB63C6" w:rsidRPr="001A4B94">
        <w:rPr>
          <w:rFonts w:ascii="Times New Roman" w:hAnsi="Times New Roman"/>
          <w:iCs/>
          <w:sz w:val="23"/>
          <w:szCs w:val="23"/>
          <w:lang w:val="tr-TR"/>
        </w:rPr>
        <w:t>Basamaklı</w:t>
      </w:r>
      <w:r w:rsidR="00862D69" w:rsidRPr="001A4B94">
        <w:rPr>
          <w:rFonts w:ascii="Times New Roman" w:hAnsi="Times New Roman"/>
          <w:iCs/>
          <w:sz w:val="23"/>
          <w:szCs w:val="23"/>
          <w:lang w:val="tr-TR"/>
        </w:rPr>
        <w:t>”</w:t>
      </w:r>
      <w:r w:rsidR="00A75FD2" w:rsidRPr="001A4B94">
        <w:rPr>
          <w:rStyle w:val="DipnotBavurusu"/>
          <w:rFonts w:ascii="Times New Roman" w:hAnsi="Times New Roman"/>
          <w:iCs/>
          <w:sz w:val="23"/>
          <w:szCs w:val="23"/>
          <w:lang w:val="tr-TR"/>
        </w:rPr>
        <w:footnoteReference w:id="5"/>
      </w:r>
      <w:r w:rsidR="00862D69" w:rsidRPr="001A4B94">
        <w:rPr>
          <w:rFonts w:ascii="Times New Roman" w:hAnsi="Times New Roman"/>
          <w:iCs/>
          <w:sz w:val="23"/>
          <w:szCs w:val="23"/>
          <w:lang w:val="tr-TR"/>
        </w:rPr>
        <w:t xml:space="preserve"> </w:t>
      </w:r>
      <w:r w:rsidR="00AB63C6" w:rsidRPr="001A4B94">
        <w:rPr>
          <w:rFonts w:ascii="Times New Roman" w:hAnsi="Times New Roman"/>
          <w:iCs/>
          <w:sz w:val="23"/>
          <w:szCs w:val="23"/>
          <w:lang w:val="tr-TR"/>
        </w:rPr>
        <w:t>yaklaşımın enerji sektörü için başarıldığı</w:t>
      </w:r>
      <w:r w:rsidR="009538D5" w:rsidRPr="001A4B94">
        <w:rPr>
          <w:rFonts w:ascii="Times New Roman" w:hAnsi="Times New Roman"/>
          <w:iCs/>
          <w:sz w:val="23"/>
          <w:szCs w:val="23"/>
          <w:lang w:val="tr-TR"/>
        </w:rPr>
        <w:t>n</w:t>
      </w:r>
      <w:r w:rsidR="00AB63C6" w:rsidRPr="001A4B94">
        <w:rPr>
          <w:rFonts w:ascii="Times New Roman" w:hAnsi="Times New Roman"/>
          <w:iCs/>
          <w:sz w:val="23"/>
          <w:szCs w:val="23"/>
          <w:lang w:val="tr-TR"/>
        </w:rPr>
        <w:t>ı göstermektedir</w:t>
      </w:r>
      <w:r w:rsidR="00B52693" w:rsidRPr="001A4B94">
        <w:rPr>
          <w:rFonts w:ascii="Times New Roman" w:hAnsi="Times New Roman"/>
          <w:iCs/>
          <w:sz w:val="23"/>
          <w:szCs w:val="23"/>
          <w:lang w:val="tr-TR"/>
        </w:rPr>
        <w:t>)</w:t>
      </w:r>
      <w:r w:rsidR="00561555" w:rsidRPr="001A4B94">
        <w:rPr>
          <w:rFonts w:ascii="Times New Roman" w:hAnsi="Times New Roman"/>
          <w:iCs/>
          <w:sz w:val="23"/>
          <w:szCs w:val="23"/>
          <w:lang w:val="tr-TR"/>
        </w:rPr>
        <w:t xml:space="preserve">. </w:t>
      </w:r>
      <w:r w:rsidR="00AB63C6" w:rsidRPr="001A4B94">
        <w:rPr>
          <w:rFonts w:ascii="Times New Roman" w:hAnsi="Times New Roman"/>
          <w:iCs/>
          <w:sz w:val="23"/>
          <w:szCs w:val="23"/>
          <w:lang w:val="tr-TR"/>
        </w:rPr>
        <w:t xml:space="preserve">Birleştirme ve kaldıraç </w:t>
      </w:r>
      <w:r w:rsidR="009538D5" w:rsidRPr="001A4B94">
        <w:rPr>
          <w:rFonts w:ascii="Times New Roman" w:hAnsi="Times New Roman"/>
          <w:iCs/>
          <w:sz w:val="23"/>
          <w:szCs w:val="23"/>
          <w:lang w:val="tr-TR"/>
        </w:rPr>
        <w:t>etkisi yaratma kapasitesinden yararlanarak</w:t>
      </w:r>
      <w:r w:rsidR="00E06D71" w:rsidRPr="001A4B94">
        <w:rPr>
          <w:rFonts w:ascii="Times New Roman" w:hAnsi="Times New Roman"/>
          <w:iCs/>
          <w:sz w:val="23"/>
          <w:szCs w:val="23"/>
          <w:lang w:val="tr-TR"/>
        </w:rPr>
        <w:t xml:space="preserve">, IBRD </w:t>
      </w:r>
      <w:r w:rsidR="009538D5" w:rsidRPr="001A4B94">
        <w:rPr>
          <w:rFonts w:ascii="Times New Roman" w:hAnsi="Times New Roman"/>
          <w:iCs/>
          <w:sz w:val="23"/>
          <w:szCs w:val="23"/>
          <w:lang w:val="tr-TR"/>
        </w:rPr>
        <w:t>aynı zamanda DBG dışındaki ortakların da olgunlaşan ve daha iyi performans gösteren bir sektörel çerçeveye dahil olarak y</w:t>
      </w:r>
      <w:r w:rsidR="00FF11AA" w:rsidRPr="001A4B94">
        <w:rPr>
          <w:rFonts w:ascii="Times New Roman" w:hAnsi="Times New Roman"/>
          <w:iCs/>
          <w:sz w:val="23"/>
          <w:szCs w:val="23"/>
          <w:lang w:val="tr-TR"/>
        </w:rPr>
        <w:t>a</w:t>
      </w:r>
      <w:r w:rsidR="009538D5" w:rsidRPr="001A4B94">
        <w:rPr>
          <w:rFonts w:ascii="Times New Roman" w:hAnsi="Times New Roman"/>
          <w:iCs/>
          <w:sz w:val="23"/>
          <w:szCs w:val="23"/>
          <w:lang w:val="tr-TR"/>
        </w:rPr>
        <w:t>tırıml</w:t>
      </w:r>
      <w:r w:rsidR="00FF11AA" w:rsidRPr="001A4B94">
        <w:rPr>
          <w:rFonts w:ascii="Times New Roman" w:hAnsi="Times New Roman"/>
          <w:iCs/>
          <w:sz w:val="23"/>
          <w:szCs w:val="23"/>
          <w:lang w:val="tr-TR"/>
        </w:rPr>
        <w:t>a</w:t>
      </w:r>
      <w:r w:rsidR="009538D5" w:rsidRPr="001A4B94">
        <w:rPr>
          <w:rFonts w:ascii="Times New Roman" w:hAnsi="Times New Roman"/>
          <w:iCs/>
          <w:sz w:val="23"/>
          <w:szCs w:val="23"/>
          <w:lang w:val="tr-TR"/>
        </w:rPr>
        <w:t>ra finansman sağ</w:t>
      </w:r>
      <w:r w:rsidR="00FF11AA" w:rsidRPr="001A4B94">
        <w:rPr>
          <w:rFonts w:ascii="Times New Roman" w:hAnsi="Times New Roman"/>
          <w:iCs/>
          <w:sz w:val="23"/>
          <w:szCs w:val="23"/>
          <w:lang w:val="tr-TR"/>
        </w:rPr>
        <w:t>l</w:t>
      </w:r>
      <w:r w:rsidR="009538D5" w:rsidRPr="001A4B94">
        <w:rPr>
          <w:rFonts w:ascii="Times New Roman" w:hAnsi="Times New Roman"/>
          <w:iCs/>
          <w:sz w:val="23"/>
          <w:szCs w:val="23"/>
          <w:lang w:val="tr-TR"/>
        </w:rPr>
        <w:t>amaları için yukarı yönlü politika danışmanlığı ve kapasite oluşturma desteği sağlamıştır</w:t>
      </w:r>
      <w:r w:rsidR="00BA4F6C" w:rsidRPr="001A4B94">
        <w:rPr>
          <w:rFonts w:ascii="Times New Roman" w:hAnsi="Times New Roman"/>
          <w:iCs/>
          <w:sz w:val="23"/>
          <w:szCs w:val="23"/>
          <w:lang w:val="tr-TR"/>
        </w:rPr>
        <w:t>.</w:t>
      </w:r>
    </w:p>
    <w:p w14:paraId="21977F6E" w14:textId="773A9178" w:rsidR="00A9218B" w:rsidRPr="001A4B94" w:rsidRDefault="00F577A7" w:rsidP="00E43950">
      <w:pPr>
        <w:pStyle w:val="ListeParagraf"/>
        <w:tabs>
          <w:tab w:val="left" w:pos="426"/>
        </w:tabs>
        <w:autoSpaceDE w:val="0"/>
        <w:autoSpaceDN w:val="0"/>
        <w:adjustRightInd w:val="0"/>
        <w:ind w:left="0"/>
        <w:jc w:val="center"/>
        <w:rPr>
          <w:rFonts w:ascii="Times New Roman" w:eastAsia="Times New Roman" w:hAnsi="Times New Roman"/>
          <w:b/>
          <w:bCs/>
          <w:sz w:val="23"/>
          <w:szCs w:val="23"/>
          <w:lang w:val="tr-TR"/>
        </w:rPr>
      </w:pPr>
      <w:r w:rsidRPr="001A4B94">
        <w:rPr>
          <w:rFonts w:ascii="Times New Roman" w:hAnsi="Times New Roman"/>
          <w:b/>
          <w:bCs/>
          <w:iCs/>
          <w:sz w:val="23"/>
          <w:szCs w:val="23"/>
          <w:lang w:val="tr-TR"/>
        </w:rPr>
        <w:lastRenderedPageBreak/>
        <w:t>Şekil</w:t>
      </w:r>
      <w:r w:rsidR="006D4769" w:rsidRPr="001A4B94">
        <w:rPr>
          <w:rFonts w:ascii="Times New Roman" w:hAnsi="Times New Roman"/>
          <w:b/>
          <w:bCs/>
          <w:iCs/>
          <w:sz w:val="23"/>
          <w:szCs w:val="23"/>
          <w:lang w:val="tr-TR"/>
        </w:rPr>
        <w:t xml:space="preserve"> 2</w:t>
      </w:r>
      <w:r w:rsidR="006E0668" w:rsidRPr="001A4B94">
        <w:rPr>
          <w:rFonts w:ascii="Times New Roman" w:hAnsi="Times New Roman"/>
          <w:b/>
          <w:bCs/>
          <w:iCs/>
          <w:sz w:val="23"/>
          <w:szCs w:val="23"/>
          <w:lang w:val="tr-TR"/>
        </w:rPr>
        <w:t xml:space="preserve">:  </w:t>
      </w:r>
      <w:r w:rsidRPr="001A4B94">
        <w:rPr>
          <w:rFonts w:ascii="Times New Roman" w:hAnsi="Times New Roman"/>
          <w:b/>
          <w:bCs/>
          <w:iCs/>
          <w:sz w:val="23"/>
          <w:szCs w:val="23"/>
          <w:lang w:val="tr-TR"/>
        </w:rPr>
        <w:t>Uygulamada basamak yaklaşımı</w:t>
      </w:r>
      <w:r w:rsidR="00862D69" w:rsidRPr="001A4B94">
        <w:rPr>
          <w:rFonts w:ascii="Times New Roman" w:hAnsi="Times New Roman"/>
          <w:b/>
          <w:bCs/>
          <w:iCs/>
          <w:sz w:val="23"/>
          <w:szCs w:val="23"/>
          <w:lang w:val="tr-TR"/>
        </w:rPr>
        <w:t xml:space="preserve">:  </w:t>
      </w:r>
      <w:r w:rsidRPr="001A4B94">
        <w:rPr>
          <w:rFonts w:ascii="Times New Roman" w:hAnsi="Times New Roman"/>
          <w:b/>
          <w:bCs/>
          <w:iCs/>
          <w:sz w:val="23"/>
          <w:szCs w:val="23"/>
          <w:lang w:val="tr-TR"/>
        </w:rPr>
        <w:t>elektrik sektör</w:t>
      </w:r>
      <w:r w:rsidR="000753E3" w:rsidRPr="001A4B94">
        <w:rPr>
          <w:rFonts w:ascii="Times New Roman" w:hAnsi="Times New Roman"/>
          <w:b/>
          <w:bCs/>
          <w:iCs/>
          <w:sz w:val="23"/>
          <w:szCs w:val="23"/>
          <w:lang w:val="tr-TR"/>
        </w:rPr>
        <w:t>ü</w:t>
      </w:r>
      <w:r w:rsidRPr="001A4B94">
        <w:rPr>
          <w:rFonts w:ascii="Times New Roman" w:hAnsi="Times New Roman"/>
          <w:b/>
          <w:bCs/>
          <w:iCs/>
          <w:sz w:val="23"/>
          <w:szCs w:val="23"/>
          <w:lang w:val="tr-TR"/>
        </w:rPr>
        <w:t>n</w:t>
      </w:r>
      <w:r w:rsidR="000753E3" w:rsidRPr="001A4B94">
        <w:rPr>
          <w:rFonts w:ascii="Times New Roman" w:hAnsi="Times New Roman"/>
          <w:b/>
          <w:bCs/>
          <w:iCs/>
          <w:sz w:val="23"/>
          <w:szCs w:val="23"/>
          <w:lang w:val="tr-TR"/>
        </w:rPr>
        <w:t>d</w:t>
      </w:r>
      <w:r w:rsidRPr="001A4B94">
        <w:rPr>
          <w:rFonts w:ascii="Times New Roman" w:hAnsi="Times New Roman"/>
          <w:b/>
          <w:bCs/>
          <w:iCs/>
          <w:sz w:val="23"/>
          <w:szCs w:val="23"/>
          <w:lang w:val="tr-TR"/>
        </w:rPr>
        <w:t xml:space="preserve">e </w:t>
      </w:r>
      <w:r w:rsidR="000753E3" w:rsidRPr="001A4B94">
        <w:rPr>
          <w:rFonts w:ascii="Times New Roman" w:hAnsi="Times New Roman"/>
          <w:b/>
          <w:bCs/>
          <w:iCs/>
          <w:sz w:val="23"/>
          <w:szCs w:val="23"/>
          <w:lang w:val="tr-TR"/>
        </w:rPr>
        <w:t xml:space="preserve">sıralandırılmış DBG müdahaleleri özel sektör yatırımlarını arttırmış ve rekabetçi bir piyasa oluşturmuştur </w:t>
      </w:r>
    </w:p>
    <w:p w14:paraId="7F540904" w14:textId="77777777" w:rsidR="00276072" w:rsidRPr="001A4B94" w:rsidRDefault="00276072" w:rsidP="00276072">
      <w:pPr>
        <w:pStyle w:val="ListeParagraf"/>
        <w:tabs>
          <w:tab w:val="left" w:pos="426"/>
        </w:tabs>
        <w:autoSpaceDE w:val="0"/>
        <w:autoSpaceDN w:val="0"/>
        <w:adjustRightInd w:val="0"/>
        <w:ind w:left="0"/>
        <w:jc w:val="center"/>
        <w:rPr>
          <w:rFonts w:ascii="Times New Roman" w:eastAsia="Times New Roman" w:hAnsi="Times New Roman"/>
          <w:b/>
          <w:bCs/>
          <w:sz w:val="24"/>
          <w:szCs w:val="24"/>
          <w:lang w:val="tr-TR"/>
        </w:rPr>
      </w:pPr>
      <w:bookmarkStart w:id="9" w:name="_GoBack"/>
      <w:r w:rsidRPr="001A4B94">
        <w:rPr>
          <w:rFonts w:ascii="Times New Roman" w:eastAsia="Times New Roman" w:hAnsi="Times New Roman"/>
          <w:b/>
          <w:bCs/>
          <w:noProof/>
          <w:sz w:val="24"/>
          <w:szCs w:val="24"/>
          <w:lang w:val="en-GB" w:eastAsia="en-GB"/>
        </w:rPr>
        <w:drawing>
          <wp:inline distT="0" distB="0" distL="0" distR="0" wp14:anchorId="55EAD61D" wp14:editId="2D24F386">
            <wp:extent cx="5934075" cy="3343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bookmarkEnd w:id="9"/>
    </w:p>
    <w:p w14:paraId="7CCF054B" w14:textId="2B9BB188" w:rsidR="001F4545" w:rsidRPr="001A4B94" w:rsidRDefault="001F4545" w:rsidP="00F21143">
      <w:pPr>
        <w:pStyle w:val="ListeParagraf"/>
        <w:tabs>
          <w:tab w:val="left" w:pos="426"/>
        </w:tabs>
        <w:autoSpaceDE w:val="0"/>
        <w:autoSpaceDN w:val="0"/>
        <w:adjustRightInd w:val="0"/>
        <w:ind w:left="0"/>
        <w:jc w:val="center"/>
        <w:rPr>
          <w:rFonts w:ascii="Times New Roman" w:eastAsia="Times New Roman" w:hAnsi="Times New Roman"/>
          <w:b/>
          <w:bCs/>
          <w:sz w:val="23"/>
          <w:szCs w:val="23"/>
          <w:lang w:val="tr-TR"/>
        </w:rPr>
      </w:pPr>
    </w:p>
    <w:p w14:paraId="2B927FB6" w14:textId="68AD5431" w:rsidR="00BE6BD5" w:rsidRPr="001A4B94" w:rsidRDefault="00B061A5" w:rsidP="00750C63">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iCs/>
          <w:sz w:val="23"/>
          <w:szCs w:val="23"/>
          <w:lang w:val="tr-TR"/>
        </w:rPr>
      </w:pPr>
      <w:r w:rsidRPr="001A4B94">
        <w:rPr>
          <w:rFonts w:ascii="Times New Roman" w:hAnsi="Times New Roman"/>
          <w:b/>
          <w:bCs/>
          <w:sz w:val="23"/>
          <w:szCs w:val="23"/>
          <w:lang w:val="tr-TR"/>
        </w:rPr>
        <w:t>Özellikle IBRD proje finansmanı için olmak üzere DBG faaliyetlerine yönelik yeni alanlar</w:t>
      </w:r>
      <w:r w:rsidR="006D0D00" w:rsidRPr="001A4B94">
        <w:rPr>
          <w:rFonts w:ascii="Times New Roman" w:hAnsi="Times New Roman"/>
          <w:b/>
          <w:bCs/>
          <w:sz w:val="23"/>
          <w:szCs w:val="23"/>
          <w:lang w:val="tr-TR"/>
        </w:rPr>
        <w:t xml:space="preserve"> </w:t>
      </w:r>
      <w:r w:rsidRPr="001A4B94">
        <w:rPr>
          <w:rFonts w:ascii="Times New Roman" w:hAnsi="Times New Roman"/>
          <w:b/>
          <w:bCs/>
          <w:sz w:val="23"/>
          <w:szCs w:val="23"/>
          <w:lang w:val="tr-TR"/>
        </w:rPr>
        <w:t xml:space="preserve">geliştirmek için önemli zaman ve çabaya ihtiyaç duyulmaktadır.  </w:t>
      </w:r>
      <w:r w:rsidRPr="001A4B94">
        <w:rPr>
          <w:rFonts w:ascii="Times New Roman" w:hAnsi="Times New Roman"/>
          <w:iCs/>
          <w:sz w:val="23"/>
          <w:szCs w:val="23"/>
          <w:lang w:val="tr-TR"/>
        </w:rPr>
        <w:t>IFC’nin Türkiye’deki programını büyütmede yakaladığı başarı büyük ölçüde şirketler ve belediyeler ile uzun vadeli ortaklıklara yatırım yapmasından kaynaklanmıştır. IFC’nin İstanbul’da açtığı ve Washington DC merkezi dışındaki en büyük ofisi olan merkez bunda kolaylaştırıcı bir etki yaratmıştır. IBRD’nın enerji sektörü ve finansal sektörde başarısı da benzer şekilde güven tesis etmek için, değer ortaya koyma kararlılı</w:t>
      </w:r>
      <w:r w:rsidR="00C7299F" w:rsidRPr="001A4B94">
        <w:rPr>
          <w:rFonts w:ascii="Times New Roman" w:hAnsi="Times New Roman"/>
          <w:iCs/>
          <w:sz w:val="23"/>
          <w:szCs w:val="23"/>
          <w:lang w:val="tr-TR"/>
        </w:rPr>
        <w:t>ğı</w:t>
      </w:r>
      <w:r w:rsidRPr="001A4B94">
        <w:rPr>
          <w:rFonts w:ascii="Times New Roman" w:hAnsi="Times New Roman"/>
          <w:iCs/>
          <w:sz w:val="23"/>
          <w:szCs w:val="23"/>
          <w:lang w:val="tr-TR"/>
        </w:rPr>
        <w:t xml:space="preserve"> sağlamak ve Dünya Bankası prosedürleri ile çalışma bilgisi oluşturmak için uzun vadeli bir ortak çalışma gerektirmiştir. CLR Raporu, Dünya Bankası Grubu programının bu ilişkilerin halihazırda mevcut olduğu, programlamanın başarı</w:t>
      </w:r>
      <w:r w:rsidR="00E32B9F" w:rsidRPr="001A4B94">
        <w:rPr>
          <w:rFonts w:ascii="Times New Roman" w:hAnsi="Times New Roman"/>
          <w:iCs/>
          <w:sz w:val="23"/>
          <w:szCs w:val="23"/>
          <w:lang w:val="tr-TR"/>
        </w:rPr>
        <w:t>lı</w:t>
      </w:r>
      <w:r w:rsidRPr="001A4B94">
        <w:rPr>
          <w:rFonts w:ascii="Times New Roman" w:hAnsi="Times New Roman"/>
          <w:iCs/>
          <w:sz w:val="23"/>
          <w:szCs w:val="23"/>
          <w:lang w:val="tr-TR"/>
        </w:rPr>
        <w:t xml:space="preserve"> olduğu ve ifade edilen müşteri talebinin yüksek olduğu sektörlerde odaklanmaya devam etmesini tavsiye etmektedir. </w:t>
      </w:r>
      <w:r w:rsidR="00E32B9F" w:rsidRPr="001A4B94">
        <w:rPr>
          <w:rFonts w:ascii="Times New Roman" w:hAnsi="Times New Roman"/>
          <w:iCs/>
          <w:sz w:val="23"/>
          <w:szCs w:val="23"/>
          <w:lang w:val="tr-TR"/>
        </w:rPr>
        <w:t>CLR a</w:t>
      </w:r>
      <w:r w:rsidRPr="001A4B94">
        <w:rPr>
          <w:rFonts w:ascii="Times New Roman" w:hAnsi="Times New Roman"/>
          <w:iCs/>
          <w:sz w:val="23"/>
          <w:szCs w:val="23"/>
          <w:lang w:val="tr-TR"/>
        </w:rPr>
        <w:t>ynı zamanda programın yeni kalkınma önceliklerini ele alacak şekilde genişletilmeye devam etmesi gerektiği ancak bunun bilinçli bir yaklaşım yoluyla yürütülmesi gerektiği (çünkü bu önemli  düzeyde başlangıç maliyetleri, uzun bir olgunlaşma süreci ve gelecekteki başarı için belirsizlik içermektedir) sonucuna varmaktadır</w:t>
      </w:r>
      <w:r w:rsidR="00BE6BD5" w:rsidRPr="001A4B94">
        <w:rPr>
          <w:rFonts w:ascii="Times New Roman" w:hAnsi="Times New Roman"/>
          <w:bCs/>
          <w:sz w:val="23"/>
          <w:szCs w:val="23"/>
          <w:lang w:val="tr-TR"/>
        </w:rPr>
        <w:t xml:space="preserve">. </w:t>
      </w:r>
    </w:p>
    <w:p w14:paraId="2E3A25A9" w14:textId="77777777" w:rsidR="00BE6BD5" w:rsidRPr="001A4B94" w:rsidRDefault="00BE6BD5" w:rsidP="00BE6BD5">
      <w:pPr>
        <w:pStyle w:val="ListeParagraf"/>
        <w:tabs>
          <w:tab w:val="left" w:pos="426"/>
        </w:tabs>
        <w:autoSpaceDE w:val="0"/>
        <w:autoSpaceDN w:val="0"/>
        <w:adjustRightInd w:val="0"/>
        <w:spacing w:after="0" w:line="240" w:lineRule="auto"/>
        <w:ind w:left="0"/>
        <w:jc w:val="both"/>
        <w:rPr>
          <w:rFonts w:ascii="Times New Roman" w:hAnsi="Times New Roman"/>
          <w:iCs/>
          <w:sz w:val="23"/>
          <w:szCs w:val="23"/>
          <w:lang w:val="tr-TR"/>
        </w:rPr>
      </w:pPr>
    </w:p>
    <w:p w14:paraId="5E0072C5" w14:textId="78EC85C4" w:rsidR="001F403C" w:rsidRPr="001A4B94" w:rsidRDefault="002551D5" w:rsidP="00CB533A">
      <w:pPr>
        <w:pStyle w:val="ListeParagraf"/>
        <w:numPr>
          <w:ilvl w:val="0"/>
          <w:numId w:val="2"/>
        </w:numPr>
        <w:tabs>
          <w:tab w:val="left" w:pos="426"/>
        </w:tabs>
        <w:autoSpaceDE w:val="0"/>
        <w:autoSpaceDN w:val="0"/>
        <w:adjustRightInd w:val="0"/>
        <w:spacing w:after="0" w:line="240" w:lineRule="auto"/>
        <w:ind w:left="0" w:firstLine="0"/>
        <w:jc w:val="both"/>
        <w:rPr>
          <w:rFonts w:ascii="Times New Roman" w:hAnsi="Times New Roman"/>
          <w:iCs/>
          <w:sz w:val="23"/>
          <w:szCs w:val="23"/>
          <w:lang w:val="tr-TR"/>
        </w:rPr>
      </w:pPr>
      <w:r w:rsidRPr="001A4B94">
        <w:rPr>
          <w:rFonts w:ascii="Times New Roman" w:hAnsi="Times New Roman"/>
          <w:b/>
          <w:iCs/>
          <w:sz w:val="23"/>
          <w:szCs w:val="23"/>
          <w:lang w:val="tr-TR"/>
        </w:rPr>
        <w:t xml:space="preserve">Danışmanlık Hizmetleri ve Analitik Çalışmalar (ASA) Dünya Bankası Grubunun Türkiye’deki programının bir köşe taşını oluşturmaktadır ancak önümüzdeki dönemde müşteri taleplerine ve sahiplenmesine daha fazla cevap vermelidir.  </w:t>
      </w:r>
      <w:r w:rsidRPr="001A4B94">
        <w:rPr>
          <w:rFonts w:ascii="Times New Roman" w:hAnsi="Times New Roman"/>
          <w:iCs/>
          <w:sz w:val="23"/>
          <w:szCs w:val="23"/>
          <w:lang w:val="tr-TR"/>
        </w:rPr>
        <w:t>DBG’nin kalkınma etkisini artırmak için</w:t>
      </w:r>
      <w:r w:rsidR="00E32B9F" w:rsidRPr="001A4B94">
        <w:rPr>
          <w:rFonts w:ascii="Times New Roman" w:hAnsi="Times New Roman"/>
          <w:iCs/>
          <w:sz w:val="23"/>
          <w:szCs w:val="23"/>
          <w:lang w:val="tr-TR"/>
        </w:rPr>
        <w:t>,</w:t>
      </w:r>
      <w:r w:rsidRPr="001A4B94">
        <w:rPr>
          <w:rFonts w:ascii="Times New Roman" w:hAnsi="Times New Roman"/>
          <w:iCs/>
          <w:sz w:val="23"/>
          <w:szCs w:val="23"/>
          <w:lang w:val="tr-TR"/>
        </w:rPr>
        <w:t xml:space="preserve"> ASA çalışmaları stratejik olarak DBG’nin karşılaştırmalı avantaja sahip olduğu, politika reformunun veya kurumsal reformun aktif olarak düşünülmekte olduğu, ihtiyaç duyulan verilerin mevcut olduğu ve hükümet tarafındaki karar verme yetkisine sahip muhatapların DBG’yi tanıdığı ve bilgilerinden yararlanmak istediği sektörlerde gerçekleştirilmelidir. DBG ASA çalışmalarını müşteri talebinin olduğu yerlerde odaklandırmaya ve yeni Geri Ödenebilir Danışmanlık Hizmetleri (RAS) çalışmalarını da yine buralarda geliştirmeye devam etmelidir. Ayrıca Türkiye’nin ulusal kalkınma amaçları ve DBG’nin ikiz hedefleri ile uyumlu bir konuda di</w:t>
      </w:r>
      <w:r w:rsidR="006D0D00" w:rsidRPr="001A4B94">
        <w:rPr>
          <w:rFonts w:ascii="Times New Roman" w:hAnsi="Times New Roman"/>
          <w:iCs/>
          <w:sz w:val="23"/>
          <w:szCs w:val="23"/>
          <w:lang w:val="tr-TR"/>
        </w:rPr>
        <w:t>y</w:t>
      </w:r>
      <w:r w:rsidRPr="001A4B94">
        <w:rPr>
          <w:rFonts w:ascii="Times New Roman" w:hAnsi="Times New Roman"/>
          <w:iCs/>
          <w:sz w:val="23"/>
          <w:szCs w:val="23"/>
          <w:lang w:val="tr-TR"/>
        </w:rPr>
        <w:t>alog başlatmaya çalışan yeni alanlarda da daha fazla ASA fırsatları olacaktır</w:t>
      </w:r>
      <w:r w:rsidR="00105BE7" w:rsidRPr="001A4B94">
        <w:rPr>
          <w:rFonts w:ascii="Times New Roman" w:hAnsi="Times New Roman"/>
          <w:iCs/>
          <w:sz w:val="23"/>
          <w:szCs w:val="23"/>
          <w:lang w:val="tr-TR"/>
        </w:rPr>
        <w:t xml:space="preserve">.  </w:t>
      </w:r>
    </w:p>
    <w:p w14:paraId="5A6953E8" w14:textId="238BECA3" w:rsidR="00791AB8" w:rsidRPr="001A4B94" w:rsidRDefault="00824006" w:rsidP="00791AB8">
      <w:pPr>
        <w:pStyle w:val="Balk2"/>
        <w:rPr>
          <w:rFonts w:ascii="Times New Roman" w:hAnsi="Times New Roman" w:cs="Times New Roman"/>
          <w:b/>
          <w:color w:val="auto"/>
          <w:lang w:val="tr-TR"/>
        </w:rPr>
      </w:pPr>
      <w:bookmarkStart w:id="10" w:name="_Toc494977328"/>
      <w:r w:rsidRPr="001A4B94">
        <w:rPr>
          <w:rFonts w:ascii="Times New Roman" w:hAnsi="Times New Roman" w:cs="Times New Roman"/>
          <w:b/>
          <w:color w:val="auto"/>
          <w:lang w:val="tr-TR"/>
        </w:rPr>
        <w:lastRenderedPageBreak/>
        <w:t>III</w:t>
      </w:r>
      <w:r w:rsidR="00791AB8" w:rsidRPr="001A4B94">
        <w:rPr>
          <w:rFonts w:ascii="Times New Roman" w:hAnsi="Times New Roman" w:cs="Times New Roman"/>
          <w:b/>
          <w:color w:val="auto"/>
          <w:lang w:val="tr-TR"/>
        </w:rPr>
        <w:t xml:space="preserve">.3. </w:t>
      </w:r>
      <w:r w:rsidR="006D0D00" w:rsidRPr="001A4B94">
        <w:rPr>
          <w:rFonts w:ascii="Times New Roman" w:hAnsi="Times New Roman" w:cs="Times New Roman"/>
          <w:b/>
          <w:color w:val="auto"/>
          <w:lang w:val="tr-TR"/>
        </w:rPr>
        <w:t>2018-21 MY dönemi için önerilen DBG Ülke İşbirliği Çerçevesi</w:t>
      </w:r>
      <w:bookmarkEnd w:id="10"/>
    </w:p>
    <w:p w14:paraId="7A10325F" w14:textId="77777777" w:rsidR="00791AB8" w:rsidRPr="001A4B94" w:rsidRDefault="00791AB8" w:rsidP="00130F62">
      <w:pPr>
        <w:rPr>
          <w:b/>
          <w:i/>
          <w:sz w:val="8"/>
          <w:szCs w:val="8"/>
          <w:lang w:val="tr-TR"/>
        </w:rPr>
      </w:pPr>
    </w:p>
    <w:p w14:paraId="292D46FE" w14:textId="1F895BC4" w:rsidR="0048603E" w:rsidRPr="001A4B94" w:rsidRDefault="006D0D00" w:rsidP="0048603E">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eastAsia="MS Mincho" w:hAnsi="Times New Roman"/>
          <w:b/>
          <w:sz w:val="23"/>
          <w:szCs w:val="23"/>
          <w:lang w:val="tr-TR"/>
        </w:rPr>
        <w:t>Yeni Ülke İşbirliği Çerçevesinin (CPF) genel amacı</w:t>
      </w:r>
      <w:r w:rsidR="00105C77" w:rsidRPr="001A4B94">
        <w:rPr>
          <w:rFonts w:ascii="Times New Roman" w:eastAsia="MS Mincho" w:hAnsi="Times New Roman"/>
          <w:b/>
          <w:sz w:val="23"/>
          <w:szCs w:val="23"/>
          <w:lang w:val="tr-TR"/>
        </w:rPr>
        <w:t>,</w:t>
      </w:r>
      <w:r w:rsidRPr="001A4B94">
        <w:rPr>
          <w:rFonts w:ascii="Times New Roman" w:eastAsia="MS Mincho" w:hAnsi="Times New Roman"/>
          <w:b/>
          <w:sz w:val="23"/>
          <w:szCs w:val="23"/>
          <w:lang w:val="tr-TR"/>
        </w:rPr>
        <w:t xml:space="preserve"> Türkiye’nin daha sürdürülebilir ve kapsayıcı bir büyüme hedefine ulaşmasına yardımcı olmaktır. </w:t>
      </w:r>
      <w:r w:rsidRPr="001A4B94">
        <w:rPr>
          <w:rFonts w:ascii="Times New Roman" w:eastAsia="MS Mincho" w:hAnsi="Times New Roman"/>
          <w:iCs/>
          <w:sz w:val="23"/>
          <w:szCs w:val="23"/>
          <w:lang w:val="tr-TR"/>
        </w:rPr>
        <w:t xml:space="preserve">Türkiye’nin altta yatan </w:t>
      </w:r>
      <w:r w:rsidR="00E32B9F" w:rsidRPr="001A4B94">
        <w:rPr>
          <w:rFonts w:ascii="Times New Roman" w:eastAsia="MS Mincho" w:hAnsi="Times New Roman"/>
          <w:iCs/>
          <w:sz w:val="23"/>
          <w:szCs w:val="23"/>
          <w:lang w:val="tr-TR"/>
        </w:rPr>
        <w:t xml:space="preserve">güçlü </w:t>
      </w:r>
      <w:r w:rsidRPr="001A4B94">
        <w:rPr>
          <w:rFonts w:ascii="Times New Roman" w:eastAsia="MS Mincho" w:hAnsi="Times New Roman"/>
          <w:iCs/>
          <w:sz w:val="23"/>
          <w:szCs w:val="23"/>
          <w:lang w:val="tr-TR"/>
        </w:rPr>
        <w:t>temelleri, sağlam kalkınma planı ve DBG ile uzun süredir olan işbirliği, Türkiye’nin yoksulluğu azaltmasına ve paylaşılan refahı artırmasına yardımcı olacak bir DBG programı tasarlamak için iyi bir çerçeve sunmaktadır. Aynı zamanda jeopolitik, güvenlik ve ekonomi ile ilgili gelişmeler de son zamanlarda elde ettiği kazanımları</w:t>
      </w:r>
      <w:r w:rsidR="00E32B9F" w:rsidRPr="001A4B94">
        <w:rPr>
          <w:rFonts w:ascii="Times New Roman" w:eastAsia="MS Mincho" w:hAnsi="Times New Roman"/>
          <w:iCs/>
          <w:sz w:val="23"/>
          <w:szCs w:val="23"/>
          <w:lang w:val="tr-TR"/>
        </w:rPr>
        <w:t>n</w:t>
      </w:r>
      <w:r w:rsidRPr="001A4B94">
        <w:rPr>
          <w:rFonts w:ascii="Times New Roman" w:eastAsia="MS Mincho" w:hAnsi="Times New Roman"/>
          <w:iCs/>
          <w:sz w:val="23"/>
          <w:szCs w:val="23"/>
          <w:lang w:val="tr-TR"/>
        </w:rPr>
        <w:t xml:space="preserve"> bazılarını koruma veya konsolide etme yeteneğini zorlamaktadır. Bu ortamda DBG’nin çoğunlukla bilinen çalışma programları olmak üzere kilit orta ve uzun vadeli amaçları üzerinde odaklanan ancak aynı zamanda fırsatlara cevap veren ve değişen koşullar ışığında dönem ortası düzeltmelere olanak tanıyan esnek bir yaklaşım benimsemesi gerekmektedir. Özellikle  DBG’nin Türkiye’de geçmiş dönemlerde ortak çalışmalarından çıkarılan dersler (örneğin enerji sektöründe)</w:t>
      </w:r>
      <w:r w:rsidR="00CB60F7" w:rsidRPr="001A4B94">
        <w:rPr>
          <w:rFonts w:ascii="Times New Roman" w:eastAsia="MS Mincho" w:hAnsi="Times New Roman"/>
          <w:iCs/>
          <w:sz w:val="23"/>
          <w:szCs w:val="23"/>
          <w:lang w:val="tr-TR"/>
        </w:rPr>
        <w:t>,</w:t>
      </w:r>
      <w:r w:rsidRPr="001A4B94">
        <w:rPr>
          <w:rFonts w:ascii="Times New Roman" w:eastAsia="MS Mincho" w:hAnsi="Times New Roman"/>
          <w:iCs/>
          <w:sz w:val="23"/>
          <w:szCs w:val="23"/>
          <w:lang w:val="tr-TR"/>
        </w:rPr>
        <w:t xml:space="preserve"> güven ortamının oluşturulması ve DBG’nin Türkiye’nin kalkınma hedeflerine ulaşmasına yardımcı olmada sağladığı değerin ortaya konulması için seçici, istikrarlı ve destekleyici bir ortak çalışmaya ihtiyaç duyulduğunu vurgulamaktadır</w:t>
      </w:r>
      <w:r w:rsidR="00344158" w:rsidRPr="001A4B94">
        <w:rPr>
          <w:rFonts w:ascii="Times New Roman" w:hAnsi="Times New Roman"/>
          <w:iCs/>
          <w:sz w:val="23"/>
          <w:szCs w:val="23"/>
          <w:lang w:val="tr-TR"/>
        </w:rPr>
        <w:t xml:space="preserve">.  </w:t>
      </w:r>
    </w:p>
    <w:p w14:paraId="22A2A8D2" w14:textId="2185A1AF" w:rsidR="00D322A4" w:rsidRPr="001A4B94" w:rsidRDefault="00D322A4" w:rsidP="0069584B">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2E2E1C30" w14:textId="252F441F" w:rsidR="00561555" w:rsidRPr="001A4B94" w:rsidRDefault="006D0D00" w:rsidP="0048603E">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Hem stratejik düzeyde hem de amaç düzeyinde DBG programını tanımlamak için üç seçicilik filtresi kullanılmıştır</w:t>
      </w:r>
      <w:r w:rsidR="00C01D09" w:rsidRPr="001A4B94">
        <w:rPr>
          <w:rFonts w:ascii="Times New Roman" w:hAnsi="Times New Roman"/>
          <w:sz w:val="23"/>
          <w:szCs w:val="23"/>
          <w:lang w:val="tr-TR"/>
        </w:rPr>
        <w:t>:</w:t>
      </w:r>
    </w:p>
    <w:p w14:paraId="7AF2462F" w14:textId="40861B64" w:rsidR="00905FC4" w:rsidRPr="001A4B94" w:rsidRDefault="00A43154" w:rsidP="003906ED">
      <w:pPr>
        <w:pStyle w:val="ListeParagraf"/>
        <w:tabs>
          <w:tab w:val="left" w:pos="426"/>
          <w:tab w:val="left" w:pos="2970"/>
        </w:tabs>
        <w:autoSpaceDE w:val="0"/>
        <w:autoSpaceDN w:val="0"/>
        <w:adjustRightInd w:val="0"/>
        <w:spacing w:after="0" w:line="240" w:lineRule="auto"/>
        <w:ind w:left="1152"/>
        <w:jc w:val="both"/>
        <w:rPr>
          <w:rFonts w:ascii="Times New Roman" w:eastAsia="MS Mincho" w:hAnsi="Times New Roman"/>
          <w:b/>
          <w:sz w:val="24"/>
          <w:lang w:val="tr-TR"/>
        </w:rPr>
      </w:pPr>
      <w:r w:rsidRPr="001A4B94">
        <w:rPr>
          <w:rFonts w:ascii="Times New Roman" w:eastAsia="MS Mincho" w:hAnsi="Times New Roman"/>
          <w:b/>
          <w:sz w:val="24"/>
          <w:lang w:val="tr-TR"/>
        </w:rPr>
        <w:tab/>
      </w:r>
      <w:r w:rsidR="0014190B" w:rsidRPr="001A4B94">
        <w:rPr>
          <w:noProof/>
          <w:lang w:val="en-GB" w:eastAsia="en-GB"/>
        </w:rPr>
        <w:drawing>
          <wp:inline distT="0" distB="0" distL="0" distR="0" wp14:anchorId="12EC39C2" wp14:editId="0B7082F9">
            <wp:extent cx="2510790" cy="894248"/>
            <wp:effectExtent l="0" t="0" r="3810" b="127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6295" cy="921140"/>
                    </a:xfrm>
                    <a:prstGeom prst="rect">
                      <a:avLst/>
                    </a:prstGeom>
                    <a:noFill/>
                  </pic:spPr>
                </pic:pic>
              </a:graphicData>
            </a:graphic>
          </wp:inline>
        </w:drawing>
      </w:r>
    </w:p>
    <w:p w14:paraId="58AFB133" w14:textId="77777777" w:rsidR="00C95B79" w:rsidRPr="001A4B94" w:rsidRDefault="00C95B79" w:rsidP="003906ED">
      <w:pPr>
        <w:pStyle w:val="ListeParagraf"/>
        <w:tabs>
          <w:tab w:val="left" w:pos="426"/>
          <w:tab w:val="left" w:pos="2970"/>
        </w:tabs>
        <w:autoSpaceDE w:val="0"/>
        <w:autoSpaceDN w:val="0"/>
        <w:adjustRightInd w:val="0"/>
        <w:spacing w:after="0" w:line="240" w:lineRule="auto"/>
        <w:ind w:left="1152"/>
        <w:jc w:val="both"/>
        <w:rPr>
          <w:rFonts w:ascii="Times New Roman" w:eastAsia="MS Mincho" w:hAnsi="Times New Roman"/>
          <w:b/>
          <w:sz w:val="12"/>
          <w:szCs w:val="12"/>
          <w:lang w:val="tr-TR"/>
        </w:rPr>
      </w:pPr>
    </w:p>
    <w:p w14:paraId="1DC7D990" w14:textId="0FE277DA" w:rsidR="0069584B" w:rsidRPr="001A4B94" w:rsidRDefault="00441868" w:rsidP="0069584B">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
          <w:iCs/>
          <w:sz w:val="23"/>
          <w:szCs w:val="23"/>
          <w:lang w:val="tr-TR"/>
        </w:rPr>
        <w:t>1’inci Seçicilik Filtresi: 10’uncu KP ile uyum</w:t>
      </w:r>
      <w:r w:rsidR="00561555" w:rsidRPr="001A4B94">
        <w:rPr>
          <w:rFonts w:ascii="Times New Roman" w:hAnsi="Times New Roman"/>
          <w:b/>
          <w:i/>
          <w:iCs/>
          <w:sz w:val="23"/>
          <w:szCs w:val="23"/>
          <w:lang w:val="tr-TR"/>
        </w:rPr>
        <w:t>.</w:t>
      </w:r>
      <w:r w:rsidR="00561555" w:rsidRPr="001A4B94">
        <w:rPr>
          <w:rFonts w:ascii="Times New Roman" w:hAnsi="Times New Roman"/>
          <w:b/>
          <w:iCs/>
          <w:sz w:val="23"/>
          <w:szCs w:val="23"/>
          <w:lang w:val="tr-TR"/>
        </w:rPr>
        <w:t xml:space="preserve">  </w:t>
      </w:r>
      <w:r w:rsidRPr="001A4B94">
        <w:rPr>
          <w:rFonts w:ascii="Times New Roman" w:hAnsi="Times New Roman"/>
          <w:iCs/>
          <w:sz w:val="23"/>
          <w:szCs w:val="23"/>
          <w:lang w:val="tr-TR"/>
        </w:rPr>
        <w:t>Ülke</w:t>
      </w:r>
      <w:r w:rsidR="00EB3DE9" w:rsidRPr="001A4B94">
        <w:rPr>
          <w:rFonts w:ascii="Times New Roman" w:hAnsi="Times New Roman"/>
          <w:iCs/>
          <w:sz w:val="23"/>
          <w:szCs w:val="23"/>
          <w:lang w:val="tr-TR"/>
        </w:rPr>
        <w:t xml:space="preserve"> </w:t>
      </w:r>
      <w:r w:rsidRPr="001A4B94">
        <w:rPr>
          <w:rFonts w:ascii="Times New Roman" w:hAnsi="Times New Roman"/>
          <w:iCs/>
          <w:sz w:val="23"/>
          <w:szCs w:val="23"/>
          <w:lang w:val="tr-TR"/>
        </w:rPr>
        <w:t>İşbirliği Çerçevesi</w:t>
      </w:r>
      <w:r w:rsidR="00CB757E" w:rsidRPr="001A4B94">
        <w:rPr>
          <w:rFonts w:ascii="Times New Roman" w:hAnsi="Times New Roman"/>
          <w:iCs/>
          <w:sz w:val="23"/>
          <w:szCs w:val="23"/>
          <w:lang w:val="tr-TR"/>
        </w:rPr>
        <w:t xml:space="preserve">, belirtilen reformlar için olumlu </w:t>
      </w:r>
      <w:r w:rsidRPr="001A4B94">
        <w:rPr>
          <w:rFonts w:ascii="Times New Roman" w:hAnsi="Times New Roman"/>
          <w:iCs/>
          <w:sz w:val="23"/>
          <w:szCs w:val="23"/>
          <w:lang w:val="tr-TR"/>
        </w:rPr>
        <w:t xml:space="preserve"> </w:t>
      </w:r>
      <w:r w:rsidR="00CB757E" w:rsidRPr="001A4B94">
        <w:rPr>
          <w:rFonts w:ascii="Times New Roman" w:hAnsi="Times New Roman"/>
          <w:iCs/>
          <w:sz w:val="23"/>
          <w:szCs w:val="23"/>
          <w:lang w:val="tr-TR"/>
        </w:rPr>
        <w:t>momentuma katkıda bulunarak ve olası geriye gidişleri engelleyerek KP uygulamasını desteklemeyi amaçlamaktadır</w:t>
      </w:r>
      <w:r w:rsidR="001711E7" w:rsidRPr="001A4B94">
        <w:rPr>
          <w:rFonts w:ascii="Times New Roman" w:hAnsi="Times New Roman"/>
          <w:iCs/>
          <w:sz w:val="23"/>
          <w:szCs w:val="23"/>
          <w:lang w:val="tr-TR"/>
        </w:rPr>
        <w:t xml:space="preserve">.  </w:t>
      </w:r>
      <w:r w:rsidR="00D00324" w:rsidRPr="001A4B94">
        <w:rPr>
          <w:rFonts w:ascii="Times New Roman" w:hAnsi="Times New Roman"/>
          <w:iCs/>
          <w:sz w:val="23"/>
          <w:szCs w:val="23"/>
          <w:lang w:val="tr-TR"/>
        </w:rPr>
        <w:t xml:space="preserve">Bu, KP uygulamasının DBG’nin nerelerde en fazla değer katabileceğinin, nerelerde olumlu değişiklikleri derinleştirebileceğinin veya hızlandırabileceğinin ve spesifik sorunlara karşı verilecek uygun cevapların şekillendirilmesine nerelerde yardımcı olabileceğinin eleştirel bir değerlendirmesini de içermektedir. </w:t>
      </w:r>
      <w:r w:rsidR="00C01D09" w:rsidRPr="001A4B94">
        <w:rPr>
          <w:rFonts w:ascii="Times New Roman" w:hAnsi="Times New Roman"/>
          <w:iCs/>
          <w:sz w:val="23"/>
          <w:szCs w:val="23"/>
          <w:lang w:val="tr-TR"/>
        </w:rPr>
        <w:t>(</w:t>
      </w:r>
      <w:r w:rsidR="00D00324" w:rsidRPr="001A4B94">
        <w:rPr>
          <w:rFonts w:ascii="Times New Roman" w:hAnsi="Times New Roman"/>
          <w:iCs/>
          <w:sz w:val="23"/>
          <w:szCs w:val="23"/>
          <w:lang w:val="tr-TR"/>
        </w:rPr>
        <w:t>özellikle DBG’nin ikiz hedeflerini ilgilendirenler</w:t>
      </w:r>
      <w:r w:rsidR="00C01D09" w:rsidRPr="001A4B94">
        <w:rPr>
          <w:rFonts w:ascii="Times New Roman" w:hAnsi="Times New Roman"/>
          <w:iCs/>
          <w:sz w:val="23"/>
          <w:szCs w:val="23"/>
          <w:lang w:val="tr-TR"/>
        </w:rPr>
        <w:t>)</w:t>
      </w:r>
      <w:r w:rsidR="00561555" w:rsidRPr="001A4B94">
        <w:rPr>
          <w:rFonts w:ascii="Times New Roman" w:hAnsi="Times New Roman"/>
          <w:iCs/>
          <w:sz w:val="23"/>
          <w:szCs w:val="23"/>
          <w:lang w:val="tr-TR"/>
        </w:rPr>
        <w:t xml:space="preserve">.  </w:t>
      </w:r>
    </w:p>
    <w:p w14:paraId="692F1FF3" w14:textId="77777777" w:rsidR="0069584B" w:rsidRPr="001A4B94" w:rsidRDefault="0069584B" w:rsidP="0069584B">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77845895" w14:textId="6929217B" w:rsidR="008F6538" w:rsidRPr="001A4B94" w:rsidRDefault="00F2300D" w:rsidP="0089684F">
      <w:pPr>
        <w:pStyle w:val="ListeParagraf"/>
        <w:numPr>
          <w:ilvl w:val="0"/>
          <w:numId w:val="2"/>
        </w:numPr>
        <w:tabs>
          <w:tab w:val="left" w:pos="426"/>
          <w:tab w:val="left" w:pos="2970"/>
        </w:tabs>
        <w:autoSpaceDE w:val="0"/>
        <w:autoSpaceDN w:val="0"/>
        <w:adjustRightInd w:val="0"/>
        <w:spacing w:after="0" w:line="240" w:lineRule="auto"/>
        <w:ind w:left="0" w:right="-138" w:firstLine="0"/>
        <w:jc w:val="both"/>
        <w:rPr>
          <w:rFonts w:ascii="Times New Roman" w:hAnsi="Times New Roman"/>
          <w:sz w:val="23"/>
          <w:szCs w:val="23"/>
          <w:lang w:val="tr-TR"/>
        </w:rPr>
      </w:pPr>
      <w:r w:rsidRPr="001A4B94">
        <w:rPr>
          <w:rFonts w:ascii="Times New Roman" w:hAnsi="Times New Roman"/>
          <w:b/>
          <w:i/>
          <w:iCs/>
          <w:sz w:val="23"/>
          <w:szCs w:val="23"/>
          <w:lang w:val="tr-TR"/>
        </w:rPr>
        <w:t>2’nci Seçicilik Filtresi</w:t>
      </w:r>
      <w:r w:rsidR="0069584B" w:rsidRPr="001A4B94">
        <w:rPr>
          <w:rFonts w:ascii="Times New Roman" w:hAnsi="Times New Roman"/>
          <w:b/>
          <w:i/>
          <w:sz w:val="23"/>
          <w:szCs w:val="23"/>
          <w:lang w:val="tr-TR"/>
        </w:rPr>
        <w:t xml:space="preserve">: </w:t>
      </w:r>
      <w:r w:rsidRPr="001A4B94">
        <w:rPr>
          <w:rFonts w:ascii="Times New Roman" w:hAnsi="Times New Roman"/>
          <w:b/>
          <w:i/>
          <w:sz w:val="23"/>
          <w:szCs w:val="23"/>
          <w:lang w:val="tr-TR"/>
        </w:rPr>
        <w:t>SCD</w:t>
      </w:r>
      <w:r w:rsidR="00236408" w:rsidRPr="001A4B94">
        <w:rPr>
          <w:rFonts w:ascii="Times New Roman" w:hAnsi="Times New Roman"/>
          <w:b/>
          <w:i/>
          <w:sz w:val="23"/>
          <w:szCs w:val="23"/>
          <w:lang w:val="tr-TR"/>
        </w:rPr>
        <w:t>’de belirlenen öncelikli zorluklar üzerinde odaklanma</w:t>
      </w:r>
      <w:r w:rsidR="008E31DF" w:rsidRPr="001A4B94">
        <w:rPr>
          <w:rFonts w:ascii="Times New Roman" w:hAnsi="Times New Roman"/>
          <w:b/>
          <w:i/>
          <w:sz w:val="23"/>
          <w:szCs w:val="23"/>
          <w:lang w:val="tr-TR"/>
        </w:rPr>
        <w:t>.</w:t>
      </w:r>
      <w:r w:rsidR="008E31DF" w:rsidRPr="001A4B94">
        <w:rPr>
          <w:rFonts w:ascii="Times New Roman" w:hAnsi="Times New Roman"/>
          <w:i/>
          <w:sz w:val="23"/>
          <w:szCs w:val="23"/>
          <w:lang w:val="tr-TR"/>
        </w:rPr>
        <w:t xml:space="preserve"> </w:t>
      </w:r>
      <w:r w:rsidR="00247787" w:rsidRPr="001A4B94">
        <w:rPr>
          <w:rFonts w:ascii="Times New Roman" w:hAnsi="Times New Roman"/>
          <w:sz w:val="23"/>
          <w:szCs w:val="23"/>
          <w:lang w:val="tr-TR"/>
        </w:rPr>
        <w:t xml:space="preserve">Sistematik Ülke Değerlendirmesi </w:t>
      </w:r>
      <w:r w:rsidR="0089004E" w:rsidRPr="001A4B94">
        <w:rPr>
          <w:rFonts w:ascii="Times New Roman" w:hAnsi="Times New Roman"/>
          <w:sz w:val="23"/>
          <w:szCs w:val="23"/>
          <w:lang w:val="tr-TR"/>
        </w:rPr>
        <w:t xml:space="preserve">ve </w:t>
      </w:r>
      <w:r w:rsidR="00247787" w:rsidRPr="001A4B94">
        <w:rPr>
          <w:rFonts w:ascii="Times New Roman" w:hAnsi="Times New Roman"/>
          <w:sz w:val="23"/>
          <w:szCs w:val="23"/>
          <w:lang w:val="tr-TR"/>
        </w:rPr>
        <w:t xml:space="preserve">Kalkınma Planında </w:t>
      </w:r>
      <w:r w:rsidR="0089004E" w:rsidRPr="001A4B94">
        <w:rPr>
          <w:rFonts w:ascii="Times New Roman" w:hAnsi="Times New Roman"/>
          <w:sz w:val="23"/>
          <w:szCs w:val="23"/>
          <w:lang w:val="tr-TR"/>
        </w:rPr>
        <w:t xml:space="preserve">belirtilen kalkınma </w:t>
      </w:r>
      <w:r w:rsidR="00502343" w:rsidRPr="001A4B94">
        <w:rPr>
          <w:rFonts w:ascii="Times New Roman" w:hAnsi="Times New Roman"/>
          <w:sz w:val="23"/>
          <w:szCs w:val="23"/>
          <w:lang w:val="tr-TR"/>
        </w:rPr>
        <w:t>öncelikleri</w:t>
      </w:r>
      <w:r w:rsidR="00FD7158" w:rsidRPr="001A4B94">
        <w:rPr>
          <w:rFonts w:ascii="Times New Roman" w:hAnsi="Times New Roman"/>
          <w:sz w:val="23"/>
          <w:szCs w:val="23"/>
          <w:lang w:val="tr-TR"/>
        </w:rPr>
        <w:t>,</w:t>
      </w:r>
      <w:r w:rsidR="00502343" w:rsidRPr="001A4B94">
        <w:rPr>
          <w:rFonts w:ascii="Times New Roman" w:hAnsi="Times New Roman"/>
          <w:sz w:val="23"/>
          <w:szCs w:val="23"/>
          <w:lang w:val="tr-TR"/>
        </w:rPr>
        <w:t xml:space="preserve"> </w:t>
      </w:r>
      <w:r w:rsidR="0089004E" w:rsidRPr="001A4B94">
        <w:rPr>
          <w:rFonts w:ascii="Times New Roman" w:hAnsi="Times New Roman"/>
          <w:sz w:val="23"/>
          <w:szCs w:val="23"/>
          <w:lang w:val="tr-TR"/>
        </w:rPr>
        <w:t>güçlü bir şekilde birbirleri ile uyumludur</w:t>
      </w:r>
      <w:r w:rsidR="00502343" w:rsidRPr="001A4B94">
        <w:rPr>
          <w:rFonts w:ascii="Times New Roman" w:hAnsi="Times New Roman"/>
          <w:sz w:val="23"/>
          <w:szCs w:val="23"/>
          <w:lang w:val="tr-TR"/>
        </w:rPr>
        <w:t xml:space="preserve"> ve birlikte </w:t>
      </w:r>
      <w:r w:rsidR="00247787" w:rsidRPr="001A4B94">
        <w:rPr>
          <w:rFonts w:ascii="Times New Roman" w:hAnsi="Times New Roman"/>
          <w:sz w:val="23"/>
          <w:szCs w:val="23"/>
          <w:lang w:val="tr-TR"/>
        </w:rPr>
        <w:t xml:space="preserve">Ülke İşbirliği Çerçevesinin </w:t>
      </w:r>
      <w:r w:rsidR="00502343" w:rsidRPr="001A4B94">
        <w:rPr>
          <w:rFonts w:ascii="Times New Roman" w:hAnsi="Times New Roman"/>
          <w:sz w:val="23"/>
          <w:szCs w:val="23"/>
          <w:lang w:val="tr-TR"/>
        </w:rPr>
        <w:t>müdahale alanı tercihlerine yol göstermişlerdir.</w:t>
      </w:r>
      <w:r w:rsidR="008E31DF" w:rsidRPr="001A4B94">
        <w:rPr>
          <w:rFonts w:ascii="Times New Roman" w:hAnsi="Times New Roman"/>
          <w:sz w:val="23"/>
          <w:szCs w:val="23"/>
          <w:lang w:val="tr-TR"/>
        </w:rPr>
        <w:t xml:space="preserve">  </w:t>
      </w:r>
      <w:r w:rsidR="00502343" w:rsidRPr="001A4B94">
        <w:rPr>
          <w:rFonts w:ascii="Times New Roman" w:hAnsi="Times New Roman"/>
          <w:sz w:val="23"/>
          <w:szCs w:val="23"/>
          <w:lang w:val="tr-TR"/>
        </w:rPr>
        <w:t>Çoğu durumda</w:t>
      </w:r>
      <w:r w:rsidR="008E31DF" w:rsidRPr="001A4B94">
        <w:rPr>
          <w:rFonts w:ascii="Times New Roman" w:hAnsi="Times New Roman"/>
          <w:sz w:val="23"/>
          <w:szCs w:val="23"/>
          <w:lang w:val="tr-TR"/>
        </w:rPr>
        <w:t xml:space="preserve">, </w:t>
      </w:r>
      <w:r w:rsidR="00247787" w:rsidRPr="001A4B94">
        <w:rPr>
          <w:rFonts w:ascii="Times New Roman" w:hAnsi="Times New Roman"/>
          <w:sz w:val="23"/>
          <w:szCs w:val="23"/>
          <w:lang w:val="tr-TR"/>
        </w:rPr>
        <w:t xml:space="preserve">Sistematik Ülke Değerlendirmesi, </w:t>
      </w:r>
      <w:r w:rsidR="00502343" w:rsidRPr="001A4B94">
        <w:rPr>
          <w:rFonts w:ascii="Times New Roman" w:hAnsi="Times New Roman"/>
          <w:sz w:val="23"/>
          <w:szCs w:val="23"/>
          <w:lang w:val="tr-TR"/>
        </w:rPr>
        <w:t xml:space="preserve">Dünya </w:t>
      </w:r>
      <w:r w:rsidR="00247787" w:rsidRPr="001A4B94">
        <w:rPr>
          <w:rFonts w:ascii="Times New Roman" w:hAnsi="Times New Roman"/>
          <w:sz w:val="23"/>
          <w:szCs w:val="23"/>
          <w:lang w:val="tr-TR"/>
        </w:rPr>
        <w:t>B</w:t>
      </w:r>
      <w:r w:rsidR="00502343" w:rsidRPr="001A4B94">
        <w:rPr>
          <w:rFonts w:ascii="Times New Roman" w:hAnsi="Times New Roman"/>
          <w:sz w:val="23"/>
          <w:szCs w:val="23"/>
          <w:lang w:val="tr-TR"/>
        </w:rPr>
        <w:t xml:space="preserve">ankası Grubu’nun devam etmekte olan </w:t>
      </w:r>
      <w:r w:rsidR="00825E8D" w:rsidRPr="001A4B94">
        <w:rPr>
          <w:rFonts w:ascii="Times New Roman" w:hAnsi="Times New Roman"/>
          <w:sz w:val="23"/>
          <w:szCs w:val="23"/>
          <w:lang w:val="tr-TR"/>
        </w:rPr>
        <w:t xml:space="preserve">programının halihazırda destek sağlamakta olduğu alanları ön plana çıkarmaktadır </w:t>
      </w:r>
      <w:r w:rsidR="00C01D09" w:rsidRPr="001A4B94">
        <w:rPr>
          <w:rFonts w:ascii="Times New Roman" w:hAnsi="Times New Roman"/>
          <w:sz w:val="23"/>
          <w:szCs w:val="23"/>
          <w:lang w:val="tr-TR"/>
        </w:rPr>
        <w:t>(</w:t>
      </w:r>
      <w:r w:rsidR="00825E8D" w:rsidRPr="001A4B94">
        <w:rPr>
          <w:rFonts w:ascii="Times New Roman" w:hAnsi="Times New Roman"/>
          <w:sz w:val="23"/>
          <w:szCs w:val="23"/>
          <w:lang w:val="tr-TR"/>
        </w:rPr>
        <w:t>örneğin makro mali riskler</w:t>
      </w:r>
      <w:r w:rsidR="008E31DF" w:rsidRPr="001A4B94">
        <w:rPr>
          <w:rFonts w:ascii="Times New Roman" w:hAnsi="Times New Roman"/>
          <w:sz w:val="23"/>
          <w:szCs w:val="23"/>
          <w:lang w:val="tr-TR"/>
        </w:rPr>
        <w:t xml:space="preserve">, </w:t>
      </w:r>
      <w:r w:rsidR="00825E8D" w:rsidRPr="001A4B94">
        <w:rPr>
          <w:rFonts w:ascii="Times New Roman" w:hAnsi="Times New Roman"/>
          <w:sz w:val="23"/>
          <w:szCs w:val="23"/>
          <w:lang w:val="tr-TR"/>
        </w:rPr>
        <w:t>finansal piyasalar</w:t>
      </w:r>
      <w:r w:rsidR="008E31DF" w:rsidRPr="001A4B94">
        <w:rPr>
          <w:rFonts w:ascii="Times New Roman" w:hAnsi="Times New Roman"/>
          <w:sz w:val="23"/>
          <w:szCs w:val="23"/>
          <w:lang w:val="tr-TR"/>
        </w:rPr>
        <w:t xml:space="preserve">, </w:t>
      </w:r>
      <w:r w:rsidR="00825E8D" w:rsidRPr="001A4B94">
        <w:rPr>
          <w:rFonts w:ascii="Times New Roman" w:hAnsi="Times New Roman"/>
          <w:sz w:val="23"/>
          <w:szCs w:val="23"/>
          <w:lang w:val="tr-TR"/>
        </w:rPr>
        <w:t>kadınların işgücüne katılımı</w:t>
      </w:r>
      <w:r w:rsidR="008E31DF" w:rsidRPr="001A4B94">
        <w:rPr>
          <w:rFonts w:ascii="Times New Roman" w:hAnsi="Times New Roman"/>
          <w:sz w:val="23"/>
          <w:szCs w:val="23"/>
          <w:lang w:val="tr-TR"/>
        </w:rPr>
        <w:t xml:space="preserve">, </w:t>
      </w:r>
      <w:r w:rsidR="00825E8D" w:rsidRPr="001A4B94">
        <w:rPr>
          <w:rFonts w:ascii="Times New Roman" w:hAnsi="Times New Roman"/>
          <w:sz w:val="23"/>
          <w:szCs w:val="23"/>
          <w:lang w:val="tr-TR"/>
        </w:rPr>
        <w:t>bölgesel farklılıklar</w:t>
      </w:r>
      <w:r w:rsidR="008E31DF" w:rsidRPr="001A4B94">
        <w:rPr>
          <w:rFonts w:ascii="Times New Roman" w:hAnsi="Times New Roman"/>
          <w:sz w:val="23"/>
          <w:szCs w:val="23"/>
          <w:lang w:val="tr-TR"/>
        </w:rPr>
        <w:t xml:space="preserve">, </w:t>
      </w:r>
      <w:r w:rsidR="00825E8D" w:rsidRPr="001A4B94">
        <w:rPr>
          <w:rFonts w:ascii="Times New Roman" w:hAnsi="Times New Roman"/>
          <w:sz w:val="23"/>
          <w:szCs w:val="23"/>
          <w:lang w:val="tr-TR"/>
        </w:rPr>
        <w:t>trafik sıkışıklığı yaşayan şehirler, enerji, arazi yönetimi</w:t>
      </w:r>
      <w:r w:rsidR="00C01D09" w:rsidRPr="001A4B94">
        <w:rPr>
          <w:rFonts w:ascii="Times New Roman" w:hAnsi="Times New Roman"/>
          <w:sz w:val="23"/>
          <w:szCs w:val="23"/>
          <w:lang w:val="tr-TR"/>
        </w:rPr>
        <w:t>)</w:t>
      </w:r>
      <w:r w:rsidR="00825E8D" w:rsidRPr="001A4B94">
        <w:rPr>
          <w:rFonts w:ascii="Times New Roman" w:hAnsi="Times New Roman"/>
          <w:sz w:val="23"/>
          <w:szCs w:val="23"/>
          <w:lang w:val="tr-TR"/>
        </w:rPr>
        <w:t xml:space="preserve">; dolayısıyla bu alanlar ilerlemenin konsolide edilmesi ve yaygınlaştırılması için </w:t>
      </w:r>
      <w:r w:rsidR="008E31DF" w:rsidRPr="001A4B94">
        <w:rPr>
          <w:rFonts w:ascii="Times New Roman" w:hAnsi="Times New Roman"/>
          <w:sz w:val="23"/>
          <w:szCs w:val="23"/>
          <w:lang w:val="tr-TR"/>
        </w:rPr>
        <w:t xml:space="preserve"> </w:t>
      </w:r>
      <w:r w:rsidR="00825E8D" w:rsidRPr="001A4B94">
        <w:rPr>
          <w:rFonts w:ascii="Times New Roman" w:hAnsi="Times New Roman"/>
          <w:sz w:val="23"/>
          <w:szCs w:val="23"/>
          <w:lang w:val="tr-TR"/>
        </w:rPr>
        <w:t>açık bir şekilde tercih edilen alanlar olmuşlardır</w:t>
      </w:r>
      <w:r w:rsidR="008E31DF" w:rsidRPr="001A4B94">
        <w:rPr>
          <w:rFonts w:ascii="Times New Roman" w:hAnsi="Times New Roman"/>
          <w:sz w:val="23"/>
          <w:szCs w:val="23"/>
          <w:lang w:val="tr-TR"/>
        </w:rPr>
        <w:t>.</w:t>
      </w:r>
      <w:r w:rsidR="008E1E29" w:rsidRPr="001A4B94">
        <w:rPr>
          <w:rFonts w:ascii="Times New Roman" w:hAnsi="Times New Roman"/>
          <w:sz w:val="23"/>
          <w:szCs w:val="23"/>
          <w:lang w:val="tr-TR"/>
        </w:rPr>
        <w:t xml:space="preserve"> </w:t>
      </w:r>
      <w:r w:rsidR="00825E8D" w:rsidRPr="001A4B94">
        <w:rPr>
          <w:rFonts w:ascii="Times New Roman" w:hAnsi="Times New Roman"/>
          <w:sz w:val="23"/>
          <w:szCs w:val="23"/>
          <w:lang w:val="tr-TR"/>
        </w:rPr>
        <w:t>Bu bağlamda</w:t>
      </w:r>
      <w:r w:rsidR="008E1E29" w:rsidRPr="001A4B94">
        <w:rPr>
          <w:rFonts w:ascii="Times New Roman" w:hAnsi="Times New Roman"/>
          <w:sz w:val="23"/>
          <w:szCs w:val="23"/>
          <w:lang w:val="tr-TR"/>
        </w:rPr>
        <w:t xml:space="preserve">, </w:t>
      </w:r>
      <w:r w:rsidR="00825E8D" w:rsidRPr="001A4B94">
        <w:rPr>
          <w:rFonts w:ascii="Times New Roman" w:hAnsi="Times New Roman"/>
          <w:sz w:val="23"/>
          <w:szCs w:val="23"/>
          <w:lang w:val="tr-TR"/>
        </w:rPr>
        <w:t>Ülke İşbirliği Çerçevesi, Sistematik Ülke Değerlendirmesinin tüm öncelikli alanlarını hedeflemeyecektir</w:t>
      </w:r>
      <w:r w:rsidR="002A4FC1" w:rsidRPr="001A4B94">
        <w:rPr>
          <w:rFonts w:ascii="Times New Roman" w:hAnsi="Times New Roman"/>
          <w:sz w:val="23"/>
          <w:szCs w:val="23"/>
          <w:lang w:val="tr-TR"/>
        </w:rPr>
        <w:t xml:space="preserve">. </w:t>
      </w:r>
      <w:r w:rsidR="00247787" w:rsidRPr="001A4B94">
        <w:rPr>
          <w:rFonts w:ascii="Times New Roman" w:hAnsi="Times New Roman"/>
          <w:sz w:val="23"/>
          <w:szCs w:val="23"/>
          <w:lang w:val="tr-TR"/>
        </w:rPr>
        <w:t>Örneğin</w:t>
      </w:r>
      <w:r w:rsidR="008E1E29" w:rsidRPr="001A4B94">
        <w:rPr>
          <w:rFonts w:ascii="Times New Roman" w:hAnsi="Times New Roman"/>
          <w:sz w:val="23"/>
          <w:szCs w:val="23"/>
          <w:lang w:val="tr-TR"/>
        </w:rPr>
        <w:t xml:space="preserve">, </w:t>
      </w:r>
      <w:r w:rsidR="00247787" w:rsidRPr="001A4B94">
        <w:rPr>
          <w:rFonts w:ascii="Times New Roman" w:hAnsi="Times New Roman"/>
          <w:sz w:val="23"/>
          <w:szCs w:val="23"/>
          <w:lang w:val="tr-TR"/>
        </w:rPr>
        <w:t>terörizmle ilişkili güvensizlik önemli bir zorluk olmasına rağmen, bu Dünya Bankası Grubu’nun yetki ve uzmanlık alanının dışında kalmaktadır</w:t>
      </w:r>
      <w:r w:rsidR="002A4FC1" w:rsidRPr="001A4B94">
        <w:rPr>
          <w:rFonts w:ascii="Times New Roman" w:hAnsi="Times New Roman"/>
          <w:sz w:val="23"/>
          <w:szCs w:val="23"/>
          <w:lang w:val="tr-TR"/>
        </w:rPr>
        <w:t xml:space="preserve">. </w:t>
      </w:r>
      <w:r w:rsidR="00247787" w:rsidRPr="001A4B94">
        <w:rPr>
          <w:rFonts w:ascii="Times New Roman" w:hAnsi="Times New Roman"/>
          <w:sz w:val="23"/>
          <w:szCs w:val="23"/>
          <w:lang w:val="tr-TR"/>
        </w:rPr>
        <w:t>Ayrıca</w:t>
      </w:r>
      <w:r w:rsidR="00663DCB" w:rsidRPr="001A4B94">
        <w:rPr>
          <w:rFonts w:ascii="Times New Roman" w:hAnsi="Times New Roman"/>
          <w:sz w:val="23"/>
          <w:szCs w:val="23"/>
          <w:lang w:val="tr-TR"/>
        </w:rPr>
        <w:t xml:space="preserve">, </w:t>
      </w:r>
      <w:r w:rsidR="00247787" w:rsidRPr="001A4B94">
        <w:rPr>
          <w:rFonts w:ascii="Times New Roman" w:hAnsi="Times New Roman"/>
          <w:sz w:val="23"/>
          <w:szCs w:val="23"/>
          <w:lang w:val="tr-TR"/>
        </w:rPr>
        <w:t xml:space="preserve">program temel olarak Dünya Bankası Grubu’nun aktif olduğu  sektörlerde yönetişim ve düzenleyici çerçeve üzerinde odaklanmakla birlikte </w:t>
      </w:r>
      <w:r w:rsidR="002A4FC1" w:rsidRPr="001A4B94">
        <w:rPr>
          <w:rFonts w:ascii="Times New Roman" w:hAnsi="Times New Roman"/>
          <w:sz w:val="23"/>
          <w:szCs w:val="23"/>
          <w:lang w:val="tr-TR"/>
        </w:rPr>
        <w:t>(</w:t>
      </w:r>
      <w:r w:rsidR="00247787" w:rsidRPr="001A4B94">
        <w:rPr>
          <w:rFonts w:ascii="Times New Roman" w:hAnsi="Times New Roman"/>
          <w:spacing w:val="-3"/>
          <w:sz w:val="23"/>
          <w:szCs w:val="23"/>
          <w:lang w:val="tr-TR"/>
        </w:rPr>
        <w:t xml:space="preserve">örneğin enerji, </w:t>
      </w:r>
      <w:r w:rsidR="00247787" w:rsidRPr="001A4B94">
        <w:rPr>
          <w:rFonts w:ascii="Times New Roman" w:hAnsi="Times New Roman"/>
          <w:sz w:val="23"/>
          <w:szCs w:val="23"/>
          <w:lang w:val="tr-TR"/>
        </w:rPr>
        <w:t>sağlık</w:t>
      </w:r>
      <w:r w:rsidR="002A4FC1" w:rsidRPr="001A4B94">
        <w:rPr>
          <w:rFonts w:ascii="Times New Roman" w:hAnsi="Times New Roman"/>
          <w:sz w:val="23"/>
          <w:szCs w:val="23"/>
          <w:lang w:val="tr-TR"/>
        </w:rPr>
        <w:t xml:space="preserve">, </w:t>
      </w:r>
      <w:r w:rsidR="00247787" w:rsidRPr="001A4B94">
        <w:rPr>
          <w:rFonts w:ascii="Times New Roman" w:hAnsi="Times New Roman"/>
          <w:sz w:val="23"/>
          <w:szCs w:val="23"/>
          <w:lang w:val="tr-TR"/>
        </w:rPr>
        <w:t>finansal sektör ve daha genel anlamda iş ortamı</w:t>
      </w:r>
      <w:r w:rsidR="002A4FC1" w:rsidRPr="001A4B94">
        <w:rPr>
          <w:rFonts w:ascii="Times New Roman" w:hAnsi="Times New Roman"/>
          <w:sz w:val="23"/>
          <w:szCs w:val="23"/>
          <w:lang w:val="tr-TR"/>
        </w:rPr>
        <w:t xml:space="preserve">), </w:t>
      </w:r>
      <w:r w:rsidR="004C4081" w:rsidRPr="001A4B94">
        <w:rPr>
          <w:rFonts w:ascii="Times New Roman" w:hAnsi="Times New Roman"/>
          <w:sz w:val="23"/>
          <w:szCs w:val="23"/>
          <w:lang w:val="tr-TR"/>
        </w:rPr>
        <w:t xml:space="preserve">bu gibi konuların Dünya Bankası Grubu tarafından en etkili şekilde nasıl ele alınabileceği hususunda mutabakatın olmadığı veya bu sorunların Dünya Bankası Grubu’nun Türkiye’de etkili ve yapıcı bir ortak olabilmek için </w:t>
      </w:r>
      <w:r w:rsidR="00E74758" w:rsidRPr="001A4B94">
        <w:rPr>
          <w:rFonts w:ascii="Times New Roman" w:hAnsi="Times New Roman"/>
          <w:sz w:val="23"/>
          <w:szCs w:val="23"/>
          <w:lang w:val="tr-TR"/>
        </w:rPr>
        <w:t xml:space="preserve">sahip olduğu </w:t>
      </w:r>
      <w:r w:rsidR="004C4081" w:rsidRPr="001A4B94">
        <w:rPr>
          <w:rFonts w:ascii="Times New Roman" w:hAnsi="Times New Roman"/>
          <w:sz w:val="23"/>
          <w:szCs w:val="23"/>
          <w:lang w:val="tr-TR"/>
        </w:rPr>
        <w:t>uzmanlık birikimine veya çalışmalarına çok uzak olduğu alanlar mevcuttur</w:t>
      </w:r>
      <w:r w:rsidR="001711E7" w:rsidRPr="001A4B94">
        <w:rPr>
          <w:rFonts w:ascii="Times New Roman" w:hAnsi="Times New Roman"/>
          <w:sz w:val="23"/>
          <w:szCs w:val="23"/>
          <w:lang w:val="tr-TR"/>
        </w:rPr>
        <w:t>.</w:t>
      </w:r>
      <w:r w:rsidR="002A4FC1" w:rsidRPr="001A4B94">
        <w:rPr>
          <w:rFonts w:ascii="Times New Roman" w:hAnsi="Times New Roman"/>
          <w:sz w:val="23"/>
          <w:szCs w:val="23"/>
          <w:lang w:val="tr-TR"/>
        </w:rPr>
        <w:t xml:space="preserve"> </w:t>
      </w:r>
      <w:r w:rsidR="00E74758" w:rsidRPr="001A4B94">
        <w:rPr>
          <w:rFonts w:ascii="Times New Roman" w:hAnsi="Times New Roman"/>
          <w:sz w:val="23"/>
          <w:szCs w:val="23"/>
          <w:lang w:val="tr-TR"/>
        </w:rPr>
        <w:t>Bu bağlamda, programın uygun olduğunda genişletilebilmesi amacıyla fırsatçı bir yaklaşım benimsenecektir</w:t>
      </w:r>
      <w:r w:rsidR="00A8199B" w:rsidRPr="001A4B94">
        <w:rPr>
          <w:rFonts w:ascii="Times New Roman" w:hAnsi="Times New Roman"/>
          <w:sz w:val="23"/>
          <w:szCs w:val="23"/>
          <w:lang w:val="tr-TR"/>
        </w:rPr>
        <w:t xml:space="preserve">.  </w:t>
      </w:r>
      <w:r w:rsidR="00E74758" w:rsidRPr="001A4B94">
        <w:rPr>
          <w:rFonts w:ascii="Times New Roman" w:hAnsi="Times New Roman"/>
          <w:sz w:val="23"/>
          <w:szCs w:val="23"/>
          <w:lang w:val="tr-TR"/>
        </w:rPr>
        <w:t>Son olarak</w:t>
      </w:r>
      <w:r w:rsidR="002A4FC1" w:rsidRPr="001A4B94">
        <w:rPr>
          <w:rFonts w:ascii="Times New Roman" w:hAnsi="Times New Roman"/>
          <w:sz w:val="23"/>
          <w:szCs w:val="23"/>
          <w:lang w:val="tr-TR"/>
        </w:rPr>
        <w:t xml:space="preserve">, </w:t>
      </w:r>
      <w:r w:rsidR="00E74758" w:rsidRPr="001A4B94">
        <w:rPr>
          <w:rFonts w:ascii="Times New Roman" w:hAnsi="Times New Roman"/>
          <w:sz w:val="23"/>
          <w:szCs w:val="23"/>
          <w:lang w:val="tr-TR"/>
        </w:rPr>
        <w:t xml:space="preserve">Sistematik Ülke Değerlendirmesi, Dünya Bankası Grubu’nun </w:t>
      </w:r>
      <w:r w:rsidR="00C6091E" w:rsidRPr="001A4B94">
        <w:rPr>
          <w:rFonts w:ascii="Times New Roman" w:hAnsi="Times New Roman"/>
          <w:sz w:val="23"/>
          <w:szCs w:val="23"/>
          <w:lang w:val="tr-TR"/>
        </w:rPr>
        <w:t xml:space="preserve">kaldıraç etkisi yaratmak için kullanabileceği </w:t>
      </w:r>
      <w:r w:rsidR="00E74758" w:rsidRPr="001A4B94">
        <w:rPr>
          <w:rFonts w:ascii="Times New Roman" w:hAnsi="Times New Roman"/>
          <w:sz w:val="23"/>
          <w:szCs w:val="23"/>
          <w:lang w:val="tr-TR"/>
        </w:rPr>
        <w:t>ön</w:t>
      </w:r>
      <w:r w:rsidR="00C6091E" w:rsidRPr="001A4B94">
        <w:rPr>
          <w:rFonts w:ascii="Times New Roman" w:hAnsi="Times New Roman"/>
          <w:sz w:val="23"/>
          <w:szCs w:val="23"/>
          <w:lang w:val="tr-TR"/>
        </w:rPr>
        <w:t>e</w:t>
      </w:r>
      <w:r w:rsidR="00E74758" w:rsidRPr="001A4B94">
        <w:rPr>
          <w:rFonts w:ascii="Times New Roman" w:hAnsi="Times New Roman"/>
          <w:sz w:val="23"/>
          <w:szCs w:val="23"/>
          <w:lang w:val="tr-TR"/>
        </w:rPr>
        <w:t xml:space="preserve">mli </w:t>
      </w:r>
      <w:r w:rsidR="00E74758" w:rsidRPr="001A4B94">
        <w:rPr>
          <w:rFonts w:ascii="Times New Roman" w:hAnsi="Times New Roman"/>
          <w:sz w:val="23"/>
          <w:szCs w:val="23"/>
          <w:lang w:val="tr-TR"/>
        </w:rPr>
        <w:lastRenderedPageBreak/>
        <w:t xml:space="preserve">bir uzmanlık bilgisine sahip olduğu ancak   </w:t>
      </w:r>
      <w:r w:rsidR="00C6091E" w:rsidRPr="001A4B94">
        <w:rPr>
          <w:rFonts w:ascii="Times New Roman" w:hAnsi="Times New Roman"/>
          <w:sz w:val="23"/>
          <w:szCs w:val="23"/>
          <w:lang w:val="tr-TR"/>
        </w:rPr>
        <w:t xml:space="preserve">geleceğe yönelik programın henüz tam olarak ayrıntılı bir şekilde değerlendirilmediği bazı sorunlar tespit etmektedir </w:t>
      </w:r>
      <w:r w:rsidR="002A4FC1" w:rsidRPr="001A4B94">
        <w:rPr>
          <w:rFonts w:ascii="Times New Roman" w:hAnsi="Times New Roman"/>
          <w:sz w:val="23"/>
          <w:szCs w:val="23"/>
          <w:lang w:val="tr-TR"/>
        </w:rPr>
        <w:t>–</w:t>
      </w:r>
      <w:r w:rsidR="00C6091E" w:rsidRPr="001A4B94">
        <w:rPr>
          <w:rFonts w:ascii="Times New Roman" w:hAnsi="Times New Roman"/>
          <w:sz w:val="23"/>
          <w:szCs w:val="23"/>
          <w:lang w:val="tr-TR"/>
        </w:rPr>
        <w:t>örneğin azalan su mevcudiyeti</w:t>
      </w:r>
      <w:r w:rsidR="002A4FC1" w:rsidRPr="001A4B94">
        <w:rPr>
          <w:rFonts w:ascii="Times New Roman" w:hAnsi="Times New Roman"/>
          <w:sz w:val="23"/>
          <w:szCs w:val="23"/>
          <w:lang w:val="tr-TR"/>
        </w:rPr>
        <w:t xml:space="preserve">, </w:t>
      </w:r>
      <w:r w:rsidR="00C6091E" w:rsidRPr="001A4B94">
        <w:rPr>
          <w:rFonts w:ascii="Times New Roman" w:hAnsi="Times New Roman"/>
          <w:sz w:val="23"/>
          <w:szCs w:val="23"/>
          <w:lang w:val="tr-TR"/>
        </w:rPr>
        <w:t>v</w:t>
      </w:r>
      <w:r w:rsidR="0042269C" w:rsidRPr="001A4B94">
        <w:rPr>
          <w:rFonts w:ascii="Times New Roman" w:hAnsi="Times New Roman"/>
          <w:sz w:val="23"/>
          <w:szCs w:val="23"/>
          <w:lang w:val="tr-TR"/>
        </w:rPr>
        <w:t>e</w:t>
      </w:r>
      <w:r w:rsidR="00C6091E" w:rsidRPr="001A4B94">
        <w:rPr>
          <w:rFonts w:ascii="Times New Roman" w:hAnsi="Times New Roman"/>
          <w:sz w:val="23"/>
          <w:szCs w:val="23"/>
          <w:lang w:val="tr-TR"/>
        </w:rPr>
        <w:t>rimsiz küçük ölçekli tarım</w:t>
      </w:r>
      <w:r w:rsidR="002A4FC1" w:rsidRPr="001A4B94">
        <w:rPr>
          <w:rFonts w:ascii="Times New Roman" w:hAnsi="Times New Roman"/>
          <w:sz w:val="23"/>
          <w:szCs w:val="23"/>
          <w:lang w:val="tr-TR"/>
        </w:rPr>
        <w:t xml:space="preserve">, </w:t>
      </w:r>
      <w:r w:rsidR="0042269C" w:rsidRPr="001A4B94">
        <w:rPr>
          <w:rFonts w:ascii="Times New Roman" w:hAnsi="Times New Roman"/>
          <w:sz w:val="23"/>
          <w:szCs w:val="23"/>
          <w:lang w:val="tr-TR"/>
        </w:rPr>
        <w:t>yenilikçilik ve teknoloji emiliminde düşük performans gibi.</w:t>
      </w:r>
      <w:r w:rsidR="002A4FC1" w:rsidRPr="001A4B94">
        <w:rPr>
          <w:rFonts w:ascii="Times New Roman" w:hAnsi="Times New Roman"/>
          <w:sz w:val="23"/>
          <w:szCs w:val="23"/>
          <w:lang w:val="tr-TR"/>
        </w:rPr>
        <w:t xml:space="preserve"> </w:t>
      </w:r>
      <w:r w:rsidR="0042269C" w:rsidRPr="001A4B94">
        <w:rPr>
          <w:rFonts w:ascii="Times New Roman" w:hAnsi="Times New Roman"/>
          <w:sz w:val="23"/>
          <w:szCs w:val="23"/>
          <w:lang w:val="tr-TR"/>
        </w:rPr>
        <w:t>Dolayısıyla, bu alanlardaki Dünya Bankası Grubu çalı</w:t>
      </w:r>
      <w:r w:rsidR="002960FA" w:rsidRPr="001A4B94">
        <w:rPr>
          <w:rFonts w:ascii="Times New Roman" w:hAnsi="Times New Roman"/>
          <w:sz w:val="23"/>
          <w:szCs w:val="23"/>
          <w:lang w:val="tr-TR"/>
        </w:rPr>
        <w:t>ş</w:t>
      </w:r>
      <w:r w:rsidR="0042269C" w:rsidRPr="001A4B94">
        <w:rPr>
          <w:rFonts w:ascii="Times New Roman" w:hAnsi="Times New Roman"/>
          <w:sz w:val="23"/>
          <w:szCs w:val="23"/>
          <w:lang w:val="tr-TR"/>
        </w:rPr>
        <w:t>maları</w:t>
      </w:r>
      <w:r w:rsidR="002960FA" w:rsidRPr="001A4B94">
        <w:rPr>
          <w:rFonts w:ascii="Times New Roman" w:hAnsi="Times New Roman"/>
          <w:sz w:val="23"/>
          <w:szCs w:val="23"/>
          <w:lang w:val="tr-TR"/>
        </w:rPr>
        <w:t xml:space="preserve">, ortak bir anlayışa </w:t>
      </w:r>
      <w:r w:rsidR="0042269C" w:rsidRPr="001A4B94">
        <w:rPr>
          <w:rFonts w:ascii="Times New Roman" w:hAnsi="Times New Roman"/>
          <w:sz w:val="23"/>
          <w:szCs w:val="23"/>
          <w:lang w:val="tr-TR"/>
        </w:rPr>
        <w:t xml:space="preserve"> </w:t>
      </w:r>
      <w:r w:rsidR="002960FA" w:rsidRPr="001A4B94">
        <w:rPr>
          <w:rFonts w:ascii="Times New Roman" w:hAnsi="Times New Roman"/>
          <w:sz w:val="23"/>
          <w:szCs w:val="23"/>
          <w:lang w:val="tr-TR"/>
        </w:rPr>
        <w:t xml:space="preserve">ulaşma ve Ülke İşbirliği Çerçevesi dönemi boyunca üzerinde anlaşılan bir çalışma programı tanımlayabilme yeteneğine bağlı olacaktır. </w:t>
      </w:r>
      <w:r w:rsidR="002A4FC1" w:rsidRPr="001A4B94">
        <w:rPr>
          <w:rFonts w:ascii="Times New Roman" w:hAnsi="Times New Roman"/>
          <w:sz w:val="23"/>
          <w:szCs w:val="23"/>
          <w:lang w:val="tr-TR"/>
        </w:rPr>
        <w:t xml:space="preserve"> </w:t>
      </w:r>
      <w:r w:rsidR="008F6538" w:rsidRPr="001A4B94">
        <w:rPr>
          <w:rFonts w:ascii="Times New Roman" w:hAnsi="Times New Roman"/>
          <w:sz w:val="23"/>
          <w:szCs w:val="23"/>
          <w:lang w:val="tr-TR"/>
        </w:rPr>
        <w:t xml:space="preserve"> </w:t>
      </w:r>
    </w:p>
    <w:p w14:paraId="67EC5A59" w14:textId="47ABED2B" w:rsidR="008F6538" w:rsidRPr="001A4B94" w:rsidRDefault="008F6538" w:rsidP="0089684F">
      <w:pPr>
        <w:pStyle w:val="ListeParagraf"/>
        <w:tabs>
          <w:tab w:val="left" w:pos="426"/>
          <w:tab w:val="left" w:pos="2970"/>
        </w:tabs>
        <w:autoSpaceDE w:val="0"/>
        <w:autoSpaceDN w:val="0"/>
        <w:adjustRightInd w:val="0"/>
        <w:spacing w:after="0" w:line="240" w:lineRule="auto"/>
        <w:ind w:left="0" w:right="-138"/>
        <w:jc w:val="both"/>
        <w:rPr>
          <w:rFonts w:ascii="Times New Roman" w:hAnsi="Times New Roman"/>
          <w:sz w:val="10"/>
          <w:szCs w:val="10"/>
          <w:lang w:val="tr-TR"/>
        </w:rPr>
      </w:pPr>
    </w:p>
    <w:p w14:paraId="0856B493" w14:textId="3BA27BD5" w:rsidR="00EA630B" w:rsidRPr="001A4B94" w:rsidRDefault="002960FA" w:rsidP="0089684F">
      <w:pPr>
        <w:pStyle w:val="ListeParagraf"/>
        <w:numPr>
          <w:ilvl w:val="0"/>
          <w:numId w:val="2"/>
        </w:numPr>
        <w:tabs>
          <w:tab w:val="left" w:pos="426"/>
          <w:tab w:val="left" w:pos="2970"/>
        </w:tabs>
        <w:autoSpaceDE w:val="0"/>
        <w:autoSpaceDN w:val="0"/>
        <w:adjustRightInd w:val="0"/>
        <w:spacing w:after="0" w:line="240" w:lineRule="auto"/>
        <w:ind w:left="0" w:right="-138" w:firstLine="0"/>
        <w:jc w:val="both"/>
        <w:rPr>
          <w:rFonts w:ascii="Times New Roman" w:hAnsi="Times New Roman"/>
          <w:sz w:val="23"/>
          <w:szCs w:val="23"/>
          <w:lang w:val="tr-TR"/>
        </w:rPr>
      </w:pPr>
      <w:r w:rsidRPr="001A4B94">
        <w:rPr>
          <w:rFonts w:ascii="Times New Roman" w:hAnsi="Times New Roman"/>
          <w:b/>
          <w:i/>
          <w:iCs/>
          <w:sz w:val="23"/>
          <w:szCs w:val="23"/>
          <w:lang w:val="tr-TR"/>
        </w:rPr>
        <w:t>3’üncü Seçicilik Filtresi</w:t>
      </w:r>
      <w:r w:rsidR="0069584B" w:rsidRPr="001A4B94">
        <w:rPr>
          <w:rFonts w:ascii="Times New Roman" w:hAnsi="Times New Roman"/>
          <w:b/>
          <w:i/>
          <w:sz w:val="23"/>
          <w:szCs w:val="23"/>
          <w:lang w:val="tr-TR"/>
        </w:rPr>
        <w:t xml:space="preserve">: </w:t>
      </w:r>
      <w:r w:rsidRPr="001A4B94">
        <w:rPr>
          <w:rFonts w:ascii="Times New Roman" w:hAnsi="Times New Roman"/>
          <w:b/>
          <w:i/>
          <w:sz w:val="23"/>
          <w:szCs w:val="23"/>
          <w:lang w:val="tr-TR"/>
        </w:rPr>
        <w:t>Dünya Bankası Grubu’nun karşılaştırmalı avantajı</w:t>
      </w:r>
      <w:r w:rsidR="008F6538" w:rsidRPr="001A4B94">
        <w:rPr>
          <w:rFonts w:ascii="Times New Roman" w:hAnsi="Times New Roman"/>
          <w:b/>
          <w:i/>
          <w:sz w:val="23"/>
          <w:szCs w:val="23"/>
          <w:lang w:val="tr-TR"/>
        </w:rPr>
        <w:t>:</w:t>
      </w:r>
      <w:r w:rsidR="008F6538" w:rsidRPr="001A4B94">
        <w:rPr>
          <w:rFonts w:ascii="Times New Roman" w:hAnsi="Times New Roman"/>
          <w:i/>
          <w:sz w:val="23"/>
          <w:szCs w:val="23"/>
          <w:lang w:val="tr-TR"/>
        </w:rPr>
        <w:t xml:space="preserve"> </w:t>
      </w:r>
      <w:r w:rsidR="003B3626" w:rsidRPr="001A4B94">
        <w:rPr>
          <w:rFonts w:ascii="Times New Roman" w:hAnsi="Times New Roman"/>
          <w:sz w:val="23"/>
          <w:szCs w:val="23"/>
          <w:lang w:val="tr-TR"/>
        </w:rPr>
        <w:t>Ülke İşbirliği Çerçevesi</w:t>
      </w:r>
      <w:r w:rsidR="00265703" w:rsidRPr="001A4B94">
        <w:rPr>
          <w:rFonts w:ascii="Times New Roman" w:hAnsi="Times New Roman"/>
          <w:sz w:val="23"/>
          <w:szCs w:val="23"/>
          <w:lang w:val="tr-TR"/>
        </w:rPr>
        <w:t xml:space="preserve">, aşağıdaki yollarla, Dünya Bankası Grubu’nun devam etmekte olan programda dört ayrı alanda karşılaştırmalı avantaja sahip olduğu </w:t>
      </w:r>
      <w:r w:rsidR="003B3626" w:rsidRPr="001A4B94">
        <w:rPr>
          <w:rFonts w:ascii="Times New Roman" w:hAnsi="Times New Roman"/>
          <w:sz w:val="23"/>
          <w:szCs w:val="23"/>
          <w:lang w:val="tr-TR"/>
        </w:rPr>
        <w:t xml:space="preserve"> </w:t>
      </w:r>
      <w:r w:rsidR="00265703" w:rsidRPr="001A4B94">
        <w:rPr>
          <w:rFonts w:ascii="Times New Roman" w:hAnsi="Times New Roman"/>
          <w:sz w:val="23"/>
          <w:szCs w:val="23"/>
          <w:lang w:val="tr-TR"/>
        </w:rPr>
        <w:t>güçlü yönlerini esas almaktadır</w:t>
      </w:r>
      <w:r w:rsidR="00544D8D" w:rsidRPr="001A4B94">
        <w:rPr>
          <w:rFonts w:ascii="Times New Roman" w:hAnsi="Times New Roman"/>
          <w:spacing w:val="13"/>
          <w:sz w:val="23"/>
          <w:szCs w:val="23"/>
          <w:lang w:val="tr-TR"/>
        </w:rPr>
        <w:t>:</w:t>
      </w:r>
      <w:r w:rsidR="00EA630B" w:rsidRPr="001A4B94">
        <w:rPr>
          <w:rFonts w:ascii="Times New Roman" w:hAnsi="Times New Roman"/>
          <w:spacing w:val="13"/>
          <w:sz w:val="23"/>
          <w:szCs w:val="23"/>
          <w:lang w:val="tr-TR"/>
        </w:rPr>
        <w:t xml:space="preserve"> </w:t>
      </w:r>
    </w:p>
    <w:p w14:paraId="44951379" w14:textId="3088CBE9" w:rsidR="00544D8D" w:rsidRPr="001A4B94" w:rsidRDefault="00D07C77" w:rsidP="0089684F">
      <w:pPr>
        <w:pStyle w:val="ListeParagraf"/>
        <w:numPr>
          <w:ilvl w:val="0"/>
          <w:numId w:val="36"/>
        </w:numPr>
        <w:tabs>
          <w:tab w:val="left" w:pos="0"/>
        </w:tabs>
        <w:autoSpaceDE w:val="0"/>
        <w:autoSpaceDN w:val="0"/>
        <w:adjustRightInd w:val="0"/>
        <w:spacing w:after="0" w:line="240" w:lineRule="auto"/>
        <w:ind w:left="360" w:right="-138" w:hanging="360"/>
        <w:jc w:val="both"/>
        <w:rPr>
          <w:rFonts w:ascii="Times New Roman" w:hAnsi="Times New Roman"/>
          <w:sz w:val="23"/>
          <w:szCs w:val="23"/>
          <w:lang w:val="tr-TR"/>
        </w:rPr>
      </w:pPr>
      <w:r w:rsidRPr="001A4B94">
        <w:rPr>
          <w:rFonts w:ascii="Times New Roman" w:hAnsi="Times New Roman"/>
          <w:sz w:val="23"/>
          <w:szCs w:val="23"/>
          <w:lang w:val="tr-TR"/>
        </w:rPr>
        <w:t>ortaklıkların olgunlaştığı ve ilerlemenin konsolide edilmesi ve yaygınlaştırılması için ortak çalışmalara devam etme yönünde açık bir tercihin olduğu alanlarda hükümet ve özel sektör ile zaten verimli bir şekilde devam etmekte olan ilişkilerin esa</w:t>
      </w:r>
      <w:r w:rsidR="003C2D06" w:rsidRPr="001A4B94">
        <w:rPr>
          <w:rFonts w:ascii="Times New Roman" w:hAnsi="Times New Roman"/>
          <w:sz w:val="23"/>
          <w:szCs w:val="23"/>
          <w:lang w:val="tr-TR"/>
        </w:rPr>
        <w:t>s</w:t>
      </w:r>
      <w:r w:rsidRPr="001A4B94">
        <w:rPr>
          <w:rFonts w:ascii="Times New Roman" w:hAnsi="Times New Roman"/>
          <w:sz w:val="23"/>
          <w:szCs w:val="23"/>
          <w:lang w:val="tr-TR"/>
        </w:rPr>
        <w:t xml:space="preserve"> alınması</w:t>
      </w:r>
      <w:r w:rsidR="009F3CA5" w:rsidRPr="001A4B94">
        <w:rPr>
          <w:rFonts w:ascii="Times New Roman" w:hAnsi="Times New Roman"/>
          <w:sz w:val="23"/>
          <w:szCs w:val="23"/>
          <w:lang w:val="tr-TR"/>
        </w:rPr>
        <w:t>.</w:t>
      </w:r>
      <w:r w:rsidR="00862D69" w:rsidRPr="001A4B94">
        <w:rPr>
          <w:rFonts w:ascii="Times New Roman" w:hAnsi="Times New Roman"/>
          <w:sz w:val="23"/>
          <w:szCs w:val="23"/>
          <w:lang w:val="tr-TR"/>
        </w:rPr>
        <w:t xml:space="preserve"> </w:t>
      </w:r>
      <w:r w:rsidR="00C734BE" w:rsidRPr="001A4B94">
        <w:rPr>
          <w:rFonts w:ascii="Times New Roman" w:hAnsi="Times New Roman"/>
          <w:sz w:val="23"/>
          <w:szCs w:val="23"/>
          <w:lang w:val="tr-TR"/>
        </w:rPr>
        <w:t>Bu güçlü ortaklıklar, Ülke İşbirliği Çerçevesinin DBG genelindeki tamamen ortak yapısı ile birlikte</w:t>
      </w:r>
      <w:r w:rsidR="00862D69" w:rsidRPr="001A4B94">
        <w:rPr>
          <w:rFonts w:ascii="Times New Roman" w:hAnsi="Times New Roman"/>
          <w:sz w:val="23"/>
          <w:szCs w:val="23"/>
          <w:lang w:val="tr-TR"/>
        </w:rPr>
        <w:t xml:space="preserve">, </w:t>
      </w:r>
      <w:r w:rsidR="00C734BE" w:rsidRPr="001A4B94">
        <w:rPr>
          <w:rFonts w:ascii="Times New Roman" w:hAnsi="Times New Roman"/>
          <w:sz w:val="23"/>
          <w:szCs w:val="23"/>
          <w:lang w:val="tr-TR"/>
        </w:rPr>
        <w:t>basamak yaklaşımının etkili bir şekilde uygulanmasına olanak tanımaktadır</w:t>
      </w:r>
      <w:r w:rsidR="00862D69" w:rsidRPr="001A4B94">
        <w:rPr>
          <w:rFonts w:ascii="Times New Roman" w:hAnsi="Times New Roman"/>
          <w:sz w:val="23"/>
          <w:szCs w:val="23"/>
          <w:lang w:val="tr-TR"/>
        </w:rPr>
        <w:t xml:space="preserve">.  </w:t>
      </w:r>
      <w:r w:rsidR="00C734BE" w:rsidRPr="001A4B94">
        <w:rPr>
          <w:rFonts w:ascii="Times New Roman" w:hAnsi="Times New Roman"/>
          <w:sz w:val="23"/>
          <w:szCs w:val="23"/>
          <w:lang w:val="tr-TR"/>
        </w:rPr>
        <w:t>Müşterinin tüm DBG araçlarını daha geniş bir şekilde kullanmasını teşvik etmeye yönelik çabalar da devam edecektir; aynı zamanda  üzer</w:t>
      </w:r>
      <w:r w:rsidR="00D743EB" w:rsidRPr="001A4B94">
        <w:rPr>
          <w:rFonts w:ascii="Times New Roman" w:hAnsi="Times New Roman"/>
          <w:sz w:val="23"/>
          <w:szCs w:val="23"/>
          <w:lang w:val="tr-TR"/>
        </w:rPr>
        <w:t xml:space="preserve">inde </w:t>
      </w:r>
      <w:r w:rsidR="00C734BE" w:rsidRPr="001A4B94">
        <w:rPr>
          <w:rFonts w:ascii="Times New Roman" w:hAnsi="Times New Roman"/>
          <w:sz w:val="23"/>
          <w:szCs w:val="23"/>
          <w:lang w:val="tr-TR"/>
        </w:rPr>
        <w:t>anlaşılan alanların devam niteliğinde finansman sağlama ve sonuçl</w:t>
      </w:r>
      <w:r w:rsidR="00D743EB" w:rsidRPr="001A4B94">
        <w:rPr>
          <w:rFonts w:ascii="Times New Roman" w:hAnsi="Times New Roman"/>
          <w:sz w:val="23"/>
          <w:szCs w:val="23"/>
          <w:lang w:val="tr-TR"/>
        </w:rPr>
        <w:t>a</w:t>
      </w:r>
      <w:r w:rsidR="00C734BE" w:rsidRPr="001A4B94">
        <w:rPr>
          <w:rFonts w:ascii="Times New Roman" w:hAnsi="Times New Roman"/>
          <w:sz w:val="23"/>
          <w:szCs w:val="23"/>
          <w:lang w:val="tr-TR"/>
        </w:rPr>
        <w:t xml:space="preserve">rı </w:t>
      </w:r>
      <w:r w:rsidR="00D743EB" w:rsidRPr="001A4B94">
        <w:rPr>
          <w:rFonts w:ascii="Times New Roman" w:hAnsi="Times New Roman"/>
          <w:sz w:val="23"/>
          <w:szCs w:val="23"/>
          <w:lang w:val="tr-TR"/>
        </w:rPr>
        <w:t xml:space="preserve">uzun vadede konsolide etme </w:t>
      </w:r>
      <w:r w:rsidR="00C734BE" w:rsidRPr="001A4B94">
        <w:rPr>
          <w:rFonts w:ascii="Times New Roman" w:hAnsi="Times New Roman"/>
          <w:sz w:val="23"/>
          <w:szCs w:val="23"/>
          <w:lang w:val="tr-TR"/>
        </w:rPr>
        <w:t>olanakl</w:t>
      </w:r>
      <w:r w:rsidR="00D743EB" w:rsidRPr="001A4B94">
        <w:rPr>
          <w:rFonts w:ascii="Times New Roman" w:hAnsi="Times New Roman"/>
          <w:sz w:val="23"/>
          <w:szCs w:val="23"/>
          <w:lang w:val="tr-TR"/>
        </w:rPr>
        <w:t>a</w:t>
      </w:r>
      <w:r w:rsidR="00C734BE" w:rsidRPr="001A4B94">
        <w:rPr>
          <w:rFonts w:ascii="Times New Roman" w:hAnsi="Times New Roman"/>
          <w:sz w:val="23"/>
          <w:szCs w:val="23"/>
          <w:lang w:val="tr-TR"/>
        </w:rPr>
        <w:t xml:space="preserve">rı </w:t>
      </w:r>
      <w:r w:rsidR="00D743EB" w:rsidRPr="001A4B94">
        <w:rPr>
          <w:rFonts w:ascii="Times New Roman" w:hAnsi="Times New Roman"/>
          <w:sz w:val="23"/>
          <w:szCs w:val="23"/>
          <w:lang w:val="tr-TR"/>
        </w:rPr>
        <w:t>sunabileceği de kabul edilmektedir</w:t>
      </w:r>
      <w:r w:rsidR="00141886" w:rsidRPr="001A4B94">
        <w:rPr>
          <w:rFonts w:ascii="Times New Roman" w:hAnsi="Times New Roman"/>
          <w:sz w:val="23"/>
          <w:szCs w:val="23"/>
          <w:lang w:val="tr-TR"/>
        </w:rPr>
        <w:t xml:space="preserve">. </w:t>
      </w:r>
      <w:r w:rsidR="008D62F8" w:rsidRPr="001A4B94">
        <w:rPr>
          <w:rFonts w:ascii="Times New Roman" w:hAnsi="Times New Roman"/>
          <w:sz w:val="23"/>
          <w:szCs w:val="23"/>
          <w:lang w:val="tr-TR"/>
        </w:rPr>
        <w:t>İstanbul’daki ofisi ve farklı paydaşlar ile olan oturmuş ilişkileri yoluyla sağladığı önemli ve uzun süreli mevcudiyetinden yararlanarak</w:t>
      </w:r>
      <w:r w:rsidR="00141886" w:rsidRPr="001A4B94">
        <w:rPr>
          <w:rFonts w:ascii="Times New Roman" w:hAnsi="Times New Roman"/>
          <w:sz w:val="23"/>
          <w:szCs w:val="23"/>
          <w:lang w:val="tr-TR"/>
        </w:rPr>
        <w:t xml:space="preserve">, IFC </w:t>
      </w:r>
      <w:r w:rsidR="008D62F8" w:rsidRPr="001A4B94">
        <w:rPr>
          <w:rFonts w:ascii="Times New Roman" w:hAnsi="Times New Roman"/>
          <w:sz w:val="23"/>
          <w:szCs w:val="23"/>
          <w:lang w:val="tr-TR"/>
        </w:rPr>
        <w:t>müdahalelerinin yen</w:t>
      </w:r>
      <w:r w:rsidR="009E4794" w:rsidRPr="001A4B94">
        <w:rPr>
          <w:rFonts w:ascii="Times New Roman" w:hAnsi="Times New Roman"/>
          <w:sz w:val="23"/>
          <w:szCs w:val="23"/>
          <w:lang w:val="tr-TR"/>
        </w:rPr>
        <w:t>i</w:t>
      </w:r>
      <w:r w:rsidR="008D62F8" w:rsidRPr="001A4B94">
        <w:rPr>
          <w:rFonts w:ascii="Times New Roman" w:hAnsi="Times New Roman"/>
          <w:sz w:val="23"/>
          <w:szCs w:val="23"/>
          <w:lang w:val="tr-TR"/>
        </w:rPr>
        <w:t xml:space="preserve"> pazarlar yaratılmasına ve Türkiye’nin özel sektör öncülüğündeki büyümesine katkıda bulunacağı alanlar üzerinde odaklanmaya devam edecektir; </w:t>
      </w:r>
      <w:r w:rsidR="00824006" w:rsidRPr="001A4B94">
        <w:rPr>
          <w:rFonts w:ascii="Times New Roman" w:hAnsi="Times New Roman"/>
          <w:sz w:val="23"/>
          <w:szCs w:val="23"/>
          <w:lang w:val="tr-TR"/>
        </w:rPr>
        <w:t xml:space="preserve"> </w:t>
      </w:r>
    </w:p>
    <w:p w14:paraId="323F1199" w14:textId="52055D2A" w:rsidR="00EA630B" w:rsidRPr="001A4B94" w:rsidRDefault="00220B75" w:rsidP="0089684F">
      <w:pPr>
        <w:pStyle w:val="ListeParagraf"/>
        <w:numPr>
          <w:ilvl w:val="0"/>
          <w:numId w:val="36"/>
        </w:numPr>
        <w:tabs>
          <w:tab w:val="left" w:pos="0"/>
        </w:tabs>
        <w:autoSpaceDE w:val="0"/>
        <w:autoSpaceDN w:val="0"/>
        <w:adjustRightInd w:val="0"/>
        <w:spacing w:after="0" w:line="240" w:lineRule="auto"/>
        <w:ind w:left="360" w:right="-138" w:hanging="360"/>
        <w:jc w:val="both"/>
        <w:rPr>
          <w:rFonts w:ascii="Times New Roman" w:hAnsi="Times New Roman"/>
          <w:sz w:val="23"/>
          <w:szCs w:val="23"/>
          <w:lang w:val="tr-TR"/>
        </w:rPr>
      </w:pPr>
      <w:r w:rsidRPr="001A4B94">
        <w:rPr>
          <w:rFonts w:ascii="Times New Roman" w:hAnsi="Times New Roman"/>
          <w:sz w:val="23"/>
          <w:szCs w:val="23"/>
          <w:lang w:val="tr-TR"/>
        </w:rPr>
        <w:t xml:space="preserve">Sistematik Ülke Değerlendirmesinin </w:t>
      </w:r>
      <w:r w:rsidR="009C13E1" w:rsidRPr="001A4B94">
        <w:rPr>
          <w:rFonts w:ascii="Times New Roman" w:hAnsi="Times New Roman"/>
          <w:sz w:val="23"/>
          <w:szCs w:val="23"/>
          <w:lang w:val="tr-TR"/>
        </w:rPr>
        <w:t>yoksulluğun daha hızlı azaltılması ve paylaşılan refahın arttırılması için öne çıkardığı alanlarda yeni ortak çalışmaları seçici bir şekilde savunarak başka fırsatların araştırılması</w:t>
      </w:r>
      <w:r w:rsidR="00EA630B" w:rsidRPr="001A4B94">
        <w:rPr>
          <w:rFonts w:ascii="Times New Roman" w:hAnsi="Times New Roman"/>
          <w:sz w:val="23"/>
          <w:szCs w:val="23"/>
          <w:lang w:val="tr-TR"/>
        </w:rPr>
        <w:t>;</w:t>
      </w:r>
    </w:p>
    <w:p w14:paraId="3767439A" w14:textId="438E2CA7" w:rsidR="00544D8D" w:rsidRPr="001A4B94" w:rsidRDefault="00544D8D" w:rsidP="0089684F">
      <w:pPr>
        <w:pStyle w:val="ListeParagraf"/>
        <w:numPr>
          <w:ilvl w:val="0"/>
          <w:numId w:val="36"/>
        </w:numPr>
        <w:tabs>
          <w:tab w:val="left" w:pos="0"/>
        </w:tabs>
        <w:autoSpaceDE w:val="0"/>
        <w:autoSpaceDN w:val="0"/>
        <w:adjustRightInd w:val="0"/>
        <w:spacing w:after="0" w:line="240" w:lineRule="auto"/>
        <w:ind w:left="360" w:right="-138" w:hanging="360"/>
        <w:jc w:val="both"/>
        <w:rPr>
          <w:rFonts w:ascii="Times New Roman" w:hAnsi="Times New Roman"/>
          <w:sz w:val="23"/>
          <w:szCs w:val="23"/>
          <w:lang w:val="tr-TR"/>
        </w:rPr>
      </w:pPr>
      <w:r w:rsidRPr="001A4B94">
        <w:rPr>
          <w:rFonts w:ascii="Times New Roman" w:hAnsi="Times New Roman"/>
          <w:sz w:val="23"/>
          <w:szCs w:val="23"/>
          <w:lang w:val="tr-TR"/>
        </w:rPr>
        <w:t xml:space="preserve"> </w:t>
      </w:r>
      <w:r w:rsidR="001F3D4A" w:rsidRPr="001A4B94">
        <w:rPr>
          <w:rFonts w:ascii="Times New Roman" w:hAnsi="Times New Roman"/>
          <w:sz w:val="23"/>
          <w:szCs w:val="23"/>
          <w:lang w:val="tr-TR"/>
        </w:rPr>
        <w:t>DBG desteğinin kaldıraç etkisinin en üst düzeye çıkarılabilmesi amacıyla, özellikle AB ve diğer UFK’lar olmak üzere diğer kalkınma ortakları ile koordinasyon ve işbirliğinin sürdürülmesi</w:t>
      </w:r>
      <w:r w:rsidR="00EA630B" w:rsidRPr="001A4B94">
        <w:rPr>
          <w:rFonts w:ascii="Times New Roman" w:hAnsi="Times New Roman"/>
          <w:sz w:val="23"/>
          <w:szCs w:val="23"/>
          <w:lang w:val="tr-TR"/>
        </w:rPr>
        <w:t xml:space="preserve">; </w:t>
      </w:r>
      <w:r w:rsidR="001F3D4A" w:rsidRPr="001A4B94">
        <w:rPr>
          <w:rFonts w:ascii="Times New Roman" w:hAnsi="Times New Roman"/>
          <w:sz w:val="23"/>
          <w:szCs w:val="23"/>
          <w:lang w:val="tr-TR"/>
        </w:rPr>
        <w:t xml:space="preserve">ve </w:t>
      </w:r>
    </w:p>
    <w:p w14:paraId="5D41AE12" w14:textId="34E8E6A3" w:rsidR="00EA630B" w:rsidRPr="001A4B94" w:rsidRDefault="00EA630B" w:rsidP="0089684F">
      <w:pPr>
        <w:pStyle w:val="ListeParagraf"/>
        <w:numPr>
          <w:ilvl w:val="0"/>
          <w:numId w:val="36"/>
        </w:numPr>
        <w:tabs>
          <w:tab w:val="left" w:pos="0"/>
        </w:tabs>
        <w:autoSpaceDE w:val="0"/>
        <w:autoSpaceDN w:val="0"/>
        <w:adjustRightInd w:val="0"/>
        <w:spacing w:after="0" w:line="240" w:lineRule="auto"/>
        <w:ind w:left="360" w:right="-138" w:hanging="360"/>
        <w:jc w:val="both"/>
        <w:rPr>
          <w:rFonts w:ascii="Times New Roman" w:hAnsi="Times New Roman"/>
          <w:sz w:val="23"/>
          <w:szCs w:val="23"/>
          <w:lang w:val="tr-TR"/>
        </w:rPr>
      </w:pPr>
      <w:r w:rsidRPr="001A4B94">
        <w:rPr>
          <w:rFonts w:ascii="Times New Roman" w:hAnsi="Times New Roman"/>
          <w:sz w:val="23"/>
          <w:szCs w:val="23"/>
          <w:lang w:val="tr-TR"/>
        </w:rPr>
        <w:t xml:space="preserve"> </w:t>
      </w:r>
      <w:r w:rsidR="001F3D4A" w:rsidRPr="001A4B94">
        <w:rPr>
          <w:rFonts w:ascii="Times New Roman" w:hAnsi="Times New Roman"/>
          <w:sz w:val="23"/>
          <w:szCs w:val="23"/>
          <w:lang w:val="tr-TR"/>
        </w:rPr>
        <w:t>programın ülkedeki gelişmeler ve olaylar hakkında mümkün olduğunca geniş bir perspektife sahip olabilmesi için, STK’lar, akademik kuruluşlar ve sivil toplum ile merkezi düzeyde ve belediye düzeyinde ilişkiler kurulması</w:t>
      </w:r>
      <w:r w:rsidR="008F6538" w:rsidRPr="001A4B94">
        <w:rPr>
          <w:rFonts w:ascii="Times New Roman" w:hAnsi="Times New Roman"/>
          <w:sz w:val="23"/>
          <w:szCs w:val="23"/>
          <w:lang w:val="tr-TR"/>
        </w:rPr>
        <w:t xml:space="preserve">. </w:t>
      </w:r>
    </w:p>
    <w:p w14:paraId="04BAA972" w14:textId="77777777" w:rsidR="00791AB8" w:rsidRPr="001A4B94" w:rsidRDefault="00791AB8" w:rsidP="0089684F">
      <w:pPr>
        <w:pStyle w:val="ListeParagraf"/>
        <w:tabs>
          <w:tab w:val="left" w:pos="426"/>
          <w:tab w:val="left" w:pos="2970"/>
        </w:tabs>
        <w:autoSpaceDE w:val="0"/>
        <w:autoSpaceDN w:val="0"/>
        <w:adjustRightInd w:val="0"/>
        <w:spacing w:after="0" w:line="240" w:lineRule="auto"/>
        <w:ind w:left="0" w:right="-138"/>
        <w:jc w:val="both"/>
        <w:rPr>
          <w:rFonts w:ascii="Times New Roman" w:hAnsi="Times New Roman"/>
          <w:sz w:val="10"/>
          <w:szCs w:val="10"/>
          <w:lang w:val="tr-TR"/>
        </w:rPr>
      </w:pPr>
    </w:p>
    <w:p w14:paraId="190EC591" w14:textId="21A02387" w:rsidR="003F2A98" w:rsidRPr="001A4B94" w:rsidRDefault="000D4248" w:rsidP="0089684F">
      <w:pPr>
        <w:pStyle w:val="ListeParagraf"/>
        <w:numPr>
          <w:ilvl w:val="0"/>
          <w:numId w:val="2"/>
        </w:numPr>
        <w:tabs>
          <w:tab w:val="left" w:pos="426"/>
          <w:tab w:val="left" w:pos="2970"/>
        </w:tabs>
        <w:autoSpaceDE w:val="0"/>
        <w:autoSpaceDN w:val="0"/>
        <w:adjustRightInd w:val="0"/>
        <w:spacing w:after="0" w:line="240" w:lineRule="auto"/>
        <w:ind w:left="0" w:right="-138" w:firstLine="0"/>
        <w:jc w:val="both"/>
        <w:rPr>
          <w:rFonts w:ascii="Times New Roman" w:hAnsi="Times New Roman"/>
          <w:sz w:val="23"/>
          <w:szCs w:val="23"/>
          <w:lang w:val="tr-TR"/>
        </w:rPr>
      </w:pPr>
      <w:r w:rsidRPr="001A4B94">
        <w:rPr>
          <w:rFonts w:ascii="Times New Roman" w:hAnsi="Times New Roman"/>
          <w:b/>
          <w:sz w:val="23"/>
          <w:szCs w:val="23"/>
          <w:lang w:val="tr-TR"/>
        </w:rPr>
        <w:t xml:space="preserve">CPF </w:t>
      </w:r>
      <w:r w:rsidR="001F3D4A" w:rsidRPr="001A4B94">
        <w:rPr>
          <w:rFonts w:ascii="Times New Roman" w:hAnsi="Times New Roman"/>
          <w:b/>
          <w:sz w:val="23"/>
          <w:szCs w:val="23"/>
          <w:lang w:val="tr-TR"/>
        </w:rPr>
        <w:t>amaçlar</w:t>
      </w:r>
      <w:r w:rsidR="00A24B5A" w:rsidRPr="001A4B94">
        <w:rPr>
          <w:rFonts w:ascii="Times New Roman" w:hAnsi="Times New Roman"/>
          <w:b/>
          <w:sz w:val="23"/>
          <w:szCs w:val="23"/>
          <w:lang w:val="tr-TR"/>
        </w:rPr>
        <w:t>ı</w:t>
      </w:r>
      <w:r w:rsidR="001F3D4A" w:rsidRPr="001A4B94">
        <w:rPr>
          <w:rFonts w:ascii="Times New Roman" w:hAnsi="Times New Roman"/>
          <w:b/>
          <w:sz w:val="23"/>
          <w:szCs w:val="23"/>
          <w:lang w:val="tr-TR"/>
        </w:rPr>
        <w:t xml:space="preserve">, </w:t>
      </w:r>
      <w:r w:rsidR="00A24B5A" w:rsidRPr="001A4B94">
        <w:rPr>
          <w:rFonts w:ascii="Times New Roman" w:hAnsi="Times New Roman"/>
          <w:b/>
          <w:sz w:val="23"/>
          <w:szCs w:val="23"/>
          <w:lang w:val="tr-TR"/>
        </w:rPr>
        <w:t>dokuz CPF amacını kapsayan üç odak alanı altında gruplandırılmıştır</w:t>
      </w:r>
      <w:r w:rsidR="008F2D9C" w:rsidRPr="001A4B94">
        <w:rPr>
          <w:rFonts w:ascii="Times New Roman" w:hAnsi="Times New Roman"/>
          <w:b/>
          <w:sz w:val="23"/>
          <w:szCs w:val="23"/>
          <w:lang w:val="tr-TR"/>
        </w:rPr>
        <w:t>.</w:t>
      </w:r>
    </w:p>
    <w:p w14:paraId="015B278C" w14:textId="14482D7B" w:rsidR="007A1E23" w:rsidRPr="001A4B94" w:rsidRDefault="007A1E23" w:rsidP="00396134">
      <w:pPr>
        <w:pStyle w:val="ListeParagraf"/>
        <w:tabs>
          <w:tab w:val="left" w:pos="426"/>
          <w:tab w:val="left" w:pos="2970"/>
        </w:tabs>
        <w:autoSpaceDE w:val="0"/>
        <w:autoSpaceDN w:val="0"/>
        <w:adjustRightInd w:val="0"/>
        <w:spacing w:after="0" w:line="240" w:lineRule="auto"/>
        <w:ind w:left="0"/>
        <w:jc w:val="center"/>
        <w:rPr>
          <w:rFonts w:ascii="Times New Roman" w:hAnsi="Times New Roman"/>
          <w:b/>
          <w:sz w:val="10"/>
          <w:szCs w:val="10"/>
          <w:lang w:val="tr-TR"/>
        </w:rPr>
      </w:pPr>
    </w:p>
    <w:p w14:paraId="0286CB8B" w14:textId="75EF8B24" w:rsidR="00F539DF" w:rsidRPr="001A4B94" w:rsidRDefault="00A24B5A" w:rsidP="00396134">
      <w:pPr>
        <w:pStyle w:val="ListeParagraf"/>
        <w:tabs>
          <w:tab w:val="left" w:pos="426"/>
          <w:tab w:val="left" w:pos="2970"/>
        </w:tabs>
        <w:autoSpaceDE w:val="0"/>
        <w:autoSpaceDN w:val="0"/>
        <w:adjustRightInd w:val="0"/>
        <w:spacing w:after="0" w:line="240" w:lineRule="auto"/>
        <w:ind w:left="0"/>
        <w:jc w:val="center"/>
        <w:rPr>
          <w:rFonts w:ascii="Times New Roman" w:hAnsi="Times New Roman"/>
          <w:b/>
          <w:sz w:val="23"/>
          <w:szCs w:val="23"/>
          <w:lang w:val="tr-TR"/>
        </w:rPr>
      </w:pPr>
      <w:r w:rsidRPr="001A4B94">
        <w:rPr>
          <w:rFonts w:ascii="Times New Roman" w:hAnsi="Times New Roman"/>
          <w:b/>
          <w:sz w:val="23"/>
          <w:szCs w:val="23"/>
          <w:lang w:val="tr-TR"/>
        </w:rPr>
        <w:t xml:space="preserve">Şekil </w:t>
      </w:r>
      <w:r w:rsidR="00824006" w:rsidRPr="001A4B94">
        <w:rPr>
          <w:rFonts w:ascii="Times New Roman" w:hAnsi="Times New Roman"/>
          <w:b/>
          <w:sz w:val="23"/>
          <w:szCs w:val="23"/>
          <w:lang w:val="tr-TR"/>
        </w:rPr>
        <w:t>3</w:t>
      </w:r>
      <w:r w:rsidR="003F2A98" w:rsidRPr="001A4B94">
        <w:rPr>
          <w:rFonts w:ascii="Times New Roman" w:hAnsi="Times New Roman"/>
          <w:b/>
          <w:sz w:val="23"/>
          <w:szCs w:val="23"/>
          <w:lang w:val="tr-TR"/>
        </w:rPr>
        <w:t xml:space="preserve">: CPF </w:t>
      </w:r>
      <w:r w:rsidRPr="001A4B94">
        <w:rPr>
          <w:rFonts w:ascii="Times New Roman" w:hAnsi="Times New Roman"/>
          <w:b/>
          <w:sz w:val="23"/>
          <w:szCs w:val="23"/>
          <w:lang w:val="tr-TR"/>
        </w:rPr>
        <w:t xml:space="preserve">çalışma alanları </w:t>
      </w:r>
      <w:r w:rsidR="003F2A98" w:rsidRPr="001A4B94">
        <w:rPr>
          <w:rFonts w:ascii="Times New Roman" w:hAnsi="Times New Roman"/>
          <w:b/>
          <w:sz w:val="23"/>
          <w:szCs w:val="23"/>
          <w:lang w:val="tr-TR"/>
        </w:rPr>
        <w:t xml:space="preserve">(SCD </w:t>
      </w:r>
      <w:r w:rsidRPr="001A4B94">
        <w:rPr>
          <w:rFonts w:ascii="Times New Roman" w:hAnsi="Times New Roman"/>
          <w:b/>
          <w:sz w:val="23"/>
          <w:szCs w:val="23"/>
          <w:lang w:val="tr-TR"/>
        </w:rPr>
        <w:t>öncelikleri ile ilişkilendirilmiş</w:t>
      </w:r>
      <w:r w:rsidR="003F2A98" w:rsidRPr="001A4B94">
        <w:rPr>
          <w:rFonts w:ascii="Times New Roman" w:hAnsi="Times New Roman"/>
          <w:b/>
          <w:sz w:val="23"/>
          <w:szCs w:val="23"/>
          <w:lang w:val="tr-TR"/>
        </w:rPr>
        <w:t>)</w:t>
      </w:r>
      <w:r w:rsidR="000D4248" w:rsidRPr="001A4B94">
        <w:rPr>
          <w:rFonts w:ascii="Times New Roman" w:hAnsi="Times New Roman"/>
          <w:b/>
          <w:sz w:val="23"/>
          <w:szCs w:val="23"/>
          <w:lang w:val="tr-TR"/>
        </w:rPr>
        <w:t xml:space="preserve"> </w:t>
      </w:r>
    </w:p>
    <w:p w14:paraId="3DEBEE46" w14:textId="6F03F275" w:rsidR="00750C63" w:rsidRPr="001A4B94" w:rsidRDefault="00750C63" w:rsidP="00750C63">
      <w:pPr>
        <w:pStyle w:val="ListeParagraf"/>
        <w:tabs>
          <w:tab w:val="left" w:pos="426"/>
          <w:tab w:val="left" w:pos="2970"/>
        </w:tabs>
        <w:autoSpaceDE w:val="0"/>
        <w:autoSpaceDN w:val="0"/>
        <w:adjustRightInd w:val="0"/>
        <w:spacing w:after="0" w:line="240" w:lineRule="auto"/>
        <w:ind w:left="0"/>
        <w:rPr>
          <w:sz w:val="6"/>
          <w:szCs w:val="6"/>
          <w:lang w:val="tr-TR"/>
        </w:rPr>
      </w:pPr>
    </w:p>
    <w:p w14:paraId="667A1349" w14:textId="0414386F" w:rsidR="00884016" w:rsidRPr="001A4B94" w:rsidRDefault="00CB7AE8" w:rsidP="00884016">
      <w:pPr>
        <w:tabs>
          <w:tab w:val="left" w:pos="426"/>
          <w:tab w:val="left" w:pos="2970"/>
        </w:tabs>
        <w:autoSpaceDE w:val="0"/>
        <w:autoSpaceDN w:val="0"/>
        <w:adjustRightInd w:val="0"/>
        <w:jc w:val="both"/>
        <w:rPr>
          <w:rFonts w:eastAsia="Calibri"/>
          <w:lang w:val="tr-TR"/>
        </w:rPr>
      </w:pPr>
      <w:r w:rsidRPr="001A4B94">
        <w:rPr>
          <w:noProof/>
          <w:lang w:val="en-GB" w:eastAsia="en-GB"/>
        </w:rPr>
        <mc:AlternateContent>
          <mc:Choice Requires="wps">
            <w:drawing>
              <wp:anchor distT="0" distB="0" distL="114300" distR="114300" simplePos="0" relativeHeight="251722752" behindDoc="0" locked="0" layoutInCell="1" allowOverlap="1" wp14:anchorId="16C5B60B" wp14:editId="3CBC93D9">
                <wp:simplePos x="0" y="0"/>
                <wp:positionH relativeFrom="column">
                  <wp:posOffset>3743325</wp:posOffset>
                </wp:positionH>
                <wp:positionV relativeFrom="paragraph">
                  <wp:posOffset>2719705</wp:posOffset>
                </wp:positionV>
                <wp:extent cx="2242820" cy="266700"/>
                <wp:effectExtent l="0" t="0" r="24130" b="19050"/>
                <wp:wrapNone/>
                <wp:docPr id="53" name="Dikdörtgen: Yuvarlatılmış Köşeler 53"/>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86D83" w14:textId="56EE3AD5"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Altyapı varlıklarının ve doğal sermayenin sürdürülebilirliğinin arttırılması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16C5B60B" id="Dikd_x00f6_rtgen_x003a__x0020_Yuvarlat_x0131_lm_x0131__x015f__x0020_K_x00f6__x015f_eler_x0020_53" o:spid="_x0000_s1033" style="position:absolute;left:0;text-align:left;margin-left:294.75pt;margin-top:214.15pt;width:176.6pt;height:21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" fillcolor="#d8d8d8 [2732]" strokecolor="#7f7f7f [1612]" strokeweight="1pt">
                <v:stroke joinstyle="miter"/>
                <v:textbox inset="0,0,0,0">
                  <w:txbxContent>
                    <w:p w14:paraId="1BB86D83" w14:textId="56EE3AD5"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Altyapı varlıklarının ve doğal sermayenin sürdürülebilirliğinin arttırılması </w:t>
                      </w:r>
                    </w:p>
                  </w:txbxContent>
                </v:textbox>
              </v:roundrect>
            </w:pict>
          </mc:Fallback>
        </mc:AlternateContent>
      </w:r>
      <w:r w:rsidR="008A64C1" w:rsidRPr="001A4B94">
        <w:rPr>
          <w:noProof/>
          <w:lang w:val="en-GB" w:eastAsia="en-GB"/>
        </w:rPr>
        <mc:AlternateContent>
          <mc:Choice Requires="wps">
            <w:drawing>
              <wp:anchor distT="0" distB="0" distL="114300" distR="114300" simplePos="0" relativeHeight="251720704" behindDoc="0" locked="0" layoutInCell="1" allowOverlap="1" wp14:anchorId="616F990C" wp14:editId="5C3C2888">
                <wp:simplePos x="0" y="0"/>
                <wp:positionH relativeFrom="column">
                  <wp:posOffset>3743325</wp:posOffset>
                </wp:positionH>
                <wp:positionV relativeFrom="paragraph">
                  <wp:posOffset>2443480</wp:posOffset>
                </wp:positionV>
                <wp:extent cx="2242820" cy="266700"/>
                <wp:effectExtent l="0" t="0" r="24130" b="19050"/>
                <wp:wrapNone/>
                <wp:docPr id="52" name="Dikdörtgen: Yuvarlatılmış Köşeler 52"/>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8DFF0" w14:textId="2C5445D4" w:rsidR="0010534D" w:rsidRPr="002E25EB" w:rsidRDefault="0010534D" w:rsidP="00B329ED">
                            <w:pPr>
                              <w:jc w:val="center"/>
                              <w:rPr>
                                <w:rFonts w:asciiTheme="minorHAnsi" w:hAnsiTheme="minorHAnsi" w:cstheme="minorHAnsi"/>
                                <w:b/>
                                <w:color w:val="323E4F" w:themeColor="text2" w:themeShade="BF"/>
                                <w:sz w:val="16"/>
                                <w:lang w:val="tr-TR"/>
                              </w:rPr>
                            </w:pPr>
                            <w:r w:rsidRPr="008A64C1">
                              <w:rPr>
                                <w:rFonts w:asciiTheme="minorHAnsi" w:hAnsiTheme="minorHAnsi" w:cstheme="minorHAnsi"/>
                                <w:b/>
                                <w:color w:val="323E4F" w:themeColor="text2" w:themeShade="BF"/>
                                <w:sz w:val="16"/>
                                <w:lang w:val="tr-TR"/>
                              </w:rPr>
                              <w:t>Şehirlerin sürdürülebilirliklerini</w:t>
                            </w:r>
                            <w:r>
                              <w:rPr>
                                <w:rFonts w:asciiTheme="minorHAnsi" w:hAnsiTheme="minorHAnsi" w:cstheme="minorHAnsi"/>
                                <w:b/>
                                <w:color w:val="323E4F" w:themeColor="text2" w:themeShade="BF"/>
                                <w:sz w:val="16"/>
                                <w:lang w:val="tr-TR"/>
                              </w:rPr>
                              <w:t>n</w:t>
                            </w:r>
                            <w:r w:rsidRPr="008A64C1">
                              <w:rPr>
                                <w:rFonts w:asciiTheme="minorHAnsi" w:hAnsiTheme="minorHAnsi" w:cstheme="minorHAnsi"/>
                                <w:b/>
                                <w:color w:val="323E4F" w:themeColor="text2" w:themeShade="BF"/>
                                <w:sz w:val="16"/>
                                <w:lang w:val="tr-TR"/>
                              </w:rPr>
                              <w:t xml:space="preserve"> ve afetlere karşı dayanıklılıklarını</w:t>
                            </w:r>
                            <w:r>
                              <w:rPr>
                                <w:rFonts w:asciiTheme="minorHAnsi" w:hAnsiTheme="minorHAnsi" w:cstheme="minorHAnsi"/>
                                <w:b/>
                                <w:color w:val="323E4F" w:themeColor="text2" w:themeShade="BF"/>
                                <w:sz w:val="16"/>
                                <w:lang w:val="tr-TR"/>
                              </w:rPr>
                              <w:t>n</w:t>
                            </w:r>
                            <w:r w:rsidRPr="008A64C1">
                              <w:rPr>
                                <w:rFonts w:asciiTheme="minorHAnsi" w:hAnsiTheme="minorHAnsi" w:cstheme="minorHAnsi"/>
                                <w:b/>
                                <w:color w:val="323E4F" w:themeColor="text2" w:themeShade="BF"/>
                                <w:sz w:val="16"/>
                                <w:lang w:val="tr-TR"/>
                              </w:rPr>
                              <w:t xml:space="preserve"> </w:t>
                            </w:r>
                            <w:r>
                              <w:rPr>
                                <w:rFonts w:asciiTheme="minorHAnsi" w:hAnsiTheme="minorHAnsi" w:cstheme="minorHAnsi"/>
                                <w:b/>
                                <w:color w:val="323E4F" w:themeColor="text2" w:themeShade="BF"/>
                                <w:sz w:val="16"/>
                                <w:lang w:val="tr-TR"/>
                              </w:rPr>
                              <w:t xml:space="preserve">arttırılması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616F990C" id="Dikd_x00f6_rtgen_x003a__x0020_Yuvarlat_x0131_lm_x0131__x015f__x0020_K_x00f6__x015f_eler_x0020_52" o:spid="_x0000_s1034" style="position:absolute;left:0;text-align:left;margin-left:294.75pt;margin-top:192.4pt;width:176.6pt;height:2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" fillcolor="#d8d8d8 [2732]" strokecolor="#7f7f7f [1612]" strokeweight="1pt">
                <v:stroke joinstyle="miter"/>
                <v:textbox inset="0,0,0,0">
                  <w:txbxContent>
                    <w:p w14:paraId="2328DFF0" w14:textId="2C5445D4" w:rsidR="0010534D" w:rsidRPr="002E25EB" w:rsidRDefault="0010534D" w:rsidP="00B329ED">
                      <w:pPr>
                        <w:jc w:val="center"/>
                        <w:rPr>
                          <w:rFonts w:asciiTheme="minorHAnsi" w:hAnsiTheme="minorHAnsi" w:cstheme="minorHAnsi"/>
                          <w:b/>
                          <w:color w:val="323E4F" w:themeColor="text2" w:themeShade="BF"/>
                          <w:sz w:val="16"/>
                          <w:lang w:val="tr-TR"/>
                        </w:rPr>
                      </w:pPr>
                      <w:r w:rsidRPr="008A64C1">
                        <w:rPr>
                          <w:rFonts w:asciiTheme="minorHAnsi" w:hAnsiTheme="minorHAnsi" w:cstheme="minorHAnsi"/>
                          <w:b/>
                          <w:color w:val="323E4F" w:themeColor="text2" w:themeShade="BF"/>
                          <w:sz w:val="16"/>
                          <w:lang w:val="tr-TR"/>
                        </w:rPr>
                        <w:t>Şehirlerin sürdürülebilirliklerini</w:t>
                      </w:r>
                      <w:r>
                        <w:rPr>
                          <w:rFonts w:asciiTheme="minorHAnsi" w:hAnsiTheme="minorHAnsi" w:cstheme="minorHAnsi"/>
                          <w:b/>
                          <w:color w:val="323E4F" w:themeColor="text2" w:themeShade="BF"/>
                          <w:sz w:val="16"/>
                          <w:lang w:val="tr-TR"/>
                        </w:rPr>
                        <w:t>n</w:t>
                      </w:r>
                      <w:r w:rsidRPr="008A64C1">
                        <w:rPr>
                          <w:rFonts w:asciiTheme="minorHAnsi" w:hAnsiTheme="minorHAnsi" w:cstheme="minorHAnsi"/>
                          <w:b/>
                          <w:color w:val="323E4F" w:themeColor="text2" w:themeShade="BF"/>
                          <w:sz w:val="16"/>
                          <w:lang w:val="tr-TR"/>
                        </w:rPr>
                        <w:t xml:space="preserve"> ve afetlere karşı dayanıklılıklarını</w:t>
                      </w:r>
                      <w:r>
                        <w:rPr>
                          <w:rFonts w:asciiTheme="minorHAnsi" w:hAnsiTheme="minorHAnsi" w:cstheme="minorHAnsi"/>
                          <w:b/>
                          <w:color w:val="323E4F" w:themeColor="text2" w:themeShade="BF"/>
                          <w:sz w:val="16"/>
                          <w:lang w:val="tr-TR"/>
                        </w:rPr>
                        <w:t>n</w:t>
                      </w:r>
                      <w:r w:rsidRPr="008A64C1">
                        <w:rPr>
                          <w:rFonts w:asciiTheme="minorHAnsi" w:hAnsiTheme="minorHAnsi" w:cstheme="minorHAnsi"/>
                          <w:b/>
                          <w:color w:val="323E4F" w:themeColor="text2" w:themeShade="BF"/>
                          <w:sz w:val="16"/>
                          <w:lang w:val="tr-TR"/>
                        </w:rPr>
                        <w:t xml:space="preserve"> </w:t>
                      </w:r>
                      <w:r>
                        <w:rPr>
                          <w:rFonts w:asciiTheme="minorHAnsi" w:hAnsiTheme="minorHAnsi" w:cstheme="minorHAnsi"/>
                          <w:b/>
                          <w:color w:val="323E4F" w:themeColor="text2" w:themeShade="BF"/>
                          <w:sz w:val="16"/>
                          <w:lang w:val="tr-TR"/>
                        </w:rPr>
                        <w:t xml:space="preserve">arttırılması </w:t>
                      </w:r>
                    </w:p>
                  </w:txbxContent>
                </v:textbox>
              </v:roundrect>
            </w:pict>
          </mc:Fallback>
        </mc:AlternateContent>
      </w:r>
      <w:r w:rsidR="008A64C1" w:rsidRPr="001A4B94">
        <w:rPr>
          <w:noProof/>
          <w:lang w:val="en-GB" w:eastAsia="en-GB"/>
        </w:rPr>
        <mc:AlternateContent>
          <mc:Choice Requires="wps">
            <w:drawing>
              <wp:anchor distT="0" distB="0" distL="114300" distR="114300" simplePos="0" relativeHeight="251718656" behindDoc="0" locked="0" layoutInCell="1" allowOverlap="1" wp14:anchorId="3E5EACDC" wp14:editId="7BE7B1A1">
                <wp:simplePos x="0" y="0"/>
                <wp:positionH relativeFrom="column">
                  <wp:posOffset>3743325</wp:posOffset>
                </wp:positionH>
                <wp:positionV relativeFrom="paragraph">
                  <wp:posOffset>2148205</wp:posOffset>
                </wp:positionV>
                <wp:extent cx="2242820" cy="266700"/>
                <wp:effectExtent l="0" t="0" r="24130" b="19050"/>
                <wp:wrapNone/>
                <wp:docPr id="51" name="Dikdörtgen: Yuvarlatılmış Köşeler 51"/>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775BD" w14:textId="36BC2F00"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Enerji arz güvenliğinin ve yeşil enerji üretiminin arttırılması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3E5EACDC" id="Dikd_x00f6_rtgen_x003a__x0020_Yuvarlat_x0131_lm_x0131__x015f__x0020_K_x00f6__x015f_eler_x0020_51" o:spid="_x0000_s1035" style="position:absolute;left:0;text-align:left;margin-left:294.75pt;margin-top:169.15pt;width:176.6pt;height:2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" fillcolor="#d8d8d8 [2732]" strokecolor="#7f7f7f [1612]" strokeweight="1pt">
                <v:stroke joinstyle="miter"/>
                <v:textbox inset="0,0,0,0">
                  <w:txbxContent>
                    <w:p w14:paraId="2BA775BD" w14:textId="36BC2F00"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Enerji arz güvenliğinin ve yeşil enerji üretiminin arttırılması    </w:t>
                      </w:r>
                    </w:p>
                  </w:txbxContent>
                </v:textbox>
              </v:roundrect>
            </w:pict>
          </mc:Fallback>
        </mc:AlternateContent>
      </w:r>
      <w:r w:rsidR="008A64C1" w:rsidRPr="001A4B94">
        <w:rPr>
          <w:noProof/>
          <w:lang w:val="en-GB" w:eastAsia="en-GB"/>
        </w:rPr>
        <mc:AlternateContent>
          <mc:Choice Requires="wps">
            <w:drawing>
              <wp:anchor distT="0" distB="0" distL="114300" distR="114300" simplePos="0" relativeHeight="251716608" behindDoc="0" locked="0" layoutInCell="1" allowOverlap="1" wp14:anchorId="0A2A026E" wp14:editId="2CC28BE7">
                <wp:simplePos x="0" y="0"/>
                <wp:positionH relativeFrom="column">
                  <wp:posOffset>3743325</wp:posOffset>
                </wp:positionH>
                <wp:positionV relativeFrom="paragraph">
                  <wp:posOffset>1795780</wp:posOffset>
                </wp:positionV>
                <wp:extent cx="2242820" cy="266700"/>
                <wp:effectExtent l="0" t="0" r="24130" b="19050"/>
                <wp:wrapNone/>
                <wp:docPr id="50" name="Dikdörtgen: Yuvarlatılmış Köşeler 50"/>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6BD7B" w14:textId="780232CA"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Eğitim ve sağlık sektörlerinin performansının güçlendirilmesi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0A2A026E" id="Dikd_x00f6_rtgen_x003a__x0020_Yuvarlat_x0131_lm_x0131__x015f__x0020_K_x00f6__x015f_eler_x0020_50" o:spid="_x0000_s1036" style="position:absolute;left:0;text-align:left;margin-left:294.75pt;margin-top:141.4pt;width:176.6pt;height:2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" fillcolor="#d8d8d8 [2732]" strokecolor="#7f7f7f [1612]" strokeweight="1pt">
                <v:stroke joinstyle="miter"/>
                <v:textbox inset="0,0,0,0">
                  <w:txbxContent>
                    <w:p w14:paraId="0356BD7B" w14:textId="780232CA"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Eğitim ve sağlık sektörlerinin performansının güçlendirilmesi  </w:t>
                      </w:r>
                    </w:p>
                  </w:txbxContent>
                </v:textbox>
              </v:roundrect>
            </w:pict>
          </mc:Fallback>
        </mc:AlternateContent>
      </w:r>
      <w:r w:rsidR="008A64C1" w:rsidRPr="001A4B94">
        <w:rPr>
          <w:noProof/>
          <w:lang w:val="en-GB" w:eastAsia="en-GB"/>
        </w:rPr>
        <mc:AlternateContent>
          <mc:Choice Requires="wps">
            <w:drawing>
              <wp:anchor distT="0" distB="0" distL="114300" distR="114300" simplePos="0" relativeHeight="251714560" behindDoc="0" locked="0" layoutInCell="1" allowOverlap="1" wp14:anchorId="10D01DCE" wp14:editId="1239A962">
                <wp:simplePos x="0" y="0"/>
                <wp:positionH relativeFrom="column">
                  <wp:posOffset>3743325</wp:posOffset>
                </wp:positionH>
                <wp:positionV relativeFrom="paragraph">
                  <wp:posOffset>1510030</wp:posOffset>
                </wp:positionV>
                <wp:extent cx="2242820" cy="266700"/>
                <wp:effectExtent l="0" t="0" r="24130" b="19050"/>
                <wp:wrapNone/>
                <wp:docPr id="49" name="Dikdörtgen: Yuvarlatılmış Köşeler 49"/>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30530" w14:textId="4C8EF70C"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Kadınlar ve kırılgan gruplar için işgücüne katılımın arttırılması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10D01DCE" id="Dikd_x00f6_rtgen_x003a__x0020_Yuvarlat_x0131_lm_x0131__x015f__x0020_K_x00f6__x015f_eler_x0020_49" o:spid="_x0000_s1037" style="position:absolute;left:0;text-align:left;margin-left:294.75pt;margin-top:118.9pt;width:176.6pt;height:2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" fillcolor="#d8d8d8 [2732]" strokecolor="#7f7f7f [1612]" strokeweight="1pt">
                <v:stroke joinstyle="miter"/>
                <v:textbox inset="0,0,0,0">
                  <w:txbxContent>
                    <w:p w14:paraId="0CB30530" w14:textId="4C8EF70C"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Kadınlar ve kırılgan gruplar için işgücüne katılımın arttırılması </w:t>
                      </w:r>
                    </w:p>
                  </w:txbxContent>
                </v:textbox>
              </v:roundrect>
            </w:pict>
          </mc:Fallback>
        </mc:AlternateContent>
      </w:r>
      <w:r w:rsidR="008A64C1" w:rsidRPr="001A4B94">
        <w:rPr>
          <w:noProof/>
          <w:lang w:val="en-GB" w:eastAsia="en-GB"/>
        </w:rPr>
        <mc:AlternateContent>
          <mc:Choice Requires="wps">
            <w:drawing>
              <wp:anchor distT="0" distB="0" distL="114300" distR="114300" simplePos="0" relativeHeight="251712512" behindDoc="0" locked="0" layoutInCell="1" allowOverlap="1" wp14:anchorId="37899BED" wp14:editId="41654758">
                <wp:simplePos x="0" y="0"/>
                <wp:positionH relativeFrom="column">
                  <wp:posOffset>3743325</wp:posOffset>
                </wp:positionH>
                <wp:positionV relativeFrom="paragraph">
                  <wp:posOffset>1243330</wp:posOffset>
                </wp:positionV>
                <wp:extent cx="2242820" cy="266700"/>
                <wp:effectExtent l="0" t="0" r="24130" b="19050"/>
                <wp:wrapNone/>
                <wp:docPr id="48" name="Dikdörtgen: Yuvarlatılmış Köşeler 48"/>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54C36" w14:textId="1580BEAF"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Sosyal yardımların etkililiğinin arttırılması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37899BED" id="Dikd_x00f6_rtgen_x003a__x0020_Yuvarlat_x0131_lm_x0131__x015f__x0020_K_x00f6__x015f_eler_x0020_48" o:spid="_x0000_s1038" style="position:absolute;left:0;text-align:left;margin-left:294.75pt;margin-top:97.9pt;width:176.6pt;height:2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" fillcolor="#d8d8d8 [2732]" strokecolor="#7f7f7f [1612]" strokeweight="1pt">
                <v:stroke joinstyle="miter"/>
                <v:textbox inset="0,0,0,0">
                  <w:txbxContent>
                    <w:p w14:paraId="1E654C36" w14:textId="1580BEAF"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Sosyal yardımların etkililiğinin arttırılması  </w:t>
                      </w:r>
                    </w:p>
                  </w:txbxContent>
                </v:textbox>
              </v:roundrect>
            </w:pict>
          </mc:Fallback>
        </mc:AlternateContent>
      </w:r>
      <w:r w:rsidR="008A64C1" w:rsidRPr="001A4B94">
        <w:rPr>
          <w:noProof/>
          <w:lang w:val="en-GB" w:eastAsia="en-GB"/>
        </w:rPr>
        <mc:AlternateContent>
          <mc:Choice Requires="wps">
            <w:drawing>
              <wp:anchor distT="0" distB="0" distL="114300" distR="114300" simplePos="0" relativeHeight="251710464" behindDoc="0" locked="0" layoutInCell="1" allowOverlap="1" wp14:anchorId="1313B760" wp14:editId="183309AF">
                <wp:simplePos x="0" y="0"/>
                <wp:positionH relativeFrom="column">
                  <wp:posOffset>3743325</wp:posOffset>
                </wp:positionH>
                <wp:positionV relativeFrom="paragraph">
                  <wp:posOffset>862330</wp:posOffset>
                </wp:positionV>
                <wp:extent cx="2242820" cy="266700"/>
                <wp:effectExtent l="0" t="0" r="24130" b="19050"/>
                <wp:wrapNone/>
                <wp:docPr id="47" name="Dikdörtgen: Yuvarlatılmış Köşeler 47"/>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E564B" w14:textId="5BA17EA5"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Seçilen sektörlerde  rekabet gücünün ve istihdamın arttırılması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1313B760" id="Dikd_x00f6_rtgen_x003a__x0020_Yuvarlat_x0131_lm_x0131__x015f__x0020_K_x00f6__x015f_eler_x0020_47" o:spid="_x0000_s1039" style="position:absolute;left:0;text-align:left;margin-left:294.75pt;margin-top:67.9pt;width:176.6pt;height:2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" fillcolor="#d8d8d8 [2732]" strokecolor="#7f7f7f [1612]" strokeweight="1pt">
                <v:stroke joinstyle="miter"/>
                <v:textbox inset="0,0,0,0">
                  <w:txbxContent>
                    <w:p w14:paraId="3BCE564B" w14:textId="5BA17EA5"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Seçilen sektörlerde  rekabet gücünün ve istihdamın arttırılması </w:t>
                      </w:r>
                    </w:p>
                  </w:txbxContent>
                </v:textbox>
              </v:roundrect>
            </w:pict>
          </mc:Fallback>
        </mc:AlternateContent>
      </w:r>
      <w:r w:rsidR="008A64C1" w:rsidRPr="001A4B94">
        <w:rPr>
          <w:noProof/>
          <w:lang w:val="en-GB" w:eastAsia="en-GB"/>
        </w:rPr>
        <mc:AlternateContent>
          <mc:Choice Requires="wps">
            <w:drawing>
              <wp:anchor distT="0" distB="0" distL="114300" distR="114300" simplePos="0" relativeHeight="251708416" behindDoc="0" locked="0" layoutInCell="1" allowOverlap="1" wp14:anchorId="64BACE01" wp14:editId="1284F6F2">
                <wp:simplePos x="0" y="0"/>
                <wp:positionH relativeFrom="column">
                  <wp:posOffset>3743325</wp:posOffset>
                </wp:positionH>
                <wp:positionV relativeFrom="paragraph">
                  <wp:posOffset>586105</wp:posOffset>
                </wp:positionV>
                <wp:extent cx="2242820" cy="266700"/>
                <wp:effectExtent l="0" t="0" r="24130" b="19050"/>
                <wp:wrapNone/>
                <wp:docPr id="46" name="Dikdörtgen: Yuvarlatılmış Köşeler 46"/>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0790D" w14:textId="2A0EBD70"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Yetersiz hizmet alan piyasalar için finansmana erişimin arttırılması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64BACE01" id="Dikd_x00f6_rtgen_x003a__x0020_Yuvarlat_x0131_lm_x0131__x015f__x0020_K_x00f6__x015f_eler_x0020_46" o:spid="_x0000_s1040" style="position:absolute;left:0;text-align:left;margin-left:294.75pt;margin-top:46.15pt;width:176.6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" fillcolor="#d8d8d8 [2732]" strokecolor="#7f7f7f [1612]" strokeweight="1pt">
                <v:stroke joinstyle="miter"/>
                <v:textbox inset="0,0,0,0">
                  <w:txbxContent>
                    <w:p w14:paraId="6CC0790D" w14:textId="2A0EBD70"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Yetersiz hizmet alan piyasalar için finansmana erişimin arttırılması </w:t>
                      </w:r>
                    </w:p>
                  </w:txbxContent>
                </v:textbox>
              </v:roundrect>
            </w:pict>
          </mc:Fallback>
        </mc:AlternateContent>
      </w:r>
      <w:r w:rsidR="002E25EB" w:rsidRPr="001A4B94">
        <w:rPr>
          <w:noProof/>
          <w:lang w:val="en-GB" w:eastAsia="en-GB"/>
        </w:rPr>
        <mc:AlternateContent>
          <mc:Choice Requires="wps">
            <w:drawing>
              <wp:anchor distT="0" distB="0" distL="114300" distR="114300" simplePos="0" relativeHeight="251706368" behindDoc="0" locked="0" layoutInCell="1" allowOverlap="1" wp14:anchorId="54E8C05C" wp14:editId="374D3350">
                <wp:simplePos x="0" y="0"/>
                <wp:positionH relativeFrom="column">
                  <wp:posOffset>3743326</wp:posOffset>
                </wp:positionH>
                <wp:positionV relativeFrom="paragraph">
                  <wp:posOffset>319405</wp:posOffset>
                </wp:positionV>
                <wp:extent cx="2242820" cy="266700"/>
                <wp:effectExtent l="0" t="0" r="24130" b="19050"/>
                <wp:wrapNone/>
                <wp:docPr id="45" name="Dikdörtgen: Yuvarlatılmış Köşeler 45"/>
                <wp:cNvGraphicFramePr/>
                <a:graphic xmlns:a="http://schemas.openxmlformats.org/drawingml/2006/main">
                  <a:graphicData uri="http://schemas.microsoft.com/office/word/2010/wordprocessingShape">
                    <wps:wsp>
                      <wps:cNvSpPr/>
                      <wps:spPr>
                        <a:xfrm>
                          <a:off x="0" y="0"/>
                          <a:ext cx="2242820" cy="266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AED60" w14:textId="0E0418FD"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Artan mali hareket alanı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54E8C05C" id="Dikd_x00f6_rtgen_x003a__x0020_Yuvarlat_x0131_lm_x0131__x015f__x0020_K_x00f6__x015f_eler_x0020_45" o:spid="_x0000_s1041" style="position:absolute;left:0;text-align:left;margin-left:294.75pt;margin-top:25.15pt;width:176.6pt;height:2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" fillcolor="#d8d8d8 [2732]" strokecolor="#7f7f7f [1612]" strokeweight="1pt">
                <v:stroke joinstyle="miter"/>
                <v:textbox inset="0,0,0,0">
                  <w:txbxContent>
                    <w:p w14:paraId="062AED60" w14:textId="0E0418FD" w:rsidR="0010534D" w:rsidRPr="002E25EB" w:rsidRDefault="0010534D" w:rsidP="00B329ED">
                      <w:pPr>
                        <w:jc w:val="center"/>
                        <w:rPr>
                          <w:rFonts w:asciiTheme="minorHAnsi" w:hAnsiTheme="minorHAnsi" w:cstheme="minorHAnsi"/>
                          <w:b/>
                          <w:color w:val="323E4F" w:themeColor="text2" w:themeShade="BF"/>
                          <w:sz w:val="16"/>
                          <w:lang w:val="tr-TR"/>
                        </w:rPr>
                      </w:pPr>
                      <w:r>
                        <w:rPr>
                          <w:rFonts w:asciiTheme="minorHAnsi" w:hAnsiTheme="minorHAnsi" w:cstheme="minorHAnsi"/>
                          <w:b/>
                          <w:color w:val="323E4F" w:themeColor="text2" w:themeShade="BF"/>
                          <w:sz w:val="16"/>
                          <w:lang w:val="tr-TR"/>
                        </w:rPr>
                        <w:t xml:space="preserve">Artan mali hareket alanı </w:t>
                      </w:r>
                    </w:p>
                  </w:txbxContent>
                </v:textbox>
              </v:roundrect>
            </w:pict>
          </mc:Fallback>
        </mc:AlternateContent>
      </w:r>
      <w:r w:rsidR="002E25EB" w:rsidRPr="001A4B94">
        <w:rPr>
          <w:noProof/>
          <w:lang w:val="en-GB" w:eastAsia="en-GB"/>
        </w:rPr>
        <mc:AlternateContent>
          <mc:Choice Requires="wps">
            <w:drawing>
              <wp:anchor distT="0" distB="0" distL="114300" distR="114300" simplePos="0" relativeHeight="251704320" behindDoc="0" locked="0" layoutInCell="1" allowOverlap="1" wp14:anchorId="56B20F6C" wp14:editId="3E16729D">
                <wp:simplePos x="0" y="0"/>
                <wp:positionH relativeFrom="column">
                  <wp:posOffset>2057400</wp:posOffset>
                </wp:positionH>
                <wp:positionV relativeFrom="paragraph">
                  <wp:posOffset>2243455</wp:posOffset>
                </wp:positionV>
                <wp:extent cx="933450" cy="323850"/>
                <wp:effectExtent l="0" t="0" r="19050" b="19050"/>
                <wp:wrapNone/>
                <wp:docPr id="44" name="Dikdörtgen: Yuvarlatılmış Köşeler 44"/>
                <wp:cNvGraphicFramePr/>
                <a:graphic xmlns:a="http://schemas.openxmlformats.org/drawingml/2006/main">
                  <a:graphicData uri="http://schemas.microsoft.com/office/word/2010/wordprocessingShape">
                    <wps:wsp>
                      <wps:cNvSpPr/>
                      <wps:spPr>
                        <a:xfrm>
                          <a:off x="0" y="0"/>
                          <a:ext cx="933450" cy="323850"/>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EF164" w14:textId="31AF853E" w:rsidR="0010534D" w:rsidRPr="002E25EB"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Sürdürülebilirlik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6B20F6C" id="Dikd_x00f6_rtgen_x003a__x0020_Yuvarlat_x0131_lm_x0131__x015f__x0020_K_x00f6__x015f_eler_x0020_44" o:spid="_x0000_s1042" style="position:absolute;left:0;text-align:left;margin-left:162pt;margin-top:176.65pt;width:73.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" fillcolor="white [3212]" strokecolor="#7f7f7f [1612]" strokeweight="1pt">
                <v:stroke joinstyle="miter"/>
                <v:textbox inset="0,0,0,0">
                  <w:txbxContent>
                    <w:p w14:paraId="6DDEF164" w14:textId="31AF853E" w:rsidR="0010534D" w:rsidRPr="002E25EB"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Sürdürülebilirlik</w:t>
                      </w:r>
                    </w:p>
                  </w:txbxContent>
                </v:textbox>
              </v:roundrect>
            </w:pict>
          </mc:Fallback>
        </mc:AlternateContent>
      </w:r>
      <w:r w:rsidR="002E25EB" w:rsidRPr="001A4B94">
        <w:rPr>
          <w:noProof/>
          <w:lang w:val="en-GB" w:eastAsia="en-GB"/>
        </w:rPr>
        <mc:AlternateContent>
          <mc:Choice Requires="wps">
            <w:drawing>
              <wp:anchor distT="0" distB="0" distL="114300" distR="114300" simplePos="0" relativeHeight="251700224" behindDoc="0" locked="0" layoutInCell="1" allowOverlap="1" wp14:anchorId="03432E7D" wp14:editId="7AB9DD3A">
                <wp:simplePos x="0" y="0"/>
                <wp:positionH relativeFrom="column">
                  <wp:posOffset>2057400</wp:posOffset>
                </wp:positionH>
                <wp:positionV relativeFrom="paragraph">
                  <wp:posOffset>519430</wp:posOffset>
                </wp:positionV>
                <wp:extent cx="933450" cy="266700"/>
                <wp:effectExtent l="0" t="0" r="19050" b="19050"/>
                <wp:wrapNone/>
                <wp:docPr id="42" name="Dikdörtgen: Yuvarlatılmış Köşeler 42"/>
                <wp:cNvGraphicFramePr/>
                <a:graphic xmlns:a="http://schemas.openxmlformats.org/drawingml/2006/main">
                  <a:graphicData uri="http://schemas.microsoft.com/office/word/2010/wordprocessingShape">
                    <wps:wsp>
                      <wps:cNvSpPr/>
                      <wps:spPr>
                        <a:xfrm>
                          <a:off x="0" y="0"/>
                          <a:ext cx="933450" cy="266700"/>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C8395" w14:textId="4E100D8D" w:rsidR="0010534D" w:rsidRPr="002E25EB"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Büyüme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03432E7D" id="Dikd_x00f6_rtgen_x003a__x0020_Yuvarlat_x0131_lm_x0131__x015f__x0020_K_x00f6__x015f_eler_x0020_42" o:spid="_x0000_s1043" style="position:absolute;left:0;text-align:left;margin-left:162pt;margin-top:40.9pt;width:73.5pt;height:2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" fillcolor="white [3212]" strokecolor="#7f7f7f [1612]" strokeweight="1pt">
                <v:stroke joinstyle="miter"/>
                <v:textbox inset="0,0,0,0">
                  <w:txbxContent>
                    <w:p w14:paraId="66EC8395" w14:textId="4E100D8D" w:rsidR="0010534D" w:rsidRPr="002E25EB"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Büyüme</w:t>
                      </w:r>
                    </w:p>
                  </w:txbxContent>
                </v:textbox>
              </v:roundrect>
            </w:pict>
          </mc:Fallback>
        </mc:AlternateContent>
      </w:r>
      <w:r w:rsidR="002E25EB" w:rsidRPr="001A4B94">
        <w:rPr>
          <w:noProof/>
          <w:lang w:val="en-GB" w:eastAsia="en-GB"/>
        </w:rPr>
        <mc:AlternateContent>
          <mc:Choice Requires="wps">
            <w:drawing>
              <wp:anchor distT="0" distB="0" distL="114300" distR="114300" simplePos="0" relativeHeight="251702272" behindDoc="0" locked="0" layoutInCell="1" allowOverlap="1" wp14:anchorId="520C510D" wp14:editId="5719AF3E">
                <wp:simplePos x="0" y="0"/>
                <wp:positionH relativeFrom="column">
                  <wp:posOffset>2057401</wp:posOffset>
                </wp:positionH>
                <wp:positionV relativeFrom="paragraph">
                  <wp:posOffset>1367155</wp:posOffset>
                </wp:positionV>
                <wp:extent cx="933450" cy="266700"/>
                <wp:effectExtent l="0" t="0" r="19050" b="19050"/>
                <wp:wrapNone/>
                <wp:docPr id="43" name="Dikdörtgen: Yuvarlatılmış Köşeler 43"/>
                <wp:cNvGraphicFramePr/>
                <a:graphic xmlns:a="http://schemas.openxmlformats.org/drawingml/2006/main">
                  <a:graphicData uri="http://schemas.microsoft.com/office/word/2010/wordprocessingShape">
                    <wps:wsp>
                      <wps:cNvSpPr/>
                      <wps:spPr>
                        <a:xfrm>
                          <a:off x="0" y="0"/>
                          <a:ext cx="933450" cy="266700"/>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F608C" w14:textId="593A5DC6" w:rsidR="0010534D" w:rsidRPr="002E25EB"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Kapsama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520C510D" id="Dikd_x00f6_rtgen_x003a__x0020_Yuvarlat_x0131_lm_x0131__x015f__x0020_K_x00f6__x015f_eler_x0020_43" o:spid="_x0000_s1044" style="position:absolute;left:0;text-align:left;margin-left:162pt;margin-top:107.65pt;width:73.5pt;height:2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" fillcolor="white [3212]" strokecolor="#7f7f7f [1612]" strokeweight="1pt">
                <v:stroke joinstyle="miter"/>
                <v:textbox inset="0,0,0,0">
                  <w:txbxContent>
                    <w:p w14:paraId="1A4F608C" w14:textId="593A5DC6" w:rsidR="0010534D" w:rsidRPr="002E25EB"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Kapsama</w:t>
                      </w:r>
                    </w:p>
                  </w:txbxContent>
                </v:textbox>
              </v:roundrect>
            </w:pict>
          </mc:Fallback>
        </mc:AlternateContent>
      </w:r>
      <w:r w:rsidR="002E25EB" w:rsidRPr="001A4B94">
        <w:rPr>
          <w:noProof/>
          <w:lang w:val="en-GB" w:eastAsia="en-GB"/>
        </w:rPr>
        <mc:AlternateContent>
          <mc:Choice Requires="wps">
            <w:drawing>
              <wp:anchor distT="0" distB="0" distL="114300" distR="114300" simplePos="0" relativeHeight="251696128" behindDoc="0" locked="0" layoutInCell="1" allowOverlap="1" wp14:anchorId="5E6C693F" wp14:editId="409D99BF">
                <wp:simplePos x="0" y="0"/>
                <wp:positionH relativeFrom="column">
                  <wp:posOffset>9525</wp:posOffset>
                </wp:positionH>
                <wp:positionV relativeFrom="paragraph">
                  <wp:posOffset>1348105</wp:posOffset>
                </wp:positionV>
                <wp:extent cx="1419225" cy="266700"/>
                <wp:effectExtent l="0" t="0" r="28575" b="19050"/>
                <wp:wrapNone/>
                <wp:docPr id="40" name="Dikdörtgen: Yuvarlatılmış Köşeler 40"/>
                <wp:cNvGraphicFramePr/>
                <a:graphic xmlns:a="http://schemas.openxmlformats.org/drawingml/2006/main">
                  <a:graphicData uri="http://schemas.microsoft.com/office/word/2010/wordprocessingShape">
                    <wps:wsp>
                      <wps:cNvSpPr/>
                      <wps:spPr>
                        <a:xfrm>
                          <a:off x="0" y="0"/>
                          <a:ext cx="1419225" cy="266700"/>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48010" w14:textId="5893F741" w:rsidR="0010534D" w:rsidRPr="00312C2F"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3</w:t>
                            </w:r>
                            <w:r w:rsidRPr="00312C2F">
                              <w:rPr>
                                <w:rFonts w:asciiTheme="minorHAnsi" w:hAnsiTheme="minorHAnsi" w:cstheme="minorHAnsi"/>
                                <w:b/>
                                <w:color w:val="323E4F" w:themeColor="text2" w:themeShade="BF"/>
                                <w:sz w:val="20"/>
                                <w:lang w:val="tr-TR"/>
                              </w:rPr>
                              <w:t xml:space="preserve">. </w:t>
                            </w:r>
                            <w:r>
                              <w:rPr>
                                <w:rFonts w:asciiTheme="minorHAnsi" w:hAnsiTheme="minorHAnsi" w:cstheme="minorHAnsi"/>
                                <w:b/>
                                <w:color w:val="323E4F" w:themeColor="text2" w:themeShade="BF"/>
                                <w:sz w:val="20"/>
                                <w:lang w:val="tr-TR"/>
                              </w:rPr>
                              <w:t>Üretken İnsan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5E6C693F" id="Dikd_x00f6_rtgen_x003a__x0020_Yuvarlat_x0131_lm_x0131__x015f__x0020_K_x00f6__x015f_eler_x0020_40" o:spid="_x0000_s1045" style="position:absolute;left:0;text-align:left;margin-left:.75pt;margin-top:106.15pt;width:111.75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" fillcolor="#a5a5a5 [2092]" strokecolor="#7f7f7f [1612]" strokeweight="1pt">
                <v:stroke joinstyle="miter"/>
                <v:textbox inset="0,0,0,0">
                  <w:txbxContent>
                    <w:p w14:paraId="5C348010" w14:textId="5893F741" w:rsidR="0010534D" w:rsidRPr="00312C2F"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3</w:t>
                      </w:r>
                      <w:r w:rsidRPr="00312C2F">
                        <w:rPr>
                          <w:rFonts w:asciiTheme="minorHAnsi" w:hAnsiTheme="minorHAnsi" w:cstheme="minorHAnsi"/>
                          <w:b/>
                          <w:color w:val="323E4F" w:themeColor="text2" w:themeShade="BF"/>
                          <w:sz w:val="20"/>
                          <w:lang w:val="tr-TR"/>
                        </w:rPr>
                        <w:t xml:space="preserve">. </w:t>
                      </w:r>
                      <w:r>
                        <w:rPr>
                          <w:rFonts w:asciiTheme="minorHAnsi" w:hAnsiTheme="minorHAnsi" w:cstheme="minorHAnsi"/>
                          <w:b/>
                          <w:color w:val="323E4F" w:themeColor="text2" w:themeShade="BF"/>
                          <w:sz w:val="20"/>
                          <w:lang w:val="tr-TR"/>
                        </w:rPr>
                        <w:t>Üretken İnsan</w:t>
                      </w:r>
                    </w:p>
                  </w:txbxContent>
                </v:textbox>
              </v:roundrect>
            </w:pict>
          </mc:Fallback>
        </mc:AlternateContent>
      </w:r>
      <w:r w:rsidR="00312C2F" w:rsidRPr="001A4B94">
        <w:rPr>
          <w:noProof/>
          <w:lang w:val="en-GB" w:eastAsia="en-GB"/>
        </w:rPr>
        <mc:AlternateContent>
          <mc:Choice Requires="wps">
            <w:drawing>
              <wp:anchor distT="0" distB="0" distL="114300" distR="114300" simplePos="0" relativeHeight="251694080" behindDoc="0" locked="0" layoutInCell="1" allowOverlap="1" wp14:anchorId="47B3E953" wp14:editId="6FB07767">
                <wp:simplePos x="0" y="0"/>
                <wp:positionH relativeFrom="column">
                  <wp:posOffset>0</wp:posOffset>
                </wp:positionH>
                <wp:positionV relativeFrom="paragraph">
                  <wp:posOffset>700405</wp:posOffset>
                </wp:positionV>
                <wp:extent cx="1419225" cy="266700"/>
                <wp:effectExtent l="0" t="0" r="28575" b="19050"/>
                <wp:wrapNone/>
                <wp:docPr id="39" name="Dikdörtgen: Yuvarlatılmış Köşeler 39"/>
                <wp:cNvGraphicFramePr/>
                <a:graphic xmlns:a="http://schemas.openxmlformats.org/drawingml/2006/main">
                  <a:graphicData uri="http://schemas.microsoft.com/office/word/2010/wordprocessingShape">
                    <wps:wsp>
                      <wps:cNvSpPr/>
                      <wps:spPr>
                        <a:xfrm>
                          <a:off x="0" y="0"/>
                          <a:ext cx="1419225" cy="266700"/>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741E" w14:textId="7255EF6B" w:rsidR="0010534D" w:rsidRPr="00312C2F" w:rsidRDefault="0010534D" w:rsidP="00B329ED">
                            <w:pPr>
                              <w:jc w:val="center"/>
                              <w:rPr>
                                <w:rFonts w:asciiTheme="minorHAnsi" w:hAnsiTheme="minorHAnsi" w:cstheme="minorHAnsi"/>
                                <w:b/>
                                <w:color w:val="323E4F" w:themeColor="text2" w:themeShade="BF"/>
                                <w:sz w:val="20"/>
                                <w:lang w:val="tr-TR"/>
                              </w:rPr>
                            </w:pPr>
                            <w:r w:rsidRPr="00312C2F">
                              <w:rPr>
                                <w:rFonts w:asciiTheme="minorHAnsi" w:hAnsiTheme="minorHAnsi" w:cstheme="minorHAnsi"/>
                                <w:b/>
                                <w:color w:val="323E4F" w:themeColor="text2" w:themeShade="BF"/>
                                <w:sz w:val="20"/>
                                <w:lang w:val="tr-TR"/>
                              </w:rPr>
                              <w:t xml:space="preserve">2. Dinamik Şirketler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47B3E953" id="Dikd_x00f6_rtgen_x003a__x0020_Yuvarlat_x0131_lm_x0131__x015f__x0020_K_x00f6__x015f_eler_x0020_39" o:spid="_x0000_s1046" style="position:absolute;left:0;text-align:left;margin-left:0;margin-top:55.15pt;width:111.75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" fillcolor="#a5a5a5 [2092]" strokecolor="#7f7f7f [1612]" strokeweight="1pt">
                <v:stroke joinstyle="miter"/>
                <v:textbox inset="0,0,0,0">
                  <w:txbxContent>
                    <w:p w14:paraId="10C0741E" w14:textId="7255EF6B" w:rsidR="0010534D" w:rsidRPr="00312C2F" w:rsidRDefault="0010534D" w:rsidP="00B329ED">
                      <w:pPr>
                        <w:jc w:val="center"/>
                        <w:rPr>
                          <w:rFonts w:asciiTheme="minorHAnsi" w:hAnsiTheme="minorHAnsi" w:cstheme="minorHAnsi"/>
                          <w:b/>
                          <w:color w:val="323E4F" w:themeColor="text2" w:themeShade="BF"/>
                          <w:sz w:val="20"/>
                          <w:lang w:val="tr-TR"/>
                        </w:rPr>
                      </w:pPr>
                      <w:r w:rsidRPr="00312C2F">
                        <w:rPr>
                          <w:rFonts w:asciiTheme="minorHAnsi" w:hAnsiTheme="minorHAnsi" w:cstheme="minorHAnsi"/>
                          <w:b/>
                          <w:color w:val="323E4F" w:themeColor="text2" w:themeShade="BF"/>
                          <w:sz w:val="20"/>
                          <w:lang w:val="tr-TR"/>
                        </w:rPr>
                        <w:t xml:space="preserve">2. Dinamik Şirketler </w:t>
                      </w:r>
                    </w:p>
                  </w:txbxContent>
                </v:textbox>
              </v:roundrect>
            </w:pict>
          </mc:Fallback>
        </mc:AlternateContent>
      </w:r>
      <w:r w:rsidR="00312C2F" w:rsidRPr="001A4B94">
        <w:rPr>
          <w:noProof/>
          <w:lang w:val="en-GB" w:eastAsia="en-GB"/>
        </w:rPr>
        <mc:AlternateContent>
          <mc:Choice Requires="wps">
            <w:drawing>
              <wp:anchor distT="0" distB="0" distL="114300" distR="114300" simplePos="0" relativeHeight="251698176" behindDoc="0" locked="0" layoutInCell="1" allowOverlap="1" wp14:anchorId="1BEB78F1" wp14:editId="3B32A27E">
                <wp:simplePos x="0" y="0"/>
                <wp:positionH relativeFrom="column">
                  <wp:posOffset>0</wp:posOffset>
                </wp:positionH>
                <wp:positionV relativeFrom="paragraph">
                  <wp:posOffset>2281555</wp:posOffset>
                </wp:positionV>
                <wp:extent cx="1419225" cy="381000"/>
                <wp:effectExtent l="0" t="0" r="28575" b="19050"/>
                <wp:wrapNone/>
                <wp:docPr id="41" name="Dikdörtgen: Yuvarlatılmış Köşeler 41"/>
                <wp:cNvGraphicFramePr/>
                <a:graphic xmlns:a="http://schemas.openxmlformats.org/drawingml/2006/main">
                  <a:graphicData uri="http://schemas.microsoft.com/office/word/2010/wordprocessingShape">
                    <wps:wsp>
                      <wps:cNvSpPr/>
                      <wps:spPr>
                        <a:xfrm>
                          <a:off x="0" y="0"/>
                          <a:ext cx="1419225" cy="381000"/>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5059B" w14:textId="6066D977" w:rsidR="0010534D" w:rsidRPr="00312C2F"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4</w:t>
                            </w:r>
                            <w:r w:rsidRPr="00312C2F">
                              <w:rPr>
                                <w:rFonts w:asciiTheme="minorHAnsi" w:hAnsiTheme="minorHAnsi" w:cstheme="minorHAnsi"/>
                                <w:b/>
                                <w:color w:val="323E4F" w:themeColor="text2" w:themeShade="BF"/>
                                <w:sz w:val="20"/>
                                <w:lang w:val="tr-TR"/>
                              </w:rPr>
                              <w:t xml:space="preserve">. </w:t>
                            </w:r>
                            <w:r>
                              <w:rPr>
                                <w:rFonts w:asciiTheme="minorHAnsi" w:hAnsiTheme="minorHAnsi" w:cstheme="minorHAnsi"/>
                                <w:b/>
                                <w:color w:val="323E4F" w:themeColor="text2" w:themeShade="BF"/>
                                <w:sz w:val="20"/>
                                <w:lang w:val="tr-TR"/>
                              </w:rPr>
                              <w:t xml:space="preserve">Kamu Varlıkları ve Kaynakları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BEB78F1" id="Dikd_x00f6_rtgen_x003a__x0020_Yuvarlat_x0131_lm_x0131__x015f__x0020_K_x00f6__x015f_eler_x0020_41" o:spid="_x0000_s1047" style="position:absolute;left:0;text-align:left;margin-left:0;margin-top:179.65pt;width:111.7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" fillcolor="#a5a5a5 [2092]" strokecolor="#7f7f7f [1612]" strokeweight="1pt">
                <v:stroke joinstyle="miter"/>
                <v:textbox inset="0,0,0,0">
                  <w:txbxContent>
                    <w:p w14:paraId="5395059B" w14:textId="6066D977" w:rsidR="0010534D" w:rsidRPr="00312C2F" w:rsidRDefault="0010534D" w:rsidP="00B329ED">
                      <w:pPr>
                        <w:jc w:val="center"/>
                        <w:rPr>
                          <w:rFonts w:asciiTheme="minorHAnsi" w:hAnsiTheme="minorHAnsi" w:cstheme="minorHAnsi"/>
                          <w:b/>
                          <w:color w:val="323E4F" w:themeColor="text2" w:themeShade="BF"/>
                          <w:sz w:val="20"/>
                          <w:lang w:val="tr-TR"/>
                        </w:rPr>
                      </w:pPr>
                      <w:r>
                        <w:rPr>
                          <w:rFonts w:asciiTheme="minorHAnsi" w:hAnsiTheme="minorHAnsi" w:cstheme="minorHAnsi"/>
                          <w:b/>
                          <w:color w:val="323E4F" w:themeColor="text2" w:themeShade="BF"/>
                          <w:sz w:val="20"/>
                          <w:lang w:val="tr-TR"/>
                        </w:rPr>
                        <w:t>4</w:t>
                      </w:r>
                      <w:r w:rsidRPr="00312C2F">
                        <w:rPr>
                          <w:rFonts w:asciiTheme="minorHAnsi" w:hAnsiTheme="minorHAnsi" w:cstheme="minorHAnsi"/>
                          <w:b/>
                          <w:color w:val="323E4F" w:themeColor="text2" w:themeShade="BF"/>
                          <w:sz w:val="20"/>
                          <w:lang w:val="tr-TR"/>
                        </w:rPr>
                        <w:t xml:space="preserve">. </w:t>
                      </w:r>
                      <w:r>
                        <w:rPr>
                          <w:rFonts w:asciiTheme="minorHAnsi" w:hAnsiTheme="minorHAnsi" w:cstheme="minorHAnsi"/>
                          <w:b/>
                          <w:color w:val="323E4F" w:themeColor="text2" w:themeShade="BF"/>
                          <w:sz w:val="20"/>
                          <w:lang w:val="tr-TR"/>
                        </w:rPr>
                        <w:t xml:space="preserve">Kamu Varlıkları ve Kaynakları </w:t>
                      </w:r>
                    </w:p>
                  </w:txbxContent>
                </v:textbox>
              </v:roundrect>
            </w:pict>
          </mc:Fallback>
        </mc:AlternateContent>
      </w:r>
      <w:r w:rsidR="00312C2F" w:rsidRPr="001A4B94">
        <w:rPr>
          <w:noProof/>
          <w:lang w:val="en-GB" w:eastAsia="en-GB"/>
        </w:rPr>
        <mc:AlternateContent>
          <mc:Choice Requires="wps">
            <w:drawing>
              <wp:anchor distT="0" distB="0" distL="114300" distR="114300" simplePos="0" relativeHeight="251692032" behindDoc="0" locked="0" layoutInCell="1" allowOverlap="1" wp14:anchorId="200D5B34" wp14:editId="56E2B705">
                <wp:simplePos x="0" y="0"/>
                <wp:positionH relativeFrom="column">
                  <wp:posOffset>0</wp:posOffset>
                </wp:positionH>
                <wp:positionV relativeFrom="paragraph">
                  <wp:posOffset>376555</wp:posOffset>
                </wp:positionV>
                <wp:extent cx="1419225" cy="266700"/>
                <wp:effectExtent l="0" t="0" r="28575" b="19050"/>
                <wp:wrapNone/>
                <wp:docPr id="38" name="Dikdörtgen: Yuvarlatılmış Köşeler 38"/>
                <wp:cNvGraphicFramePr/>
                <a:graphic xmlns:a="http://schemas.openxmlformats.org/drawingml/2006/main">
                  <a:graphicData uri="http://schemas.microsoft.com/office/word/2010/wordprocessingShape">
                    <wps:wsp>
                      <wps:cNvSpPr/>
                      <wps:spPr>
                        <a:xfrm>
                          <a:off x="0" y="0"/>
                          <a:ext cx="1419225" cy="266700"/>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69494" w14:textId="56A24392" w:rsidR="0010534D" w:rsidRPr="00312C2F" w:rsidRDefault="0010534D" w:rsidP="00B329ED">
                            <w:pPr>
                              <w:jc w:val="center"/>
                              <w:rPr>
                                <w:rFonts w:asciiTheme="minorHAnsi" w:hAnsiTheme="minorHAnsi" w:cstheme="minorHAnsi"/>
                                <w:b/>
                                <w:color w:val="323E4F" w:themeColor="text2" w:themeShade="BF"/>
                                <w:sz w:val="20"/>
                                <w:lang w:val="tr-TR"/>
                              </w:rPr>
                            </w:pPr>
                            <w:r w:rsidRPr="00312C2F">
                              <w:rPr>
                                <w:rFonts w:asciiTheme="minorHAnsi" w:hAnsiTheme="minorHAnsi" w:cstheme="minorHAnsi"/>
                                <w:b/>
                                <w:color w:val="323E4F" w:themeColor="text2" w:themeShade="BF"/>
                                <w:sz w:val="20"/>
                                <w:lang w:val="tr-TR"/>
                              </w:rPr>
                              <w:t xml:space="preserve">1. Sağlam Temeller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200D5B34" id="Dikd_x00f6_rtgen_x003a__x0020_Yuvarlat_x0131_lm_x0131__x015f__x0020_K_x00f6__x015f_eler_x0020_38" o:spid="_x0000_s1048" style="position:absolute;left:0;text-align:left;margin-left:0;margin-top:29.65pt;width:111.75pt;height:2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" fillcolor="#a5a5a5 [2092]" strokecolor="#7f7f7f [1612]" strokeweight="1pt">
                <v:stroke joinstyle="miter"/>
                <v:textbox inset="0,0,0,0">
                  <w:txbxContent>
                    <w:p w14:paraId="0A369494" w14:textId="56A24392" w:rsidR="0010534D" w:rsidRPr="00312C2F" w:rsidRDefault="0010534D" w:rsidP="00B329ED">
                      <w:pPr>
                        <w:jc w:val="center"/>
                        <w:rPr>
                          <w:rFonts w:asciiTheme="minorHAnsi" w:hAnsiTheme="minorHAnsi" w:cstheme="minorHAnsi"/>
                          <w:b/>
                          <w:color w:val="323E4F" w:themeColor="text2" w:themeShade="BF"/>
                          <w:sz w:val="20"/>
                          <w:lang w:val="tr-TR"/>
                        </w:rPr>
                      </w:pPr>
                      <w:r w:rsidRPr="00312C2F">
                        <w:rPr>
                          <w:rFonts w:asciiTheme="minorHAnsi" w:hAnsiTheme="minorHAnsi" w:cstheme="minorHAnsi"/>
                          <w:b/>
                          <w:color w:val="323E4F" w:themeColor="text2" w:themeShade="BF"/>
                          <w:sz w:val="20"/>
                          <w:lang w:val="tr-TR"/>
                        </w:rPr>
                        <w:t xml:space="preserve">1. Sağlam Temeller </w:t>
                      </w:r>
                    </w:p>
                  </w:txbxContent>
                </v:textbox>
              </v:roundrect>
            </w:pict>
          </mc:Fallback>
        </mc:AlternateContent>
      </w:r>
      <w:r w:rsidR="00312C2F" w:rsidRPr="001A4B94">
        <w:rPr>
          <w:noProof/>
          <w:lang w:val="en-GB" w:eastAsia="en-GB"/>
        </w:rPr>
        <mc:AlternateContent>
          <mc:Choice Requires="wps">
            <w:drawing>
              <wp:anchor distT="0" distB="0" distL="114300" distR="114300" simplePos="0" relativeHeight="251689984" behindDoc="0" locked="0" layoutInCell="1" allowOverlap="1" wp14:anchorId="55EEDBB0" wp14:editId="69D145AA">
                <wp:simplePos x="0" y="0"/>
                <wp:positionH relativeFrom="column">
                  <wp:posOffset>4019550</wp:posOffset>
                </wp:positionH>
                <wp:positionV relativeFrom="paragraph">
                  <wp:posOffset>5080</wp:posOffset>
                </wp:positionV>
                <wp:extent cx="1466850" cy="266700"/>
                <wp:effectExtent l="0" t="0" r="0" b="0"/>
                <wp:wrapNone/>
                <wp:docPr id="37" name="Dikdörtgen: Yuvarlatılmış Köşeler 37"/>
                <wp:cNvGraphicFramePr/>
                <a:graphic xmlns:a="http://schemas.openxmlformats.org/drawingml/2006/main">
                  <a:graphicData uri="http://schemas.microsoft.com/office/word/2010/wordprocessingShape">
                    <wps:wsp>
                      <wps:cNvSpPr/>
                      <wps:spPr>
                        <a:xfrm>
                          <a:off x="0" y="0"/>
                          <a:ext cx="1466850" cy="2667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DBB6E" w14:textId="67E31C44" w:rsidR="0010534D" w:rsidRPr="00312C2F" w:rsidRDefault="0010534D" w:rsidP="00B329ED">
                            <w:pPr>
                              <w:jc w:val="center"/>
                              <w:rPr>
                                <w:rFonts w:asciiTheme="minorHAnsi" w:hAnsiTheme="minorHAnsi" w:cstheme="minorHAnsi"/>
                                <w:b/>
                                <w:sz w:val="20"/>
                                <w:lang w:val="tr-TR"/>
                              </w:rPr>
                            </w:pPr>
                            <w:r>
                              <w:rPr>
                                <w:rFonts w:asciiTheme="minorHAnsi" w:hAnsiTheme="minorHAnsi" w:cstheme="minorHAnsi"/>
                                <w:b/>
                                <w:sz w:val="20"/>
                                <w:lang w:val="tr-TR"/>
                              </w:rPr>
                              <w:t xml:space="preserve">CPF </w:t>
                            </w:r>
                            <w:r w:rsidRPr="00312C2F">
                              <w:rPr>
                                <w:rFonts w:asciiTheme="minorHAnsi" w:hAnsiTheme="minorHAnsi" w:cstheme="minorHAnsi"/>
                                <w:b/>
                                <w:sz w:val="20"/>
                                <w:lang w:val="tr-TR"/>
                              </w:rPr>
                              <w:t xml:space="preserve"> </w:t>
                            </w:r>
                            <w:r>
                              <w:rPr>
                                <w:rFonts w:asciiTheme="minorHAnsi" w:hAnsiTheme="minorHAnsi" w:cstheme="minorHAnsi"/>
                                <w:b/>
                                <w:sz w:val="20"/>
                                <w:lang w:val="tr-TR"/>
                              </w:rPr>
                              <w:t xml:space="preserve">Amaçları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55EEDBB0" id="Dikd_x00f6_rtgen_x003a__x0020_Yuvarlat_x0131_lm_x0131__x015f__x0020_K_x00f6__x015f_eler_x0020_37" o:spid="_x0000_s1049" style="position:absolute;left:0;text-align:left;margin-left:316.5pt;margin-top:.4pt;width:115.5pt;height:2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" fillcolor="#7f7f7f [1612]" stroked="f" strokeweight="1pt">
                <v:stroke joinstyle="miter"/>
                <v:textbox inset="0,0,0,0">
                  <w:txbxContent>
                    <w:p w14:paraId="2FFDBB6E" w14:textId="67E31C44" w:rsidR="0010534D" w:rsidRPr="00312C2F" w:rsidRDefault="0010534D" w:rsidP="00B329ED">
                      <w:pPr>
                        <w:jc w:val="center"/>
                        <w:rPr>
                          <w:rFonts w:asciiTheme="minorHAnsi" w:hAnsiTheme="minorHAnsi" w:cstheme="minorHAnsi"/>
                          <w:b/>
                          <w:sz w:val="20"/>
                          <w:lang w:val="tr-TR"/>
                        </w:rPr>
                      </w:pPr>
                      <w:r>
                        <w:rPr>
                          <w:rFonts w:asciiTheme="minorHAnsi" w:hAnsiTheme="minorHAnsi" w:cstheme="minorHAnsi"/>
                          <w:b/>
                          <w:sz w:val="20"/>
                          <w:lang w:val="tr-TR"/>
                        </w:rPr>
                        <w:t xml:space="preserve">CPF </w:t>
                      </w:r>
                      <w:r w:rsidRPr="00312C2F">
                        <w:rPr>
                          <w:rFonts w:asciiTheme="minorHAnsi" w:hAnsiTheme="minorHAnsi" w:cstheme="minorHAnsi"/>
                          <w:b/>
                          <w:sz w:val="20"/>
                          <w:lang w:val="tr-TR"/>
                        </w:rPr>
                        <w:t xml:space="preserve"> </w:t>
                      </w:r>
                      <w:r>
                        <w:rPr>
                          <w:rFonts w:asciiTheme="minorHAnsi" w:hAnsiTheme="minorHAnsi" w:cstheme="minorHAnsi"/>
                          <w:b/>
                          <w:sz w:val="20"/>
                          <w:lang w:val="tr-TR"/>
                        </w:rPr>
                        <w:t xml:space="preserve">Amaçları </w:t>
                      </w:r>
                    </w:p>
                  </w:txbxContent>
                </v:textbox>
              </v:roundrect>
            </w:pict>
          </mc:Fallback>
        </mc:AlternateContent>
      </w:r>
      <w:r w:rsidR="00312C2F" w:rsidRPr="001A4B94">
        <w:rPr>
          <w:noProof/>
          <w:lang w:val="en-GB" w:eastAsia="en-GB"/>
        </w:rPr>
        <mc:AlternateContent>
          <mc:Choice Requires="wps">
            <w:drawing>
              <wp:anchor distT="0" distB="0" distL="114300" distR="114300" simplePos="0" relativeHeight="251687936" behindDoc="0" locked="0" layoutInCell="1" allowOverlap="1" wp14:anchorId="45D9FDC1" wp14:editId="38D3A9D4">
                <wp:simplePos x="0" y="0"/>
                <wp:positionH relativeFrom="column">
                  <wp:posOffset>1857375</wp:posOffset>
                </wp:positionH>
                <wp:positionV relativeFrom="paragraph">
                  <wp:posOffset>5080</wp:posOffset>
                </wp:positionV>
                <wp:extent cx="1304925" cy="266700"/>
                <wp:effectExtent l="0" t="0" r="9525" b="0"/>
                <wp:wrapNone/>
                <wp:docPr id="36" name="Dikdörtgen: Yuvarlatılmış Köşeler 36"/>
                <wp:cNvGraphicFramePr/>
                <a:graphic xmlns:a="http://schemas.openxmlformats.org/drawingml/2006/main">
                  <a:graphicData uri="http://schemas.microsoft.com/office/word/2010/wordprocessingShape">
                    <wps:wsp>
                      <wps:cNvSpPr/>
                      <wps:spPr>
                        <a:xfrm>
                          <a:off x="0" y="0"/>
                          <a:ext cx="1304925" cy="2667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A2542" w14:textId="32EC8A2A" w:rsidR="0010534D" w:rsidRPr="00312C2F" w:rsidRDefault="0010534D" w:rsidP="00B329ED">
                            <w:pPr>
                              <w:jc w:val="center"/>
                              <w:rPr>
                                <w:rFonts w:asciiTheme="minorHAnsi" w:hAnsiTheme="minorHAnsi" w:cstheme="minorHAnsi"/>
                                <w:b/>
                                <w:sz w:val="20"/>
                                <w:lang w:val="tr-TR"/>
                              </w:rPr>
                            </w:pPr>
                            <w:r>
                              <w:rPr>
                                <w:rFonts w:asciiTheme="minorHAnsi" w:hAnsiTheme="minorHAnsi" w:cstheme="minorHAnsi"/>
                                <w:b/>
                                <w:sz w:val="20"/>
                                <w:lang w:val="tr-TR"/>
                              </w:rPr>
                              <w:t xml:space="preserve">CPF </w:t>
                            </w:r>
                            <w:r w:rsidRPr="00312C2F">
                              <w:rPr>
                                <w:rFonts w:asciiTheme="minorHAnsi" w:hAnsiTheme="minorHAnsi" w:cstheme="minorHAnsi"/>
                                <w:b/>
                                <w:sz w:val="20"/>
                                <w:lang w:val="tr-TR"/>
                              </w:rPr>
                              <w:t xml:space="preserve"> </w:t>
                            </w:r>
                            <w:r>
                              <w:rPr>
                                <w:rFonts w:asciiTheme="minorHAnsi" w:hAnsiTheme="minorHAnsi" w:cstheme="minorHAnsi"/>
                                <w:b/>
                                <w:sz w:val="20"/>
                                <w:lang w:val="tr-TR"/>
                              </w:rPr>
                              <w:t xml:space="preserve">Odak Alanları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45D9FDC1" id="Dikd_x00f6_rtgen_x003a__x0020_Yuvarlat_x0131_lm_x0131__x015f__x0020_K_x00f6__x015f_eler_x0020_36" o:spid="_x0000_s1050" style="position:absolute;left:0;text-align:left;margin-left:146.25pt;margin-top:.4pt;width:102.75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" fillcolor="#7f7f7f [1612]" stroked="f" strokeweight="1pt">
                <v:stroke joinstyle="miter"/>
                <v:textbox inset="0,0,0,0">
                  <w:txbxContent>
                    <w:p w14:paraId="110A2542" w14:textId="32EC8A2A" w:rsidR="0010534D" w:rsidRPr="00312C2F" w:rsidRDefault="0010534D" w:rsidP="00B329ED">
                      <w:pPr>
                        <w:jc w:val="center"/>
                        <w:rPr>
                          <w:rFonts w:asciiTheme="minorHAnsi" w:hAnsiTheme="minorHAnsi" w:cstheme="minorHAnsi"/>
                          <w:b/>
                          <w:sz w:val="20"/>
                          <w:lang w:val="tr-TR"/>
                        </w:rPr>
                      </w:pPr>
                      <w:r>
                        <w:rPr>
                          <w:rFonts w:asciiTheme="minorHAnsi" w:hAnsiTheme="minorHAnsi" w:cstheme="minorHAnsi"/>
                          <w:b/>
                          <w:sz w:val="20"/>
                          <w:lang w:val="tr-TR"/>
                        </w:rPr>
                        <w:t xml:space="preserve">CPF </w:t>
                      </w:r>
                      <w:r w:rsidRPr="00312C2F">
                        <w:rPr>
                          <w:rFonts w:asciiTheme="minorHAnsi" w:hAnsiTheme="minorHAnsi" w:cstheme="minorHAnsi"/>
                          <w:b/>
                          <w:sz w:val="20"/>
                          <w:lang w:val="tr-TR"/>
                        </w:rPr>
                        <w:t xml:space="preserve"> </w:t>
                      </w:r>
                      <w:r>
                        <w:rPr>
                          <w:rFonts w:asciiTheme="minorHAnsi" w:hAnsiTheme="minorHAnsi" w:cstheme="minorHAnsi"/>
                          <w:b/>
                          <w:sz w:val="20"/>
                          <w:lang w:val="tr-TR"/>
                        </w:rPr>
                        <w:t xml:space="preserve">Odak Alanları </w:t>
                      </w:r>
                    </w:p>
                  </w:txbxContent>
                </v:textbox>
              </v:roundrect>
            </w:pict>
          </mc:Fallback>
        </mc:AlternateContent>
      </w:r>
      <w:r w:rsidR="00312C2F" w:rsidRPr="001A4B94">
        <w:rPr>
          <w:noProof/>
          <w:lang w:val="en-GB" w:eastAsia="en-GB"/>
        </w:rPr>
        <mc:AlternateContent>
          <mc:Choice Requires="wps">
            <w:drawing>
              <wp:anchor distT="0" distB="0" distL="114300" distR="114300" simplePos="0" relativeHeight="251685888" behindDoc="0" locked="0" layoutInCell="1" allowOverlap="1" wp14:anchorId="5C99BBD2" wp14:editId="3BD03DAA">
                <wp:simplePos x="0" y="0"/>
                <wp:positionH relativeFrom="column">
                  <wp:posOffset>238125</wp:posOffset>
                </wp:positionH>
                <wp:positionV relativeFrom="paragraph">
                  <wp:posOffset>5080</wp:posOffset>
                </wp:positionV>
                <wp:extent cx="1076325" cy="266700"/>
                <wp:effectExtent l="0" t="0" r="9525" b="0"/>
                <wp:wrapNone/>
                <wp:docPr id="35" name="Dikdörtgen: Yuvarlatılmış Köşeler 35"/>
                <wp:cNvGraphicFramePr/>
                <a:graphic xmlns:a="http://schemas.openxmlformats.org/drawingml/2006/main">
                  <a:graphicData uri="http://schemas.microsoft.com/office/word/2010/wordprocessingShape">
                    <wps:wsp>
                      <wps:cNvSpPr/>
                      <wps:spPr>
                        <a:xfrm>
                          <a:off x="0" y="0"/>
                          <a:ext cx="1076325" cy="2667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4AFA84" w14:textId="1E2560B7" w:rsidR="0010534D" w:rsidRPr="00312C2F" w:rsidRDefault="0010534D" w:rsidP="00B329ED">
                            <w:pPr>
                              <w:jc w:val="center"/>
                              <w:rPr>
                                <w:rFonts w:asciiTheme="minorHAnsi" w:hAnsiTheme="minorHAnsi" w:cstheme="minorHAnsi"/>
                                <w:b/>
                                <w:sz w:val="20"/>
                                <w:lang w:val="tr-TR"/>
                              </w:rPr>
                            </w:pPr>
                            <w:r w:rsidRPr="00312C2F">
                              <w:rPr>
                                <w:rFonts w:asciiTheme="minorHAnsi" w:hAnsiTheme="minorHAnsi" w:cstheme="minorHAnsi"/>
                                <w:b/>
                                <w:sz w:val="20"/>
                                <w:lang w:val="tr-TR"/>
                              </w:rPr>
                              <w:t>SCD Öncelikleri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w14:anchorId="5C99BBD2" id="Dikd_x00f6_rtgen_x003a__x0020_Yuvarlat_x0131_lm_x0131__x015f__x0020_K_x00f6__x015f_eler_x0020_35" o:spid="_x0000_s1051" style="position:absolute;left:0;text-align:left;margin-left:18.75pt;margin-top:.4pt;width:84.7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" fillcolor="#7f7f7f [1612]" stroked="f" strokeweight="1pt">
                <v:stroke joinstyle="miter"/>
                <v:textbox inset="0,0,0,0">
                  <w:txbxContent>
                    <w:p w14:paraId="514AFA84" w14:textId="1E2560B7" w:rsidR="0010534D" w:rsidRPr="00312C2F" w:rsidRDefault="0010534D" w:rsidP="00B329ED">
                      <w:pPr>
                        <w:jc w:val="center"/>
                        <w:rPr>
                          <w:rFonts w:asciiTheme="minorHAnsi" w:hAnsiTheme="minorHAnsi" w:cstheme="minorHAnsi"/>
                          <w:b/>
                          <w:sz w:val="20"/>
                          <w:lang w:val="tr-TR"/>
                        </w:rPr>
                      </w:pPr>
                      <w:r w:rsidRPr="00312C2F">
                        <w:rPr>
                          <w:rFonts w:asciiTheme="minorHAnsi" w:hAnsiTheme="minorHAnsi" w:cstheme="minorHAnsi"/>
                          <w:b/>
                          <w:sz w:val="20"/>
                          <w:lang w:val="tr-TR"/>
                        </w:rPr>
                        <w:t>SCD Öncelikleri</w:t>
                      </w:r>
                    </w:p>
                  </w:txbxContent>
                </v:textbox>
              </v:roundrect>
            </w:pict>
          </mc:Fallback>
        </mc:AlternateContent>
      </w:r>
      <w:r w:rsidR="0089684F" w:rsidRPr="001A4B94">
        <w:rPr>
          <w:noProof/>
          <w:lang w:val="en-GB" w:eastAsia="en-GB"/>
        </w:rPr>
        <w:drawing>
          <wp:inline distT="0" distB="0" distL="0" distR="0" wp14:anchorId="4C1B3B26" wp14:editId="5D5807B8">
            <wp:extent cx="5986172"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87955" cy="3067964"/>
                    </a:xfrm>
                    <a:prstGeom prst="rect">
                      <a:avLst/>
                    </a:prstGeom>
                  </pic:spPr>
                </pic:pic>
              </a:graphicData>
            </a:graphic>
          </wp:inline>
        </w:drawing>
      </w:r>
    </w:p>
    <w:p w14:paraId="2E42E39B" w14:textId="6CEC45E5" w:rsidR="00AD459F" w:rsidRPr="001A4B94" w:rsidRDefault="003D5BB1" w:rsidP="00AD459F">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w w:val="104"/>
          <w:sz w:val="23"/>
          <w:szCs w:val="23"/>
          <w:lang w:val="tr-TR"/>
        </w:rPr>
        <w:lastRenderedPageBreak/>
        <w:t>Toplumsal cinsiyet endişeleri CPF amaçları arasına yerleştirilerek programın merkezi öneme sahip konularından birisi olmuştur</w:t>
      </w:r>
      <w:r w:rsidR="00AD459F" w:rsidRPr="001A4B94">
        <w:rPr>
          <w:rFonts w:ascii="Times New Roman" w:hAnsi="Times New Roman"/>
          <w:b/>
          <w:w w:val="103"/>
          <w:sz w:val="23"/>
          <w:szCs w:val="23"/>
          <w:lang w:val="tr-TR"/>
        </w:rPr>
        <w:t>.</w:t>
      </w:r>
      <w:r w:rsidR="00AD459F" w:rsidRPr="001A4B94">
        <w:rPr>
          <w:rFonts w:ascii="Times New Roman" w:hAnsi="Times New Roman"/>
          <w:i/>
          <w:sz w:val="23"/>
          <w:szCs w:val="23"/>
          <w:lang w:val="tr-TR"/>
        </w:rPr>
        <w:t xml:space="preserve"> </w:t>
      </w:r>
      <w:r w:rsidR="00AD459F" w:rsidRPr="001A4B94">
        <w:rPr>
          <w:rFonts w:ascii="Times New Roman" w:hAnsi="Times New Roman"/>
          <w:i/>
          <w:spacing w:val="-23"/>
          <w:sz w:val="23"/>
          <w:szCs w:val="23"/>
          <w:lang w:val="tr-TR"/>
        </w:rPr>
        <w:t xml:space="preserve"> </w:t>
      </w:r>
      <w:r w:rsidR="00AD459F" w:rsidRPr="001A4B94">
        <w:rPr>
          <w:rFonts w:ascii="Times New Roman" w:hAnsi="Times New Roman"/>
          <w:sz w:val="23"/>
          <w:szCs w:val="23"/>
          <w:lang w:val="tr-TR"/>
        </w:rPr>
        <w:t xml:space="preserve">CPF </w:t>
      </w:r>
      <w:r w:rsidRPr="001A4B94">
        <w:rPr>
          <w:rFonts w:ascii="Times New Roman" w:hAnsi="Times New Roman"/>
          <w:sz w:val="23"/>
          <w:szCs w:val="23"/>
          <w:lang w:val="tr-TR"/>
        </w:rPr>
        <w:t xml:space="preserve">kısa süre önce hazırlanan Türkiye Ülke Toplumsal Cinsiyet Değerlendirmesini </w:t>
      </w:r>
      <w:r w:rsidR="00AD459F" w:rsidRPr="001A4B94">
        <w:rPr>
          <w:rFonts w:ascii="Times New Roman" w:hAnsi="Times New Roman"/>
          <w:sz w:val="23"/>
          <w:szCs w:val="23"/>
          <w:lang w:val="tr-TR"/>
        </w:rPr>
        <w:t>(</w:t>
      </w:r>
      <w:r w:rsidRPr="001A4B94">
        <w:rPr>
          <w:rFonts w:ascii="Times New Roman" w:hAnsi="Times New Roman"/>
          <w:sz w:val="23"/>
          <w:szCs w:val="23"/>
          <w:lang w:val="tr-TR"/>
        </w:rPr>
        <w:t xml:space="preserve">Ek </w:t>
      </w:r>
      <w:r w:rsidR="003202F6" w:rsidRPr="001A4B94">
        <w:rPr>
          <w:rFonts w:ascii="Times New Roman" w:hAnsi="Times New Roman"/>
          <w:sz w:val="23"/>
          <w:szCs w:val="23"/>
          <w:lang w:val="tr-TR"/>
        </w:rPr>
        <w:t>7</w:t>
      </w:r>
      <w:r w:rsidR="00AD459F" w:rsidRPr="001A4B94">
        <w:rPr>
          <w:rFonts w:ascii="Times New Roman" w:hAnsi="Times New Roman"/>
          <w:sz w:val="23"/>
          <w:szCs w:val="23"/>
          <w:lang w:val="tr-TR"/>
        </w:rPr>
        <w:t xml:space="preserve">) </w:t>
      </w:r>
      <w:r w:rsidR="00FD336F" w:rsidRPr="001A4B94">
        <w:rPr>
          <w:rFonts w:ascii="Times New Roman" w:hAnsi="Times New Roman"/>
          <w:sz w:val="23"/>
          <w:szCs w:val="23"/>
          <w:lang w:val="tr-TR"/>
        </w:rPr>
        <w:t>esas alarak toplumsal cins</w:t>
      </w:r>
      <w:r w:rsidR="003A79D9" w:rsidRPr="001A4B94">
        <w:rPr>
          <w:rFonts w:ascii="Times New Roman" w:hAnsi="Times New Roman"/>
          <w:sz w:val="23"/>
          <w:szCs w:val="23"/>
          <w:lang w:val="tr-TR"/>
        </w:rPr>
        <w:t>i</w:t>
      </w:r>
      <w:r w:rsidR="00FD336F" w:rsidRPr="001A4B94">
        <w:rPr>
          <w:rFonts w:ascii="Times New Roman" w:hAnsi="Times New Roman"/>
          <w:sz w:val="23"/>
          <w:szCs w:val="23"/>
          <w:lang w:val="tr-TR"/>
        </w:rPr>
        <w:t xml:space="preserve">yet ile ilgili hususları </w:t>
      </w:r>
      <w:r w:rsidR="003A79D9" w:rsidRPr="001A4B94">
        <w:rPr>
          <w:rFonts w:ascii="Times New Roman" w:hAnsi="Times New Roman"/>
          <w:sz w:val="23"/>
          <w:szCs w:val="23"/>
          <w:lang w:val="tr-TR"/>
        </w:rPr>
        <w:t>dokuz CPF amacından dördüne doğrudan yerleştirmiştir.</w:t>
      </w:r>
      <w:r w:rsidR="00AD459F" w:rsidRPr="001A4B94">
        <w:rPr>
          <w:rFonts w:ascii="Times New Roman" w:hAnsi="Times New Roman"/>
          <w:sz w:val="23"/>
          <w:szCs w:val="23"/>
          <w:lang w:val="tr-TR"/>
        </w:rPr>
        <w:t xml:space="preserve"> </w:t>
      </w:r>
      <w:r w:rsidR="003A79D9" w:rsidRPr="001A4B94">
        <w:rPr>
          <w:rFonts w:ascii="Times New Roman" w:hAnsi="Times New Roman"/>
          <w:sz w:val="23"/>
          <w:szCs w:val="23"/>
          <w:lang w:val="tr-TR"/>
        </w:rPr>
        <w:t>Kadınların işgücüne katılımının arttırılmasına ilişkin CPF amacı Türkiye’nin toplumsal cinsiyet alanındaki kalkınma zorluğunu merkeze almaktadır</w:t>
      </w:r>
      <w:r w:rsidR="00AD459F" w:rsidRPr="001A4B94">
        <w:rPr>
          <w:rFonts w:ascii="Times New Roman" w:hAnsi="Times New Roman"/>
          <w:sz w:val="23"/>
          <w:szCs w:val="23"/>
          <w:lang w:val="tr-TR"/>
        </w:rPr>
        <w:t xml:space="preserve">. </w:t>
      </w:r>
      <w:r w:rsidR="003A79D9" w:rsidRPr="001A4B94">
        <w:rPr>
          <w:rFonts w:ascii="Times New Roman" w:hAnsi="Times New Roman"/>
          <w:sz w:val="23"/>
          <w:szCs w:val="23"/>
          <w:lang w:val="tr-TR"/>
        </w:rPr>
        <w:t>Finansmana erişim ve eğitim</w:t>
      </w:r>
      <w:r w:rsidR="00F26402" w:rsidRPr="001A4B94">
        <w:rPr>
          <w:rFonts w:ascii="Times New Roman" w:hAnsi="Times New Roman"/>
          <w:sz w:val="23"/>
          <w:szCs w:val="23"/>
          <w:lang w:val="tr-TR"/>
        </w:rPr>
        <w:t xml:space="preserve"> </w:t>
      </w:r>
      <w:r w:rsidR="003A79D9" w:rsidRPr="001A4B94">
        <w:rPr>
          <w:rFonts w:ascii="Times New Roman" w:hAnsi="Times New Roman"/>
          <w:sz w:val="23"/>
          <w:szCs w:val="23"/>
          <w:lang w:val="tr-TR"/>
        </w:rPr>
        <w:t>-</w:t>
      </w:r>
      <w:r w:rsidR="00F26402" w:rsidRPr="001A4B94">
        <w:rPr>
          <w:rFonts w:ascii="Times New Roman" w:hAnsi="Times New Roman"/>
          <w:sz w:val="23"/>
          <w:szCs w:val="23"/>
          <w:lang w:val="tr-TR"/>
        </w:rPr>
        <w:t xml:space="preserve"> </w:t>
      </w:r>
      <w:r w:rsidR="003A79D9" w:rsidRPr="001A4B94">
        <w:rPr>
          <w:rFonts w:ascii="Times New Roman" w:hAnsi="Times New Roman"/>
          <w:sz w:val="23"/>
          <w:szCs w:val="23"/>
          <w:lang w:val="tr-TR"/>
        </w:rPr>
        <w:t>sa</w:t>
      </w:r>
      <w:r w:rsidR="00F26402" w:rsidRPr="001A4B94">
        <w:rPr>
          <w:rFonts w:ascii="Times New Roman" w:hAnsi="Times New Roman"/>
          <w:sz w:val="23"/>
          <w:szCs w:val="23"/>
          <w:lang w:val="tr-TR"/>
        </w:rPr>
        <w:t>ğ</w:t>
      </w:r>
      <w:r w:rsidR="003A79D9" w:rsidRPr="001A4B94">
        <w:rPr>
          <w:rFonts w:ascii="Times New Roman" w:hAnsi="Times New Roman"/>
          <w:sz w:val="23"/>
          <w:szCs w:val="23"/>
          <w:lang w:val="tr-TR"/>
        </w:rPr>
        <w:t>lık hizmetl</w:t>
      </w:r>
      <w:r w:rsidR="00F26402" w:rsidRPr="001A4B94">
        <w:rPr>
          <w:rFonts w:ascii="Times New Roman" w:hAnsi="Times New Roman"/>
          <w:sz w:val="23"/>
          <w:szCs w:val="23"/>
          <w:lang w:val="tr-TR"/>
        </w:rPr>
        <w:t>e</w:t>
      </w:r>
      <w:r w:rsidR="003A79D9" w:rsidRPr="001A4B94">
        <w:rPr>
          <w:rFonts w:ascii="Times New Roman" w:hAnsi="Times New Roman"/>
          <w:sz w:val="23"/>
          <w:szCs w:val="23"/>
          <w:lang w:val="tr-TR"/>
        </w:rPr>
        <w:t xml:space="preserve">ri üzerinde odaklanan diğer iki </w:t>
      </w:r>
      <w:r w:rsidR="00AD459F" w:rsidRPr="001A4B94">
        <w:rPr>
          <w:rFonts w:ascii="Times New Roman" w:hAnsi="Times New Roman"/>
          <w:sz w:val="23"/>
          <w:szCs w:val="23"/>
          <w:lang w:val="tr-TR"/>
        </w:rPr>
        <w:t xml:space="preserve">CPF </w:t>
      </w:r>
      <w:r w:rsidR="003A79D9" w:rsidRPr="001A4B94">
        <w:rPr>
          <w:rFonts w:ascii="Times New Roman" w:hAnsi="Times New Roman"/>
          <w:sz w:val="23"/>
          <w:szCs w:val="23"/>
          <w:lang w:val="tr-TR"/>
        </w:rPr>
        <w:t>amacı doğrudan kadınlara yönelik müdahaleleri hedeflemekt</w:t>
      </w:r>
      <w:r w:rsidR="00F26402" w:rsidRPr="001A4B94">
        <w:rPr>
          <w:rFonts w:ascii="Times New Roman" w:hAnsi="Times New Roman"/>
          <w:sz w:val="23"/>
          <w:szCs w:val="23"/>
          <w:lang w:val="tr-TR"/>
        </w:rPr>
        <w:t>e</w:t>
      </w:r>
      <w:r w:rsidR="003A79D9" w:rsidRPr="001A4B94">
        <w:rPr>
          <w:rFonts w:ascii="Times New Roman" w:hAnsi="Times New Roman"/>
          <w:sz w:val="23"/>
          <w:szCs w:val="23"/>
          <w:lang w:val="tr-TR"/>
        </w:rPr>
        <w:t>dir</w:t>
      </w:r>
      <w:r w:rsidR="00AD459F" w:rsidRPr="001A4B94">
        <w:rPr>
          <w:rFonts w:ascii="Times New Roman" w:hAnsi="Times New Roman"/>
          <w:sz w:val="23"/>
          <w:szCs w:val="23"/>
          <w:lang w:val="tr-TR"/>
        </w:rPr>
        <w:t xml:space="preserve">. </w:t>
      </w:r>
      <w:r w:rsidR="00F26402" w:rsidRPr="001A4B94">
        <w:rPr>
          <w:rFonts w:ascii="Times New Roman" w:hAnsi="Times New Roman"/>
          <w:sz w:val="23"/>
          <w:szCs w:val="23"/>
          <w:lang w:val="tr-TR"/>
        </w:rPr>
        <w:t>Öte yandan</w:t>
      </w:r>
      <w:r w:rsidR="00AD459F" w:rsidRPr="001A4B94">
        <w:rPr>
          <w:rFonts w:ascii="Times New Roman" w:hAnsi="Times New Roman"/>
          <w:sz w:val="23"/>
          <w:szCs w:val="23"/>
          <w:lang w:val="tr-TR"/>
        </w:rPr>
        <w:t xml:space="preserve">, </w:t>
      </w:r>
      <w:r w:rsidR="00F26402" w:rsidRPr="001A4B94">
        <w:rPr>
          <w:rFonts w:ascii="Times New Roman" w:hAnsi="Times New Roman"/>
          <w:sz w:val="23"/>
          <w:szCs w:val="23"/>
          <w:lang w:val="tr-TR"/>
        </w:rPr>
        <w:t xml:space="preserve">şehirlerin sürdürülebilirliklerinin ve afetlere karşı dayanıklılıklarının arttırılması hakkındaki </w:t>
      </w:r>
      <w:r w:rsidR="00AD459F" w:rsidRPr="001A4B94">
        <w:rPr>
          <w:rFonts w:ascii="Times New Roman" w:hAnsi="Times New Roman"/>
          <w:sz w:val="23"/>
          <w:szCs w:val="23"/>
          <w:lang w:val="tr-TR"/>
        </w:rPr>
        <w:t xml:space="preserve">CPF </w:t>
      </w:r>
      <w:r w:rsidR="00F26402" w:rsidRPr="001A4B94">
        <w:rPr>
          <w:rFonts w:ascii="Times New Roman" w:hAnsi="Times New Roman"/>
          <w:sz w:val="23"/>
          <w:szCs w:val="23"/>
          <w:lang w:val="tr-TR"/>
        </w:rPr>
        <w:t>amacı ise desteklenen şehirlerde hizmet sunumunun kadın faydalanıcıları hedeflemesini ve bunlar üzerindeki etkinin izlenmesini sağlamayı amaçlamaktadır</w:t>
      </w:r>
      <w:r w:rsidR="00AD459F" w:rsidRPr="001A4B94">
        <w:rPr>
          <w:rFonts w:ascii="Times New Roman" w:hAnsi="Times New Roman"/>
          <w:sz w:val="23"/>
          <w:szCs w:val="23"/>
          <w:lang w:val="tr-TR"/>
        </w:rPr>
        <w:t>.</w:t>
      </w:r>
    </w:p>
    <w:p w14:paraId="57226E00" w14:textId="77777777" w:rsidR="00AD459F" w:rsidRPr="001A4B94" w:rsidRDefault="00AD459F" w:rsidP="00AD459F">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0"/>
          <w:szCs w:val="10"/>
          <w:lang w:val="tr-TR"/>
        </w:rPr>
      </w:pPr>
    </w:p>
    <w:p w14:paraId="5EE2D4C8" w14:textId="3C35AB0F" w:rsidR="00AD459F" w:rsidRPr="001A4B94" w:rsidRDefault="00FD4568" w:rsidP="00AD459F">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Sonuç çerçevesi CPF’in esnek yaklaşımını yansıtmaktadır</w:t>
      </w:r>
      <w:r w:rsidR="00AD459F" w:rsidRPr="001A4B94">
        <w:rPr>
          <w:rFonts w:ascii="Times New Roman" w:hAnsi="Times New Roman"/>
          <w:b/>
          <w:sz w:val="23"/>
          <w:szCs w:val="23"/>
          <w:lang w:val="tr-TR"/>
        </w:rPr>
        <w:t>.</w:t>
      </w:r>
      <w:r w:rsidR="00AD459F" w:rsidRPr="001A4B94">
        <w:rPr>
          <w:rFonts w:ascii="Times New Roman" w:hAnsi="Times New Roman"/>
          <w:sz w:val="23"/>
          <w:szCs w:val="23"/>
          <w:lang w:val="tr-TR"/>
        </w:rPr>
        <w:t xml:space="preserve"> </w:t>
      </w:r>
      <w:r w:rsidRPr="001A4B94">
        <w:rPr>
          <w:rFonts w:ascii="Times New Roman" w:hAnsi="Times New Roman"/>
          <w:sz w:val="23"/>
          <w:szCs w:val="23"/>
          <w:lang w:val="tr-TR"/>
        </w:rPr>
        <w:t>P</w:t>
      </w:r>
      <w:r w:rsidR="00AD459F" w:rsidRPr="001A4B94">
        <w:rPr>
          <w:rFonts w:ascii="Times New Roman" w:hAnsi="Times New Roman"/>
          <w:sz w:val="23"/>
          <w:szCs w:val="23"/>
          <w:lang w:val="tr-TR"/>
        </w:rPr>
        <w:t xml:space="preserve">rogram </w:t>
      </w:r>
      <w:r w:rsidRPr="001A4B94">
        <w:rPr>
          <w:rFonts w:ascii="Times New Roman" w:hAnsi="Times New Roman"/>
          <w:sz w:val="23"/>
          <w:szCs w:val="23"/>
          <w:lang w:val="tr-TR"/>
        </w:rPr>
        <w:t>tasarımı ve beklenen sonuçlar CPF döneminin ilk yıllarında daha belirgindir</w:t>
      </w:r>
      <w:r w:rsidR="00B8791A" w:rsidRPr="001A4B94">
        <w:rPr>
          <w:rFonts w:ascii="Times New Roman" w:hAnsi="Times New Roman"/>
          <w:sz w:val="23"/>
          <w:szCs w:val="23"/>
          <w:lang w:val="tr-TR"/>
        </w:rPr>
        <w:t>;</w:t>
      </w:r>
      <w:r w:rsidRPr="001A4B94">
        <w:rPr>
          <w:rFonts w:ascii="Times New Roman" w:hAnsi="Times New Roman"/>
          <w:sz w:val="23"/>
          <w:szCs w:val="23"/>
          <w:lang w:val="tr-TR"/>
        </w:rPr>
        <w:t xml:space="preserve"> </w:t>
      </w:r>
      <w:r w:rsidR="00B8791A" w:rsidRPr="001A4B94">
        <w:rPr>
          <w:rFonts w:ascii="Times New Roman" w:hAnsi="Times New Roman"/>
          <w:sz w:val="23"/>
          <w:szCs w:val="23"/>
          <w:lang w:val="tr-TR"/>
        </w:rPr>
        <w:t>müşteri talepleri</w:t>
      </w:r>
      <w:r w:rsidRPr="001A4B94">
        <w:rPr>
          <w:rFonts w:ascii="Times New Roman" w:hAnsi="Times New Roman"/>
          <w:sz w:val="23"/>
          <w:szCs w:val="23"/>
          <w:lang w:val="tr-TR"/>
        </w:rPr>
        <w:t xml:space="preserve"> </w:t>
      </w:r>
      <w:r w:rsidR="00B8791A" w:rsidRPr="001A4B94">
        <w:rPr>
          <w:rFonts w:ascii="Times New Roman" w:hAnsi="Times New Roman"/>
          <w:sz w:val="23"/>
          <w:szCs w:val="23"/>
          <w:lang w:val="tr-TR"/>
        </w:rPr>
        <w:t xml:space="preserve">zaten </w:t>
      </w:r>
      <w:r w:rsidRPr="001A4B94">
        <w:rPr>
          <w:rFonts w:ascii="Times New Roman" w:hAnsi="Times New Roman"/>
          <w:sz w:val="23"/>
          <w:szCs w:val="23"/>
          <w:lang w:val="tr-TR"/>
        </w:rPr>
        <w:t xml:space="preserve">ifade </w:t>
      </w:r>
      <w:r w:rsidR="00B8791A" w:rsidRPr="001A4B94">
        <w:rPr>
          <w:rFonts w:ascii="Times New Roman" w:hAnsi="Times New Roman"/>
          <w:sz w:val="23"/>
          <w:szCs w:val="23"/>
          <w:lang w:val="tr-TR"/>
        </w:rPr>
        <w:t xml:space="preserve">edilmiştir </w:t>
      </w:r>
      <w:r w:rsidRPr="001A4B94">
        <w:rPr>
          <w:rFonts w:ascii="Times New Roman" w:hAnsi="Times New Roman"/>
          <w:sz w:val="23"/>
          <w:szCs w:val="23"/>
          <w:lang w:val="tr-TR"/>
        </w:rPr>
        <w:t xml:space="preserve">ve </w:t>
      </w:r>
      <w:r w:rsidR="00B8791A" w:rsidRPr="001A4B94">
        <w:rPr>
          <w:rFonts w:ascii="Times New Roman" w:hAnsi="Times New Roman"/>
          <w:sz w:val="23"/>
          <w:szCs w:val="23"/>
          <w:lang w:val="tr-TR"/>
        </w:rPr>
        <w:t>DBG programının katkısı daha açık bir şekilde tanımlanabilmektedir. CPF döneminin son yıllarında ise, ortak çalışma ülke koşullarına ve hükümetin destek taleplerine bağlı olarak geli</w:t>
      </w:r>
      <w:r w:rsidR="00C225AF" w:rsidRPr="001A4B94">
        <w:rPr>
          <w:rFonts w:ascii="Times New Roman" w:hAnsi="Times New Roman"/>
          <w:sz w:val="23"/>
          <w:szCs w:val="23"/>
          <w:lang w:val="tr-TR"/>
        </w:rPr>
        <w:t>ş</w:t>
      </w:r>
      <w:r w:rsidR="00B8791A" w:rsidRPr="001A4B94">
        <w:rPr>
          <w:rFonts w:ascii="Times New Roman" w:hAnsi="Times New Roman"/>
          <w:sz w:val="23"/>
          <w:szCs w:val="23"/>
          <w:lang w:val="tr-TR"/>
        </w:rPr>
        <w:t>ecektir</w:t>
      </w:r>
      <w:r w:rsidR="00AD459F" w:rsidRPr="001A4B94">
        <w:rPr>
          <w:rFonts w:ascii="Times New Roman" w:hAnsi="Times New Roman"/>
          <w:sz w:val="23"/>
          <w:szCs w:val="23"/>
          <w:lang w:val="tr-TR"/>
        </w:rPr>
        <w:t xml:space="preserve">; </w:t>
      </w:r>
      <w:r w:rsidR="00B8791A" w:rsidRPr="001A4B94">
        <w:rPr>
          <w:rFonts w:ascii="Times New Roman" w:hAnsi="Times New Roman"/>
          <w:sz w:val="23"/>
          <w:szCs w:val="23"/>
          <w:lang w:val="tr-TR"/>
        </w:rPr>
        <w:t xml:space="preserve">dolayısıyla bu son döneme ilişkin beklenen sonuçların tanımı </w:t>
      </w:r>
      <w:r w:rsidR="00AD459F" w:rsidRPr="001A4B94">
        <w:rPr>
          <w:rFonts w:ascii="Times New Roman" w:hAnsi="Times New Roman"/>
          <w:sz w:val="23"/>
          <w:szCs w:val="23"/>
          <w:lang w:val="tr-TR"/>
        </w:rPr>
        <w:t>PLR</w:t>
      </w:r>
      <w:r w:rsidR="00B8791A" w:rsidRPr="001A4B94">
        <w:rPr>
          <w:rFonts w:ascii="Times New Roman" w:hAnsi="Times New Roman"/>
          <w:sz w:val="23"/>
          <w:szCs w:val="23"/>
          <w:lang w:val="tr-TR"/>
        </w:rPr>
        <w:t xml:space="preserve"> kapsamında sunulacaktır</w:t>
      </w:r>
      <w:r w:rsidR="00AD459F" w:rsidRPr="001A4B94">
        <w:rPr>
          <w:rFonts w:ascii="Times New Roman" w:hAnsi="Times New Roman"/>
          <w:sz w:val="23"/>
          <w:szCs w:val="23"/>
          <w:lang w:val="tr-TR"/>
        </w:rPr>
        <w:t xml:space="preserve">. </w:t>
      </w:r>
      <w:r w:rsidR="00C225AF" w:rsidRPr="001A4B94">
        <w:rPr>
          <w:rFonts w:ascii="Times New Roman" w:hAnsi="Times New Roman"/>
          <w:sz w:val="23"/>
          <w:szCs w:val="23"/>
          <w:lang w:val="tr-TR"/>
        </w:rPr>
        <w:t xml:space="preserve">Yeni </w:t>
      </w:r>
      <w:r w:rsidR="00B8791A" w:rsidRPr="001A4B94">
        <w:rPr>
          <w:rFonts w:ascii="Times New Roman" w:hAnsi="Times New Roman"/>
          <w:sz w:val="23"/>
          <w:szCs w:val="23"/>
          <w:lang w:val="tr-TR"/>
        </w:rPr>
        <w:t xml:space="preserve">IBRD </w:t>
      </w:r>
      <w:r w:rsidR="00C225AF" w:rsidRPr="001A4B94">
        <w:rPr>
          <w:rFonts w:ascii="Times New Roman" w:hAnsi="Times New Roman"/>
          <w:sz w:val="23"/>
          <w:szCs w:val="23"/>
          <w:lang w:val="tr-TR"/>
        </w:rPr>
        <w:t>çalı</w:t>
      </w:r>
      <w:r w:rsidR="003533EB" w:rsidRPr="001A4B94">
        <w:rPr>
          <w:rFonts w:ascii="Times New Roman" w:hAnsi="Times New Roman"/>
          <w:sz w:val="23"/>
          <w:szCs w:val="23"/>
          <w:lang w:val="tr-TR"/>
        </w:rPr>
        <w:t>ş</w:t>
      </w:r>
      <w:r w:rsidR="00C225AF" w:rsidRPr="001A4B94">
        <w:rPr>
          <w:rFonts w:ascii="Times New Roman" w:hAnsi="Times New Roman"/>
          <w:sz w:val="23"/>
          <w:szCs w:val="23"/>
          <w:lang w:val="tr-TR"/>
        </w:rPr>
        <w:t>ma alanlarının gerektireceği yüksek başlangıç maliyetleri ve uzun süre göz önüne alındığında</w:t>
      </w:r>
      <w:r w:rsidR="00AD459F" w:rsidRPr="001A4B94">
        <w:rPr>
          <w:rFonts w:ascii="Times New Roman" w:hAnsi="Times New Roman"/>
          <w:sz w:val="23"/>
          <w:szCs w:val="23"/>
          <w:lang w:val="tr-TR"/>
        </w:rPr>
        <w:t xml:space="preserve">, </w:t>
      </w:r>
      <w:r w:rsidR="00C225AF" w:rsidRPr="001A4B94">
        <w:rPr>
          <w:rFonts w:ascii="Times New Roman" w:hAnsi="Times New Roman"/>
          <w:sz w:val="23"/>
          <w:szCs w:val="23"/>
          <w:lang w:val="tr-TR"/>
        </w:rPr>
        <w:t>hem finansman hem de bilgi çalışmaları dahil olmak üzere çalışma alanlarının, araçların  ve sürelerin seçilmesinde esneklik gösterilecektir</w:t>
      </w:r>
      <w:r w:rsidR="00AD459F" w:rsidRPr="001A4B94">
        <w:rPr>
          <w:rFonts w:ascii="Times New Roman" w:hAnsi="Times New Roman"/>
          <w:sz w:val="23"/>
          <w:szCs w:val="23"/>
          <w:lang w:val="tr-TR"/>
        </w:rPr>
        <w:t>.</w:t>
      </w:r>
    </w:p>
    <w:p w14:paraId="348A0732" w14:textId="77777777" w:rsidR="00AD459F" w:rsidRPr="001A4B94" w:rsidRDefault="00AD459F" w:rsidP="002E2B78">
      <w:pPr>
        <w:pStyle w:val="Balk4"/>
        <w:rPr>
          <w:rFonts w:ascii="Times New Roman" w:eastAsiaTheme="minorEastAsia" w:hAnsi="Times New Roman" w:cs="Times New Roman"/>
          <w:b/>
          <w:color w:val="auto"/>
          <w:lang w:val="tr-TR"/>
        </w:rPr>
      </w:pPr>
    </w:p>
    <w:p w14:paraId="32E17541" w14:textId="67FEFFEB" w:rsidR="002E2B78" w:rsidRPr="001A4B94" w:rsidRDefault="001D7ABB" w:rsidP="002E2B78">
      <w:pPr>
        <w:pStyle w:val="Balk4"/>
        <w:rPr>
          <w:rFonts w:ascii="Times New Roman" w:eastAsiaTheme="minorEastAsia" w:hAnsi="Times New Roman" w:cs="Times New Roman"/>
          <w:b/>
          <w:color w:val="auto"/>
          <w:lang w:val="tr-TR"/>
        </w:rPr>
      </w:pPr>
      <w:r w:rsidRPr="001A4B94">
        <w:rPr>
          <w:rFonts w:ascii="Times New Roman" w:eastAsiaTheme="minorEastAsia" w:hAnsi="Times New Roman" w:cs="Times New Roman"/>
          <w:b/>
          <w:color w:val="auto"/>
          <w:lang w:val="tr-TR"/>
        </w:rPr>
        <w:t xml:space="preserve">Odak Alanı </w:t>
      </w:r>
      <w:r w:rsidR="002E2B78" w:rsidRPr="001A4B94">
        <w:rPr>
          <w:rFonts w:ascii="Times New Roman" w:eastAsiaTheme="minorEastAsia" w:hAnsi="Times New Roman" w:cs="Times New Roman"/>
          <w:b/>
          <w:color w:val="auto"/>
          <w:lang w:val="tr-TR"/>
        </w:rPr>
        <w:t xml:space="preserve">1: </w:t>
      </w:r>
      <w:r w:rsidRPr="001A4B94">
        <w:rPr>
          <w:rFonts w:ascii="Times New Roman" w:eastAsiaTheme="minorEastAsia" w:hAnsi="Times New Roman" w:cs="Times New Roman"/>
          <w:b/>
          <w:color w:val="auto"/>
          <w:lang w:val="tr-TR"/>
        </w:rPr>
        <w:t xml:space="preserve">Büyüme </w:t>
      </w:r>
    </w:p>
    <w:p w14:paraId="77C09A04" w14:textId="77777777" w:rsidR="002E2B78" w:rsidRPr="001A4B94" w:rsidRDefault="002E2B78" w:rsidP="002E2B78">
      <w:pPr>
        <w:pStyle w:val="ListeParagraf"/>
        <w:rPr>
          <w:rFonts w:ascii="Times New Roman" w:hAnsi="Times New Roman"/>
          <w:b/>
          <w:iCs/>
          <w:sz w:val="10"/>
          <w:szCs w:val="10"/>
          <w:lang w:val="tr-TR"/>
        </w:rPr>
      </w:pPr>
    </w:p>
    <w:p w14:paraId="22AAB67B" w14:textId="6F0AE25A" w:rsidR="00B27A91" w:rsidRPr="001A4B94" w:rsidRDefault="001D7ABB" w:rsidP="00E21541">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Dünya Bankası Grubu, Hükümetin mali yönetim, finansal sektör, rekabet gücü ve özel sektör yatırımları ile ilgili zorlukları aşma yolundaki çabalarını desteklemeye devam edecektir.</w:t>
      </w:r>
      <w:r w:rsidR="007567FE" w:rsidRPr="001A4B94">
        <w:rPr>
          <w:rFonts w:ascii="Times New Roman" w:hAnsi="Times New Roman"/>
          <w:iCs/>
          <w:sz w:val="23"/>
          <w:szCs w:val="23"/>
          <w:lang w:val="tr-TR"/>
        </w:rPr>
        <w:t xml:space="preserve">  </w:t>
      </w:r>
      <w:r w:rsidR="00E55251" w:rsidRPr="001A4B94">
        <w:rPr>
          <w:rFonts w:ascii="Times New Roman" w:hAnsi="Times New Roman"/>
          <w:iCs/>
          <w:sz w:val="23"/>
          <w:szCs w:val="23"/>
          <w:lang w:val="tr-TR"/>
        </w:rPr>
        <w:t>Türkiye 2009 küresel mali krizinden hızlı bir şekilde çıka</w:t>
      </w:r>
      <w:r w:rsidR="00713736" w:rsidRPr="001A4B94">
        <w:rPr>
          <w:rFonts w:ascii="Times New Roman" w:hAnsi="Times New Roman"/>
          <w:iCs/>
          <w:sz w:val="23"/>
          <w:szCs w:val="23"/>
          <w:lang w:val="tr-TR"/>
        </w:rPr>
        <w:t>bilmiştir ve 2015 yılına kadar güçlü bir büyüme perfor</w:t>
      </w:r>
      <w:r w:rsidR="00C507CB" w:rsidRPr="001A4B94">
        <w:rPr>
          <w:rFonts w:ascii="Times New Roman" w:hAnsi="Times New Roman"/>
          <w:iCs/>
          <w:sz w:val="23"/>
          <w:szCs w:val="23"/>
          <w:lang w:val="tr-TR"/>
        </w:rPr>
        <w:t>m</w:t>
      </w:r>
      <w:r w:rsidR="00713736" w:rsidRPr="001A4B94">
        <w:rPr>
          <w:rFonts w:ascii="Times New Roman" w:hAnsi="Times New Roman"/>
          <w:iCs/>
          <w:sz w:val="23"/>
          <w:szCs w:val="23"/>
          <w:lang w:val="tr-TR"/>
        </w:rPr>
        <w:t>ansı kaydetmiştir.</w:t>
      </w:r>
      <w:r w:rsidR="00B27A91" w:rsidRPr="001A4B94">
        <w:rPr>
          <w:rFonts w:ascii="Times New Roman" w:hAnsi="Times New Roman"/>
          <w:iCs/>
          <w:sz w:val="23"/>
          <w:szCs w:val="23"/>
          <w:lang w:val="tr-TR"/>
        </w:rPr>
        <w:t xml:space="preserve"> </w:t>
      </w:r>
      <w:r w:rsidR="00713736" w:rsidRPr="001A4B94">
        <w:rPr>
          <w:rFonts w:ascii="Times New Roman" w:hAnsi="Times New Roman"/>
          <w:iCs/>
          <w:sz w:val="23"/>
          <w:szCs w:val="23"/>
          <w:lang w:val="tr-TR"/>
        </w:rPr>
        <w:t>İhtiyatlı makroekonomik ve mali yönetim Türkiye’nin gösterdiği bu iyi performansın köşe taşını oluşturmuştur, ancak dış şoklara karşı dayanıklılık zayıflamış ve kırılganlıklar artmıştır</w:t>
      </w:r>
      <w:r w:rsidR="00B27A91" w:rsidRPr="001A4B94">
        <w:rPr>
          <w:rFonts w:ascii="Times New Roman" w:hAnsi="Times New Roman"/>
          <w:iCs/>
          <w:sz w:val="23"/>
          <w:szCs w:val="23"/>
          <w:lang w:val="tr-TR"/>
        </w:rPr>
        <w:t xml:space="preserve">. </w:t>
      </w:r>
      <w:r w:rsidR="00713736" w:rsidRPr="001A4B94">
        <w:rPr>
          <w:rFonts w:ascii="Times New Roman" w:hAnsi="Times New Roman"/>
          <w:iCs/>
          <w:sz w:val="23"/>
          <w:szCs w:val="23"/>
          <w:lang w:val="tr-TR"/>
        </w:rPr>
        <w:t>Aynı zamanda</w:t>
      </w:r>
      <w:r w:rsidR="00B27A91" w:rsidRPr="001A4B94">
        <w:rPr>
          <w:rFonts w:ascii="Times New Roman" w:hAnsi="Times New Roman"/>
          <w:iCs/>
          <w:sz w:val="23"/>
          <w:szCs w:val="23"/>
          <w:lang w:val="tr-TR"/>
        </w:rPr>
        <w:t xml:space="preserve">, </w:t>
      </w:r>
      <w:r w:rsidR="00713736" w:rsidRPr="001A4B94">
        <w:rPr>
          <w:rFonts w:ascii="Times New Roman" w:hAnsi="Times New Roman"/>
          <w:iCs/>
          <w:sz w:val="23"/>
          <w:szCs w:val="23"/>
          <w:lang w:val="tr-TR"/>
        </w:rPr>
        <w:t>siy</w:t>
      </w:r>
      <w:r w:rsidR="00C507CB" w:rsidRPr="001A4B94">
        <w:rPr>
          <w:rFonts w:ascii="Times New Roman" w:hAnsi="Times New Roman"/>
          <w:iCs/>
          <w:sz w:val="23"/>
          <w:szCs w:val="23"/>
          <w:lang w:val="tr-TR"/>
        </w:rPr>
        <w:t>a</w:t>
      </w:r>
      <w:r w:rsidR="00713736" w:rsidRPr="001A4B94">
        <w:rPr>
          <w:rFonts w:ascii="Times New Roman" w:hAnsi="Times New Roman"/>
          <w:iCs/>
          <w:sz w:val="23"/>
          <w:szCs w:val="23"/>
          <w:lang w:val="tr-TR"/>
        </w:rPr>
        <w:t>s</w:t>
      </w:r>
      <w:r w:rsidR="00C507CB" w:rsidRPr="001A4B94">
        <w:rPr>
          <w:rFonts w:ascii="Times New Roman" w:hAnsi="Times New Roman"/>
          <w:iCs/>
          <w:sz w:val="23"/>
          <w:szCs w:val="23"/>
          <w:lang w:val="tr-TR"/>
        </w:rPr>
        <w:t>i</w:t>
      </w:r>
      <w:r w:rsidR="00713736" w:rsidRPr="001A4B94">
        <w:rPr>
          <w:rFonts w:ascii="Times New Roman" w:hAnsi="Times New Roman"/>
          <w:iCs/>
          <w:sz w:val="23"/>
          <w:szCs w:val="23"/>
          <w:lang w:val="tr-TR"/>
        </w:rPr>
        <w:t xml:space="preserve"> bağlamdaki değişiklikler, jeopolitik gerilimler</w:t>
      </w:r>
      <w:r w:rsidR="00B27A91" w:rsidRPr="001A4B94">
        <w:rPr>
          <w:rFonts w:ascii="Times New Roman" w:hAnsi="Times New Roman"/>
          <w:iCs/>
          <w:sz w:val="23"/>
          <w:szCs w:val="23"/>
          <w:lang w:val="tr-TR"/>
        </w:rPr>
        <w:t xml:space="preserve">, </w:t>
      </w:r>
      <w:r w:rsidR="00C507CB" w:rsidRPr="001A4B94">
        <w:rPr>
          <w:rFonts w:ascii="Times New Roman" w:hAnsi="Times New Roman"/>
          <w:iCs/>
          <w:sz w:val="23"/>
          <w:szCs w:val="23"/>
          <w:lang w:val="tr-TR"/>
        </w:rPr>
        <w:t>yü</w:t>
      </w:r>
      <w:r w:rsidR="00713736" w:rsidRPr="001A4B94">
        <w:rPr>
          <w:rFonts w:ascii="Times New Roman" w:hAnsi="Times New Roman"/>
          <w:iCs/>
          <w:sz w:val="23"/>
          <w:szCs w:val="23"/>
          <w:lang w:val="tr-TR"/>
        </w:rPr>
        <w:t>k</w:t>
      </w:r>
      <w:r w:rsidR="00C507CB" w:rsidRPr="001A4B94">
        <w:rPr>
          <w:rFonts w:ascii="Times New Roman" w:hAnsi="Times New Roman"/>
          <w:iCs/>
          <w:sz w:val="23"/>
          <w:szCs w:val="23"/>
          <w:lang w:val="tr-TR"/>
        </w:rPr>
        <w:t>s</w:t>
      </w:r>
      <w:r w:rsidR="00713736" w:rsidRPr="001A4B94">
        <w:rPr>
          <w:rFonts w:ascii="Times New Roman" w:hAnsi="Times New Roman"/>
          <w:iCs/>
          <w:sz w:val="23"/>
          <w:szCs w:val="23"/>
          <w:lang w:val="tr-TR"/>
        </w:rPr>
        <w:t>ele</w:t>
      </w:r>
      <w:r w:rsidR="0099729F" w:rsidRPr="001A4B94">
        <w:rPr>
          <w:rFonts w:ascii="Times New Roman" w:hAnsi="Times New Roman"/>
          <w:iCs/>
          <w:sz w:val="23"/>
          <w:szCs w:val="23"/>
          <w:lang w:val="tr-TR"/>
        </w:rPr>
        <w:t>n petrol fiyatları ve ABD’de fai</w:t>
      </w:r>
      <w:r w:rsidR="00713736" w:rsidRPr="001A4B94">
        <w:rPr>
          <w:rFonts w:ascii="Times New Roman" w:hAnsi="Times New Roman"/>
          <w:iCs/>
          <w:sz w:val="23"/>
          <w:szCs w:val="23"/>
          <w:lang w:val="tr-TR"/>
        </w:rPr>
        <w:t xml:space="preserve">z oranlarında beklenen artışlar </w:t>
      </w:r>
      <w:r w:rsidR="00F50224" w:rsidRPr="001A4B94">
        <w:rPr>
          <w:rFonts w:ascii="Times New Roman" w:hAnsi="Times New Roman"/>
          <w:iCs/>
          <w:sz w:val="23"/>
          <w:szCs w:val="23"/>
          <w:lang w:val="tr-TR"/>
        </w:rPr>
        <w:t>yat</w:t>
      </w:r>
      <w:r w:rsidR="00C507CB" w:rsidRPr="001A4B94">
        <w:rPr>
          <w:rFonts w:ascii="Times New Roman" w:hAnsi="Times New Roman"/>
          <w:iCs/>
          <w:sz w:val="23"/>
          <w:szCs w:val="23"/>
          <w:lang w:val="tr-TR"/>
        </w:rPr>
        <w:t>ı</w:t>
      </w:r>
      <w:r w:rsidR="00F50224" w:rsidRPr="001A4B94">
        <w:rPr>
          <w:rFonts w:ascii="Times New Roman" w:hAnsi="Times New Roman"/>
          <w:iCs/>
          <w:sz w:val="23"/>
          <w:szCs w:val="23"/>
          <w:lang w:val="tr-TR"/>
        </w:rPr>
        <w:t>rımcı ve tüketici güvenini bastırmış ve büyüme beklentilerini etkilemiştir</w:t>
      </w:r>
      <w:r w:rsidR="00B27A91" w:rsidRPr="001A4B94">
        <w:rPr>
          <w:rFonts w:ascii="Times New Roman" w:hAnsi="Times New Roman"/>
          <w:sz w:val="23"/>
          <w:szCs w:val="23"/>
          <w:lang w:val="tr-TR"/>
        </w:rPr>
        <w:t xml:space="preserve">. </w:t>
      </w:r>
      <w:r w:rsidR="00F50224" w:rsidRPr="001A4B94">
        <w:rPr>
          <w:rFonts w:ascii="Times New Roman" w:hAnsi="Times New Roman"/>
          <w:sz w:val="23"/>
          <w:szCs w:val="23"/>
          <w:lang w:val="tr-TR"/>
        </w:rPr>
        <w:t xml:space="preserve">Türkiye’nin banka merkezli finansal sektörü de </w:t>
      </w:r>
      <w:r w:rsidR="00C507CB" w:rsidRPr="001A4B94">
        <w:rPr>
          <w:rFonts w:ascii="Times New Roman" w:hAnsi="Times New Roman"/>
          <w:sz w:val="23"/>
          <w:szCs w:val="23"/>
          <w:lang w:val="tr-TR"/>
        </w:rPr>
        <w:t>stres</w:t>
      </w:r>
      <w:r w:rsidR="00F50224" w:rsidRPr="001A4B94">
        <w:rPr>
          <w:rFonts w:ascii="Times New Roman" w:hAnsi="Times New Roman"/>
          <w:sz w:val="23"/>
          <w:szCs w:val="23"/>
          <w:lang w:val="tr-TR"/>
        </w:rPr>
        <w:t xml:space="preserve"> altındadır </w:t>
      </w:r>
      <w:r w:rsidR="0099729F" w:rsidRPr="001A4B94">
        <w:rPr>
          <w:rFonts w:ascii="Times New Roman" w:hAnsi="Times New Roman"/>
          <w:sz w:val="23"/>
          <w:szCs w:val="23"/>
          <w:lang w:val="tr-TR"/>
        </w:rPr>
        <w:t>ve hanehalklarına ve şirketlere kredilerde kısıntıya gitmektedir.</w:t>
      </w:r>
      <w:r w:rsidR="00B27A91" w:rsidRPr="001A4B94">
        <w:rPr>
          <w:rFonts w:ascii="Times New Roman" w:hAnsi="Times New Roman"/>
          <w:iCs/>
          <w:sz w:val="23"/>
          <w:szCs w:val="23"/>
          <w:lang w:val="tr-TR"/>
        </w:rPr>
        <w:t xml:space="preserve"> </w:t>
      </w:r>
      <w:r w:rsidR="0099729F" w:rsidRPr="001A4B94">
        <w:rPr>
          <w:rFonts w:ascii="Times New Roman" w:hAnsi="Times New Roman"/>
          <w:iCs/>
          <w:sz w:val="23"/>
          <w:szCs w:val="23"/>
          <w:lang w:val="tr-TR"/>
        </w:rPr>
        <w:t>Daha yük</w:t>
      </w:r>
      <w:r w:rsidR="00C507CB" w:rsidRPr="001A4B94">
        <w:rPr>
          <w:rFonts w:ascii="Times New Roman" w:hAnsi="Times New Roman"/>
          <w:iCs/>
          <w:sz w:val="23"/>
          <w:szCs w:val="23"/>
          <w:lang w:val="tr-TR"/>
        </w:rPr>
        <w:t>s</w:t>
      </w:r>
      <w:r w:rsidR="0099729F" w:rsidRPr="001A4B94">
        <w:rPr>
          <w:rFonts w:ascii="Times New Roman" w:hAnsi="Times New Roman"/>
          <w:iCs/>
          <w:sz w:val="23"/>
          <w:szCs w:val="23"/>
          <w:lang w:val="tr-TR"/>
        </w:rPr>
        <w:t>ek bir büyüme yoluna dönebilmek ve yük</w:t>
      </w:r>
      <w:r w:rsidR="00C507CB" w:rsidRPr="001A4B94">
        <w:rPr>
          <w:rFonts w:ascii="Times New Roman" w:hAnsi="Times New Roman"/>
          <w:iCs/>
          <w:sz w:val="23"/>
          <w:szCs w:val="23"/>
          <w:lang w:val="tr-TR"/>
        </w:rPr>
        <w:t>s</w:t>
      </w:r>
      <w:r w:rsidR="0099729F" w:rsidRPr="001A4B94">
        <w:rPr>
          <w:rFonts w:ascii="Times New Roman" w:hAnsi="Times New Roman"/>
          <w:iCs/>
          <w:sz w:val="23"/>
          <w:szCs w:val="23"/>
          <w:lang w:val="tr-TR"/>
        </w:rPr>
        <w:t xml:space="preserve">ek gelirli ekonomilere yaklaşabilmek için, Hükümet’in mali yönetimi güçlendirmeye, </w:t>
      </w:r>
      <w:r w:rsidR="00C02574" w:rsidRPr="001A4B94">
        <w:rPr>
          <w:rFonts w:ascii="Times New Roman" w:hAnsi="Times New Roman"/>
          <w:iCs/>
          <w:sz w:val="23"/>
          <w:szCs w:val="23"/>
          <w:lang w:val="tr-TR"/>
        </w:rPr>
        <w:t>hukukun üstünlüğünü ve bağ</w:t>
      </w:r>
      <w:r w:rsidR="00C507CB" w:rsidRPr="001A4B94">
        <w:rPr>
          <w:rFonts w:ascii="Times New Roman" w:hAnsi="Times New Roman"/>
          <w:iCs/>
          <w:sz w:val="23"/>
          <w:szCs w:val="23"/>
          <w:lang w:val="tr-TR"/>
        </w:rPr>
        <w:t>ı</w:t>
      </w:r>
      <w:r w:rsidR="00C02574" w:rsidRPr="001A4B94">
        <w:rPr>
          <w:rFonts w:ascii="Times New Roman" w:hAnsi="Times New Roman"/>
          <w:iCs/>
          <w:sz w:val="23"/>
          <w:szCs w:val="23"/>
          <w:lang w:val="tr-TR"/>
        </w:rPr>
        <w:t>msız piyasa düze</w:t>
      </w:r>
      <w:r w:rsidR="002D14A3" w:rsidRPr="001A4B94">
        <w:rPr>
          <w:rFonts w:ascii="Times New Roman" w:hAnsi="Times New Roman"/>
          <w:iCs/>
          <w:sz w:val="23"/>
          <w:szCs w:val="23"/>
          <w:lang w:val="tr-TR"/>
        </w:rPr>
        <w:t>n</w:t>
      </w:r>
      <w:r w:rsidR="00C02574" w:rsidRPr="001A4B94">
        <w:rPr>
          <w:rFonts w:ascii="Times New Roman" w:hAnsi="Times New Roman"/>
          <w:iCs/>
          <w:sz w:val="23"/>
          <w:szCs w:val="23"/>
          <w:lang w:val="tr-TR"/>
        </w:rPr>
        <w:t>lemesini güçlendirmeye yönelik kurumsal r</w:t>
      </w:r>
      <w:r w:rsidR="002D14A3" w:rsidRPr="001A4B94">
        <w:rPr>
          <w:rFonts w:ascii="Times New Roman" w:hAnsi="Times New Roman"/>
          <w:iCs/>
          <w:sz w:val="23"/>
          <w:szCs w:val="23"/>
          <w:lang w:val="tr-TR"/>
        </w:rPr>
        <w:t>e</w:t>
      </w:r>
      <w:r w:rsidR="00C02574" w:rsidRPr="001A4B94">
        <w:rPr>
          <w:rFonts w:ascii="Times New Roman" w:hAnsi="Times New Roman"/>
          <w:iCs/>
          <w:sz w:val="23"/>
          <w:szCs w:val="23"/>
          <w:lang w:val="tr-TR"/>
        </w:rPr>
        <w:t>forml</w:t>
      </w:r>
      <w:r w:rsidR="002D14A3" w:rsidRPr="001A4B94">
        <w:rPr>
          <w:rFonts w:ascii="Times New Roman" w:hAnsi="Times New Roman"/>
          <w:iCs/>
          <w:sz w:val="23"/>
          <w:szCs w:val="23"/>
          <w:lang w:val="tr-TR"/>
        </w:rPr>
        <w:t>a</w:t>
      </w:r>
      <w:r w:rsidR="00C02574" w:rsidRPr="001A4B94">
        <w:rPr>
          <w:rFonts w:ascii="Times New Roman" w:hAnsi="Times New Roman"/>
          <w:iCs/>
          <w:sz w:val="23"/>
          <w:szCs w:val="23"/>
          <w:lang w:val="tr-TR"/>
        </w:rPr>
        <w:t xml:space="preserve">rı derinleştirmeye </w:t>
      </w:r>
      <w:r w:rsidR="002D14A3" w:rsidRPr="001A4B94">
        <w:rPr>
          <w:rFonts w:ascii="Times New Roman" w:hAnsi="Times New Roman"/>
          <w:iCs/>
          <w:sz w:val="23"/>
          <w:szCs w:val="23"/>
          <w:lang w:val="tr-TR"/>
        </w:rPr>
        <w:t>ve daha etkili ve kapsayıcı bir finansal sektör için gerekli ortamı yaratmaya devam etmesi gerekmektedir.</w:t>
      </w:r>
      <w:r w:rsidR="00E644B0" w:rsidRPr="001A4B94">
        <w:rPr>
          <w:rFonts w:ascii="Times New Roman" w:hAnsi="Times New Roman"/>
          <w:sz w:val="23"/>
          <w:szCs w:val="23"/>
          <w:lang w:val="tr-TR"/>
        </w:rPr>
        <w:t xml:space="preserve"> </w:t>
      </w:r>
      <w:r w:rsidR="002D14A3" w:rsidRPr="001A4B94">
        <w:rPr>
          <w:rFonts w:ascii="Times New Roman" w:hAnsi="Times New Roman"/>
          <w:sz w:val="23"/>
          <w:szCs w:val="23"/>
          <w:lang w:val="tr-TR"/>
        </w:rPr>
        <w:t>Türk şirketlerinin daha f</w:t>
      </w:r>
      <w:r w:rsidR="00C507CB" w:rsidRPr="001A4B94">
        <w:rPr>
          <w:rFonts w:ascii="Times New Roman" w:hAnsi="Times New Roman"/>
          <w:sz w:val="23"/>
          <w:szCs w:val="23"/>
          <w:lang w:val="tr-TR"/>
        </w:rPr>
        <w:t>a</w:t>
      </w:r>
      <w:r w:rsidR="002D14A3" w:rsidRPr="001A4B94">
        <w:rPr>
          <w:rFonts w:ascii="Times New Roman" w:hAnsi="Times New Roman"/>
          <w:sz w:val="23"/>
          <w:szCs w:val="23"/>
          <w:lang w:val="tr-TR"/>
        </w:rPr>
        <w:t>zla katma değ</w:t>
      </w:r>
      <w:r w:rsidR="00C507CB" w:rsidRPr="001A4B94">
        <w:rPr>
          <w:rFonts w:ascii="Times New Roman" w:hAnsi="Times New Roman"/>
          <w:sz w:val="23"/>
          <w:szCs w:val="23"/>
          <w:lang w:val="tr-TR"/>
        </w:rPr>
        <w:t>e</w:t>
      </w:r>
      <w:r w:rsidR="002D14A3" w:rsidRPr="001A4B94">
        <w:rPr>
          <w:rFonts w:ascii="Times New Roman" w:hAnsi="Times New Roman"/>
          <w:sz w:val="23"/>
          <w:szCs w:val="23"/>
          <w:lang w:val="tr-TR"/>
        </w:rPr>
        <w:t>r yaratmak ve daha f</w:t>
      </w:r>
      <w:r w:rsidR="00C507CB" w:rsidRPr="001A4B94">
        <w:rPr>
          <w:rFonts w:ascii="Times New Roman" w:hAnsi="Times New Roman"/>
          <w:sz w:val="23"/>
          <w:szCs w:val="23"/>
          <w:lang w:val="tr-TR"/>
        </w:rPr>
        <w:t>a</w:t>
      </w:r>
      <w:r w:rsidR="002D14A3" w:rsidRPr="001A4B94">
        <w:rPr>
          <w:rFonts w:ascii="Times New Roman" w:hAnsi="Times New Roman"/>
          <w:sz w:val="23"/>
          <w:szCs w:val="23"/>
          <w:lang w:val="tr-TR"/>
        </w:rPr>
        <w:t>zla ve daha iyi işler yaratabilmek için yenilikçiliği ve teknolojiyi geliştirerek üretkenliklerini arttırmaları gerekmekt</w:t>
      </w:r>
      <w:r w:rsidR="00C507CB" w:rsidRPr="001A4B94">
        <w:rPr>
          <w:rFonts w:ascii="Times New Roman" w:hAnsi="Times New Roman"/>
          <w:sz w:val="23"/>
          <w:szCs w:val="23"/>
          <w:lang w:val="tr-TR"/>
        </w:rPr>
        <w:t>e</w:t>
      </w:r>
      <w:r w:rsidR="002D14A3" w:rsidRPr="001A4B94">
        <w:rPr>
          <w:rFonts w:ascii="Times New Roman" w:hAnsi="Times New Roman"/>
          <w:sz w:val="23"/>
          <w:szCs w:val="23"/>
          <w:lang w:val="tr-TR"/>
        </w:rPr>
        <w:t>dir</w:t>
      </w:r>
      <w:r w:rsidR="00E644B0" w:rsidRPr="001A4B94">
        <w:rPr>
          <w:rFonts w:ascii="Times New Roman" w:hAnsi="Times New Roman"/>
          <w:sz w:val="23"/>
          <w:szCs w:val="23"/>
          <w:lang w:val="tr-TR"/>
        </w:rPr>
        <w:t>.</w:t>
      </w:r>
      <w:r w:rsidR="004B05E7" w:rsidRPr="001A4B94">
        <w:rPr>
          <w:rFonts w:ascii="Times New Roman" w:hAnsi="Times New Roman"/>
          <w:sz w:val="23"/>
          <w:szCs w:val="23"/>
          <w:lang w:val="tr-TR"/>
        </w:rPr>
        <w:t xml:space="preserve"> </w:t>
      </w:r>
      <w:r w:rsidR="002D14A3" w:rsidRPr="001A4B94">
        <w:rPr>
          <w:rFonts w:ascii="Times New Roman" w:hAnsi="Times New Roman"/>
          <w:sz w:val="23"/>
          <w:szCs w:val="23"/>
          <w:lang w:val="tr-TR"/>
        </w:rPr>
        <w:t xml:space="preserve">Kalkınma Programının Dönüşüm Programlarından bazıları </w:t>
      </w:r>
      <w:r w:rsidR="00E67CF3" w:rsidRPr="001A4B94">
        <w:rPr>
          <w:rFonts w:ascii="Times New Roman" w:hAnsi="Times New Roman"/>
          <w:iCs/>
          <w:sz w:val="23"/>
          <w:szCs w:val="23"/>
          <w:lang w:val="tr-TR"/>
        </w:rPr>
        <w:t>bu konuları ele almaktadır</w:t>
      </w:r>
      <w:r w:rsidR="00E644B0" w:rsidRPr="001A4B94">
        <w:rPr>
          <w:rFonts w:ascii="Times New Roman" w:hAnsi="Times New Roman"/>
          <w:iCs/>
          <w:sz w:val="23"/>
          <w:szCs w:val="23"/>
          <w:lang w:val="tr-TR"/>
        </w:rPr>
        <w:t xml:space="preserve">: </w:t>
      </w:r>
      <w:r w:rsidR="00FA44E8" w:rsidRPr="001A4B94">
        <w:rPr>
          <w:rFonts w:ascii="Times New Roman" w:hAnsi="Times New Roman"/>
          <w:iCs/>
          <w:sz w:val="23"/>
          <w:szCs w:val="23"/>
          <w:lang w:val="tr-TR"/>
        </w:rPr>
        <w:t>Üretimd</w:t>
      </w:r>
      <w:r w:rsidR="00C507CB" w:rsidRPr="001A4B94">
        <w:rPr>
          <w:rFonts w:ascii="Times New Roman" w:hAnsi="Times New Roman"/>
          <w:iCs/>
          <w:sz w:val="23"/>
          <w:szCs w:val="23"/>
          <w:lang w:val="tr-TR"/>
        </w:rPr>
        <w:t>e</w:t>
      </w:r>
      <w:r w:rsidR="00FA44E8" w:rsidRPr="001A4B94">
        <w:rPr>
          <w:rFonts w:ascii="Times New Roman" w:hAnsi="Times New Roman"/>
          <w:iCs/>
          <w:sz w:val="23"/>
          <w:szCs w:val="23"/>
          <w:lang w:val="tr-TR"/>
        </w:rPr>
        <w:t xml:space="preserve"> Verimliliğin Arttırılması</w:t>
      </w:r>
      <w:r w:rsidR="00B27A91" w:rsidRPr="001A4B94">
        <w:rPr>
          <w:rFonts w:ascii="Times New Roman" w:hAnsi="Times New Roman"/>
          <w:iCs/>
          <w:sz w:val="23"/>
          <w:szCs w:val="23"/>
          <w:lang w:val="tr-TR"/>
        </w:rPr>
        <w:t xml:space="preserve">, </w:t>
      </w:r>
      <w:r w:rsidR="00FA44E8" w:rsidRPr="001A4B94">
        <w:rPr>
          <w:rFonts w:ascii="Times New Roman" w:hAnsi="Times New Roman"/>
          <w:iCs/>
          <w:sz w:val="23"/>
          <w:szCs w:val="23"/>
          <w:lang w:val="tr-TR"/>
        </w:rPr>
        <w:t>Yurt İçi Tasarrufların Arttırılması</w:t>
      </w:r>
      <w:r w:rsidR="00B27A91" w:rsidRPr="001A4B94">
        <w:rPr>
          <w:rFonts w:ascii="Times New Roman" w:hAnsi="Times New Roman"/>
          <w:iCs/>
          <w:sz w:val="23"/>
          <w:szCs w:val="23"/>
          <w:lang w:val="tr-TR"/>
        </w:rPr>
        <w:t xml:space="preserve">, </w:t>
      </w:r>
      <w:r w:rsidR="00FA44E8" w:rsidRPr="001A4B94">
        <w:rPr>
          <w:rFonts w:ascii="Times New Roman" w:hAnsi="Times New Roman"/>
          <w:iCs/>
          <w:sz w:val="23"/>
          <w:szCs w:val="23"/>
          <w:lang w:val="tr-TR"/>
        </w:rPr>
        <w:t>Kamu Harcamalarının Rasyonelleştirilmesi</w:t>
      </w:r>
      <w:r w:rsidR="00B27A91" w:rsidRPr="001A4B94">
        <w:rPr>
          <w:rFonts w:ascii="Times New Roman" w:hAnsi="Times New Roman"/>
          <w:iCs/>
          <w:sz w:val="23"/>
          <w:szCs w:val="23"/>
          <w:lang w:val="tr-TR"/>
        </w:rPr>
        <w:t xml:space="preserve">, </w:t>
      </w:r>
      <w:r w:rsidR="00FA44E8" w:rsidRPr="001A4B94">
        <w:rPr>
          <w:rFonts w:ascii="Times New Roman" w:hAnsi="Times New Roman"/>
          <w:iCs/>
          <w:sz w:val="23"/>
          <w:szCs w:val="23"/>
          <w:lang w:val="tr-TR"/>
        </w:rPr>
        <w:t>Teknoloji Geliştirme</w:t>
      </w:r>
      <w:r w:rsidR="00B27A91" w:rsidRPr="001A4B94">
        <w:rPr>
          <w:rFonts w:ascii="Times New Roman" w:hAnsi="Times New Roman"/>
          <w:iCs/>
          <w:sz w:val="23"/>
          <w:szCs w:val="23"/>
          <w:lang w:val="tr-TR"/>
        </w:rPr>
        <w:t xml:space="preserve">, </w:t>
      </w:r>
      <w:r w:rsidR="00FA44E8" w:rsidRPr="001A4B94">
        <w:rPr>
          <w:rFonts w:ascii="Times New Roman" w:hAnsi="Times New Roman"/>
          <w:iCs/>
          <w:sz w:val="23"/>
          <w:szCs w:val="23"/>
          <w:lang w:val="tr-TR"/>
        </w:rPr>
        <w:t>İş ve Yatırım Ortamı</w:t>
      </w:r>
      <w:r w:rsidR="00B27A91" w:rsidRPr="001A4B94">
        <w:rPr>
          <w:rFonts w:ascii="Times New Roman" w:hAnsi="Times New Roman"/>
          <w:iCs/>
          <w:sz w:val="23"/>
          <w:szCs w:val="23"/>
          <w:lang w:val="tr-TR"/>
        </w:rPr>
        <w:t xml:space="preserve">.  </w:t>
      </w:r>
      <w:r w:rsidR="00FA44E8" w:rsidRPr="001A4B94">
        <w:rPr>
          <w:rFonts w:ascii="Times New Roman" w:hAnsi="Times New Roman"/>
          <w:iCs/>
          <w:sz w:val="23"/>
          <w:szCs w:val="23"/>
          <w:lang w:val="tr-TR"/>
        </w:rPr>
        <w:t xml:space="preserve">Sistematik Ülke Değerlendirmesi de Sağlam </w:t>
      </w:r>
      <w:r w:rsidR="00C507CB" w:rsidRPr="001A4B94">
        <w:rPr>
          <w:rFonts w:ascii="Times New Roman" w:hAnsi="Times New Roman"/>
          <w:iCs/>
          <w:sz w:val="23"/>
          <w:szCs w:val="23"/>
          <w:lang w:val="tr-TR"/>
        </w:rPr>
        <w:t>T</w:t>
      </w:r>
      <w:r w:rsidR="00FA44E8" w:rsidRPr="001A4B94">
        <w:rPr>
          <w:rFonts w:ascii="Times New Roman" w:hAnsi="Times New Roman"/>
          <w:iCs/>
          <w:sz w:val="23"/>
          <w:szCs w:val="23"/>
          <w:lang w:val="tr-TR"/>
        </w:rPr>
        <w:t>emeller ve D</w:t>
      </w:r>
      <w:r w:rsidR="00C507CB" w:rsidRPr="001A4B94">
        <w:rPr>
          <w:rFonts w:ascii="Times New Roman" w:hAnsi="Times New Roman"/>
          <w:iCs/>
          <w:sz w:val="23"/>
          <w:szCs w:val="23"/>
          <w:lang w:val="tr-TR"/>
        </w:rPr>
        <w:t>i</w:t>
      </w:r>
      <w:r w:rsidR="00FA44E8" w:rsidRPr="001A4B94">
        <w:rPr>
          <w:rFonts w:ascii="Times New Roman" w:hAnsi="Times New Roman"/>
          <w:iCs/>
          <w:sz w:val="23"/>
          <w:szCs w:val="23"/>
          <w:lang w:val="tr-TR"/>
        </w:rPr>
        <w:t xml:space="preserve">namik </w:t>
      </w:r>
      <w:r w:rsidR="00A533E1" w:rsidRPr="001A4B94">
        <w:rPr>
          <w:rFonts w:ascii="Times New Roman" w:hAnsi="Times New Roman"/>
          <w:iCs/>
          <w:sz w:val="23"/>
          <w:szCs w:val="23"/>
          <w:lang w:val="tr-TR"/>
        </w:rPr>
        <w:t>Ş</w:t>
      </w:r>
      <w:r w:rsidR="00FA44E8" w:rsidRPr="001A4B94">
        <w:rPr>
          <w:rFonts w:ascii="Times New Roman" w:hAnsi="Times New Roman"/>
          <w:iCs/>
          <w:sz w:val="23"/>
          <w:szCs w:val="23"/>
          <w:lang w:val="tr-TR"/>
        </w:rPr>
        <w:t>irketler eksenleri kapsamında bu zorlukları tesp</w:t>
      </w:r>
      <w:r w:rsidR="00C507CB" w:rsidRPr="001A4B94">
        <w:rPr>
          <w:rFonts w:ascii="Times New Roman" w:hAnsi="Times New Roman"/>
          <w:iCs/>
          <w:sz w:val="23"/>
          <w:szCs w:val="23"/>
          <w:lang w:val="tr-TR"/>
        </w:rPr>
        <w:t>i</w:t>
      </w:r>
      <w:r w:rsidR="00FA44E8" w:rsidRPr="001A4B94">
        <w:rPr>
          <w:rFonts w:ascii="Times New Roman" w:hAnsi="Times New Roman"/>
          <w:iCs/>
          <w:sz w:val="23"/>
          <w:szCs w:val="23"/>
          <w:lang w:val="tr-TR"/>
        </w:rPr>
        <w:t>t etmiştir</w:t>
      </w:r>
      <w:r w:rsidR="00B27A91" w:rsidRPr="001A4B94">
        <w:rPr>
          <w:rFonts w:ascii="Times New Roman" w:hAnsi="Times New Roman"/>
          <w:iCs/>
          <w:sz w:val="23"/>
          <w:szCs w:val="23"/>
          <w:lang w:val="tr-TR"/>
        </w:rPr>
        <w:t xml:space="preserve">. </w:t>
      </w:r>
      <w:r w:rsidR="00FA44E8" w:rsidRPr="001A4B94">
        <w:rPr>
          <w:rFonts w:ascii="Times New Roman" w:hAnsi="Times New Roman"/>
          <w:iCs/>
          <w:sz w:val="23"/>
          <w:szCs w:val="23"/>
          <w:lang w:val="tr-TR"/>
        </w:rPr>
        <w:t>Bu zorlu</w:t>
      </w:r>
      <w:r w:rsidR="00C507CB" w:rsidRPr="001A4B94">
        <w:rPr>
          <w:rFonts w:ascii="Times New Roman" w:hAnsi="Times New Roman"/>
          <w:iCs/>
          <w:sz w:val="23"/>
          <w:szCs w:val="23"/>
          <w:lang w:val="tr-TR"/>
        </w:rPr>
        <w:t>k</w:t>
      </w:r>
      <w:r w:rsidR="00FA44E8" w:rsidRPr="001A4B94">
        <w:rPr>
          <w:rFonts w:ascii="Times New Roman" w:hAnsi="Times New Roman"/>
          <w:iCs/>
          <w:sz w:val="23"/>
          <w:szCs w:val="23"/>
          <w:lang w:val="tr-TR"/>
        </w:rPr>
        <w:t>lar Ülke İşbirliği Çerçevesinin birinci Odak Alanı kapsamındaki amaç tercihlerinin esasını oluşturmuştur</w:t>
      </w:r>
      <w:r w:rsidR="004B05E7" w:rsidRPr="001A4B94">
        <w:rPr>
          <w:rFonts w:ascii="Times New Roman" w:hAnsi="Times New Roman"/>
          <w:iCs/>
          <w:sz w:val="23"/>
          <w:szCs w:val="23"/>
          <w:lang w:val="tr-TR"/>
        </w:rPr>
        <w:t xml:space="preserve">: (i) </w:t>
      </w:r>
      <w:bookmarkStart w:id="11" w:name="_Hlk494597366"/>
      <w:r w:rsidR="00FA44E8" w:rsidRPr="001A4B94">
        <w:rPr>
          <w:rFonts w:ascii="Times New Roman" w:hAnsi="Times New Roman"/>
          <w:iCs/>
          <w:sz w:val="23"/>
          <w:szCs w:val="23"/>
          <w:lang w:val="tr-TR"/>
        </w:rPr>
        <w:t>mali hareket alanının arttırılması</w:t>
      </w:r>
      <w:bookmarkEnd w:id="11"/>
      <w:r w:rsidR="004B05E7" w:rsidRPr="001A4B94">
        <w:rPr>
          <w:rFonts w:ascii="Times New Roman" w:hAnsi="Times New Roman"/>
          <w:sz w:val="23"/>
          <w:szCs w:val="23"/>
          <w:lang w:val="tr-TR"/>
        </w:rPr>
        <w:t xml:space="preserve">; (ii) </w:t>
      </w:r>
      <w:bookmarkStart w:id="12" w:name="_Hlk494598013"/>
      <w:r w:rsidR="007A7F00" w:rsidRPr="001A4B94">
        <w:rPr>
          <w:rFonts w:ascii="Times New Roman" w:hAnsi="Times New Roman"/>
          <w:sz w:val="23"/>
          <w:szCs w:val="23"/>
          <w:lang w:val="tr-TR"/>
        </w:rPr>
        <w:t xml:space="preserve">yetersiz hizmet alan </w:t>
      </w:r>
      <w:r w:rsidR="00872E28" w:rsidRPr="001A4B94">
        <w:rPr>
          <w:rFonts w:ascii="Times New Roman" w:hAnsi="Times New Roman"/>
          <w:sz w:val="23"/>
          <w:szCs w:val="23"/>
          <w:lang w:val="tr-TR"/>
        </w:rPr>
        <w:t xml:space="preserve">segmentler </w:t>
      </w:r>
      <w:r w:rsidR="007A7F00" w:rsidRPr="001A4B94">
        <w:rPr>
          <w:rFonts w:ascii="Times New Roman" w:hAnsi="Times New Roman"/>
          <w:sz w:val="23"/>
          <w:szCs w:val="23"/>
          <w:lang w:val="tr-TR"/>
        </w:rPr>
        <w:t>için finansmana erişimin arttırılması</w:t>
      </w:r>
      <w:bookmarkEnd w:id="12"/>
      <w:r w:rsidR="004B05E7" w:rsidRPr="001A4B94">
        <w:rPr>
          <w:rFonts w:ascii="Times New Roman" w:hAnsi="Times New Roman"/>
          <w:sz w:val="23"/>
          <w:szCs w:val="23"/>
          <w:lang w:val="tr-TR"/>
        </w:rPr>
        <w:t xml:space="preserve">; </w:t>
      </w:r>
      <w:r w:rsidR="007A7F00" w:rsidRPr="001A4B94">
        <w:rPr>
          <w:rFonts w:ascii="Times New Roman" w:hAnsi="Times New Roman"/>
          <w:sz w:val="23"/>
          <w:szCs w:val="23"/>
          <w:lang w:val="tr-TR"/>
        </w:rPr>
        <w:t xml:space="preserve">ve </w:t>
      </w:r>
      <w:r w:rsidR="004B05E7" w:rsidRPr="001A4B94">
        <w:rPr>
          <w:rFonts w:ascii="Times New Roman" w:hAnsi="Times New Roman"/>
          <w:sz w:val="23"/>
          <w:szCs w:val="23"/>
          <w:lang w:val="tr-TR"/>
        </w:rPr>
        <w:t xml:space="preserve">(iii) </w:t>
      </w:r>
      <w:r w:rsidR="007A7F00" w:rsidRPr="001A4B94">
        <w:rPr>
          <w:rFonts w:ascii="Times New Roman" w:hAnsi="Times New Roman"/>
          <w:sz w:val="23"/>
          <w:szCs w:val="23"/>
          <w:lang w:val="tr-TR"/>
        </w:rPr>
        <w:t>seçilen sektörlerde  rekabet gücünün ve istihdamın arttırılması</w:t>
      </w:r>
      <w:r w:rsidR="00B27A91" w:rsidRPr="001A4B94">
        <w:rPr>
          <w:rFonts w:ascii="Times New Roman" w:hAnsi="Times New Roman"/>
          <w:iCs/>
          <w:sz w:val="23"/>
          <w:szCs w:val="23"/>
          <w:lang w:val="tr-TR"/>
        </w:rPr>
        <w:t>.</w:t>
      </w:r>
    </w:p>
    <w:p w14:paraId="1EDCF02F" w14:textId="77777777" w:rsidR="00AD459F" w:rsidRPr="001A4B94" w:rsidRDefault="00AD459F" w:rsidP="00AD459F">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0"/>
          <w:szCs w:val="10"/>
          <w:lang w:val="tr-TR"/>
        </w:rPr>
      </w:pPr>
    </w:p>
    <w:p w14:paraId="759D452B" w14:textId="029AAD92" w:rsidR="002E2B78" w:rsidRPr="001A4B94" w:rsidRDefault="002E2B78" w:rsidP="007C2A3B">
      <w:pPr>
        <w:spacing w:after="160" w:line="259" w:lineRule="auto"/>
        <w:ind w:left="360"/>
        <w:rPr>
          <w:rFonts w:eastAsia="Calibri"/>
          <w:b/>
          <w:bCs/>
          <w:sz w:val="23"/>
          <w:szCs w:val="23"/>
          <w:u w:val="single"/>
          <w:lang w:val="tr-TR"/>
        </w:rPr>
      </w:pPr>
      <w:r w:rsidRPr="001A4B94">
        <w:rPr>
          <w:b/>
          <w:bCs/>
          <w:sz w:val="23"/>
          <w:szCs w:val="23"/>
          <w:u w:val="single"/>
          <w:lang w:val="tr-TR"/>
        </w:rPr>
        <w:t>C</w:t>
      </w:r>
      <w:r w:rsidR="009E67B6" w:rsidRPr="001A4B94">
        <w:rPr>
          <w:b/>
          <w:bCs/>
          <w:sz w:val="23"/>
          <w:szCs w:val="23"/>
          <w:u w:val="single"/>
          <w:lang w:val="tr-TR"/>
        </w:rPr>
        <w:t xml:space="preserve">PF </w:t>
      </w:r>
      <w:r w:rsidR="007A7F00" w:rsidRPr="001A4B94">
        <w:rPr>
          <w:b/>
          <w:bCs/>
          <w:sz w:val="23"/>
          <w:szCs w:val="23"/>
          <w:u w:val="single"/>
          <w:lang w:val="tr-TR"/>
        </w:rPr>
        <w:t xml:space="preserve">Amacı </w:t>
      </w:r>
      <w:r w:rsidR="009E67B6" w:rsidRPr="001A4B94">
        <w:rPr>
          <w:b/>
          <w:bCs/>
          <w:sz w:val="23"/>
          <w:szCs w:val="23"/>
          <w:u w:val="single"/>
          <w:lang w:val="tr-TR"/>
        </w:rPr>
        <w:t xml:space="preserve">1: </w:t>
      </w:r>
      <w:r w:rsidR="007A7F00" w:rsidRPr="001A4B94">
        <w:rPr>
          <w:b/>
          <w:bCs/>
          <w:sz w:val="23"/>
          <w:szCs w:val="23"/>
          <w:u w:val="single"/>
          <w:lang w:val="tr-TR"/>
        </w:rPr>
        <w:t xml:space="preserve">Mali Hareket Alanının Arttırılması  </w:t>
      </w:r>
    </w:p>
    <w:tbl>
      <w:tblPr>
        <w:tblW w:w="0" w:type="auto"/>
        <w:tblCellMar>
          <w:left w:w="0" w:type="dxa"/>
          <w:right w:w="0" w:type="dxa"/>
        </w:tblCellMar>
        <w:tblLook w:val="04A0" w:firstRow="1" w:lastRow="0" w:firstColumn="1" w:lastColumn="0" w:noHBand="0" w:noVBand="1"/>
      </w:tblPr>
      <w:tblGrid>
        <w:gridCol w:w="9340"/>
      </w:tblGrid>
      <w:tr w:rsidR="002E2B78" w:rsidRPr="001A4B94" w14:paraId="41B9BE0F" w14:textId="77777777" w:rsidTr="00121A7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37770" w14:textId="6A6072C8" w:rsidR="002E2B78" w:rsidRPr="001A4B94" w:rsidRDefault="00C507CB" w:rsidP="00121A74">
            <w:pPr>
              <w:jc w:val="both"/>
              <w:rPr>
                <w:b/>
                <w:sz w:val="22"/>
                <w:lang w:val="tr-TR"/>
              </w:rPr>
            </w:pPr>
            <w:r w:rsidRPr="001A4B94">
              <w:rPr>
                <w:b/>
                <w:sz w:val="22"/>
                <w:lang w:val="tr-TR"/>
              </w:rPr>
              <w:t xml:space="preserve">Amaç 1 için Sonuç Göstergeleri </w:t>
            </w:r>
          </w:p>
        </w:tc>
      </w:tr>
      <w:tr w:rsidR="002E2B78" w:rsidRPr="001A4B94" w14:paraId="54F17213" w14:textId="77777777" w:rsidTr="00121A74">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DBD0C09" w14:textId="006F8591" w:rsidR="002E2B78" w:rsidRPr="001A4B94" w:rsidRDefault="0071660D" w:rsidP="00121A74">
            <w:pPr>
              <w:tabs>
                <w:tab w:val="left" w:pos="1142"/>
              </w:tabs>
              <w:ind w:left="-28"/>
              <w:rPr>
                <w:i/>
                <w:sz w:val="22"/>
                <w:lang w:val="tr-TR"/>
              </w:rPr>
            </w:pPr>
            <w:r w:rsidRPr="001A4B94">
              <w:rPr>
                <w:i/>
                <w:sz w:val="22"/>
                <w:lang w:val="tr-TR"/>
              </w:rPr>
              <w:t xml:space="preserve">Doğrudan vergi gelirlerinin toplam vergi gelirleri içerisindeki payı </w:t>
            </w:r>
          </w:p>
          <w:p w14:paraId="28836CCB" w14:textId="716CDE2E" w:rsidR="009E095C" w:rsidRPr="001A4B94" w:rsidRDefault="0071660D" w:rsidP="004A7D65">
            <w:pPr>
              <w:tabs>
                <w:tab w:val="left" w:pos="1142"/>
              </w:tabs>
              <w:ind w:left="-28"/>
              <w:rPr>
                <w:lang w:val="tr-TR"/>
              </w:rPr>
            </w:pPr>
            <w:r w:rsidRPr="001A4B94">
              <w:rPr>
                <w:i/>
                <w:sz w:val="22"/>
                <w:lang w:val="tr-TR"/>
              </w:rPr>
              <w:t xml:space="preserve">Kamu idaresinde iç kontroller için bir izleme sisteminin kurulması </w:t>
            </w:r>
          </w:p>
        </w:tc>
      </w:tr>
    </w:tbl>
    <w:p w14:paraId="1839E7AB" w14:textId="77777777" w:rsidR="0071660D" w:rsidRPr="001A4B94" w:rsidRDefault="0071660D" w:rsidP="0071660D">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7C74C094" w14:textId="0C1FE9F3" w:rsidR="002E2B78" w:rsidRPr="001A4B94" w:rsidRDefault="0071660D" w:rsidP="002E2B78">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lastRenderedPageBreak/>
        <w:t>Dünya Bankası Grubu’nun programı hükümetin mali hareket alanını korumasına yardımcı olmayı amaçlamaktadır</w:t>
      </w:r>
      <w:r w:rsidR="002E2B78" w:rsidRPr="001A4B94">
        <w:rPr>
          <w:rFonts w:ascii="Times New Roman" w:hAnsi="Times New Roman"/>
          <w:b/>
          <w:iCs/>
          <w:sz w:val="23"/>
          <w:szCs w:val="23"/>
          <w:lang w:val="tr-TR"/>
        </w:rPr>
        <w:t xml:space="preserve">.  </w:t>
      </w:r>
      <w:r w:rsidRPr="001A4B94">
        <w:rPr>
          <w:rFonts w:ascii="Times New Roman" w:hAnsi="Times New Roman"/>
          <w:iCs/>
          <w:sz w:val="23"/>
          <w:szCs w:val="23"/>
          <w:lang w:val="tr-TR"/>
        </w:rPr>
        <w:t xml:space="preserve">Bu kapsamda mali yönetim üzerinde odaklanacak ve muhtemelen </w:t>
      </w:r>
      <w:r w:rsidRPr="001A4B94">
        <w:rPr>
          <w:rFonts w:ascii="Times New Roman" w:eastAsia="MS Mincho" w:hAnsi="Times New Roman"/>
          <w:sz w:val="23"/>
          <w:szCs w:val="23"/>
          <w:lang w:val="tr-TR"/>
        </w:rPr>
        <w:t xml:space="preserve">gelir vergisi kanunu, risk yönetimi, iç denetim ve mali politikanın dağılımsal etkilerinin analizi  gibi alanları da içerecek bir Kamu Maliyesi İncelemesi </w:t>
      </w:r>
      <w:r w:rsidR="00E9108C" w:rsidRPr="001A4B94">
        <w:rPr>
          <w:rFonts w:ascii="Times New Roman" w:hAnsi="Times New Roman"/>
          <w:iCs/>
          <w:sz w:val="23"/>
          <w:szCs w:val="23"/>
          <w:lang w:val="tr-TR"/>
        </w:rPr>
        <w:t>(</w:t>
      </w:r>
      <w:r w:rsidRPr="001A4B94">
        <w:rPr>
          <w:rFonts w:ascii="Times New Roman" w:hAnsi="Times New Roman"/>
          <w:iCs/>
          <w:sz w:val="23"/>
          <w:szCs w:val="23"/>
          <w:lang w:val="tr-TR"/>
        </w:rPr>
        <w:t>AB standartları ile karşılaştırmalı</w:t>
      </w:r>
      <w:r w:rsidR="00E9108C" w:rsidRPr="001A4B94">
        <w:rPr>
          <w:rFonts w:ascii="Times New Roman" w:hAnsi="Times New Roman"/>
          <w:i/>
          <w:iCs/>
          <w:sz w:val="23"/>
          <w:szCs w:val="23"/>
          <w:lang w:val="tr-TR"/>
        </w:rPr>
        <w:t>)</w:t>
      </w:r>
      <w:r w:rsidRPr="001A4B94">
        <w:rPr>
          <w:rFonts w:ascii="Times New Roman" w:hAnsi="Times New Roman"/>
          <w:iCs/>
          <w:sz w:val="23"/>
          <w:szCs w:val="23"/>
          <w:lang w:val="tr-TR"/>
        </w:rPr>
        <w:t xml:space="preserve"> gerçekleştirilecektir.</w:t>
      </w:r>
      <w:r w:rsidR="007E0475" w:rsidRPr="001A4B94">
        <w:rPr>
          <w:rFonts w:ascii="Times New Roman" w:eastAsia="MS Mincho" w:hAnsi="Times New Roman"/>
          <w:sz w:val="23"/>
          <w:szCs w:val="23"/>
          <w:lang w:val="tr-TR"/>
        </w:rPr>
        <w:t xml:space="preserve"> </w:t>
      </w:r>
      <w:r w:rsidR="0099761A" w:rsidRPr="001A4B94">
        <w:rPr>
          <w:rFonts w:ascii="Times New Roman" w:eastAsia="MS Mincho" w:hAnsi="Times New Roman"/>
          <w:sz w:val="23"/>
          <w:szCs w:val="23"/>
          <w:lang w:val="tr-TR"/>
        </w:rPr>
        <w:t>Bu ASA faaliyetinin sonucunda belirlenecek politika tavsiyeleri, IBRD programının çekirdek bir parçasını oluşturacak ve 2018 mali yılında başlayacak bir önerilen DPL (kalkınma politikası kredisi) dizisinin temelini oluşturacaktır.  Bu DPL dizisi</w:t>
      </w:r>
      <w:r w:rsidR="00963991" w:rsidRPr="001A4B94">
        <w:rPr>
          <w:rFonts w:ascii="Times New Roman" w:eastAsia="MS Mincho" w:hAnsi="Times New Roman"/>
          <w:sz w:val="23"/>
          <w:szCs w:val="23"/>
          <w:lang w:val="tr-TR"/>
        </w:rPr>
        <w:t>,</w:t>
      </w:r>
      <w:r w:rsidR="0099761A" w:rsidRPr="001A4B94">
        <w:rPr>
          <w:rFonts w:ascii="Times New Roman" w:eastAsia="MS Mincho" w:hAnsi="Times New Roman"/>
          <w:sz w:val="23"/>
          <w:szCs w:val="23"/>
          <w:lang w:val="tr-TR"/>
        </w:rPr>
        <w:t xml:space="preserve"> </w:t>
      </w:r>
      <w:r w:rsidR="008B6D1D" w:rsidRPr="001A4B94">
        <w:rPr>
          <w:rFonts w:ascii="Times New Roman" w:eastAsia="MS Mincho" w:hAnsi="Times New Roman"/>
          <w:sz w:val="23"/>
          <w:szCs w:val="23"/>
          <w:lang w:val="tr-TR"/>
        </w:rPr>
        <w:t>kilit ekonomik reform önceliklerini destekleyici ola</w:t>
      </w:r>
      <w:r w:rsidR="00963991" w:rsidRPr="001A4B94">
        <w:rPr>
          <w:rFonts w:ascii="Times New Roman" w:eastAsia="MS Mincho" w:hAnsi="Times New Roman"/>
          <w:sz w:val="23"/>
          <w:szCs w:val="23"/>
          <w:lang w:val="tr-TR"/>
        </w:rPr>
        <w:t>r</w:t>
      </w:r>
      <w:r w:rsidR="008B6D1D" w:rsidRPr="001A4B94">
        <w:rPr>
          <w:rFonts w:ascii="Times New Roman" w:eastAsia="MS Mincho" w:hAnsi="Times New Roman"/>
          <w:sz w:val="23"/>
          <w:szCs w:val="23"/>
          <w:lang w:val="tr-TR"/>
        </w:rPr>
        <w:t xml:space="preserve">ak </w:t>
      </w:r>
      <w:r w:rsidR="00963991" w:rsidRPr="001A4B94">
        <w:rPr>
          <w:rFonts w:ascii="Times New Roman" w:eastAsia="MS Mincho" w:hAnsi="Times New Roman"/>
          <w:sz w:val="23"/>
          <w:szCs w:val="23"/>
          <w:lang w:val="tr-TR"/>
        </w:rPr>
        <w:t xml:space="preserve">çeşitli farklı alanları kapsayan bir odağa sahip olacaktır ve büyüklüğü ve sıklığı ülke durumuna, </w:t>
      </w:r>
      <w:r w:rsidR="00963991" w:rsidRPr="001A4B94">
        <w:rPr>
          <w:rFonts w:ascii="Times New Roman" w:hAnsi="Times New Roman"/>
          <w:iCs/>
          <w:sz w:val="23"/>
          <w:szCs w:val="23"/>
          <w:lang w:val="tr-TR"/>
        </w:rPr>
        <w:t>reform programının gücüne ve finansman ihtiyaçlarına bağlı olacaktır</w:t>
      </w:r>
      <w:r w:rsidR="00E04212" w:rsidRPr="001A4B94">
        <w:rPr>
          <w:rFonts w:ascii="Times New Roman" w:eastAsia="MS Mincho" w:hAnsi="Times New Roman"/>
          <w:sz w:val="23"/>
          <w:szCs w:val="23"/>
          <w:lang w:val="tr-TR"/>
        </w:rPr>
        <w:t xml:space="preserve">.  </w:t>
      </w:r>
      <w:r w:rsidR="00872E28" w:rsidRPr="001A4B94">
        <w:rPr>
          <w:rFonts w:ascii="Times New Roman" w:eastAsia="MS Mincho" w:hAnsi="Times New Roman"/>
          <w:sz w:val="23"/>
          <w:szCs w:val="23"/>
          <w:lang w:val="tr-TR"/>
        </w:rPr>
        <w:t xml:space="preserve">DPL dizisinin desteklediği reform programının kapsamı hakkında daha fazla ayrıntı ancak hazırlık aşamasında belli olacaktır, dolayısıyla gelecekteki   </w:t>
      </w:r>
      <w:r w:rsidR="002E2B78" w:rsidRPr="001A4B94">
        <w:rPr>
          <w:rFonts w:ascii="Times New Roman" w:eastAsia="MS Mincho" w:hAnsi="Times New Roman"/>
          <w:sz w:val="23"/>
          <w:szCs w:val="23"/>
          <w:lang w:val="tr-TR"/>
        </w:rPr>
        <w:t>CPF P</w:t>
      </w:r>
      <w:r w:rsidR="003B2B60" w:rsidRPr="001A4B94">
        <w:rPr>
          <w:rFonts w:ascii="Times New Roman" w:eastAsia="MS Mincho" w:hAnsi="Times New Roman"/>
          <w:sz w:val="23"/>
          <w:szCs w:val="23"/>
          <w:lang w:val="tr-TR"/>
        </w:rPr>
        <w:t xml:space="preserve">erformans </w:t>
      </w:r>
      <w:r w:rsidR="00872E28" w:rsidRPr="001A4B94">
        <w:rPr>
          <w:rFonts w:ascii="Times New Roman" w:eastAsia="MS Mincho" w:hAnsi="Times New Roman"/>
          <w:sz w:val="23"/>
          <w:szCs w:val="23"/>
          <w:lang w:val="tr-TR"/>
        </w:rPr>
        <w:t xml:space="preserve">ve Öğrenme İncelemesinde </w:t>
      </w:r>
      <w:r w:rsidR="002E2B78" w:rsidRPr="001A4B94">
        <w:rPr>
          <w:rFonts w:ascii="Times New Roman" w:eastAsia="MS Mincho" w:hAnsi="Times New Roman"/>
          <w:sz w:val="23"/>
          <w:szCs w:val="23"/>
          <w:lang w:val="tr-TR"/>
        </w:rPr>
        <w:t>(PLR)</w:t>
      </w:r>
      <w:r w:rsidR="00872E28" w:rsidRPr="001A4B94">
        <w:rPr>
          <w:rFonts w:ascii="Times New Roman" w:eastAsia="MS Mincho" w:hAnsi="Times New Roman"/>
          <w:sz w:val="23"/>
          <w:szCs w:val="23"/>
          <w:lang w:val="tr-TR"/>
        </w:rPr>
        <w:t xml:space="preserve"> sunulacaktır</w:t>
      </w:r>
      <w:r w:rsidR="002E2B78" w:rsidRPr="001A4B94">
        <w:rPr>
          <w:rFonts w:ascii="Times New Roman" w:eastAsia="MS Mincho" w:hAnsi="Times New Roman"/>
          <w:sz w:val="23"/>
          <w:szCs w:val="23"/>
          <w:lang w:val="tr-TR"/>
        </w:rPr>
        <w:t xml:space="preserve">. </w:t>
      </w:r>
    </w:p>
    <w:p w14:paraId="1C89D5FC" w14:textId="77777777" w:rsidR="003A491F" w:rsidRPr="001A4B94" w:rsidRDefault="003A491F" w:rsidP="003A491F">
      <w:pPr>
        <w:pStyle w:val="ListeParagraf"/>
        <w:tabs>
          <w:tab w:val="left" w:pos="426"/>
          <w:tab w:val="left" w:pos="2970"/>
        </w:tabs>
        <w:autoSpaceDE w:val="0"/>
        <w:autoSpaceDN w:val="0"/>
        <w:adjustRightInd w:val="0"/>
        <w:spacing w:after="0" w:line="240" w:lineRule="auto"/>
        <w:ind w:left="0"/>
        <w:jc w:val="both"/>
        <w:rPr>
          <w:rFonts w:ascii="Times New Roman" w:hAnsi="Times New Roman"/>
          <w:b/>
          <w:iCs/>
          <w:sz w:val="23"/>
          <w:szCs w:val="23"/>
          <w:lang w:val="tr-TR"/>
        </w:rPr>
      </w:pPr>
    </w:p>
    <w:p w14:paraId="0A566DF9" w14:textId="30FF9575" w:rsidR="003A491F" w:rsidRPr="001A4B94" w:rsidRDefault="003A491F" w:rsidP="003A491F">
      <w:pPr>
        <w:ind w:left="396"/>
        <w:rPr>
          <w:b/>
          <w:bCs/>
          <w:sz w:val="23"/>
          <w:szCs w:val="23"/>
          <w:u w:val="single"/>
          <w:lang w:val="tr-TR"/>
        </w:rPr>
      </w:pPr>
      <w:r w:rsidRPr="001A4B94">
        <w:rPr>
          <w:b/>
          <w:bCs/>
          <w:sz w:val="23"/>
          <w:szCs w:val="23"/>
          <w:u w:val="single"/>
          <w:lang w:val="tr-TR"/>
        </w:rPr>
        <w:t xml:space="preserve">CPF </w:t>
      </w:r>
      <w:r w:rsidR="00872E28" w:rsidRPr="001A4B94">
        <w:rPr>
          <w:b/>
          <w:bCs/>
          <w:sz w:val="23"/>
          <w:szCs w:val="23"/>
          <w:u w:val="single"/>
          <w:lang w:val="tr-TR"/>
        </w:rPr>
        <w:t xml:space="preserve">Amacı </w:t>
      </w:r>
      <w:r w:rsidRPr="001A4B94">
        <w:rPr>
          <w:b/>
          <w:bCs/>
          <w:sz w:val="23"/>
          <w:szCs w:val="23"/>
          <w:u w:val="single"/>
          <w:lang w:val="tr-TR"/>
        </w:rPr>
        <w:t xml:space="preserve">2: </w:t>
      </w:r>
      <w:r w:rsidR="00872E28" w:rsidRPr="001A4B94">
        <w:rPr>
          <w:b/>
          <w:bCs/>
          <w:sz w:val="23"/>
          <w:szCs w:val="23"/>
          <w:u w:val="single"/>
          <w:lang w:val="tr-TR"/>
        </w:rPr>
        <w:t xml:space="preserve">Yetersiz Hizmet Alan Segmentler için Finansmana Erişimin Arttırılması </w:t>
      </w:r>
    </w:p>
    <w:p w14:paraId="30C5B07E" w14:textId="77777777" w:rsidR="003A491F" w:rsidRPr="001A4B94" w:rsidRDefault="003A491F" w:rsidP="003A491F">
      <w:pPr>
        <w:ind w:left="396"/>
        <w:rPr>
          <w:b/>
          <w:bCs/>
          <w:u w:val="single"/>
          <w:lang w:val="tr-TR"/>
        </w:rPr>
      </w:pPr>
    </w:p>
    <w:tbl>
      <w:tblPr>
        <w:tblW w:w="0" w:type="auto"/>
        <w:tblCellMar>
          <w:left w:w="0" w:type="dxa"/>
          <w:right w:w="0" w:type="dxa"/>
        </w:tblCellMar>
        <w:tblLook w:val="04A0" w:firstRow="1" w:lastRow="0" w:firstColumn="1" w:lastColumn="0" w:noHBand="0" w:noVBand="1"/>
      </w:tblPr>
      <w:tblGrid>
        <w:gridCol w:w="9340"/>
      </w:tblGrid>
      <w:tr w:rsidR="003A491F" w:rsidRPr="001A4B94" w14:paraId="34F42CFE" w14:textId="77777777" w:rsidTr="00121A7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108CBE" w14:textId="6AD1695E" w:rsidR="003A491F" w:rsidRPr="001A4B94" w:rsidRDefault="00872E28" w:rsidP="00121A74">
            <w:pPr>
              <w:jc w:val="both"/>
              <w:rPr>
                <w:b/>
                <w:sz w:val="22"/>
                <w:lang w:val="tr-TR"/>
              </w:rPr>
            </w:pPr>
            <w:r w:rsidRPr="001A4B94">
              <w:rPr>
                <w:b/>
                <w:sz w:val="22"/>
                <w:lang w:val="tr-TR"/>
              </w:rPr>
              <w:t xml:space="preserve">Amaç 2 için Sonuç Göstergeleri </w:t>
            </w:r>
          </w:p>
        </w:tc>
      </w:tr>
      <w:tr w:rsidR="003A491F" w:rsidRPr="001A4B94" w14:paraId="76F473E5" w14:textId="77777777" w:rsidTr="00121A74">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66EC931" w14:textId="0977F2B9" w:rsidR="003A491F" w:rsidRPr="001A4B94" w:rsidRDefault="00872E28" w:rsidP="00121A74">
            <w:pPr>
              <w:tabs>
                <w:tab w:val="left" w:pos="1142"/>
              </w:tabs>
              <w:ind w:left="-28"/>
              <w:rPr>
                <w:i/>
                <w:sz w:val="22"/>
                <w:lang w:val="tr-TR"/>
              </w:rPr>
            </w:pPr>
            <w:r w:rsidRPr="001A4B94">
              <w:rPr>
                <w:i/>
                <w:sz w:val="22"/>
                <w:lang w:val="tr-TR"/>
              </w:rPr>
              <w:t>Finansal hizmetler ile ulaşılan insanlar</w:t>
            </w:r>
            <w:r w:rsidR="00CC7008" w:rsidRPr="001A4B94">
              <w:rPr>
                <w:i/>
                <w:sz w:val="22"/>
                <w:lang w:val="tr-TR"/>
              </w:rPr>
              <w:t>,</w:t>
            </w:r>
            <w:r w:rsidR="003A491F" w:rsidRPr="001A4B94">
              <w:rPr>
                <w:i/>
                <w:sz w:val="22"/>
                <w:lang w:val="tr-TR"/>
              </w:rPr>
              <w:t xml:space="preserve"> </w:t>
            </w:r>
            <w:r w:rsidRPr="001A4B94">
              <w:rPr>
                <w:i/>
                <w:sz w:val="22"/>
                <w:lang w:val="tr-TR"/>
              </w:rPr>
              <w:t>mikro</w:t>
            </w:r>
            <w:r w:rsidR="00982D1D" w:rsidRPr="001A4B94">
              <w:rPr>
                <w:i/>
                <w:sz w:val="22"/>
                <w:lang w:val="tr-TR"/>
              </w:rPr>
              <w:t xml:space="preserve">, </w:t>
            </w:r>
            <w:r w:rsidRPr="001A4B94">
              <w:rPr>
                <w:i/>
                <w:sz w:val="22"/>
                <w:lang w:val="tr-TR"/>
              </w:rPr>
              <w:t xml:space="preserve">küçük ve orta büyüklükteki işletmeler </w:t>
            </w:r>
            <w:r w:rsidR="00982D1D" w:rsidRPr="001A4B94">
              <w:rPr>
                <w:i/>
                <w:sz w:val="22"/>
                <w:lang w:val="tr-TR"/>
              </w:rPr>
              <w:t>(</w:t>
            </w:r>
            <w:r w:rsidRPr="001A4B94">
              <w:rPr>
                <w:i/>
                <w:sz w:val="22"/>
                <w:lang w:val="tr-TR"/>
              </w:rPr>
              <w:t>M-KOBİ</w:t>
            </w:r>
            <w:r w:rsidR="00982D1D" w:rsidRPr="001A4B94">
              <w:rPr>
                <w:i/>
                <w:sz w:val="22"/>
                <w:lang w:val="tr-TR"/>
              </w:rPr>
              <w:t>)</w:t>
            </w:r>
            <w:r w:rsidR="003A491F" w:rsidRPr="001A4B94">
              <w:rPr>
                <w:i/>
                <w:sz w:val="22"/>
                <w:lang w:val="tr-TR"/>
              </w:rPr>
              <w:t xml:space="preserve"> </w:t>
            </w:r>
            <w:r w:rsidR="00FF4D51" w:rsidRPr="001A4B94">
              <w:rPr>
                <w:i/>
                <w:sz w:val="22"/>
                <w:lang w:val="tr-TR"/>
              </w:rPr>
              <w:t>ve ihracatçılar</w:t>
            </w:r>
          </w:p>
          <w:p w14:paraId="4D41F8D9" w14:textId="7FF53E4F" w:rsidR="003A491F" w:rsidRPr="001A4B94" w:rsidRDefault="00FF4D51" w:rsidP="00121A74">
            <w:pPr>
              <w:tabs>
                <w:tab w:val="left" w:pos="1142"/>
              </w:tabs>
              <w:ind w:left="-28"/>
              <w:rPr>
                <w:lang w:val="tr-TR"/>
              </w:rPr>
            </w:pPr>
            <w:r w:rsidRPr="001A4B94">
              <w:rPr>
                <w:i/>
                <w:sz w:val="22"/>
                <w:lang w:val="tr-TR"/>
              </w:rPr>
              <w:t xml:space="preserve">Bireysel emeklilik yatırımcılarının / üyelerinin portföy büyüklüğündeki artış </w:t>
            </w:r>
          </w:p>
        </w:tc>
      </w:tr>
    </w:tbl>
    <w:p w14:paraId="5E0781D3" w14:textId="77777777" w:rsidR="00412BE3" w:rsidRPr="001A4B94" w:rsidRDefault="00412BE3" w:rsidP="00412BE3">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4"/>
          <w:szCs w:val="24"/>
          <w:lang w:val="tr-TR"/>
        </w:rPr>
      </w:pPr>
    </w:p>
    <w:p w14:paraId="008DC5B6" w14:textId="49E9096C" w:rsidR="00A23086" w:rsidRPr="001A4B94" w:rsidRDefault="003A491F" w:rsidP="009F5A9D">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T</w:t>
      </w:r>
      <w:r w:rsidR="00582B65" w:rsidRPr="001A4B94">
        <w:rPr>
          <w:rFonts w:ascii="Times New Roman" w:hAnsi="Times New Roman"/>
          <w:b/>
          <w:iCs/>
          <w:sz w:val="23"/>
          <w:szCs w:val="23"/>
          <w:lang w:val="tr-TR"/>
        </w:rPr>
        <w:t>ürkiye’nin büyüme p</w:t>
      </w:r>
      <w:r w:rsidR="00FF4D51" w:rsidRPr="001A4B94">
        <w:rPr>
          <w:rFonts w:ascii="Times New Roman" w:hAnsi="Times New Roman"/>
          <w:b/>
          <w:iCs/>
          <w:sz w:val="23"/>
          <w:szCs w:val="23"/>
          <w:lang w:val="tr-TR"/>
        </w:rPr>
        <w:t>erformansı iyi işleyen ve kapsayıcı bir finansal sektöre kritik bir şekilde bağımlıdır</w:t>
      </w:r>
      <w:r w:rsidR="00A23086" w:rsidRPr="001A4B94">
        <w:rPr>
          <w:rFonts w:ascii="Times New Roman" w:hAnsi="Times New Roman"/>
          <w:b/>
          <w:iCs/>
          <w:sz w:val="23"/>
          <w:szCs w:val="23"/>
          <w:lang w:val="tr-TR"/>
        </w:rPr>
        <w:t xml:space="preserve">.  </w:t>
      </w:r>
      <w:r w:rsidR="000C6AE6" w:rsidRPr="001A4B94">
        <w:rPr>
          <w:rFonts w:ascii="Times New Roman" w:hAnsi="Times New Roman"/>
          <w:iCs/>
          <w:sz w:val="23"/>
          <w:szCs w:val="23"/>
          <w:lang w:val="tr-TR"/>
        </w:rPr>
        <w:t>Bu,</w:t>
      </w:r>
      <w:r w:rsidR="00535D6D" w:rsidRPr="001A4B94">
        <w:rPr>
          <w:rFonts w:ascii="Times New Roman" w:hAnsi="Times New Roman"/>
          <w:iCs/>
          <w:sz w:val="23"/>
          <w:szCs w:val="23"/>
          <w:lang w:val="tr-TR"/>
        </w:rPr>
        <w:t xml:space="preserve"> finansmana erişimin arttırılmasını (özellikle </w:t>
      </w:r>
      <w:r w:rsidR="000C6AE6" w:rsidRPr="001A4B94">
        <w:rPr>
          <w:rFonts w:ascii="Times New Roman" w:hAnsi="Times New Roman"/>
          <w:iCs/>
          <w:sz w:val="23"/>
          <w:szCs w:val="23"/>
          <w:lang w:val="tr-TR"/>
        </w:rPr>
        <w:t>istihdamın yüzde 73,5’ini oluştur</w:t>
      </w:r>
      <w:r w:rsidR="00535D6D" w:rsidRPr="001A4B94">
        <w:rPr>
          <w:rFonts w:ascii="Times New Roman" w:hAnsi="Times New Roman"/>
          <w:iCs/>
          <w:sz w:val="23"/>
          <w:szCs w:val="23"/>
          <w:lang w:val="tr-TR"/>
        </w:rPr>
        <w:t>a</w:t>
      </w:r>
      <w:r w:rsidR="000C6AE6" w:rsidRPr="001A4B94">
        <w:rPr>
          <w:rFonts w:ascii="Times New Roman" w:hAnsi="Times New Roman"/>
          <w:iCs/>
          <w:sz w:val="23"/>
          <w:szCs w:val="23"/>
          <w:lang w:val="tr-TR"/>
        </w:rPr>
        <w:t>n ancak banka</w:t>
      </w:r>
      <w:r w:rsidR="00535D6D" w:rsidRPr="001A4B94">
        <w:rPr>
          <w:rFonts w:ascii="Times New Roman" w:hAnsi="Times New Roman"/>
          <w:iCs/>
          <w:sz w:val="23"/>
          <w:szCs w:val="23"/>
          <w:lang w:val="tr-TR"/>
        </w:rPr>
        <w:t xml:space="preserve"> </w:t>
      </w:r>
      <w:r w:rsidR="000C6AE6" w:rsidRPr="001A4B94">
        <w:rPr>
          <w:rFonts w:ascii="Times New Roman" w:hAnsi="Times New Roman"/>
          <w:iCs/>
          <w:sz w:val="23"/>
          <w:szCs w:val="23"/>
          <w:lang w:val="tr-TR"/>
        </w:rPr>
        <w:t>kredil</w:t>
      </w:r>
      <w:r w:rsidR="00535D6D" w:rsidRPr="001A4B94">
        <w:rPr>
          <w:rFonts w:ascii="Times New Roman" w:hAnsi="Times New Roman"/>
          <w:iCs/>
          <w:sz w:val="23"/>
          <w:szCs w:val="23"/>
          <w:lang w:val="tr-TR"/>
        </w:rPr>
        <w:t>e</w:t>
      </w:r>
      <w:r w:rsidR="000C6AE6" w:rsidRPr="001A4B94">
        <w:rPr>
          <w:rFonts w:ascii="Times New Roman" w:hAnsi="Times New Roman"/>
          <w:iCs/>
          <w:sz w:val="23"/>
          <w:szCs w:val="23"/>
          <w:lang w:val="tr-TR"/>
        </w:rPr>
        <w:t>ri içerisin</w:t>
      </w:r>
      <w:r w:rsidR="00535D6D" w:rsidRPr="001A4B94">
        <w:rPr>
          <w:rFonts w:ascii="Times New Roman" w:hAnsi="Times New Roman"/>
          <w:iCs/>
          <w:sz w:val="23"/>
          <w:szCs w:val="23"/>
          <w:lang w:val="tr-TR"/>
        </w:rPr>
        <w:t>d</w:t>
      </w:r>
      <w:r w:rsidR="000C6AE6" w:rsidRPr="001A4B94">
        <w:rPr>
          <w:rFonts w:ascii="Times New Roman" w:hAnsi="Times New Roman"/>
          <w:iCs/>
          <w:sz w:val="23"/>
          <w:szCs w:val="23"/>
          <w:lang w:val="tr-TR"/>
        </w:rPr>
        <w:t>e sadece yüzde 24’</w:t>
      </w:r>
      <w:r w:rsidR="00535D6D" w:rsidRPr="001A4B94">
        <w:rPr>
          <w:rFonts w:ascii="Times New Roman" w:hAnsi="Times New Roman"/>
          <w:iCs/>
          <w:sz w:val="23"/>
          <w:szCs w:val="23"/>
          <w:lang w:val="tr-TR"/>
        </w:rPr>
        <w:t xml:space="preserve">lük </w:t>
      </w:r>
      <w:r w:rsidR="000C6AE6" w:rsidRPr="001A4B94">
        <w:rPr>
          <w:rFonts w:ascii="Times New Roman" w:hAnsi="Times New Roman"/>
          <w:iCs/>
          <w:sz w:val="23"/>
          <w:szCs w:val="23"/>
          <w:lang w:val="tr-TR"/>
        </w:rPr>
        <w:t>paya sahip olan küçük ve orta büyüklükteki işletm</w:t>
      </w:r>
      <w:r w:rsidR="00582B65" w:rsidRPr="001A4B94">
        <w:rPr>
          <w:rFonts w:ascii="Times New Roman" w:hAnsi="Times New Roman"/>
          <w:iCs/>
          <w:sz w:val="23"/>
          <w:szCs w:val="23"/>
          <w:lang w:val="tr-TR"/>
        </w:rPr>
        <w:t>e</w:t>
      </w:r>
      <w:r w:rsidR="000C6AE6" w:rsidRPr="001A4B94">
        <w:rPr>
          <w:rFonts w:ascii="Times New Roman" w:hAnsi="Times New Roman"/>
          <w:iCs/>
          <w:sz w:val="23"/>
          <w:szCs w:val="23"/>
          <w:lang w:val="tr-TR"/>
        </w:rPr>
        <w:t>l</w:t>
      </w:r>
      <w:r w:rsidR="00535D6D" w:rsidRPr="001A4B94">
        <w:rPr>
          <w:rFonts w:ascii="Times New Roman" w:hAnsi="Times New Roman"/>
          <w:iCs/>
          <w:sz w:val="23"/>
          <w:szCs w:val="23"/>
          <w:lang w:val="tr-TR"/>
        </w:rPr>
        <w:t>e</w:t>
      </w:r>
      <w:r w:rsidR="000C6AE6" w:rsidRPr="001A4B94">
        <w:rPr>
          <w:rFonts w:ascii="Times New Roman" w:hAnsi="Times New Roman"/>
          <w:iCs/>
          <w:sz w:val="23"/>
          <w:szCs w:val="23"/>
          <w:lang w:val="tr-TR"/>
        </w:rPr>
        <w:t>r (KOBİ) için)</w:t>
      </w:r>
      <w:r w:rsidRPr="001A4B94">
        <w:rPr>
          <w:rFonts w:ascii="Times New Roman" w:hAnsi="Times New Roman"/>
          <w:iCs/>
          <w:sz w:val="23"/>
          <w:szCs w:val="23"/>
          <w:lang w:val="tr-TR"/>
        </w:rPr>
        <w:t xml:space="preserve">, </w:t>
      </w:r>
      <w:r w:rsidR="00535D6D" w:rsidRPr="001A4B94">
        <w:rPr>
          <w:rFonts w:ascii="Times New Roman" w:hAnsi="Times New Roman"/>
          <w:iCs/>
          <w:sz w:val="23"/>
          <w:szCs w:val="23"/>
          <w:lang w:val="tr-TR"/>
        </w:rPr>
        <w:t xml:space="preserve">finansal tabana yaymanın </w:t>
      </w:r>
      <w:r w:rsidR="00D6275B" w:rsidRPr="001A4B94">
        <w:rPr>
          <w:rFonts w:ascii="Times New Roman" w:hAnsi="Times New Roman"/>
          <w:iCs/>
          <w:sz w:val="23"/>
          <w:szCs w:val="23"/>
          <w:lang w:val="tr-TR"/>
        </w:rPr>
        <w:t xml:space="preserve">genişletilmesini </w:t>
      </w:r>
      <w:r w:rsidR="00A23086" w:rsidRPr="001A4B94">
        <w:rPr>
          <w:rFonts w:ascii="Times New Roman" w:hAnsi="Times New Roman"/>
          <w:iCs/>
          <w:sz w:val="23"/>
          <w:szCs w:val="23"/>
          <w:lang w:val="tr-TR"/>
        </w:rPr>
        <w:t>(</w:t>
      </w:r>
      <w:r w:rsidR="00582B65" w:rsidRPr="001A4B94">
        <w:rPr>
          <w:rFonts w:ascii="Times New Roman" w:hAnsi="Times New Roman"/>
          <w:iCs/>
          <w:sz w:val="23"/>
          <w:szCs w:val="23"/>
          <w:lang w:val="tr-TR"/>
        </w:rPr>
        <w:t>çoğ</w:t>
      </w:r>
      <w:r w:rsidR="00D6275B" w:rsidRPr="001A4B94">
        <w:rPr>
          <w:rFonts w:ascii="Times New Roman" w:hAnsi="Times New Roman"/>
          <w:iCs/>
          <w:sz w:val="23"/>
          <w:szCs w:val="23"/>
          <w:lang w:val="tr-TR"/>
        </w:rPr>
        <w:t xml:space="preserve">unluğu kadınlar olmak üzere nüfusun yüzde 40’ının banka hesabı bulunmamaktadır) ve finans ve </w:t>
      </w:r>
      <w:r w:rsidR="00582B65" w:rsidRPr="001A4B94">
        <w:rPr>
          <w:rFonts w:ascii="Times New Roman" w:hAnsi="Times New Roman"/>
          <w:iCs/>
          <w:sz w:val="23"/>
          <w:szCs w:val="23"/>
          <w:lang w:val="tr-TR"/>
        </w:rPr>
        <w:t>s</w:t>
      </w:r>
      <w:r w:rsidR="00D6275B" w:rsidRPr="001A4B94">
        <w:rPr>
          <w:rFonts w:ascii="Times New Roman" w:hAnsi="Times New Roman"/>
          <w:iCs/>
          <w:sz w:val="23"/>
          <w:szCs w:val="23"/>
          <w:lang w:val="tr-TR"/>
        </w:rPr>
        <w:t xml:space="preserve">ermaye piyasalarının derinleştirilmesini ve çeşitlendirilmesini </w:t>
      </w:r>
      <w:r w:rsidR="00A23086" w:rsidRPr="001A4B94">
        <w:rPr>
          <w:rFonts w:ascii="Times New Roman" w:hAnsi="Times New Roman"/>
          <w:iCs/>
          <w:sz w:val="23"/>
          <w:szCs w:val="23"/>
          <w:lang w:val="tr-TR"/>
        </w:rPr>
        <w:t>(</w:t>
      </w:r>
      <w:r w:rsidR="00D6275B" w:rsidRPr="001A4B94">
        <w:rPr>
          <w:rFonts w:ascii="Times New Roman" w:hAnsi="Times New Roman"/>
          <w:iCs/>
          <w:sz w:val="23"/>
          <w:szCs w:val="23"/>
          <w:lang w:val="tr-TR"/>
        </w:rPr>
        <w:t>örneğin uzun vadeli finansman imkanlarının geliştirilmesi</w:t>
      </w:r>
      <w:r w:rsidR="00A23086" w:rsidRPr="001A4B94">
        <w:rPr>
          <w:rFonts w:ascii="Times New Roman" w:hAnsi="Times New Roman"/>
          <w:sz w:val="23"/>
          <w:szCs w:val="23"/>
          <w:lang w:val="tr-TR"/>
        </w:rPr>
        <w:t xml:space="preserve">, </w:t>
      </w:r>
      <w:r w:rsidR="00D6275B" w:rsidRPr="001A4B94">
        <w:rPr>
          <w:rFonts w:ascii="Times New Roman" w:hAnsi="Times New Roman"/>
          <w:sz w:val="23"/>
          <w:szCs w:val="23"/>
          <w:lang w:val="tr-TR"/>
        </w:rPr>
        <w:t>kurumsal yatırımcıların büyüklüğünün  arttırılması</w:t>
      </w:r>
      <w:r w:rsidR="00A23086" w:rsidRPr="001A4B94">
        <w:rPr>
          <w:rFonts w:ascii="Times New Roman" w:hAnsi="Times New Roman"/>
          <w:sz w:val="23"/>
          <w:szCs w:val="23"/>
          <w:lang w:val="tr-TR"/>
        </w:rPr>
        <w:t xml:space="preserve">, </w:t>
      </w:r>
      <w:r w:rsidR="00FB05FB" w:rsidRPr="001A4B94">
        <w:rPr>
          <w:rFonts w:ascii="Times New Roman" w:hAnsi="Times New Roman"/>
          <w:sz w:val="23"/>
          <w:szCs w:val="23"/>
          <w:lang w:val="tr-TR"/>
        </w:rPr>
        <w:t>şirket</w:t>
      </w:r>
      <w:r w:rsidR="00582B65" w:rsidRPr="001A4B94">
        <w:rPr>
          <w:rFonts w:ascii="Times New Roman" w:hAnsi="Times New Roman"/>
          <w:sz w:val="23"/>
          <w:szCs w:val="23"/>
          <w:lang w:val="tr-TR"/>
        </w:rPr>
        <w:t xml:space="preserve">lerin </w:t>
      </w:r>
      <w:r w:rsidR="00FB05FB" w:rsidRPr="001A4B94">
        <w:rPr>
          <w:rFonts w:ascii="Times New Roman" w:hAnsi="Times New Roman"/>
          <w:sz w:val="23"/>
          <w:szCs w:val="23"/>
          <w:lang w:val="tr-TR"/>
        </w:rPr>
        <w:t>borçlanma araçlarının çeşitlendirilmesi</w:t>
      </w:r>
      <w:r w:rsidR="00A23086" w:rsidRPr="001A4B94">
        <w:rPr>
          <w:rFonts w:ascii="Times New Roman" w:hAnsi="Times New Roman"/>
          <w:sz w:val="23"/>
          <w:szCs w:val="23"/>
          <w:lang w:val="tr-TR"/>
        </w:rPr>
        <w:t xml:space="preserve">, </w:t>
      </w:r>
      <w:r w:rsidR="00FB05FB" w:rsidRPr="001A4B94">
        <w:rPr>
          <w:rFonts w:ascii="Times New Roman" w:hAnsi="Times New Roman"/>
          <w:sz w:val="23"/>
          <w:szCs w:val="23"/>
          <w:lang w:val="tr-TR"/>
        </w:rPr>
        <w:t>ve şirket tahvillerine ilişkin ikincil piyasada likiditenin arttırılması</w:t>
      </w:r>
      <w:r w:rsidR="00A23086" w:rsidRPr="001A4B94">
        <w:rPr>
          <w:rFonts w:ascii="Times New Roman" w:hAnsi="Times New Roman"/>
          <w:iCs/>
          <w:sz w:val="23"/>
          <w:szCs w:val="23"/>
          <w:lang w:val="tr-TR"/>
        </w:rPr>
        <w:t>)</w:t>
      </w:r>
      <w:r w:rsidR="00D6275B" w:rsidRPr="001A4B94">
        <w:rPr>
          <w:rFonts w:ascii="Times New Roman" w:hAnsi="Times New Roman"/>
          <w:iCs/>
          <w:sz w:val="23"/>
          <w:szCs w:val="23"/>
          <w:lang w:val="tr-TR"/>
        </w:rPr>
        <w:t xml:space="preserve"> gerektirmektedir</w:t>
      </w:r>
      <w:r w:rsidRPr="001A4B94">
        <w:rPr>
          <w:rFonts w:ascii="Times New Roman" w:hAnsi="Times New Roman"/>
          <w:iCs/>
          <w:sz w:val="23"/>
          <w:szCs w:val="23"/>
          <w:lang w:val="tr-TR"/>
        </w:rPr>
        <w:t>.</w:t>
      </w:r>
      <w:r w:rsidRPr="001A4B94">
        <w:rPr>
          <w:rFonts w:ascii="Times New Roman" w:hAnsi="Times New Roman"/>
          <w:b/>
          <w:iCs/>
          <w:sz w:val="23"/>
          <w:szCs w:val="23"/>
          <w:lang w:val="tr-TR"/>
        </w:rPr>
        <w:t xml:space="preserve">  </w:t>
      </w:r>
      <w:r w:rsidR="00FB05FB" w:rsidRPr="001A4B94">
        <w:rPr>
          <w:rFonts w:ascii="Times New Roman" w:hAnsi="Times New Roman"/>
          <w:iCs/>
          <w:sz w:val="23"/>
          <w:szCs w:val="23"/>
          <w:lang w:val="tr-TR"/>
        </w:rPr>
        <w:t>Bankacılık sektörü son</w:t>
      </w:r>
      <w:r w:rsidR="00FB05FB" w:rsidRPr="001A4B94">
        <w:rPr>
          <w:rFonts w:ascii="Times New Roman" w:hAnsi="Times New Roman"/>
          <w:b/>
          <w:iCs/>
          <w:sz w:val="23"/>
          <w:szCs w:val="23"/>
          <w:lang w:val="tr-TR"/>
        </w:rPr>
        <w:t xml:space="preserve"> </w:t>
      </w:r>
      <w:r w:rsidR="00FB05FB" w:rsidRPr="001A4B94">
        <w:rPr>
          <w:rFonts w:ascii="Times New Roman" w:hAnsi="Times New Roman"/>
          <w:sz w:val="23"/>
          <w:szCs w:val="23"/>
          <w:lang w:val="tr-TR"/>
        </w:rPr>
        <w:t>kür</w:t>
      </w:r>
      <w:r w:rsidR="00582B65" w:rsidRPr="001A4B94">
        <w:rPr>
          <w:rFonts w:ascii="Times New Roman" w:hAnsi="Times New Roman"/>
          <w:sz w:val="23"/>
          <w:szCs w:val="23"/>
          <w:lang w:val="tr-TR"/>
        </w:rPr>
        <w:t>esel finansal</w:t>
      </w:r>
      <w:r w:rsidR="00FB05FB" w:rsidRPr="001A4B94">
        <w:rPr>
          <w:rFonts w:ascii="Times New Roman" w:hAnsi="Times New Roman"/>
          <w:sz w:val="23"/>
          <w:szCs w:val="23"/>
          <w:lang w:val="tr-TR"/>
        </w:rPr>
        <w:t xml:space="preserve"> krizi herhangi bir devlet müdahalesi olmadan aşmıştır ve iyi finansal göstergelere sahiptir</w:t>
      </w:r>
      <w:r w:rsidR="00105BE7" w:rsidRPr="001A4B94">
        <w:rPr>
          <w:rFonts w:ascii="Times New Roman" w:hAnsi="Times New Roman"/>
          <w:sz w:val="23"/>
          <w:szCs w:val="23"/>
          <w:lang w:val="tr-TR"/>
        </w:rPr>
        <w:t xml:space="preserve">; </w:t>
      </w:r>
      <w:r w:rsidR="00FB05FB" w:rsidRPr="001A4B94">
        <w:rPr>
          <w:rFonts w:ascii="Times New Roman" w:hAnsi="Times New Roman"/>
          <w:sz w:val="23"/>
          <w:szCs w:val="23"/>
          <w:lang w:val="tr-TR"/>
        </w:rPr>
        <w:t>2016 sonu itibariyle sermaye yeterlilik oranı yüzde 15,6</w:t>
      </w:r>
      <w:r w:rsidR="004D3EDC" w:rsidRPr="001A4B94">
        <w:rPr>
          <w:rFonts w:ascii="Times New Roman" w:hAnsi="Times New Roman"/>
          <w:sz w:val="23"/>
          <w:szCs w:val="23"/>
          <w:lang w:val="tr-TR"/>
        </w:rPr>
        <w:t xml:space="preserve">, </w:t>
      </w:r>
      <w:r w:rsidR="00FB05FB" w:rsidRPr="001A4B94">
        <w:rPr>
          <w:rFonts w:ascii="Times New Roman" w:hAnsi="Times New Roman"/>
          <w:sz w:val="23"/>
          <w:szCs w:val="23"/>
          <w:lang w:val="tr-TR"/>
        </w:rPr>
        <w:t>takibe düşen kredilerin oranı yüzde 3,2</w:t>
      </w:r>
      <w:r w:rsidR="004D3EDC" w:rsidRPr="001A4B94">
        <w:rPr>
          <w:rFonts w:ascii="Times New Roman" w:hAnsi="Times New Roman"/>
          <w:sz w:val="23"/>
          <w:szCs w:val="23"/>
          <w:lang w:val="tr-TR"/>
        </w:rPr>
        <w:t xml:space="preserve">, </w:t>
      </w:r>
      <w:r w:rsidR="00FB05FB" w:rsidRPr="001A4B94">
        <w:rPr>
          <w:rFonts w:ascii="Times New Roman" w:hAnsi="Times New Roman"/>
          <w:sz w:val="23"/>
          <w:szCs w:val="23"/>
          <w:lang w:val="tr-TR"/>
        </w:rPr>
        <w:t>aktif getirileri yüzde 1,50 ve sermaye getirileri yüzde 14,3 düzeyindedir.</w:t>
      </w:r>
      <w:r w:rsidR="004D3EDC" w:rsidRPr="001A4B94">
        <w:rPr>
          <w:rFonts w:ascii="Times New Roman" w:hAnsi="Times New Roman"/>
          <w:sz w:val="23"/>
          <w:szCs w:val="23"/>
          <w:lang w:val="tr-TR"/>
        </w:rPr>
        <w:t xml:space="preserve"> </w:t>
      </w:r>
      <w:r w:rsidR="00FB05FB" w:rsidRPr="001A4B94">
        <w:rPr>
          <w:rFonts w:ascii="Times New Roman" w:hAnsi="Times New Roman"/>
          <w:sz w:val="23"/>
          <w:szCs w:val="23"/>
          <w:lang w:val="tr-TR"/>
        </w:rPr>
        <w:t>Ancak</w:t>
      </w:r>
      <w:r w:rsidR="004D3EDC" w:rsidRPr="001A4B94">
        <w:rPr>
          <w:rFonts w:ascii="Times New Roman" w:hAnsi="Times New Roman"/>
          <w:sz w:val="23"/>
          <w:szCs w:val="23"/>
          <w:lang w:val="tr-TR"/>
        </w:rPr>
        <w:t xml:space="preserve">, </w:t>
      </w:r>
      <w:r w:rsidR="00917FF4" w:rsidRPr="001A4B94">
        <w:rPr>
          <w:rFonts w:ascii="Times New Roman" w:hAnsi="Times New Roman"/>
          <w:sz w:val="23"/>
          <w:szCs w:val="23"/>
          <w:lang w:val="tr-TR"/>
        </w:rPr>
        <w:t>küresel krizden bu yana bankaların sermaye tamponları</w:t>
      </w:r>
      <w:r w:rsidR="004D3EDC" w:rsidRPr="001A4B94">
        <w:rPr>
          <w:rFonts w:ascii="Times New Roman" w:hAnsi="Times New Roman"/>
          <w:sz w:val="23"/>
          <w:szCs w:val="23"/>
          <w:lang w:val="tr-TR"/>
        </w:rPr>
        <w:t xml:space="preserve">, </w:t>
      </w:r>
      <w:r w:rsidR="00917FF4" w:rsidRPr="001A4B94">
        <w:rPr>
          <w:rFonts w:ascii="Times New Roman" w:hAnsi="Times New Roman"/>
          <w:sz w:val="23"/>
          <w:szCs w:val="23"/>
          <w:lang w:val="tr-TR"/>
        </w:rPr>
        <w:t xml:space="preserve">likidite ve karlılık seviyeleri aşağı yönlü bir eğilim izlemektedir </w:t>
      </w:r>
      <w:r w:rsidR="004D3EDC" w:rsidRPr="001A4B94">
        <w:rPr>
          <w:rFonts w:ascii="Times New Roman" w:hAnsi="Times New Roman"/>
          <w:sz w:val="23"/>
          <w:szCs w:val="23"/>
          <w:lang w:val="tr-TR"/>
        </w:rPr>
        <w:t>(</w:t>
      </w:r>
      <w:r w:rsidR="00917FF4" w:rsidRPr="001A4B94">
        <w:rPr>
          <w:rFonts w:ascii="Times New Roman" w:hAnsi="Times New Roman"/>
          <w:sz w:val="23"/>
          <w:szCs w:val="23"/>
          <w:lang w:val="tr-TR"/>
        </w:rPr>
        <w:t>her ne kadar halen düzenleyici eşik değerlerin oldukça üzerinde olsalar ve son zamanlarda karlılıklarında bir artış gözlense de</w:t>
      </w:r>
      <w:r w:rsidR="004D3EDC" w:rsidRPr="001A4B94">
        <w:rPr>
          <w:rFonts w:ascii="Times New Roman" w:hAnsi="Times New Roman"/>
          <w:sz w:val="23"/>
          <w:szCs w:val="23"/>
          <w:lang w:val="tr-TR"/>
        </w:rPr>
        <w:t xml:space="preserve">) </w:t>
      </w:r>
      <w:r w:rsidR="00917FF4" w:rsidRPr="001A4B94">
        <w:rPr>
          <w:rFonts w:ascii="Times New Roman" w:hAnsi="Times New Roman"/>
          <w:sz w:val="23"/>
          <w:szCs w:val="23"/>
          <w:lang w:val="tr-TR"/>
        </w:rPr>
        <w:t>ve son yıllarda takibe düşen kr</w:t>
      </w:r>
      <w:r w:rsidR="00582B65" w:rsidRPr="001A4B94">
        <w:rPr>
          <w:rFonts w:ascii="Times New Roman" w:hAnsi="Times New Roman"/>
          <w:sz w:val="23"/>
          <w:szCs w:val="23"/>
          <w:lang w:val="tr-TR"/>
        </w:rPr>
        <w:t>edi</w:t>
      </w:r>
      <w:r w:rsidR="00917FF4" w:rsidRPr="001A4B94">
        <w:rPr>
          <w:rFonts w:ascii="Times New Roman" w:hAnsi="Times New Roman"/>
          <w:sz w:val="23"/>
          <w:szCs w:val="23"/>
          <w:lang w:val="tr-TR"/>
        </w:rPr>
        <w:t>l</w:t>
      </w:r>
      <w:r w:rsidR="00582B65" w:rsidRPr="001A4B94">
        <w:rPr>
          <w:rFonts w:ascii="Times New Roman" w:hAnsi="Times New Roman"/>
          <w:sz w:val="23"/>
          <w:szCs w:val="23"/>
          <w:lang w:val="tr-TR"/>
        </w:rPr>
        <w:t>e</w:t>
      </w:r>
      <w:r w:rsidR="00917FF4" w:rsidRPr="001A4B94">
        <w:rPr>
          <w:rFonts w:ascii="Times New Roman" w:hAnsi="Times New Roman"/>
          <w:sz w:val="23"/>
          <w:szCs w:val="23"/>
          <w:lang w:val="tr-TR"/>
        </w:rPr>
        <w:t>rde yu</w:t>
      </w:r>
      <w:r w:rsidR="00582B65" w:rsidRPr="001A4B94">
        <w:rPr>
          <w:rFonts w:ascii="Times New Roman" w:hAnsi="Times New Roman"/>
          <w:sz w:val="23"/>
          <w:szCs w:val="23"/>
          <w:lang w:val="tr-TR"/>
        </w:rPr>
        <w:t>k</w:t>
      </w:r>
      <w:r w:rsidR="00917FF4" w:rsidRPr="001A4B94">
        <w:rPr>
          <w:rFonts w:ascii="Times New Roman" w:hAnsi="Times New Roman"/>
          <w:sz w:val="23"/>
          <w:szCs w:val="23"/>
          <w:lang w:val="tr-TR"/>
        </w:rPr>
        <w:t>arı yönlü bir eğilim görülmektedir.</w:t>
      </w:r>
      <w:r w:rsidR="004D3EDC" w:rsidRPr="001A4B94">
        <w:rPr>
          <w:rFonts w:ascii="Times New Roman" w:hAnsi="Times New Roman"/>
          <w:sz w:val="23"/>
          <w:szCs w:val="23"/>
          <w:lang w:val="tr-TR"/>
        </w:rPr>
        <w:t xml:space="preserve"> </w:t>
      </w:r>
      <w:r w:rsidR="00582B65" w:rsidRPr="001A4B94">
        <w:rPr>
          <w:rFonts w:ascii="Times New Roman" w:hAnsi="Times New Roman"/>
          <w:sz w:val="23"/>
          <w:szCs w:val="23"/>
          <w:lang w:val="tr-TR"/>
        </w:rPr>
        <w:t>Kredi</w:t>
      </w:r>
      <w:r w:rsidR="00917FF4" w:rsidRPr="001A4B94">
        <w:rPr>
          <w:rFonts w:ascii="Times New Roman" w:hAnsi="Times New Roman"/>
          <w:sz w:val="23"/>
          <w:szCs w:val="23"/>
          <w:lang w:val="tr-TR"/>
        </w:rPr>
        <w:t>l</w:t>
      </w:r>
      <w:r w:rsidR="00582B65" w:rsidRPr="001A4B94">
        <w:rPr>
          <w:rFonts w:ascii="Times New Roman" w:hAnsi="Times New Roman"/>
          <w:sz w:val="23"/>
          <w:szCs w:val="23"/>
          <w:lang w:val="tr-TR"/>
        </w:rPr>
        <w:t>e</w:t>
      </w:r>
      <w:r w:rsidR="00917FF4" w:rsidRPr="001A4B94">
        <w:rPr>
          <w:rFonts w:ascii="Times New Roman" w:hAnsi="Times New Roman"/>
          <w:sz w:val="23"/>
          <w:szCs w:val="23"/>
          <w:lang w:val="tr-TR"/>
        </w:rPr>
        <w:t xml:space="preserve">rin mevduata oranı </w:t>
      </w:r>
      <w:r w:rsidR="007E74BB" w:rsidRPr="001A4B94">
        <w:rPr>
          <w:rFonts w:ascii="Times New Roman" w:hAnsi="Times New Roman"/>
          <w:sz w:val="23"/>
          <w:szCs w:val="23"/>
          <w:lang w:val="tr-TR"/>
        </w:rPr>
        <w:t>yüzde 123’e ulaşmıştır ve aşağıdak</w:t>
      </w:r>
      <w:r w:rsidR="00582B65" w:rsidRPr="001A4B94">
        <w:rPr>
          <w:rFonts w:ascii="Times New Roman" w:hAnsi="Times New Roman"/>
          <w:sz w:val="23"/>
          <w:szCs w:val="23"/>
          <w:lang w:val="tr-TR"/>
        </w:rPr>
        <w:t>i sebeplerden d</w:t>
      </w:r>
      <w:r w:rsidR="007E74BB" w:rsidRPr="001A4B94">
        <w:rPr>
          <w:rFonts w:ascii="Times New Roman" w:hAnsi="Times New Roman"/>
          <w:sz w:val="23"/>
          <w:szCs w:val="23"/>
          <w:lang w:val="tr-TR"/>
        </w:rPr>
        <w:t>olay</w:t>
      </w:r>
      <w:r w:rsidR="00582B65" w:rsidRPr="001A4B94">
        <w:rPr>
          <w:rFonts w:ascii="Times New Roman" w:hAnsi="Times New Roman"/>
          <w:sz w:val="23"/>
          <w:szCs w:val="23"/>
          <w:lang w:val="tr-TR"/>
        </w:rPr>
        <w:t>ı bankalar daha fazla k</w:t>
      </w:r>
      <w:r w:rsidR="007E74BB" w:rsidRPr="001A4B94">
        <w:rPr>
          <w:rFonts w:ascii="Times New Roman" w:hAnsi="Times New Roman"/>
          <w:sz w:val="23"/>
          <w:szCs w:val="23"/>
          <w:lang w:val="tr-TR"/>
        </w:rPr>
        <w:t>r</w:t>
      </w:r>
      <w:r w:rsidR="00582B65" w:rsidRPr="001A4B94">
        <w:rPr>
          <w:rFonts w:ascii="Times New Roman" w:hAnsi="Times New Roman"/>
          <w:sz w:val="23"/>
          <w:szCs w:val="23"/>
          <w:lang w:val="tr-TR"/>
        </w:rPr>
        <w:t>e</w:t>
      </w:r>
      <w:r w:rsidR="007E74BB" w:rsidRPr="001A4B94">
        <w:rPr>
          <w:rFonts w:ascii="Times New Roman" w:hAnsi="Times New Roman"/>
          <w:sz w:val="23"/>
          <w:szCs w:val="23"/>
          <w:lang w:val="tr-TR"/>
        </w:rPr>
        <w:t>di artışını desteklemek için sınırlı</w:t>
      </w:r>
      <w:r w:rsidR="00582B65" w:rsidRPr="001A4B94">
        <w:rPr>
          <w:rFonts w:ascii="Times New Roman" w:hAnsi="Times New Roman"/>
          <w:sz w:val="23"/>
          <w:szCs w:val="23"/>
          <w:lang w:val="tr-TR"/>
        </w:rPr>
        <w:t xml:space="preserve"> </w:t>
      </w:r>
      <w:r w:rsidR="007E74BB" w:rsidRPr="001A4B94">
        <w:rPr>
          <w:rFonts w:ascii="Times New Roman" w:hAnsi="Times New Roman"/>
          <w:sz w:val="23"/>
          <w:szCs w:val="23"/>
          <w:lang w:val="tr-TR"/>
        </w:rPr>
        <w:t>kaynaklara sahiptirler</w:t>
      </w:r>
      <w:r w:rsidR="004D3EDC" w:rsidRPr="001A4B94">
        <w:rPr>
          <w:rFonts w:ascii="Times New Roman" w:hAnsi="Times New Roman"/>
          <w:sz w:val="23"/>
          <w:szCs w:val="23"/>
          <w:lang w:val="tr-TR"/>
        </w:rPr>
        <w:t xml:space="preserve">: (i) </w:t>
      </w:r>
      <w:r w:rsidR="007E74BB" w:rsidRPr="001A4B94">
        <w:rPr>
          <w:rFonts w:ascii="Times New Roman" w:hAnsi="Times New Roman"/>
          <w:sz w:val="23"/>
          <w:szCs w:val="23"/>
          <w:lang w:val="tr-TR"/>
        </w:rPr>
        <w:t>düşük tasarruf oranları bankaların yeni mevduat çekme olanaklarını önemli ölçüde sınırlamaktadır</w:t>
      </w:r>
      <w:r w:rsidR="004D3EDC" w:rsidRPr="001A4B94">
        <w:rPr>
          <w:rFonts w:ascii="Times New Roman" w:hAnsi="Times New Roman"/>
          <w:sz w:val="23"/>
          <w:szCs w:val="23"/>
          <w:lang w:val="tr-TR"/>
        </w:rPr>
        <w:t>, (ii</w:t>
      </w:r>
      <w:r w:rsidR="007E74BB" w:rsidRPr="001A4B94">
        <w:rPr>
          <w:rFonts w:ascii="Times New Roman" w:hAnsi="Times New Roman"/>
          <w:sz w:val="23"/>
          <w:szCs w:val="23"/>
          <w:lang w:val="tr-TR"/>
        </w:rPr>
        <w:t>) kür</w:t>
      </w:r>
      <w:r w:rsidR="00582B65" w:rsidRPr="001A4B94">
        <w:rPr>
          <w:rFonts w:ascii="Times New Roman" w:hAnsi="Times New Roman"/>
          <w:sz w:val="23"/>
          <w:szCs w:val="23"/>
          <w:lang w:val="tr-TR"/>
        </w:rPr>
        <w:t>e</w:t>
      </w:r>
      <w:r w:rsidR="007E74BB" w:rsidRPr="001A4B94">
        <w:rPr>
          <w:rFonts w:ascii="Times New Roman" w:hAnsi="Times New Roman"/>
          <w:sz w:val="23"/>
          <w:szCs w:val="23"/>
          <w:lang w:val="tr-TR"/>
        </w:rPr>
        <w:t>sel likidite belirsizlikleri dış borçlanmayı sınırlamaktadır</w:t>
      </w:r>
      <w:r w:rsidR="004D3EDC" w:rsidRPr="001A4B94">
        <w:rPr>
          <w:rFonts w:ascii="Times New Roman" w:hAnsi="Times New Roman"/>
          <w:sz w:val="23"/>
          <w:szCs w:val="23"/>
          <w:lang w:val="tr-TR"/>
        </w:rPr>
        <w:t xml:space="preserve">, </w:t>
      </w:r>
      <w:r w:rsidR="007E74BB" w:rsidRPr="001A4B94">
        <w:rPr>
          <w:rFonts w:ascii="Times New Roman" w:hAnsi="Times New Roman"/>
          <w:sz w:val="23"/>
          <w:szCs w:val="23"/>
          <w:lang w:val="tr-TR"/>
        </w:rPr>
        <w:t xml:space="preserve">ve </w:t>
      </w:r>
      <w:r w:rsidR="004D3EDC" w:rsidRPr="001A4B94">
        <w:rPr>
          <w:rFonts w:ascii="Times New Roman" w:hAnsi="Times New Roman"/>
          <w:sz w:val="23"/>
          <w:szCs w:val="23"/>
          <w:lang w:val="tr-TR"/>
        </w:rPr>
        <w:t xml:space="preserve">(iii) </w:t>
      </w:r>
      <w:r w:rsidR="007E74BB" w:rsidRPr="001A4B94">
        <w:rPr>
          <w:rFonts w:ascii="Times New Roman" w:hAnsi="Times New Roman"/>
          <w:sz w:val="23"/>
          <w:szCs w:val="23"/>
          <w:lang w:val="tr-TR"/>
        </w:rPr>
        <w:t>düşük karlılık düzeyleri hissedarların s</w:t>
      </w:r>
      <w:r w:rsidR="00582B65" w:rsidRPr="001A4B94">
        <w:rPr>
          <w:rFonts w:ascii="Times New Roman" w:hAnsi="Times New Roman"/>
          <w:sz w:val="23"/>
          <w:szCs w:val="23"/>
          <w:lang w:val="tr-TR"/>
        </w:rPr>
        <w:t>e</w:t>
      </w:r>
      <w:r w:rsidR="007E74BB" w:rsidRPr="001A4B94">
        <w:rPr>
          <w:rFonts w:ascii="Times New Roman" w:hAnsi="Times New Roman"/>
          <w:sz w:val="23"/>
          <w:szCs w:val="23"/>
          <w:lang w:val="tr-TR"/>
        </w:rPr>
        <w:t>rmaye artırıml</w:t>
      </w:r>
      <w:r w:rsidR="00582B65" w:rsidRPr="001A4B94">
        <w:rPr>
          <w:rFonts w:ascii="Times New Roman" w:hAnsi="Times New Roman"/>
          <w:sz w:val="23"/>
          <w:szCs w:val="23"/>
          <w:lang w:val="tr-TR"/>
        </w:rPr>
        <w:t>a</w:t>
      </w:r>
      <w:r w:rsidR="007E74BB" w:rsidRPr="001A4B94">
        <w:rPr>
          <w:rFonts w:ascii="Times New Roman" w:hAnsi="Times New Roman"/>
          <w:sz w:val="23"/>
          <w:szCs w:val="23"/>
          <w:lang w:val="tr-TR"/>
        </w:rPr>
        <w:t>rını caydırmakt</w:t>
      </w:r>
      <w:r w:rsidR="00582B65" w:rsidRPr="001A4B94">
        <w:rPr>
          <w:rFonts w:ascii="Times New Roman" w:hAnsi="Times New Roman"/>
          <w:sz w:val="23"/>
          <w:szCs w:val="23"/>
          <w:lang w:val="tr-TR"/>
        </w:rPr>
        <w:t>a</w:t>
      </w:r>
      <w:r w:rsidR="007E74BB" w:rsidRPr="001A4B94">
        <w:rPr>
          <w:rFonts w:ascii="Times New Roman" w:hAnsi="Times New Roman"/>
          <w:sz w:val="23"/>
          <w:szCs w:val="23"/>
          <w:lang w:val="tr-TR"/>
        </w:rPr>
        <w:t>dır</w:t>
      </w:r>
      <w:r w:rsidR="004D3EDC" w:rsidRPr="001A4B94">
        <w:rPr>
          <w:rFonts w:ascii="Times New Roman" w:hAnsi="Times New Roman"/>
          <w:sz w:val="23"/>
          <w:szCs w:val="23"/>
          <w:lang w:val="tr-TR"/>
        </w:rPr>
        <w:t xml:space="preserve">. </w:t>
      </w:r>
      <w:r w:rsidR="007E74BB" w:rsidRPr="001A4B94">
        <w:rPr>
          <w:rFonts w:ascii="Times New Roman" w:hAnsi="Times New Roman"/>
          <w:sz w:val="23"/>
          <w:szCs w:val="23"/>
          <w:lang w:val="tr-TR"/>
        </w:rPr>
        <w:t xml:space="preserve">Önümüzdeki dönemde, </w:t>
      </w:r>
      <w:r w:rsidR="00F91C23" w:rsidRPr="001A4B94">
        <w:rPr>
          <w:rFonts w:ascii="Times New Roman" w:hAnsi="Times New Roman"/>
          <w:sz w:val="23"/>
          <w:szCs w:val="23"/>
          <w:lang w:val="tr-TR"/>
        </w:rPr>
        <w:t>Türkiye’nin finansal sektör riskleri ve bunl</w:t>
      </w:r>
      <w:r w:rsidR="00582B65" w:rsidRPr="001A4B94">
        <w:rPr>
          <w:rFonts w:ascii="Times New Roman" w:hAnsi="Times New Roman"/>
          <w:sz w:val="23"/>
          <w:szCs w:val="23"/>
          <w:lang w:val="tr-TR"/>
        </w:rPr>
        <w:t>a</w:t>
      </w:r>
      <w:r w:rsidR="00F91C23" w:rsidRPr="001A4B94">
        <w:rPr>
          <w:rFonts w:ascii="Times New Roman" w:hAnsi="Times New Roman"/>
          <w:sz w:val="23"/>
          <w:szCs w:val="23"/>
          <w:lang w:val="tr-TR"/>
        </w:rPr>
        <w:t>rın genel olarak ekonomi üz</w:t>
      </w:r>
      <w:r w:rsidR="00582B65" w:rsidRPr="001A4B94">
        <w:rPr>
          <w:rFonts w:ascii="Times New Roman" w:hAnsi="Times New Roman"/>
          <w:sz w:val="23"/>
          <w:szCs w:val="23"/>
          <w:lang w:val="tr-TR"/>
        </w:rPr>
        <w:t>e</w:t>
      </w:r>
      <w:r w:rsidR="00F91C23" w:rsidRPr="001A4B94">
        <w:rPr>
          <w:rFonts w:ascii="Times New Roman" w:hAnsi="Times New Roman"/>
          <w:sz w:val="23"/>
          <w:szCs w:val="23"/>
          <w:lang w:val="tr-TR"/>
        </w:rPr>
        <w:t>rin</w:t>
      </w:r>
      <w:r w:rsidR="00582B65" w:rsidRPr="001A4B94">
        <w:rPr>
          <w:rFonts w:ascii="Times New Roman" w:hAnsi="Times New Roman"/>
          <w:sz w:val="23"/>
          <w:szCs w:val="23"/>
          <w:lang w:val="tr-TR"/>
        </w:rPr>
        <w:t>d</w:t>
      </w:r>
      <w:r w:rsidR="00F91C23" w:rsidRPr="001A4B94">
        <w:rPr>
          <w:rFonts w:ascii="Times New Roman" w:hAnsi="Times New Roman"/>
          <w:sz w:val="23"/>
          <w:szCs w:val="23"/>
          <w:lang w:val="tr-TR"/>
        </w:rPr>
        <w:t>eki yayılma etkileri ile ilgili endişeleri ele alması gerekmektedir.</w:t>
      </w:r>
      <w:r w:rsidR="004D3EDC" w:rsidRPr="001A4B94">
        <w:rPr>
          <w:rFonts w:ascii="Times New Roman" w:hAnsi="Times New Roman"/>
          <w:sz w:val="23"/>
          <w:szCs w:val="23"/>
          <w:lang w:val="tr-TR"/>
        </w:rPr>
        <w:t xml:space="preserve">  </w:t>
      </w:r>
      <w:r w:rsidR="00F91C23" w:rsidRPr="001A4B94">
        <w:rPr>
          <w:rFonts w:ascii="Times New Roman" w:hAnsi="Times New Roman"/>
          <w:sz w:val="23"/>
          <w:szCs w:val="23"/>
          <w:lang w:val="tr-TR"/>
        </w:rPr>
        <w:t>Yapısal faktörler (sınır ötesi finansmana olan yüksek bağımlılık, kısa vadeli döviz cinsinden yük</w:t>
      </w:r>
      <w:r w:rsidR="00582B65" w:rsidRPr="001A4B94">
        <w:rPr>
          <w:rFonts w:ascii="Times New Roman" w:hAnsi="Times New Roman"/>
          <w:sz w:val="23"/>
          <w:szCs w:val="23"/>
          <w:lang w:val="tr-TR"/>
        </w:rPr>
        <w:t>s</w:t>
      </w:r>
      <w:r w:rsidR="00F91C23" w:rsidRPr="001A4B94">
        <w:rPr>
          <w:rFonts w:ascii="Times New Roman" w:hAnsi="Times New Roman"/>
          <w:sz w:val="23"/>
          <w:szCs w:val="23"/>
          <w:lang w:val="tr-TR"/>
        </w:rPr>
        <w:t>ek borç ve tasarruflar) ve konjonktürel faktörler (artan şirket kaldıraç oranları, yükselen şirket-banka ve (şarta bağlı) şirket-devlet risk toplamları)</w:t>
      </w:r>
      <w:r w:rsidR="00F91C23" w:rsidRPr="001A4B94">
        <w:rPr>
          <w:rFonts w:ascii="Times New Roman" w:hAnsi="Times New Roman"/>
          <w:i/>
          <w:iCs/>
          <w:sz w:val="23"/>
          <w:szCs w:val="23"/>
          <w:lang w:val="tr-TR"/>
        </w:rPr>
        <w:t xml:space="preserve"> </w:t>
      </w:r>
      <w:r w:rsidR="00F91C23" w:rsidRPr="001A4B94">
        <w:rPr>
          <w:rFonts w:ascii="Times New Roman" w:hAnsi="Times New Roman"/>
          <w:sz w:val="23"/>
          <w:szCs w:val="23"/>
          <w:lang w:val="tr-TR"/>
        </w:rPr>
        <w:t>sebebiyle sektör kırılgan bir durumdadır.  Kısa süre önce gerçekleştirilen bir IMF-DB finansal sektör değerlendirmesi</w:t>
      </w:r>
      <w:r w:rsidR="00582B65" w:rsidRPr="001A4B94">
        <w:rPr>
          <w:rFonts w:ascii="Times New Roman" w:hAnsi="Times New Roman"/>
          <w:sz w:val="23"/>
          <w:szCs w:val="23"/>
          <w:lang w:val="tr-TR"/>
        </w:rPr>
        <w:t>,</w:t>
      </w:r>
      <w:r w:rsidR="00F91C23" w:rsidRPr="001A4B94">
        <w:rPr>
          <w:rFonts w:ascii="Times New Roman" w:hAnsi="Times New Roman"/>
          <w:sz w:val="23"/>
          <w:szCs w:val="23"/>
          <w:lang w:val="tr-TR"/>
        </w:rPr>
        <w:t xml:space="preserve"> bankaların sermaye tamponlarının </w:t>
      </w:r>
      <w:r w:rsidR="00582B65" w:rsidRPr="001A4B94">
        <w:rPr>
          <w:rFonts w:ascii="Times New Roman" w:hAnsi="Times New Roman"/>
          <w:sz w:val="23"/>
          <w:szCs w:val="23"/>
          <w:lang w:val="tr-TR"/>
        </w:rPr>
        <w:t xml:space="preserve">kısa süreli şoklara karşı dayanıklı olmakla birlikte, daha uzun süreli bir resesyonun bazı bankaları gelecekteki olası küresel likidite kısıtları düşünüldüğünde temin etmesi güç olabilecek ilave sermaye arayışı içerisine itebileceğini </w:t>
      </w:r>
      <w:r w:rsidR="00597F00" w:rsidRPr="001A4B94">
        <w:rPr>
          <w:rFonts w:ascii="Times New Roman" w:hAnsi="Times New Roman"/>
          <w:sz w:val="23"/>
          <w:szCs w:val="23"/>
          <w:lang w:val="tr-TR"/>
        </w:rPr>
        <w:t xml:space="preserve"> </w:t>
      </w:r>
      <w:r w:rsidR="00582B65" w:rsidRPr="001A4B94">
        <w:rPr>
          <w:rFonts w:ascii="Times New Roman" w:hAnsi="Times New Roman"/>
          <w:sz w:val="23"/>
          <w:szCs w:val="23"/>
          <w:lang w:val="tr-TR"/>
        </w:rPr>
        <w:t>göstermiştir</w:t>
      </w:r>
      <w:r w:rsidR="00597F00" w:rsidRPr="001A4B94">
        <w:rPr>
          <w:rFonts w:ascii="Times New Roman" w:hAnsi="Times New Roman"/>
          <w:sz w:val="23"/>
          <w:szCs w:val="23"/>
          <w:lang w:val="tr-TR"/>
        </w:rPr>
        <w:t xml:space="preserve">. </w:t>
      </w:r>
    </w:p>
    <w:p w14:paraId="1CF704BB" w14:textId="77777777" w:rsidR="00AD459F" w:rsidRPr="001A4B94" w:rsidRDefault="00AD459F" w:rsidP="00AD459F">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7774698E" w14:textId="41FD0B16" w:rsidR="000549A1" w:rsidRPr="001A4B94" w:rsidRDefault="00C30B7F" w:rsidP="007C761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lastRenderedPageBreak/>
        <w:t>Dünya B</w:t>
      </w:r>
      <w:r w:rsidR="007C7615" w:rsidRPr="001A4B94">
        <w:rPr>
          <w:rFonts w:ascii="Times New Roman" w:hAnsi="Times New Roman"/>
          <w:b/>
          <w:iCs/>
          <w:sz w:val="23"/>
          <w:szCs w:val="23"/>
          <w:lang w:val="tr-TR"/>
        </w:rPr>
        <w:t xml:space="preserve">ankası Grubu finansal sektörün birçok boyutu ile ilgili olarak uzun süredir çalışmalar yapmaktadır ve şu anda </w:t>
      </w:r>
      <w:r w:rsidR="00292FFE" w:rsidRPr="001A4B94">
        <w:rPr>
          <w:rFonts w:ascii="Times New Roman" w:eastAsia="MS Mincho" w:hAnsi="Times New Roman"/>
          <w:b/>
          <w:sz w:val="23"/>
          <w:szCs w:val="23"/>
          <w:lang w:val="tr-TR"/>
        </w:rPr>
        <w:t xml:space="preserve">IFC, IBRD </w:t>
      </w:r>
      <w:r w:rsidR="007C7615" w:rsidRPr="001A4B94">
        <w:rPr>
          <w:rFonts w:ascii="Times New Roman" w:eastAsia="MS Mincho" w:hAnsi="Times New Roman"/>
          <w:b/>
          <w:sz w:val="23"/>
          <w:szCs w:val="23"/>
          <w:lang w:val="tr-TR"/>
        </w:rPr>
        <w:t xml:space="preserve">ve </w:t>
      </w:r>
      <w:r w:rsidR="00292FFE" w:rsidRPr="001A4B94">
        <w:rPr>
          <w:rFonts w:ascii="Times New Roman" w:eastAsia="MS Mincho" w:hAnsi="Times New Roman"/>
          <w:b/>
          <w:sz w:val="23"/>
          <w:szCs w:val="23"/>
          <w:lang w:val="tr-TR"/>
        </w:rPr>
        <w:t xml:space="preserve">MIGA </w:t>
      </w:r>
      <w:r w:rsidR="007C7615" w:rsidRPr="001A4B94">
        <w:rPr>
          <w:rFonts w:ascii="Times New Roman" w:eastAsia="MS Mincho" w:hAnsi="Times New Roman"/>
          <w:b/>
          <w:sz w:val="23"/>
          <w:szCs w:val="23"/>
          <w:lang w:val="tr-TR"/>
        </w:rPr>
        <w:t>projelerden, yatırımlardan ve ASA çalışmalarından oluşan bir portföy yoluyla eşgü</w:t>
      </w:r>
      <w:r w:rsidR="007C7615" w:rsidRPr="001A4B94">
        <w:rPr>
          <w:rFonts w:ascii="Times New Roman" w:hAnsi="Times New Roman"/>
          <w:b/>
          <w:iCs/>
          <w:sz w:val="23"/>
          <w:szCs w:val="23"/>
          <w:lang w:val="tr-TR"/>
        </w:rPr>
        <w:t>dümlü bir destek sağlamaktadır</w:t>
      </w:r>
      <w:r w:rsidR="00292FFE" w:rsidRPr="001A4B94">
        <w:rPr>
          <w:rFonts w:ascii="Times New Roman" w:eastAsia="MS Mincho" w:hAnsi="Times New Roman"/>
          <w:sz w:val="23"/>
          <w:szCs w:val="23"/>
          <w:lang w:val="tr-TR"/>
        </w:rPr>
        <w:t xml:space="preserve">.  CPF </w:t>
      </w:r>
      <w:r w:rsidR="007C7615" w:rsidRPr="001A4B94">
        <w:rPr>
          <w:rFonts w:ascii="Times New Roman" w:eastAsia="MS Mincho" w:hAnsi="Times New Roman"/>
          <w:sz w:val="23"/>
          <w:szCs w:val="23"/>
          <w:lang w:val="tr-TR"/>
        </w:rPr>
        <w:t>dönemi için</w:t>
      </w:r>
      <w:r w:rsidR="00292FFE" w:rsidRPr="001A4B94">
        <w:rPr>
          <w:rFonts w:ascii="Times New Roman" w:eastAsia="MS Mincho" w:hAnsi="Times New Roman"/>
          <w:sz w:val="23"/>
          <w:szCs w:val="23"/>
          <w:lang w:val="tr-TR"/>
        </w:rPr>
        <w:t xml:space="preserve">, </w:t>
      </w:r>
      <w:r w:rsidR="007C7615" w:rsidRPr="001A4B94">
        <w:rPr>
          <w:rFonts w:ascii="Times New Roman" w:eastAsia="MS Mincho" w:hAnsi="Times New Roman"/>
          <w:sz w:val="23"/>
          <w:szCs w:val="23"/>
          <w:lang w:val="tr-TR"/>
        </w:rPr>
        <w:t xml:space="preserve">eşgüdümlü destek devam edecektir </w:t>
      </w:r>
      <w:r w:rsidR="00B94334" w:rsidRPr="001A4B94">
        <w:rPr>
          <w:rFonts w:ascii="Times New Roman" w:eastAsia="MS Mincho" w:hAnsi="Times New Roman"/>
          <w:sz w:val="23"/>
          <w:szCs w:val="23"/>
          <w:lang w:val="tr-TR"/>
        </w:rPr>
        <w:t xml:space="preserve">ve M-KOBİ’ler ve yetersiz hizmet alan segmentler için finansmanın arttırılması ve hükümetin politikalarına bilgi girdisi sağlayacak ve DPL dizilerinin temelini oluşturacak </w:t>
      </w:r>
      <w:r w:rsidR="00AA3591" w:rsidRPr="001A4B94">
        <w:rPr>
          <w:rFonts w:ascii="Times New Roman" w:eastAsia="MS Mincho" w:hAnsi="Times New Roman"/>
          <w:sz w:val="23"/>
          <w:szCs w:val="23"/>
          <w:lang w:val="tr-TR"/>
        </w:rPr>
        <w:t>sağlam ASA çalışmaları üzerinde özellikle odaklanılacaktır</w:t>
      </w:r>
      <w:r w:rsidR="00292FFE" w:rsidRPr="001A4B94">
        <w:rPr>
          <w:rFonts w:ascii="Times New Roman" w:eastAsia="MS Mincho" w:hAnsi="Times New Roman"/>
          <w:sz w:val="23"/>
          <w:szCs w:val="23"/>
          <w:lang w:val="tr-TR"/>
        </w:rPr>
        <w:t xml:space="preserve">.  ASA </w:t>
      </w:r>
      <w:r w:rsidR="00AA3591" w:rsidRPr="001A4B94">
        <w:rPr>
          <w:rFonts w:ascii="Times New Roman" w:eastAsia="MS Mincho" w:hAnsi="Times New Roman"/>
          <w:sz w:val="23"/>
          <w:szCs w:val="23"/>
          <w:lang w:val="tr-TR"/>
        </w:rPr>
        <w:t>programı; finansal sektörün çeşitlendirilmesi, emeklilik sistemi, sermaye piyasasının geliştirilmesi (belediye tahvil piyas</w:t>
      </w:r>
      <w:r w:rsidR="0037407E" w:rsidRPr="001A4B94">
        <w:rPr>
          <w:rFonts w:ascii="Times New Roman" w:eastAsia="MS Mincho" w:hAnsi="Times New Roman"/>
          <w:sz w:val="23"/>
          <w:szCs w:val="23"/>
          <w:lang w:val="tr-TR"/>
        </w:rPr>
        <w:t>a</w:t>
      </w:r>
      <w:r w:rsidR="00AA3591" w:rsidRPr="001A4B94">
        <w:rPr>
          <w:rFonts w:ascii="Times New Roman" w:eastAsia="MS Mincho" w:hAnsi="Times New Roman"/>
          <w:sz w:val="23"/>
          <w:szCs w:val="23"/>
          <w:lang w:val="tr-TR"/>
        </w:rPr>
        <w:t xml:space="preserve">sının geliştirilmesine ve İslami finansman piyasasının geliştirilmesine yönelik DB-IFC desteği dahil olmak üzere) ve </w:t>
      </w:r>
      <w:r w:rsidR="0037407E" w:rsidRPr="001A4B94">
        <w:rPr>
          <w:rFonts w:ascii="Times New Roman" w:eastAsia="MS Mincho" w:hAnsi="Times New Roman"/>
          <w:sz w:val="23"/>
          <w:szCs w:val="23"/>
          <w:lang w:val="tr-TR"/>
        </w:rPr>
        <w:t>sektörün karşısından esen rüzgarla</w:t>
      </w:r>
      <w:r w:rsidR="00622B45" w:rsidRPr="001A4B94">
        <w:rPr>
          <w:rFonts w:ascii="Times New Roman" w:eastAsia="MS Mincho" w:hAnsi="Times New Roman"/>
          <w:sz w:val="23"/>
          <w:szCs w:val="23"/>
          <w:lang w:val="tr-TR"/>
        </w:rPr>
        <w:t>rın</w:t>
      </w:r>
      <w:r w:rsidR="0037407E" w:rsidRPr="001A4B94">
        <w:rPr>
          <w:rFonts w:ascii="Times New Roman" w:eastAsia="MS Mincho" w:hAnsi="Times New Roman"/>
          <w:sz w:val="23"/>
          <w:szCs w:val="23"/>
          <w:lang w:val="tr-TR"/>
        </w:rPr>
        <w:t xml:space="preserve"> ve bunlara karşı müdahalelerin analizi </w:t>
      </w:r>
      <w:r w:rsidR="00AA3591" w:rsidRPr="001A4B94">
        <w:rPr>
          <w:rFonts w:ascii="Times New Roman" w:eastAsia="MS Mincho" w:hAnsi="Times New Roman"/>
          <w:sz w:val="23"/>
          <w:szCs w:val="23"/>
          <w:lang w:val="tr-TR"/>
        </w:rPr>
        <w:t>gibi kritik konuları kapsayacak şekilde koordine edil</w:t>
      </w:r>
      <w:r w:rsidR="0037407E" w:rsidRPr="001A4B94">
        <w:rPr>
          <w:rFonts w:ascii="Times New Roman" w:eastAsia="MS Mincho" w:hAnsi="Times New Roman"/>
          <w:sz w:val="23"/>
          <w:szCs w:val="23"/>
          <w:lang w:val="tr-TR"/>
        </w:rPr>
        <w:t>e</w:t>
      </w:r>
      <w:r w:rsidR="00AA3591" w:rsidRPr="001A4B94">
        <w:rPr>
          <w:rFonts w:ascii="Times New Roman" w:eastAsia="MS Mincho" w:hAnsi="Times New Roman"/>
          <w:sz w:val="23"/>
          <w:szCs w:val="23"/>
          <w:lang w:val="tr-TR"/>
        </w:rPr>
        <w:t>cektir</w:t>
      </w:r>
      <w:r w:rsidR="00292FFE" w:rsidRPr="001A4B94">
        <w:rPr>
          <w:rFonts w:ascii="Times New Roman" w:eastAsia="MS Mincho" w:hAnsi="Times New Roman"/>
          <w:sz w:val="23"/>
          <w:szCs w:val="23"/>
          <w:lang w:val="tr-TR"/>
        </w:rPr>
        <w:t xml:space="preserve">. ASA </w:t>
      </w:r>
      <w:r w:rsidR="006741C7" w:rsidRPr="001A4B94">
        <w:rPr>
          <w:rFonts w:ascii="Times New Roman" w:eastAsia="MS Mincho" w:hAnsi="Times New Roman"/>
          <w:sz w:val="23"/>
          <w:szCs w:val="23"/>
          <w:lang w:val="tr-TR"/>
        </w:rPr>
        <w:t xml:space="preserve">çalışmaları, potansiyel yeni finansal sektör yatırım operasyonları ve DPL dizileri yoluyla desteklenecek reformlar </w:t>
      </w:r>
      <w:r w:rsidR="006741C7" w:rsidRPr="001A4B94">
        <w:rPr>
          <w:rFonts w:ascii="Times New Roman" w:hAnsi="Times New Roman"/>
          <w:sz w:val="23"/>
          <w:szCs w:val="23"/>
          <w:lang w:val="tr-TR"/>
        </w:rPr>
        <w:t>(emeklilik reformu gibi</w:t>
      </w:r>
      <w:r w:rsidR="006741C7" w:rsidRPr="001A4B94">
        <w:rPr>
          <w:rFonts w:ascii="Times New Roman" w:eastAsia="MS Mincho" w:hAnsi="Times New Roman"/>
          <w:sz w:val="23"/>
          <w:szCs w:val="23"/>
          <w:lang w:val="tr-TR"/>
        </w:rPr>
        <w:t>) hakkında bilgi girdisi sağlayacaktır</w:t>
      </w:r>
      <w:r w:rsidR="00C31904" w:rsidRPr="001A4B94">
        <w:rPr>
          <w:rFonts w:ascii="Times New Roman" w:eastAsia="MS Mincho" w:hAnsi="Times New Roman"/>
          <w:sz w:val="23"/>
          <w:szCs w:val="23"/>
          <w:lang w:val="tr-TR"/>
        </w:rPr>
        <w:t>.</w:t>
      </w:r>
      <w:r w:rsidR="00292FFE" w:rsidRPr="001A4B94">
        <w:rPr>
          <w:rFonts w:ascii="Times New Roman" w:hAnsi="Times New Roman"/>
          <w:sz w:val="23"/>
          <w:szCs w:val="23"/>
          <w:lang w:val="tr-TR"/>
        </w:rPr>
        <w:t xml:space="preserve"> IBRD</w:t>
      </w:r>
      <w:r w:rsidR="006741C7" w:rsidRPr="001A4B94">
        <w:rPr>
          <w:rFonts w:ascii="Times New Roman" w:hAnsi="Times New Roman"/>
          <w:sz w:val="23"/>
          <w:szCs w:val="23"/>
          <w:lang w:val="tr-TR"/>
        </w:rPr>
        <w:t xml:space="preserve"> özellikle uzun vadeli finansal kaynaklar sağlayarak </w:t>
      </w:r>
      <w:r w:rsidR="00292FFE" w:rsidRPr="001A4B94">
        <w:rPr>
          <w:rFonts w:ascii="Times New Roman" w:hAnsi="Times New Roman"/>
          <w:sz w:val="23"/>
          <w:szCs w:val="23"/>
          <w:lang w:val="tr-TR"/>
        </w:rPr>
        <w:t xml:space="preserve"> </w:t>
      </w:r>
      <w:r w:rsidR="006741C7" w:rsidRPr="001A4B94">
        <w:rPr>
          <w:rFonts w:ascii="Times New Roman" w:hAnsi="Times New Roman"/>
          <w:sz w:val="23"/>
          <w:szCs w:val="23"/>
          <w:lang w:val="tr-TR"/>
        </w:rPr>
        <w:t xml:space="preserve">konjonktür karşıtı ve piyasa boşluklarını doldurma işlevlerini desteklemek amacıyla kamu bankaları, kalkınma bankaları ve diğer finansal kuruluşlar ile çalışmaya devam edecektir. </w:t>
      </w:r>
      <w:r w:rsidR="00CB4B97" w:rsidRPr="001A4B94">
        <w:rPr>
          <w:rFonts w:ascii="Times New Roman" w:hAnsi="Times New Roman"/>
          <w:sz w:val="23"/>
          <w:szCs w:val="23"/>
          <w:lang w:val="tr-TR"/>
        </w:rPr>
        <w:t xml:space="preserve">Finansmana erişimi arttırmak </w:t>
      </w:r>
      <w:r w:rsidR="00CB4B97" w:rsidRPr="001A4B94">
        <w:rPr>
          <w:rFonts w:ascii="Times New Roman" w:eastAsia="MS Mincho" w:hAnsi="Times New Roman"/>
          <w:sz w:val="23"/>
          <w:szCs w:val="23"/>
          <w:lang w:val="tr-TR"/>
        </w:rPr>
        <w:t>(örneğin M-KOBİ’lere, kadınların veya sığınmacıların sahibi olduğu işletmelere),</w:t>
      </w:r>
      <w:r w:rsidR="00CB4B97" w:rsidRPr="001A4B94">
        <w:rPr>
          <w:rFonts w:ascii="Times New Roman" w:hAnsi="Times New Roman"/>
          <w:sz w:val="23"/>
          <w:szCs w:val="23"/>
          <w:lang w:val="tr-TR"/>
        </w:rPr>
        <w:t xml:space="preserve"> kilit sektörlerde yatırımcıları teşvik etmek </w:t>
      </w:r>
      <w:r w:rsidR="00CB4B97" w:rsidRPr="001A4B94">
        <w:rPr>
          <w:rFonts w:ascii="Times New Roman" w:eastAsia="MS Mincho" w:hAnsi="Times New Roman"/>
          <w:sz w:val="23"/>
          <w:szCs w:val="23"/>
          <w:lang w:val="tr-TR"/>
        </w:rPr>
        <w:t xml:space="preserve">(örneğin enerji veya teknoloji yenilikçiliği alanlarında) </w:t>
      </w:r>
      <w:r w:rsidR="00CB4B97" w:rsidRPr="001A4B94">
        <w:rPr>
          <w:rFonts w:ascii="Times New Roman" w:hAnsi="Times New Roman"/>
          <w:sz w:val="23"/>
          <w:szCs w:val="23"/>
          <w:lang w:val="tr-TR"/>
        </w:rPr>
        <w:t xml:space="preserve">ve müşteri talebi odaklı araçları derinleştirmek ve çeşitlendirmek </w:t>
      </w:r>
      <w:r w:rsidR="00CB4B97" w:rsidRPr="001A4B94">
        <w:rPr>
          <w:rFonts w:ascii="Times New Roman" w:eastAsia="MS Mincho" w:hAnsi="Times New Roman"/>
          <w:sz w:val="23"/>
          <w:szCs w:val="23"/>
          <w:lang w:val="tr-TR"/>
        </w:rPr>
        <w:t xml:space="preserve">(örneğin </w:t>
      </w:r>
      <w:r w:rsidR="00572288" w:rsidRPr="001A4B94">
        <w:rPr>
          <w:rFonts w:ascii="Times New Roman" w:eastAsia="MS Mincho" w:hAnsi="Times New Roman"/>
          <w:sz w:val="23"/>
          <w:szCs w:val="23"/>
          <w:lang w:val="tr-TR"/>
        </w:rPr>
        <w:t>kiralama ve faktöring</w:t>
      </w:r>
      <w:r w:rsidR="00CB4B97" w:rsidRPr="001A4B94">
        <w:rPr>
          <w:rFonts w:ascii="Times New Roman" w:eastAsia="MS Mincho" w:hAnsi="Times New Roman"/>
          <w:sz w:val="23"/>
          <w:szCs w:val="23"/>
          <w:lang w:val="tr-TR"/>
        </w:rPr>
        <w:t xml:space="preserve">, </w:t>
      </w:r>
      <w:r w:rsidR="00572288" w:rsidRPr="001A4B94">
        <w:rPr>
          <w:rFonts w:ascii="Times New Roman" w:eastAsia="MS Mincho" w:hAnsi="Times New Roman"/>
          <w:sz w:val="23"/>
          <w:szCs w:val="23"/>
          <w:lang w:val="tr-TR"/>
        </w:rPr>
        <w:t>şirket tahvilleri</w:t>
      </w:r>
      <w:r w:rsidR="00CB4B97" w:rsidRPr="001A4B94">
        <w:rPr>
          <w:rFonts w:ascii="Times New Roman" w:eastAsia="MS Mincho" w:hAnsi="Times New Roman"/>
          <w:sz w:val="23"/>
          <w:szCs w:val="23"/>
          <w:lang w:val="tr-TR"/>
        </w:rPr>
        <w:t xml:space="preserve">, </w:t>
      </w:r>
      <w:r w:rsidR="00572288" w:rsidRPr="001A4B94">
        <w:rPr>
          <w:rFonts w:ascii="Times New Roman" w:eastAsia="MS Mincho" w:hAnsi="Times New Roman"/>
          <w:sz w:val="23"/>
          <w:szCs w:val="23"/>
          <w:lang w:val="tr-TR"/>
        </w:rPr>
        <w:t>altyapı tahvilleri</w:t>
      </w:r>
      <w:r w:rsidR="00CB4B97" w:rsidRPr="001A4B94">
        <w:rPr>
          <w:rFonts w:ascii="Times New Roman" w:eastAsia="MS Mincho" w:hAnsi="Times New Roman"/>
          <w:sz w:val="23"/>
          <w:szCs w:val="23"/>
          <w:lang w:val="tr-TR"/>
        </w:rPr>
        <w:t xml:space="preserve">, </w:t>
      </w:r>
      <w:r w:rsidR="00572288" w:rsidRPr="001A4B94">
        <w:rPr>
          <w:rFonts w:ascii="Times New Roman" w:eastAsia="MS Mincho" w:hAnsi="Times New Roman"/>
          <w:sz w:val="23"/>
          <w:szCs w:val="23"/>
          <w:lang w:val="tr-TR"/>
        </w:rPr>
        <w:t>İslami finansman</w:t>
      </w:r>
      <w:r w:rsidR="00CB4B97" w:rsidRPr="001A4B94">
        <w:rPr>
          <w:rFonts w:ascii="Times New Roman" w:eastAsia="MS Mincho" w:hAnsi="Times New Roman"/>
          <w:sz w:val="23"/>
          <w:szCs w:val="23"/>
          <w:lang w:val="tr-TR"/>
        </w:rPr>
        <w:t xml:space="preserve">, </w:t>
      </w:r>
      <w:r w:rsidR="00572288" w:rsidRPr="001A4B94">
        <w:rPr>
          <w:rFonts w:ascii="Times New Roman" w:eastAsia="MS Mincho" w:hAnsi="Times New Roman"/>
          <w:sz w:val="23"/>
          <w:szCs w:val="23"/>
          <w:lang w:val="tr-TR"/>
        </w:rPr>
        <w:t>risk paylaşımı olanakları</w:t>
      </w:r>
      <w:r w:rsidR="00CB4B97" w:rsidRPr="001A4B94">
        <w:rPr>
          <w:rFonts w:ascii="Times New Roman" w:hAnsi="Times New Roman"/>
          <w:sz w:val="23"/>
          <w:szCs w:val="23"/>
          <w:lang w:val="tr-TR"/>
        </w:rPr>
        <w:t>)  için gerekli olduğunda y</w:t>
      </w:r>
      <w:r w:rsidR="006741C7" w:rsidRPr="001A4B94">
        <w:rPr>
          <w:rFonts w:ascii="Times New Roman" w:hAnsi="Times New Roman"/>
          <w:sz w:val="23"/>
          <w:szCs w:val="23"/>
          <w:lang w:val="tr-TR"/>
        </w:rPr>
        <w:t xml:space="preserve">eni finansal sektör </w:t>
      </w:r>
      <w:r w:rsidR="00CB4B97" w:rsidRPr="001A4B94">
        <w:rPr>
          <w:rFonts w:ascii="Times New Roman" w:eastAsia="MS Mincho" w:hAnsi="Times New Roman"/>
          <w:sz w:val="23"/>
          <w:szCs w:val="23"/>
          <w:lang w:val="tr-TR"/>
        </w:rPr>
        <w:t xml:space="preserve">kredi hattı operasyonları </w:t>
      </w:r>
      <w:r w:rsidR="00572288" w:rsidRPr="001A4B94">
        <w:rPr>
          <w:rFonts w:ascii="Times New Roman" w:eastAsia="MS Mincho" w:hAnsi="Times New Roman"/>
          <w:sz w:val="23"/>
          <w:szCs w:val="23"/>
          <w:lang w:val="tr-TR"/>
        </w:rPr>
        <w:t xml:space="preserve">sunulabilir. </w:t>
      </w:r>
      <w:r w:rsidR="00572288" w:rsidRPr="001A4B94">
        <w:rPr>
          <w:rFonts w:ascii="Times New Roman" w:hAnsi="Times New Roman"/>
          <w:sz w:val="23"/>
          <w:szCs w:val="23"/>
          <w:lang w:val="tr-TR"/>
        </w:rPr>
        <w:t>Bu bağlamda</w:t>
      </w:r>
      <w:r w:rsidR="00C31904" w:rsidRPr="001A4B94">
        <w:rPr>
          <w:rFonts w:ascii="Times New Roman" w:hAnsi="Times New Roman"/>
          <w:sz w:val="23"/>
          <w:szCs w:val="23"/>
          <w:lang w:val="tr-TR"/>
        </w:rPr>
        <w:t xml:space="preserve">, </w:t>
      </w:r>
      <w:r w:rsidR="00572288" w:rsidRPr="001A4B94">
        <w:rPr>
          <w:rFonts w:ascii="Times New Roman" w:hAnsi="Times New Roman"/>
          <w:sz w:val="23"/>
          <w:szCs w:val="23"/>
          <w:lang w:val="tr-TR"/>
        </w:rPr>
        <w:t xml:space="preserve">uzun vadeli finansman eksikliği sorununun giderilmesine yardımcı olmak amacıyla 2017 MY başlarında yeni bir operasyon </w:t>
      </w:r>
      <w:r w:rsidR="00FB5E45" w:rsidRPr="001A4B94">
        <w:rPr>
          <w:rFonts w:ascii="Times New Roman" w:hAnsi="Times New Roman"/>
          <w:sz w:val="23"/>
          <w:szCs w:val="23"/>
          <w:lang w:val="tr-TR"/>
        </w:rPr>
        <w:t xml:space="preserve">– </w:t>
      </w:r>
      <w:r w:rsidR="00572288" w:rsidRPr="001A4B94">
        <w:rPr>
          <w:rFonts w:ascii="Times New Roman" w:hAnsi="Times New Roman"/>
          <w:sz w:val="23"/>
          <w:szCs w:val="23"/>
          <w:lang w:val="tr-TR"/>
        </w:rPr>
        <w:t>Uzun Vadeli İhracat Finansmanı</w:t>
      </w:r>
      <w:r w:rsidR="00FB5E45" w:rsidRPr="001A4B94">
        <w:rPr>
          <w:rFonts w:ascii="Times New Roman" w:hAnsi="Times New Roman"/>
          <w:sz w:val="23"/>
          <w:szCs w:val="23"/>
          <w:lang w:val="tr-TR"/>
        </w:rPr>
        <w:t xml:space="preserve">– </w:t>
      </w:r>
      <w:r w:rsidR="00572288" w:rsidRPr="001A4B94">
        <w:rPr>
          <w:rFonts w:ascii="Times New Roman" w:hAnsi="Times New Roman"/>
          <w:sz w:val="23"/>
          <w:szCs w:val="23"/>
          <w:lang w:val="tr-TR"/>
        </w:rPr>
        <w:t xml:space="preserve">sunulmuştur. </w:t>
      </w:r>
      <w:r w:rsidR="00FB5E45" w:rsidRPr="001A4B94">
        <w:rPr>
          <w:rFonts w:ascii="Times New Roman" w:hAnsi="Times New Roman"/>
          <w:sz w:val="23"/>
          <w:szCs w:val="23"/>
          <w:lang w:val="tr-TR"/>
        </w:rPr>
        <w:t xml:space="preserve"> </w:t>
      </w:r>
      <w:r w:rsidR="00572288" w:rsidRPr="001A4B94">
        <w:rPr>
          <w:rFonts w:ascii="Times New Roman" w:hAnsi="Times New Roman"/>
          <w:sz w:val="23"/>
          <w:szCs w:val="23"/>
          <w:lang w:val="tr-TR"/>
        </w:rPr>
        <w:t xml:space="preserve">Bu operasyon spesifik olarak M-KOBİ’lere ve ihracatçılara destek sağlamayı hedeflemektedir. </w:t>
      </w:r>
      <w:r w:rsidR="00A8199B" w:rsidRPr="001A4B94">
        <w:rPr>
          <w:rFonts w:ascii="Times New Roman" w:hAnsi="Times New Roman"/>
          <w:sz w:val="23"/>
          <w:szCs w:val="23"/>
          <w:lang w:val="tr-TR"/>
        </w:rPr>
        <w:t>CPF</w:t>
      </w:r>
      <w:r w:rsidR="00572288" w:rsidRPr="001A4B94">
        <w:rPr>
          <w:rFonts w:ascii="Times New Roman" w:hAnsi="Times New Roman"/>
          <w:sz w:val="23"/>
          <w:szCs w:val="23"/>
          <w:lang w:val="tr-TR"/>
        </w:rPr>
        <w:t xml:space="preserve"> döneminde</w:t>
      </w:r>
      <w:r w:rsidR="00A8199B" w:rsidRPr="001A4B94">
        <w:rPr>
          <w:rFonts w:ascii="Times New Roman" w:hAnsi="Times New Roman"/>
          <w:sz w:val="23"/>
          <w:szCs w:val="23"/>
          <w:lang w:val="tr-TR"/>
        </w:rPr>
        <w:t xml:space="preserve">, </w:t>
      </w:r>
      <w:r w:rsidR="00572288" w:rsidRPr="001A4B94">
        <w:rPr>
          <w:rFonts w:ascii="Times New Roman" w:hAnsi="Times New Roman"/>
          <w:sz w:val="23"/>
          <w:szCs w:val="23"/>
          <w:lang w:val="tr-TR"/>
        </w:rPr>
        <w:t>finansal sektörün aşağı yönlü risklere karşı daha fazla kırılganlık göstermesi durumunda</w:t>
      </w:r>
      <w:r w:rsidR="00A8199B" w:rsidRPr="001A4B94">
        <w:rPr>
          <w:rFonts w:ascii="Times New Roman" w:eastAsia="MS Mincho" w:hAnsi="Times New Roman"/>
          <w:sz w:val="23"/>
          <w:szCs w:val="23"/>
          <w:lang w:val="tr-TR"/>
        </w:rPr>
        <w:t xml:space="preserve">, program </w:t>
      </w:r>
      <w:r w:rsidR="00572288" w:rsidRPr="001A4B94">
        <w:rPr>
          <w:rFonts w:ascii="Times New Roman" w:eastAsia="MS Mincho" w:hAnsi="Times New Roman"/>
          <w:sz w:val="23"/>
          <w:szCs w:val="23"/>
          <w:lang w:val="tr-TR"/>
        </w:rPr>
        <w:t>buna uygun olarak uyarlanabilir</w:t>
      </w:r>
      <w:r w:rsidR="00A8199B" w:rsidRPr="001A4B94">
        <w:rPr>
          <w:rFonts w:ascii="Times New Roman" w:eastAsia="MS Mincho" w:hAnsi="Times New Roman"/>
          <w:sz w:val="23"/>
          <w:szCs w:val="23"/>
          <w:lang w:val="tr-TR"/>
        </w:rPr>
        <w:t>.</w:t>
      </w:r>
    </w:p>
    <w:p w14:paraId="3BB3EA01" w14:textId="77777777" w:rsidR="00C31904" w:rsidRPr="001A4B94" w:rsidRDefault="00C31904" w:rsidP="00C31904">
      <w:pPr>
        <w:tabs>
          <w:tab w:val="left" w:pos="426"/>
          <w:tab w:val="left" w:pos="2970"/>
        </w:tabs>
        <w:autoSpaceDE w:val="0"/>
        <w:autoSpaceDN w:val="0"/>
        <w:adjustRightInd w:val="0"/>
        <w:jc w:val="both"/>
        <w:rPr>
          <w:sz w:val="12"/>
          <w:szCs w:val="12"/>
          <w:lang w:val="tr-TR"/>
        </w:rPr>
      </w:pPr>
    </w:p>
    <w:p w14:paraId="5C7F8007" w14:textId="1ED48109" w:rsidR="000549A1" w:rsidRPr="001A4B94" w:rsidRDefault="00EF5BC7" w:rsidP="000549A1">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eastAsia="MS Mincho" w:hAnsi="Times New Roman"/>
          <w:b/>
          <w:sz w:val="23"/>
          <w:szCs w:val="23"/>
          <w:lang w:val="tr-TR"/>
        </w:rPr>
        <w:t>F</w:t>
      </w:r>
      <w:r w:rsidR="00973BDC" w:rsidRPr="001A4B94">
        <w:rPr>
          <w:rFonts w:ascii="Times New Roman" w:eastAsia="MS Mincho" w:hAnsi="Times New Roman"/>
          <w:b/>
          <w:sz w:val="23"/>
          <w:szCs w:val="23"/>
          <w:lang w:val="tr-TR"/>
        </w:rPr>
        <w:t>inan</w:t>
      </w:r>
      <w:r w:rsidRPr="001A4B94">
        <w:rPr>
          <w:rFonts w:ascii="Times New Roman" w:eastAsia="MS Mincho" w:hAnsi="Times New Roman"/>
          <w:b/>
          <w:sz w:val="23"/>
          <w:szCs w:val="23"/>
          <w:lang w:val="tr-TR"/>
        </w:rPr>
        <w:t>smana erişimin arttırılması IFC’nin kilit önceliklerinden birisidir</w:t>
      </w:r>
      <w:r w:rsidR="000549A1" w:rsidRPr="001A4B94">
        <w:rPr>
          <w:rFonts w:ascii="Times New Roman" w:eastAsia="MS Mincho" w:hAnsi="Times New Roman"/>
          <w:b/>
          <w:sz w:val="23"/>
          <w:szCs w:val="23"/>
          <w:lang w:val="tr-TR"/>
        </w:rPr>
        <w:t>.</w:t>
      </w:r>
      <w:r w:rsidR="000549A1" w:rsidRPr="001A4B94">
        <w:rPr>
          <w:rFonts w:ascii="Times New Roman" w:eastAsia="MS Mincho" w:hAnsi="Times New Roman"/>
          <w:sz w:val="23"/>
          <w:szCs w:val="23"/>
          <w:lang w:val="tr-TR"/>
        </w:rPr>
        <w:t xml:space="preserve">  IFC </w:t>
      </w:r>
      <w:r w:rsidR="003B437F" w:rsidRPr="001A4B94">
        <w:rPr>
          <w:rFonts w:ascii="Times New Roman" w:eastAsia="MS Mincho" w:hAnsi="Times New Roman"/>
          <w:sz w:val="23"/>
          <w:szCs w:val="23"/>
          <w:lang w:val="tr-TR"/>
        </w:rPr>
        <w:t>özellikl</w:t>
      </w:r>
      <w:r w:rsidR="00973BDC" w:rsidRPr="001A4B94">
        <w:rPr>
          <w:rFonts w:ascii="Times New Roman" w:eastAsia="MS Mincho" w:hAnsi="Times New Roman"/>
          <w:sz w:val="23"/>
          <w:szCs w:val="23"/>
          <w:lang w:val="tr-TR"/>
        </w:rPr>
        <w:t>e kırsal alanlar, kadınlara ait</w:t>
      </w:r>
      <w:r w:rsidR="003B437F" w:rsidRPr="001A4B94">
        <w:rPr>
          <w:rFonts w:ascii="Times New Roman" w:eastAsia="MS Mincho" w:hAnsi="Times New Roman"/>
          <w:sz w:val="23"/>
          <w:szCs w:val="23"/>
          <w:lang w:val="tr-TR"/>
        </w:rPr>
        <w:t xml:space="preserve"> işletmeler ve t</w:t>
      </w:r>
      <w:r w:rsidR="00973BDC" w:rsidRPr="001A4B94">
        <w:rPr>
          <w:rFonts w:ascii="Times New Roman" w:eastAsia="MS Mincho" w:hAnsi="Times New Roman"/>
          <w:sz w:val="23"/>
          <w:szCs w:val="23"/>
          <w:lang w:val="tr-TR"/>
        </w:rPr>
        <w:t>arıms</w:t>
      </w:r>
      <w:r w:rsidR="003B437F" w:rsidRPr="001A4B94">
        <w:rPr>
          <w:rFonts w:ascii="Times New Roman" w:eastAsia="MS Mincho" w:hAnsi="Times New Roman"/>
          <w:sz w:val="23"/>
          <w:szCs w:val="23"/>
          <w:lang w:val="tr-TR"/>
        </w:rPr>
        <w:t xml:space="preserve">al işletmeler üzerinde odaklanarak M-KOBİ’lere sunulan finansman olanaklarını arttırmak amacıyla finansal </w:t>
      </w:r>
      <w:r w:rsidR="00973BDC" w:rsidRPr="001A4B94">
        <w:rPr>
          <w:rFonts w:ascii="Times New Roman" w:eastAsia="MS Mincho" w:hAnsi="Times New Roman"/>
          <w:sz w:val="23"/>
          <w:szCs w:val="23"/>
          <w:lang w:val="tr-TR"/>
        </w:rPr>
        <w:t>k</w:t>
      </w:r>
      <w:r w:rsidR="003B437F" w:rsidRPr="001A4B94">
        <w:rPr>
          <w:rFonts w:ascii="Times New Roman" w:eastAsia="MS Mincho" w:hAnsi="Times New Roman"/>
          <w:sz w:val="23"/>
          <w:szCs w:val="23"/>
          <w:lang w:val="tr-TR"/>
        </w:rPr>
        <w:t>uruluşlar ve a</w:t>
      </w:r>
      <w:r w:rsidR="00973BDC" w:rsidRPr="001A4B94">
        <w:rPr>
          <w:rFonts w:ascii="Times New Roman" w:eastAsia="MS Mincho" w:hAnsi="Times New Roman"/>
          <w:sz w:val="23"/>
          <w:szCs w:val="23"/>
          <w:lang w:val="tr-TR"/>
        </w:rPr>
        <w:t>racı kuruluşlar ile birlikte çalış</w:t>
      </w:r>
      <w:r w:rsidR="003B437F" w:rsidRPr="001A4B94">
        <w:rPr>
          <w:rFonts w:ascii="Times New Roman" w:eastAsia="MS Mincho" w:hAnsi="Times New Roman"/>
          <w:sz w:val="23"/>
          <w:szCs w:val="23"/>
          <w:lang w:val="tr-TR"/>
        </w:rPr>
        <w:t>maya devam edecektir</w:t>
      </w:r>
      <w:r w:rsidR="000549A1" w:rsidRPr="001A4B94">
        <w:rPr>
          <w:rFonts w:ascii="Times New Roman" w:eastAsia="MS Mincho" w:hAnsi="Times New Roman"/>
          <w:sz w:val="23"/>
          <w:szCs w:val="23"/>
          <w:lang w:val="tr-TR"/>
        </w:rPr>
        <w:t xml:space="preserve">. </w:t>
      </w:r>
      <w:r w:rsidR="003B437F" w:rsidRPr="001A4B94">
        <w:rPr>
          <w:rFonts w:ascii="Times New Roman" w:eastAsia="MS Mincho" w:hAnsi="Times New Roman"/>
          <w:sz w:val="23"/>
          <w:szCs w:val="23"/>
          <w:lang w:val="tr-TR"/>
        </w:rPr>
        <w:t>IFC, bankaları ve banka dışı finansal kuruluşları (BDFK) yetersiz hizmet alan veya bankacılık hizmetl</w:t>
      </w:r>
      <w:r w:rsidR="00973BDC" w:rsidRPr="001A4B94">
        <w:rPr>
          <w:rFonts w:ascii="Times New Roman" w:eastAsia="MS Mincho" w:hAnsi="Times New Roman"/>
          <w:sz w:val="23"/>
          <w:szCs w:val="23"/>
          <w:lang w:val="tr-TR"/>
        </w:rPr>
        <w:t>e</w:t>
      </w:r>
      <w:r w:rsidR="003B437F" w:rsidRPr="001A4B94">
        <w:rPr>
          <w:rFonts w:ascii="Times New Roman" w:eastAsia="MS Mincho" w:hAnsi="Times New Roman"/>
          <w:sz w:val="23"/>
          <w:szCs w:val="23"/>
          <w:lang w:val="tr-TR"/>
        </w:rPr>
        <w:t>rin</w:t>
      </w:r>
      <w:r w:rsidR="00973BDC" w:rsidRPr="001A4B94">
        <w:rPr>
          <w:rFonts w:ascii="Times New Roman" w:eastAsia="MS Mincho" w:hAnsi="Times New Roman"/>
          <w:sz w:val="23"/>
          <w:szCs w:val="23"/>
          <w:lang w:val="tr-TR"/>
        </w:rPr>
        <w:t>d</w:t>
      </w:r>
      <w:r w:rsidR="003B437F" w:rsidRPr="001A4B94">
        <w:rPr>
          <w:rFonts w:ascii="Times New Roman" w:eastAsia="MS Mincho" w:hAnsi="Times New Roman"/>
          <w:sz w:val="23"/>
          <w:szCs w:val="23"/>
          <w:lang w:val="tr-TR"/>
        </w:rPr>
        <w:t>en yararlanmayan  kesimlere sağladıkl</w:t>
      </w:r>
      <w:r w:rsidR="00973BDC" w:rsidRPr="001A4B94">
        <w:rPr>
          <w:rFonts w:ascii="Times New Roman" w:eastAsia="MS Mincho" w:hAnsi="Times New Roman"/>
          <w:sz w:val="23"/>
          <w:szCs w:val="23"/>
          <w:lang w:val="tr-TR"/>
        </w:rPr>
        <w:t>a</w:t>
      </w:r>
      <w:r w:rsidR="003B437F" w:rsidRPr="001A4B94">
        <w:rPr>
          <w:rFonts w:ascii="Times New Roman" w:eastAsia="MS Mincho" w:hAnsi="Times New Roman"/>
          <w:sz w:val="23"/>
          <w:szCs w:val="23"/>
          <w:lang w:val="tr-TR"/>
        </w:rPr>
        <w:t>rı desteklerin</w:t>
      </w:r>
      <w:r w:rsidR="00973BDC" w:rsidRPr="001A4B94">
        <w:rPr>
          <w:rFonts w:ascii="Times New Roman" w:eastAsia="MS Mincho" w:hAnsi="Times New Roman"/>
          <w:sz w:val="23"/>
          <w:szCs w:val="23"/>
          <w:lang w:val="tr-TR"/>
        </w:rPr>
        <w:t xml:space="preserve"> arttırılması amacıyla daha uzu</w:t>
      </w:r>
      <w:r w:rsidR="003B437F" w:rsidRPr="001A4B94">
        <w:rPr>
          <w:rFonts w:ascii="Times New Roman" w:eastAsia="MS Mincho" w:hAnsi="Times New Roman"/>
          <w:sz w:val="23"/>
          <w:szCs w:val="23"/>
          <w:lang w:val="tr-TR"/>
        </w:rPr>
        <w:t>n  vadeli kaynaklar ile desteklemeye devam edecektir.</w:t>
      </w:r>
      <w:r w:rsidR="000549A1" w:rsidRPr="001A4B94">
        <w:rPr>
          <w:rFonts w:ascii="Times New Roman" w:eastAsia="MS Mincho" w:hAnsi="Times New Roman"/>
          <w:sz w:val="23"/>
          <w:szCs w:val="23"/>
          <w:lang w:val="tr-TR"/>
        </w:rPr>
        <w:t xml:space="preserve"> </w:t>
      </w:r>
      <w:r w:rsidR="003B437F" w:rsidRPr="001A4B94">
        <w:rPr>
          <w:rFonts w:ascii="Times New Roman" w:eastAsia="MS Mincho" w:hAnsi="Times New Roman"/>
          <w:sz w:val="23"/>
          <w:szCs w:val="23"/>
          <w:lang w:val="tr-TR"/>
        </w:rPr>
        <w:t>Finansal piyasaları derinleştirmek ve çeşitlendirmek ve yetersiz hizmet alan kesimlere ulaşmak amacıyla</w:t>
      </w:r>
      <w:r w:rsidR="000549A1" w:rsidRPr="001A4B94">
        <w:rPr>
          <w:rFonts w:ascii="Times New Roman" w:eastAsia="MS Mincho" w:hAnsi="Times New Roman"/>
          <w:sz w:val="23"/>
          <w:szCs w:val="23"/>
          <w:lang w:val="tr-TR"/>
        </w:rPr>
        <w:t>, IFC</w:t>
      </w:r>
      <w:r w:rsidR="00857D5C" w:rsidRPr="001A4B94">
        <w:rPr>
          <w:rFonts w:ascii="Times New Roman" w:eastAsia="MS Mincho" w:hAnsi="Times New Roman"/>
          <w:sz w:val="23"/>
          <w:szCs w:val="23"/>
          <w:lang w:val="tr-TR"/>
        </w:rPr>
        <w:t>, tedarik zinciri finansmanı, dijital finansal hizmetler, BDFK’lar (kiralama şirketleri, sigorta şirketleri ve emeklilik fonları) ve sıkıntılı varlıklara yönelik çözüm platformları  dahil olmak üzere çeşitli finansman araçlarını ve  yön</w:t>
      </w:r>
      <w:r w:rsidR="00973BDC" w:rsidRPr="001A4B94">
        <w:rPr>
          <w:rFonts w:ascii="Times New Roman" w:eastAsia="MS Mincho" w:hAnsi="Times New Roman"/>
          <w:sz w:val="23"/>
          <w:szCs w:val="23"/>
          <w:lang w:val="tr-TR"/>
        </w:rPr>
        <w:t>t</w:t>
      </w:r>
      <w:r w:rsidR="00857D5C" w:rsidRPr="001A4B94">
        <w:rPr>
          <w:rFonts w:ascii="Times New Roman" w:eastAsia="MS Mincho" w:hAnsi="Times New Roman"/>
          <w:sz w:val="23"/>
          <w:szCs w:val="23"/>
          <w:lang w:val="tr-TR"/>
        </w:rPr>
        <w:t>eml</w:t>
      </w:r>
      <w:r w:rsidR="00973BDC" w:rsidRPr="001A4B94">
        <w:rPr>
          <w:rFonts w:ascii="Times New Roman" w:eastAsia="MS Mincho" w:hAnsi="Times New Roman"/>
          <w:sz w:val="23"/>
          <w:szCs w:val="23"/>
          <w:lang w:val="tr-TR"/>
        </w:rPr>
        <w:t>e</w:t>
      </w:r>
      <w:r w:rsidR="00857D5C" w:rsidRPr="001A4B94">
        <w:rPr>
          <w:rFonts w:ascii="Times New Roman" w:eastAsia="MS Mincho" w:hAnsi="Times New Roman"/>
          <w:sz w:val="23"/>
          <w:szCs w:val="23"/>
          <w:lang w:val="tr-TR"/>
        </w:rPr>
        <w:t>rini kullanıma sunmayı amaçlamaktadır</w:t>
      </w:r>
      <w:r w:rsidR="000549A1" w:rsidRPr="001A4B94">
        <w:rPr>
          <w:rFonts w:ascii="Times New Roman" w:eastAsia="MS Mincho" w:hAnsi="Times New Roman"/>
          <w:sz w:val="23"/>
          <w:szCs w:val="23"/>
          <w:lang w:val="tr-TR"/>
        </w:rPr>
        <w:t xml:space="preserve">. </w:t>
      </w:r>
      <w:r w:rsidR="004C7B29" w:rsidRPr="001A4B94">
        <w:rPr>
          <w:rFonts w:ascii="Times New Roman" w:eastAsia="MS Mincho" w:hAnsi="Times New Roman"/>
          <w:sz w:val="23"/>
          <w:szCs w:val="23"/>
          <w:lang w:val="tr-TR"/>
        </w:rPr>
        <w:t xml:space="preserve">IFC </w:t>
      </w:r>
      <w:r w:rsidR="00857D5C" w:rsidRPr="001A4B94">
        <w:rPr>
          <w:rFonts w:ascii="Times New Roman" w:eastAsia="MS Mincho" w:hAnsi="Times New Roman"/>
          <w:sz w:val="23"/>
          <w:szCs w:val="23"/>
          <w:lang w:val="tr-TR"/>
        </w:rPr>
        <w:t xml:space="preserve">aynı zamanda </w:t>
      </w:r>
      <w:r w:rsidR="00973BDC" w:rsidRPr="001A4B94">
        <w:rPr>
          <w:rFonts w:ascii="Times New Roman" w:eastAsia="MS Mincho" w:hAnsi="Times New Roman"/>
          <w:sz w:val="23"/>
          <w:szCs w:val="23"/>
          <w:lang w:val="tr-TR"/>
        </w:rPr>
        <w:t>teminatlı</w:t>
      </w:r>
      <w:r w:rsidR="00857D5C" w:rsidRPr="001A4B94">
        <w:rPr>
          <w:rFonts w:ascii="Times New Roman" w:eastAsia="MS Mincho" w:hAnsi="Times New Roman"/>
          <w:sz w:val="23"/>
          <w:szCs w:val="23"/>
          <w:lang w:val="tr-TR"/>
        </w:rPr>
        <w:t xml:space="preserve"> tahviller, çeşitlendirilmiş ödeme hakları (DPR), yeşil tahviller, belediye tahvilleri ve KÖİ proje tahvilleri (hem avro hem de lira cinsinden)  gibi  sermaye piyasası araçlarına yatırım yaparak banka finansmanının alternatiflerini desteklemeye devam edecektir</w:t>
      </w:r>
      <w:r w:rsidR="004C7B29" w:rsidRPr="001A4B94">
        <w:rPr>
          <w:rFonts w:ascii="Times New Roman" w:eastAsia="MS Mincho" w:hAnsi="Times New Roman"/>
          <w:sz w:val="23"/>
          <w:szCs w:val="23"/>
          <w:lang w:val="tr-TR"/>
        </w:rPr>
        <w:t xml:space="preserve">. </w:t>
      </w:r>
      <w:r w:rsidR="00973BDC" w:rsidRPr="001A4B94">
        <w:rPr>
          <w:rFonts w:ascii="Times New Roman" w:eastAsia="MS Mincho" w:hAnsi="Times New Roman"/>
          <w:sz w:val="23"/>
          <w:szCs w:val="23"/>
          <w:lang w:val="tr-TR"/>
        </w:rPr>
        <w:t xml:space="preserve">Türk borçluların karşı karşıya oldukları kur riskini yönetebilmeleri için, </w:t>
      </w:r>
      <w:r w:rsidR="004C7B29" w:rsidRPr="001A4B94">
        <w:rPr>
          <w:rFonts w:ascii="Times New Roman" w:eastAsia="MS Mincho" w:hAnsi="Times New Roman"/>
          <w:sz w:val="23"/>
          <w:szCs w:val="23"/>
          <w:lang w:val="tr-TR"/>
        </w:rPr>
        <w:t xml:space="preserve">IFC </w:t>
      </w:r>
      <w:r w:rsidR="00414ADD" w:rsidRPr="001A4B94">
        <w:rPr>
          <w:rFonts w:ascii="Times New Roman" w:eastAsia="MS Mincho" w:hAnsi="Times New Roman"/>
          <w:sz w:val="23"/>
          <w:szCs w:val="23"/>
          <w:lang w:val="tr-TR"/>
        </w:rPr>
        <w:t xml:space="preserve">lira cinsinden finansmanı azami </w:t>
      </w:r>
      <w:r w:rsidR="00A2515F" w:rsidRPr="001A4B94">
        <w:rPr>
          <w:rFonts w:ascii="Times New Roman" w:eastAsia="MS Mincho" w:hAnsi="Times New Roman"/>
          <w:sz w:val="23"/>
          <w:szCs w:val="23"/>
          <w:lang w:val="tr-TR"/>
        </w:rPr>
        <w:t>seviyeye çıkartmaya çalışacak ve reel sektörden müşterileri, KÖİ yatırımları ve yüksek miktarlı dış borcu bulunan belediyeler</w:t>
      </w:r>
      <w:r w:rsidR="00853435" w:rsidRPr="001A4B94">
        <w:rPr>
          <w:rFonts w:ascii="Times New Roman" w:eastAsia="MS Mincho" w:hAnsi="Times New Roman"/>
          <w:sz w:val="23"/>
          <w:szCs w:val="23"/>
          <w:lang w:val="tr-TR"/>
        </w:rPr>
        <w:t xml:space="preserve"> için döviz riskinden korunma araçları sunacaktır</w:t>
      </w:r>
      <w:r w:rsidR="004C7B29" w:rsidRPr="001A4B94">
        <w:rPr>
          <w:rFonts w:ascii="Times New Roman" w:eastAsia="MS Mincho" w:hAnsi="Times New Roman"/>
          <w:sz w:val="23"/>
          <w:szCs w:val="23"/>
          <w:lang w:val="tr-TR"/>
        </w:rPr>
        <w:t xml:space="preserve">. </w:t>
      </w:r>
      <w:r w:rsidR="00853435" w:rsidRPr="001A4B94">
        <w:rPr>
          <w:rFonts w:ascii="Times New Roman" w:eastAsia="MS Mincho" w:hAnsi="Times New Roman"/>
          <w:sz w:val="23"/>
          <w:szCs w:val="23"/>
          <w:lang w:val="tr-TR"/>
        </w:rPr>
        <w:t xml:space="preserve">Artan sermaye erozyonu risklerini göz önünde bulundurarak, </w:t>
      </w:r>
      <w:r w:rsidR="004C7B29" w:rsidRPr="001A4B94">
        <w:rPr>
          <w:rFonts w:ascii="Times New Roman" w:eastAsia="MS Mincho" w:hAnsi="Times New Roman"/>
          <w:sz w:val="23"/>
          <w:szCs w:val="23"/>
          <w:lang w:val="tr-TR"/>
        </w:rPr>
        <w:t xml:space="preserve">IFC </w:t>
      </w:r>
      <w:r w:rsidR="00853435" w:rsidRPr="001A4B94">
        <w:rPr>
          <w:rFonts w:ascii="Times New Roman" w:eastAsia="MS Mincho" w:hAnsi="Times New Roman"/>
          <w:sz w:val="23"/>
          <w:szCs w:val="23"/>
          <w:lang w:val="tr-TR"/>
        </w:rPr>
        <w:t xml:space="preserve">aynı zamanda </w:t>
      </w:r>
      <w:r w:rsidR="00C677F7" w:rsidRPr="001A4B94">
        <w:rPr>
          <w:rFonts w:ascii="Times New Roman" w:eastAsia="MS Mincho" w:hAnsi="Times New Roman"/>
          <w:sz w:val="23"/>
          <w:szCs w:val="23"/>
          <w:lang w:val="tr-TR"/>
        </w:rPr>
        <w:t>bankaların düzenlemeye tabi sermayelerini güçlendirmelerine de yardımcı olabilir</w:t>
      </w:r>
      <w:r w:rsidR="004C7B29" w:rsidRPr="001A4B94">
        <w:rPr>
          <w:rFonts w:ascii="Times New Roman" w:eastAsia="MS Mincho" w:hAnsi="Times New Roman"/>
          <w:sz w:val="23"/>
          <w:szCs w:val="23"/>
          <w:lang w:val="tr-TR"/>
        </w:rPr>
        <w:t xml:space="preserve">.  </w:t>
      </w:r>
      <w:r w:rsidR="00C677F7" w:rsidRPr="001A4B94">
        <w:rPr>
          <w:rFonts w:ascii="Times New Roman" w:eastAsia="MS Mincho" w:hAnsi="Times New Roman"/>
          <w:sz w:val="23"/>
          <w:szCs w:val="23"/>
          <w:lang w:val="tr-TR"/>
        </w:rPr>
        <w:t xml:space="preserve">Son olarak, </w:t>
      </w:r>
      <w:r w:rsidR="004C7B29" w:rsidRPr="001A4B94">
        <w:rPr>
          <w:rFonts w:ascii="Times New Roman" w:eastAsia="MS Mincho" w:hAnsi="Times New Roman"/>
          <w:sz w:val="23"/>
          <w:szCs w:val="23"/>
          <w:lang w:val="tr-TR"/>
        </w:rPr>
        <w:t xml:space="preserve">IFC </w:t>
      </w:r>
      <w:r w:rsidR="0016184D" w:rsidRPr="001A4B94">
        <w:rPr>
          <w:rFonts w:ascii="Times New Roman" w:eastAsia="MS Mincho" w:hAnsi="Times New Roman"/>
          <w:sz w:val="23"/>
          <w:szCs w:val="23"/>
          <w:lang w:val="tr-TR"/>
        </w:rPr>
        <w:t>belediyelerin kredi değerliliklerinin arttırılması amacıyla ticari kreditörlerin artan risk garantisi taleplerine cevap verebilmek için MIGA ile yakın bir eşgüdüm içerisinde çalışacaktır</w:t>
      </w:r>
      <w:r w:rsidR="004C7B29" w:rsidRPr="001A4B94">
        <w:rPr>
          <w:rFonts w:ascii="Times New Roman" w:eastAsia="MS Mincho" w:hAnsi="Times New Roman"/>
          <w:sz w:val="23"/>
          <w:szCs w:val="23"/>
          <w:lang w:val="tr-TR"/>
        </w:rPr>
        <w:t>.</w:t>
      </w:r>
    </w:p>
    <w:p w14:paraId="2AC8206C" w14:textId="77777777" w:rsidR="0059680F" w:rsidRPr="001A4B94" w:rsidRDefault="0059680F" w:rsidP="0059680F">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3C73058A" w14:textId="0A2EC9DF" w:rsidR="002D0B2A" w:rsidRPr="001A4B94" w:rsidRDefault="0059680F" w:rsidP="00814AFC">
      <w:pPr>
        <w:numPr>
          <w:ilvl w:val="0"/>
          <w:numId w:val="2"/>
        </w:numPr>
        <w:tabs>
          <w:tab w:val="left" w:pos="426"/>
          <w:tab w:val="left" w:pos="2970"/>
        </w:tabs>
        <w:autoSpaceDE w:val="0"/>
        <w:autoSpaceDN w:val="0"/>
        <w:adjustRightInd w:val="0"/>
        <w:ind w:left="0" w:firstLine="0"/>
        <w:contextualSpacing/>
        <w:jc w:val="both"/>
        <w:rPr>
          <w:sz w:val="23"/>
          <w:szCs w:val="23"/>
          <w:lang w:val="tr-TR"/>
        </w:rPr>
      </w:pPr>
      <w:r w:rsidRPr="001A4B94">
        <w:rPr>
          <w:rFonts w:eastAsia="MS Mincho"/>
          <w:b/>
          <w:sz w:val="23"/>
          <w:szCs w:val="23"/>
          <w:lang w:val="tr-TR"/>
        </w:rPr>
        <w:t xml:space="preserve">MIGA </w:t>
      </w:r>
      <w:r w:rsidR="0016184D" w:rsidRPr="001A4B94">
        <w:rPr>
          <w:rFonts w:eastAsia="MS Mincho"/>
          <w:b/>
          <w:sz w:val="23"/>
          <w:szCs w:val="23"/>
          <w:lang w:val="tr-TR"/>
        </w:rPr>
        <w:t xml:space="preserve">Türk Eximbank’ı desteklemeye devam edecektir. </w:t>
      </w:r>
      <w:r w:rsidR="00A64DA9" w:rsidRPr="001A4B94">
        <w:rPr>
          <w:rFonts w:eastAsia="MS Mincho"/>
          <w:sz w:val="23"/>
          <w:szCs w:val="23"/>
          <w:lang w:val="tr-TR"/>
        </w:rPr>
        <w:t>E</w:t>
      </w:r>
      <w:r w:rsidR="0016184D" w:rsidRPr="001A4B94">
        <w:rPr>
          <w:rFonts w:eastAsia="MS Mincho"/>
          <w:sz w:val="23"/>
          <w:szCs w:val="23"/>
          <w:lang w:val="tr-TR"/>
        </w:rPr>
        <w:t xml:space="preserve">ximbank’ın stratejik rolü göz </w:t>
      </w:r>
      <w:r w:rsidR="006C00E9" w:rsidRPr="001A4B94">
        <w:rPr>
          <w:rFonts w:eastAsia="MS Mincho"/>
          <w:sz w:val="23"/>
          <w:szCs w:val="23"/>
          <w:lang w:val="tr-TR"/>
        </w:rPr>
        <w:t>ö</w:t>
      </w:r>
      <w:r w:rsidR="0016184D" w:rsidRPr="001A4B94">
        <w:rPr>
          <w:rFonts w:eastAsia="MS Mincho"/>
          <w:sz w:val="23"/>
          <w:szCs w:val="23"/>
          <w:lang w:val="tr-TR"/>
        </w:rPr>
        <w:t>nüne alındığ</w:t>
      </w:r>
      <w:r w:rsidR="006C00E9" w:rsidRPr="001A4B94">
        <w:rPr>
          <w:rFonts w:eastAsia="MS Mincho"/>
          <w:sz w:val="23"/>
          <w:szCs w:val="23"/>
          <w:lang w:val="tr-TR"/>
        </w:rPr>
        <w:t>ı</w:t>
      </w:r>
      <w:r w:rsidR="0016184D" w:rsidRPr="001A4B94">
        <w:rPr>
          <w:rFonts w:eastAsia="MS Mincho"/>
          <w:sz w:val="23"/>
          <w:szCs w:val="23"/>
          <w:lang w:val="tr-TR"/>
        </w:rPr>
        <w:t xml:space="preserve">nda, </w:t>
      </w:r>
      <w:r w:rsidR="006C00E9" w:rsidRPr="001A4B94">
        <w:rPr>
          <w:rFonts w:eastAsia="MS Mincho"/>
          <w:sz w:val="23"/>
          <w:szCs w:val="23"/>
          <w:lang w:val="tr-TR"/>
        </w:rPr>
        <w:t>2015 ve 20116 yıllarında kamuya ait işletmelerin finansal yükümlülüklerini yerine getirmemeleri riskini kapsayan  teminatlar sağlamıştır</w:t>
      </w:r>
      <w:r w:rsidR="004835D8" w:rsidRPr="001A4B94">
        <w:rPr>
          <w:rFonts w:eastAsia="MS Mincho"/>
          <w:sz w:val="23"/>
          <w:szCs w:val="23"/>
          <w:lang w:val="tr-TR"/>
        </w:rPr>
        <w:t>,</w:t>
      </w:r>
      <w:r w:rsidRPr="001A4B94">
        <w:rPr>
          <w:rFonts w:eastAsia="MS Mincho"/>
          <w:sz w:val="23"/>
          <w:szCs w:val="23"/>
          <w:lang w:val="tr-TR"/>
        </w:rPr>
        <w:t xml:space="preserve"> </w:t>
      </w:r>
      <w:r w:rsidR="006C00E9" w:rsidRPr="001A4B94">
        <w:rPr>
          <w:rFonts w:eastAsia="MS Mincho"/>
          <w:sz w:val="23"/>
          <w:szCs w:val="23"/>
          <w:lang w:val="tr-TR"/>
        </w:rPr>
        <w:t>böylelikle bir bütün olarak finansal güçlendirilmesine yardımcı olmuş ve M-KOBİ’lere ve ihracata dönük şirketlere yönelik kredilendirme faaliyetlerini desteklemiştir.</w:t>
      </w:r>
      <w:r w:rsidRPr="001A4B94">
        <w:rPr>
          <w:rFonts w:eastAsia="MS Mincho"/>
          <w:sz w:val="23"/>
          <w:szCs w:val="23"/>
          <w:lang w:val="tr-TR"/>
        </w:rPr>
        <w:t xml:space="preserve"> </w:t>
      </w:r>
    </w:p>
    <w:p w14:paraId="56D086EE" w14:textId="77777777" w:rsidR="00AC2FD4" w:rsidRPr="001A4B94" w:rsidRDefault="00AC2FD4" w:rsidP="00AC2FD4">
      <w:pPr>
        <w:tabs>
          <w:tab w:val="left" w:pos="426"/>
          <w:tab w:val="left" w:pos="2970"/>
        </w:tabs>
        <w:autoSpaceDE w:val="0"/>
        <w:autoSpaceDN w:val="0"/>
        <w:adjustRightInd w:val="0"/>
        <w:contextualSpacing/>
        <w:jc w:val="both"/>
        <w:rPr>
          <w:sz w:val="23"/>
          <w:szCs w:val="23"/>
          <w:lang w:val="tr-TR"/>
        </w:rPr>
      </w:pPr>
    </w:p>
    <w:p w14:paraId="7BE9B01B" w14:textId="15CB30A3" w:rsidR="002D0B2A" w:rsidRPr="001A4B94" w:rsidRDefault="002D0B2A" w:rsidP="002D0B2A">
      <w:pPr>
        <w:pStyle w:val="ListeParagraf"/>
        <w:ind w:left="360"/>
        <w:rPr>
          <w:rFonts w:ascii="Times New Roman" w:hAnsi="Times New Roman"/>
          <w:b/>
          <w:bCs/>
          <w:sz w:val="23"/>
          <w:szCs w:val="23"/>
          <w:u w:val="single"/>
          <w:lang w:val="tr-TR"/>
        </w:rPr>
      </w:pPr>
      <w:r w:rsidRPr="001A4B94">
        <w:rPr>
          <w:rFonts w:ascii="Times New Roman" w:hAnsi="Times New Roman"/>
          <w:b/>
          <w:bCs/>
          <w:sz w:val="23"/>
          <w:szCs w:val="23"/>
          <w:u w:val="single"/>
          <w:lang w:val="tr-TR"/>
        </w:rPr>
        <w:t xml:space="preserve">CPF </w:t>
      </w:r>
      <w:r w:rsidR="006C00E9" w:rsidRPr="001A4B94">
        <w:rPr>
          <w:rFonts w:ascii="Times New Roman" w:hAnsi="Times New Roman"/>
          <w:b/>
          <w:bCs/>
          <w:sz w:val="23"/>
          <w:szCs w:val="23"/>
          <w:u w:val="single"/>
          <w:lang w:val="tr-TR"/>
        </w:rPr>
        <w:t xml:space="preserve">Amacı </w:t>
      </w:r>
      <w:r w:rsidRPr="001A4B94">
        <w:rPr>
          <w:rFonts w:ascii="Times New Roman" w:hAnsi="Times New Roman"/>
          <w:b/>
          <w:bCs/>
          <w:sz w:val="23"/>
          <w:szCs w:val="23"/>
          <w:u w:val="single"/>
          <w:lang w:val="tr-TR"/>
        </w:rPr>
        <w:t xml:space="preserve">3: </w:t>
      </w:r>
      <w:r w:rsidR="00B80C63" w:rsidRPr="001A4B94">
        <w:rPr>
          <w:rFonts w:ascii="Times New Roman" w:hAnsi="Times New Roman"/>
          <w:b/>
          <w:bCs/>
          <w:sz w:val="23"/>
          <w:szCs w:val="23"/>
          <w:u w:val="single"/>
          <w:lang w:val="tr-TR"/>
        </w:rPr>
        <w:t xml:space="preserve">Seçilen Sektörlerde  Rekabet Gücünün ve İstihdamın Arttırılması  </w:t>
      </w:r>
    </w:p>
    <w:tbl>
      <w:tblPr>
        <w:tblW w:w="0" w:type="auto"/>
        <w:tblCellMar>
          <w:left w:w="0" w:type="dxa"/>
          <w:right w:w="0" w:type="dxa"/>
        </w:tblCellMar>
        <w:tblLook w:val="04A0" w:firstRow="1" w:lastRow="0" w:firstColumn="1" w:lastColumn="0" w:noHBand="0" w:noVBand="1"/>
      </w:tblPr>
      <w:tblGrid>
        <w:gridCol w:w="9340"/>
      </w:tblGrid>
      <w:tr w:rsidR="002D0B2A" w:rsidRPr="001A4B94" w14:paraId="163BB5D4" w14:textId="77777777" w:rsidTr="00121A7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15E695" w14:textId="6B0393EB" w:rsidR="002D0B2A" w:rsidRPr="001A4B94" w:rsidRDefault="00B80C63" w:rsidP="00121A74">
            <w:pPr>
              <w:jc w:val="both"/>
              <w:rPr>
                <w:b/>
                <w:sz w:val="22"/>
                <w:lang w:val="tr-TR"/>
              </w:rPr>
            </w:pPr>
            <w:r w:rsidRPr="001A4B94">
              <w:rPr>
                <w:b/>
                <w:sz w:val="22"/>
                <w:lang w:val="tr-TR"/>
              </w:rPr>
              <w:t xml:space="preserve">Amaç 3 için Sonuç Göstergeleri </w:t>
            </w:r>
          </w:p>
        </w:tc>
      </w:tr>
      <w:tr w:rsidR="002D0B2A" w:rsidRPr="001A4B94" w14:paraId="6F27F6D1" w14:textId="77777777" w:rsidTr="00121A74">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BBB3560" w14:textId="6B0F4AB3" w:rsidR="002D0B2A" w:rsidRPr="001A4B94" w:rsidRDefault="00B80C63" w:rsidP="00121A74">
            <w:pPr>
              <w:tabs>
                <w:tab w:val="left" w:pos="1142"/>
              </w:tabs>
              <w:ind w:left="-28"/>
              <w:rPr>
                <w:i/>
                <w:sz w:val="22"/>
                <w:lang w:val="tr-TR"/>
              </w:rPr>
            </w:pPr>
            <w:r w:rsidRPr="001A4B94">
              <w:rPr>
                <w:i/>
                <w:sz w:val="22"/>
                <w:lang w:val="tr-TR"/>
              </w:rPr>
              <w:t xml:space="preserve">IFC müşterileri tarafından desteklenen  istihdam </w:t>
            </w:r>
          </w:p>
          <w:p w14:paraId="27FB4F8F" w14:textId="68B1B48B" w:rsidR="002D0B2A" w:rsidRPr="001A4B94" w:rsidRDefault="00B80C63" w:rsidP="007A1E23">
            <w:pPr>
              <w:tabs>
                <w:tab w:val="left" w:pos="1142"/>
              </w:tabs>
              <w:ind w:left="-28"/>
              <w:rPr>
                <w:lang w:val="tr-TR"/>
              </w:rPr>
            </w:pPr>
            <w:r w:rsidRPr="001A4B94">
              <w:rPr>
                <w:i/>
                <w:sz w:val="22"/>
                <w:lang w:val="tr-TR"/>
              </w:rPr>
              <w:t xml:space="preserve">IFC’nin desteklediği sermaye fonları tarafından desteklenen istihdam </w:t>
            </w:r>
          </w:p>
        </w:tc>
      </w:tr>
    </w:tbl>
    <w:p w14:paraId="6B348FE8" w14:textId="77777777" w:rsidR="002D0B2A" w:rsidRPr="001A4B94" w:rsidRDefault="002D0B2A" w:rsidP="002D0B2A">
      <w:pPr>
        <w:pStyle w:val="ListeParagraf"/>
        <w:tabs>
          <w:tab w:val="left" w:pos="426"/>
        </w:tabs>
        <w:autoSpaceDE w:val="0"/>
        <w:autoSpaceDN w:val="0"/>
        <w:adjustRightInd w:val="0"/>
        <w:spacing w:after="0" w:line="240" w:lineRule="auto"/>
        <w:ind w:left="0"/>
        <w:jc w:val="both"/>
        <w:rPr>
          <w:rFonts w:ascii="Times New Roman" w:hAnsi="Times New Roman"/>
          <w:sz w:val="24"/>
          <w:szCs w:val="24"/>
          <w:lang w:val="tr-TR"/>
        </w:rPr>
      </w:pPr>
    </w:p>
    <w:p w14:paraId="2F8A3B95" w14:textId="413A52D3" w:rsidR="00620B70" w:rsidRPr="001A4B94" w:rsidRDefault="003001C1" w:rsidP="00620B70">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 xml:space="preserve">Hızla büyüyen bir işgücüne istihdam  sağlamak için gerekli işleri yaratmak ve </w:t>
      </w:r>
      <w:r w:rsidR="00E72A27" w:rsidRPr="001A4B94">
        <w:rPr>
          <w:rFonts w:ascii="Times New Roman" w:hAnsi="Times New Roman"/>
          <w:b/>
          <w:sz w:val="23"/>
          <w:szCs w:val="23"/>
          <w:lang w:val="tr-TR"/>
        </w:rPr>
        <w:t>gelir düzeylerini yükse</w:t>
      </w:r>
      <w:r w:rsidR="003473DF" w:rsidRPr="001A4B94">
        <w:rPr>
          <w:rFonts w:ascii="Times New Roman" w:hAnsi="Times New Roman"/>
          <w:b/>
          <w:sz w:val="23"/>
          <w:szCs w:val="23"/>
          <w:lang w:val="tr-TR"/>
        </w:rPr>
        <w:t xml:space="preserve">ltmek için, Türkiye’deki işletmelerin </w:t>
      </w:r>
      <w:r w:rsidR="0046251E" w:rsidRPr="001A4B94">
        <w:rPr>
          <w:rFonts w:ascii="Times New Roman" w:hAnsi="Times New Roman"/>
          <w:b/>
          <w:sz w:val="23"/>
          <w:szCs w:val="23"/>
          <w:lang w:val="tr-TR"/>
        </w:rPr>
        <w:t xml:space="preserve"> </w:t>
      </w:r>
      <w:r w:rsidR="003473DF" w:rsidRPr="001A4B94">
        <w:rPr>
          <w:rFonts w:ascii="Times New Roman" w:hAnsi="Times New Roman"/>
          <w:b/>
          <w:sz w:val="23"/>
          <w:szCs w:val="23"/>
          <w:lang w:val="tr-TR"/>
        </w:rPr>
        <w:t>yenilikçilik yaparak, üretkenliklerini arttırarak ve değer zincirinde daha yüksek seviyelere tırma</w:t>
      </w:r>
      <w:r w:rsidR="00E72A27" w:rsidRPr="001A4B94">
        <w:rPr>
          <w:rFonts w:ascii="Times New Roman" w:hAnsi="Times New Roman"/>
          <w:b/>
          <w:sz w:val="23"/>
          <w:szCs w:val="23"/>
          <w:lang w:val="tr-TR"/>
        </w:rPr>
        <w:t>na</w:t>
      </w:r>
      <w:r w:rsidR="003473DF" w:rsidRPr="001A4B94">
        <w:rPr>
          <w:rFonts w:ascii="Times New Roman" w:hAnsi="Times New Roman"/>
          <w:b/>
          <w:sz w:val="23"/>
          <w:szCs w:val="23"/>
          <w:lang w:val="tr-TR"/>
        </w:rPr>
        <w:t>rak rekabet güçlerini arttırmaları gerekmektedir.</w:t>
      </w:r>
      <w:r w:rsidR="0046251E" w:rsidRPr="001A4B94">
        <w:rPr>
          <w:rFonts w:ascii="Times New Roman" w:hAnsi="Times New Roman"/>
          <w:sz w:val="23"/>
          <w:szCs w:val="23"/>
          <w:lang w:val="tr-TR"/>
        </w:rPr>
        <w:t xml:space="preserve">  </w:t>
      </w:r>
      <w:r w:rsidR="003473DF" w:rsidRPr="001A4B94">
        <w:rPr>
          <w:rFonts w:ascii="Times New Roman" w:hAnsi="Times New Roman"/>
          <w:sz w:val="23"/>
          <w:szCs w:val="23"/>
          <w:lang w:val="tr-TR"/>
        </w:rPr>
        <w:t xml:space="preserve">Dünya </w:t>
      </w:r>
      <w:r w:rsidR="00314341" w:rsidRPr="001A4B94">
        <w:rPr>
          <w:rFonts w:ascii="Times New Roman" w:hAnsi="Times New Roman"/>
          <w:sz w:val="23"/>
          <w:szCs w:val="23"/>
          <w:lang w:val="tr-TR"/>
        </w:rPr>
        <w:t>B</w:t>
      </w:r>
      <w:r w:rsidR="003473DF" w:rsidRPr="001A4B94">
        <w:rPr>
          <w:rFonts w:ascii="Times New Roman" w:hAnsi="Times New Roman"/>
          <w:sz w:val="23"/>
          <w:szCs w:val="23"/>
          <w:lang w:val="tr-TR"/>
        </w:rPr>
        <w:t xml:space="preserve">ankası Grubu’nun </w:t>
      </w:r>
      <w:r w:rsidR="003473DF" w:rsidRPr="001A4B94">
        <w:rPr>
          <w:rFonts w:ascii="Times New Roman" w:eastAsia="MS Mincho" w:hAnsi="Times New Roman"/>
          <w:sz w:val="23"/>
          <w:szCs w:val="23"/>
          <w:lang w:val="tr-TR"/>
        </w:rPr>
        <w:t>bugüne kadarki programı ASA faaliyetl</w:t>
      </w:r>
      <w:r w:rsidR="00814AFC" w:rsidRPr="001A4B94">
        <w:rPr>
          <w:rFonts w:ascii="Times New Roman" w:eastAsia="MS Mincho" w:hAnsi="Times New Roman"/>
          <w:sz w:val="23"/>
          <w:szCs w:val="23"/>
          <w:lang w:val="tr-TR"/>
        </w:rPr>
        <w:t>e</w:t>
      </w:r>
      <w:r w:rsidR="003473DF" w:rsidRPr="001A4B94">
        <w:rPr>
          <w:rFonts w:ascii="Times New Roman" w:eastAsia="MS Mincho" w:hAnsi="Times New Roman"/>
          <w:sz w:val="23"/>
          <w:szCs w:val="23"/>
          <w:lang w:val="tr-TR"/>
        </w:rPr>
        <w:t>rini ticaretin serbestleştirilm</w:t>
      </w:r>
      <w:r w:rsidR="00814AFC" w:rsidRPr="001A4B94">
        <w:rPr>
          <w:rFonts w:ascii="Times New Roman" w:eastAsia="MS Mincho" w:hAnsi="Times New Roman"/>
          <w:sz w:val="23"/>
          <w:szCs w:val="23"/>
          <w:lang w:val="tr-TR"/>
        </w:rPr>
        <w:t>es</w:t>
      </w:r>
      <w:r w:rsidR="003473DF" w:rsidRPr="001A4B94">
        <w:rPr>
          <w:rFonts w:ascii="Times New Roman" w:eastAsia="MS Mincho" w:hAnsi="Times New Roman"/>
          <w:sz w:val="23"/>
          <w:szCs w:val="23"/>
          <w:lang w:val="tr-TR"/>
        </w:rPr>
        <w:t>i</w:t>
      </w:r>
      <w:r w:rsidR="00814AFC" w:rsidRPr="001A4B94">
        <w:rPr>
          <w:rFonts w:ascii="Times New Roman" w:eastAsia="MS Mincho" w:hAnsi="Times New Roman"/>
          <w:sz w:val="23"/>
          <w:szCs w:val="23"/>
          <w:lang w:val="tr-TR"/>
        </w:rPr>
        <w:t>, rekabet gücü, ihracat kalitesi, belirli sektörlerin değe</w:t>
      </w:r>
      <w:r w:rsidR="00E72A27" w:rsidRPr="001A4B94">
        <w:rPr>
          <w:rFonts w:ascii="Times New Roman" w:eastAsia="MS Mincho" w:hAnsi="Times New Roman"/>
          <w:sz w:val="23"/>
          <w:szCs w:val="23"/>
          <w:lang w:val="tr-TR"/>
        </w:rPr>
        <w:t>r</w:t>
      </w:r>
      <w:r w:rsidR="00814AFC" w:rsidRPr="001A4B94">
        <w:rPr>
          <w:rFonts w:ascii="Times New Roman" w:eastAsia="MS Mincho" w:hAnsi="Times New Roman"/>
          <w:sz w:val="23"/>
          <w:szCs w:val="23"/>
          <w:lang w:val="tr-TR"/>
        </w:rPr>
        <w:t xml:space="preserve"> zincirinde yükselmesi</w:t>
      </w:r>
      <w:r w:rsidR="003473DF" w:rsidRPr="001A4B94">
        <w:rPr>
          <w:rFonts w:ascii="Times New Roman" w:eastAsia="MS Mincho" w:hAnsi="Times New Roman"/>
          <w:sz w:val="23"/>
          <w:szCs w:val="23"/>
          <w:lang w:val="tr-TR"/>
        </w:rPr>
        <w:t xml:space="preserve">, </w:t>
      </w:r>
      <w:r w:rsidR="00314341" w:rsidRPr="001A4B94">
        <w:rPr>
          <w:rFonts w:ascii="Times New Roman" w:eastAsia="MS Mincho" w:hAnsi="Times New Roman"/>
          <w:sz w:val="23"/>
          <w:szCs w:val="23"/>
          <w:lang w:val="tr-TR"/>
        </w:rPr>
        <w:t>doğrudan yabancı yatırımı (DYY) çekme yeteneği ve bölgesel yatırım ortaml</w:t>
      </w:r>
      <w:r w:rsidR="00E72A27" w:rsidRPr="001A4B94">
        <w:rPr>
          <w:rFonts w:ascii="Times New Roman" w:eastAsia="MS Mincho" w:hAnsi="Times New Roman"/>
          <w:sz w:val="23"/>
          <w:szCs w:val="23"/>
          <w:lang w:val="tr-TR"/>
        </w:rPr>
        <w:t xml:space="preserve">arı </w:t>
      </w:r>
      <w:r w:rsidR="00314341" w:rsidRPr="001A4B94">
        <w:rPr>
          <w:rFonts w:ascii="Times New Roman" w:eastAsia="MS Mincho" w:hAnsi="Times New Roman"/>
          <w:sz w:val="23"/>
          <w:szCs w:val="23"/>
          <w:lang w:val="tr-TR"/>
        </w:rPr>
        <w:t>üzerin</w:t>
      </w:r>
      <w:r w:rsidR="00E72A27" w:rsidRPr="001A4B94">
        <w:rPr>
          <w:rFonts w:ascii="Times New Roman" w:eastAsia="MS Mincho" w:hAnsi="Times New Roman"/>
          <w:sz w:val="23"/>
          <w:szCs w:val="23"/>
          <w:lang w:val="tr-TR"/>
        </w:rPr>
        <w:t>d</w:t>
      </w:r>
      <w:r w:rsidR="00314341" w:rsidRPr="001A4B94">
        <w:rPr>
          <w:rFonts w:ascii="Times New Roman" w:eastAsia="MS Mincho" w:hAnsi="Times New Roman"/>
          <w:sz w:val="23"/>
          <w:szCs w:val="23"/>
          <w:lang w:val="tr-TR"/>
        </w:rPr>
        <w:t>e odaklandırmıştı</w:t>
      </w:r>
      <w:r w:rsidR="007A1E23" w:rsidRPr="001A4B94">
        <w:rPr>
          <w:rFonts w:ascii="Times New Roman" w:eastAsia="MS Mincho" w:hAnsi="Times New Roman"/>
          <w:sz w:val="23"/>
          <w:szCs w:val="23"/>
          <w:lang w:val="tr-TR"/>
        </w:rPr>
        <w:t xml:space="preserve">. </w:t>
      </w:r>
      <w:r w:rsidR="00314341" w:rsidRPr="001A4B94">
        <w:rPr>
          <w:rFonts w:ascii="Times New Roman" w:eastAsia="MS Mincho" w:hAnsi="Times New Roman"/>
          <w:sz w:val="23"/>
          <w:szCs w:val="23"/>
          <w:lang w:val="tr-TR"/>
        </w:rPr>
        <w:t xml:space="preserve">Geçmişin analiz edilmesi ve geleceğin şekillendirilmesi, iş ortamının iyileştirilmesine yönelik çabalar, yenilikçilik ve teknoloji emilimi (DYY ile yerel şirketler arasındaki bağlantılar gibi yollarla), yerel düzeyde rekabet gücü </w:t>
      </w:r>
      <w:r w:rsidR="00E72A27" w:rsidRPr="001A4B94">
        <w:rPr>
          <w:rFonts w:ascii="Times New Roman" w:eastAsia="MS Mincho" w:hAnsi="Times New Roman"/>
          <w:sz w:val="23"/>
          <w:szCs w:val="23"/>
          <w:lang w:val="tr-TR"/>
        </w:rPr>
        <w:t xml:space="preserve">ve hizmet ticareti ile rekabet gücünün ve üretkenliğin belirleyici etkenlerini anlamaya yönelik çabalar (yeni gerçekleştirilecek Ülke Ekonomik Memorandumu (CEM) kapsamında) yoluyla bu programın güçlendirilmesi beklenmektedir. Düzenleyici ortamın iyileştirilmesini ve GKSS’lerin etkilediği topluluklarda iş fırsatlarının arttırılmasını amaçlayan  teknik yardım </w:t>
      </w:r>
      <w:r w:rsidR="00A4408A" w:rsidRPr="001A4B94">
        <w:rPr>
          <w:rFonts w:ascii="Times New Roman" w:eastAsia="MS Mincho" w:hAnsi="Times New Roman"/>
          <w:sz w:val="23"/>
          <w:szCs w:val="23"/>
          <w:lang w:val="tr-TR"/>
        </w:rPr>
        <w:t>(TY) faaliyetleri de planlanmaktadır</w:t>
      </w:r>
      <w:r w:rsidR="003C09CE" w:rsidRPr="001A4B94">
        <w:rPr>
          <w:rFonts w:ascii="Times New Roman" w:eastAsia="MS Mincho" w:hAnsi="Times New Roman"/>
          <w:sz w:val="23"/>
          <w:szCs w:val="23"/>
          <w:lang w:val="tr-TR"/>
        </w:rPr>
        <w:t xml:space="preserve">. </w:t>
      </w:r>
      <w:r w:rsidR="009C13B6" w:rsidRPr="001A4B94">
        <w:rPr>
          <w:rFonts w:ascii="Times New Roman" w:eastAsia="MS Mincho" w:hAnsi="Times New Roman"/>
          <w:sz w:val="23"/>
          <w:szCs w:val="23"/>
          <w:lang w:val="tr-TR"/>
        </w:rPr>
        <w:t>Özellikle Organize Sanayi Bölgeleri (OSB) üzerinde odaklanan,  rekabet gücü, kaynak verimliliği ve daha temiz üretim ile ilgili teknik yardım faaliyetleri gerçekleştirilecektir</w:t>
      </w:r>
      <w:r w:rsidR="003C09CE" w:rsidRPr="001A4B94">
        <w:rPr>
          <w:rFonts w:ascii="Times New Roman" w:eastAsia="MS Mincho" w:hAnsi="Times New Roman"/>
          <w:sz w:val="23"/>
          <w:szCs w:val="23"/>
          <w:lang w:val="tr-TR"/>
        </w:rPr>
        <w:t xml:space="preserve">. </w:t>
      </w:r>
      <w:r w:rsidR="0060750E" w:rsidRPr="001A4B94">
        <w:rPr>
          <w:rFonts w:ascii="Times New Roman" w:eastAsia="MS Mincho" w:hAnsi="Times New Roman"/>
          <w:sz w:val="23"/>
          <w:szCs w:val="23"/>
          <w:lang w:val="tr-TR"/>
        </w:rPr>
        <w:t xml:space="preserve">Birlikte ele alındığında, bu </w:t>
      </w:r>
      <w:r w:rsidR="00D3771C" w:rsidRPr="001A4B94">
        <w:rPr>
          <w:rFonts w:asciiTheme="majorBidi" w:hAnsiTheme="majorBidi" w:cstheme="majorBidi"/>
          <w:sz w:val="23"/>
          <w:szCs w:val="23"/>
          <w:lang w:val="tr-TR"/>
        </w:rPr>
        <w:t xml:space="preserve">ASA </w:t>
      </w:r>
      <w:r w:rsidR="001F779F" w:rsidRPr="001A4B94">
        <w:rPr>
          <w:rFonts w:asciiTheme="majorBidi" w:hAnsiTheme="majorBidi" w:cstheme="majorBidi"/>
          <w:sz w:val="23"/>
          <w:szCs w:val="23"/>
          <w:lang w:val="tr-TR"/>
        </w:rPr>
        <w:t>faaliyetleri Türkiye’deki DBG diyalogunun merkezi bir parçasını oluşturacak</w:t>
      </w:r>
      <w:r w:rsidR="0076321C" w:rsidRPr="001A4B94">
        <w:rPr>
          <w:rFonts w:asciiTheme="majorBidi" w:hAnsiTheme="majorBidi" w:cstheme="majorBidi"/>
          <w:sz w:val="23"/>
          <w:szCs w:val="23"/>
          <w:lang w:val="tr-TR"/>
        </w:rPr>
        <w:t>,</w:t>
      </w:r>
      <w:r w:rsidR="00B03881" w:rsidRPr="001A4B94">
        <w:rPr>
          <w:rFonts w:asciiTheme="majorBidi" w:hAnsiTheme="majorBidi" w:cstheme="majorBidi"/>
          <w:sz w:val="23"/>
          <w:szCs w:val="23"/>
          <w:lang w:val="tr-TR"/>
        </w:rPr>
        <w:t xml:space="preserve"> </w:t>
      </w:r>
      <w:r w:rsidR="001F779F" w:rsidRPr="001A4B94">
        <w:rPr>
          <w:rFonts w:asciiTheme="majorBidi" w:hAnsiTheme="majorBidi" w:cstheme="majorBidi"/>
          <w:sz w:val="23"/>
          <w:szCs w:val="23"/>
          <w:lang w:val="tr-TR"/>
        </w:rPr>
        <w:t>reformların tasarımı için kullanılabilecek bilgiler sağlayacak</w:t>
      </w:r>
      <w:r w:rsidR="00354F7F" w:rsidRPr="001A4B94">
        <w:rPr>
          <w:rFonts w:asciiTheme="majorBidi" w:hAnsiTheme="majorBidi" w:cstheme="majorBidi"/>
          <w:sz w:val="23"/>
          <w:szCs w:val="23"/>
          <w:lang w:val="tr-TR"/>
        </w:rPr>
        <w:t xml:space="preserve">, </w:t>
      </w:r>
      <w:r w:rsidR="001F779F" w:rsidRPr="001A4B94">
        <w:rPr>
          <w:rFonts w:asciiTheme="majorBidi" w:hAnsiTheme="majorBidi" w:cstheme="majorBidi"/>
          <w:sz w:val="23"/>
          <w:szCs w:val="23"/>
          <w:lang w:val="tr-TR"/>
        </w:rPr>
        <w:t xml:space="preserve">gelecekteki DPL dizilerinde ele alınabilecek ilgili reformların temelini oluşturacak ve potansiyel olarak hızlı büyüyen veya yenilikçi KOBİ’lerin hedeflenmesine yardımcı olacaktır </w:t>
      </w:r>
      <w:r w:rsidR="005A53C7" w:rsidRPr="001A4B94">
        <w:rPr>
          <w:rFonts w:asciiTheme="majorBidi" w:hAnsiTheme="majorBidi" w:cstheme="majorBidi"/>
          <w:sz w:val="23"/>
          <w:szCs w:val="23"/>
          <w:lang w:val="tr-TR"/>
        </w:rPr>
        <w:t>(</w:t>
      </w:r>
      <w:r w:rsidR="001F779F" w:rsidRPr="001A4B94">
        <w:rPr>
          <w:rFonts w:asciiTheme="majorBidi" w:hAnsiTheme="majorBidi" w:cstheme="majorBidi"/>
          <w:sz w:val="23"/>
          <w:szCs w:val="23"/>
          <w:lang w:val="tr-TR"/>
        </w:rPr>
        <w:t>bu da CPF’in 2 no’lu amacı kapsamında sağlanacak finansal sektör desteği yoluyla hedeflenebilecektir</w:t>
      </w:r>
      <w:r w:rsidR="00354F7F" w:rsidRPr="001A4B94">
        <w:rPr>
          <w:rFonts w:asciiTheme="majorBidi" w:hAnsiTheme="majorBidi" w:cstheme="majorBidi"/>
          <w:sz w:val="23"/>
          <w:szCs w:val="23"/>
          <w:lang w:val="tr-TR"/>
        </w:rPr>
        <w:t>).</w:t>
      </w:r>
      <w:r w:rsidR="005A53C7" w:rsidRPr="001A4B94">
        <w:rPr>
          <w:rFonts w:asciiTheme="majorBidi" w:hAnsiTheme="majorBidi" w:cstheme="majorBidi"/>
          <w:sz w:val="23"/>
          <w:szCs w:val="23"/>
          <w:lang w:val="tr-TR"/>
        </w:rPr>
        <w:t xml:space="preserve"> </w:t>
      </w:r>
      <w:r w:rsidR="000264C3" w:rsidRPr="001A4B94">
        <w:rPr>
          <w:rFonts w:asciiTheme="majorBidi" w:hAnsiTheme="majorBidi" w:cstheme="majorBidi"/>
          <w:sz w:val="23"/>
          <w:szCs w:val="23"/>
          <w:lang w:val="tr-TR"/>
        </w:rPr>
        <w:t>Bu güçlendirilen çerçevenin, IFC ve MIGA desteği ile birlikte özel sektör yatırımlarının arttırılmasını sağlaması beklenmektedir.</w:t>
      </w:r>
      <w:r w:rsidR="00262286" w:rsidRPr="001A4B94">
        <w:rPr>
          <w:sz w:val="23"/>
          <w:szCs w:val="23"/>
          <w:lang w:val="tr-TR"/>
        </w:rPr>
        <w:t xml:space="preserve"> </w:t>
      </w:r>
      <w:r w:rsidR="00D3771C" w:rsidRPr="001A4B94">
        <w:rPr>
          <w:rFonts w:asciiTheme="majorBidi" w:hAnsiTheme="majorBidi" w:cstheme="majorBidi"/>
          <w:sz w:val="23"/>
          <w:szCs w:val="23"/>
          <w:lang w:val="tr-TR"/>
        </w:rPr>
        <w:t xml:space="preserve"> </w:t>
      </w:r>
      <w:r w:rsidR="000264C3" w:rsidRPr="001A4B94">
        <w:rPr>
          <w:rFonts w:asciiTheme="majorBidi" w:hAnsiTheme="majorBidi" w:cstheme="majorBidi"/>
          <w:sz w:val="23"/>
          <w:szCs w:val="23"/>
          <w:lang w:val="tr-TR"/>
        </w:rPr>
        <w:t>CPF döneminin daha sonraki aşamalarında, IBRD müşteri talebine bağlı olarak, yenilikçiliği, teknoloji emilimini, daha temiz üretimi ve iyileştirilen iş ortamını destekleyici kredileri arttırmak için  ASA çalışmalarından yararlanabilir</w:t>
      </w:r>
      <w:r w:rsidR="002D0B2A" w:rsidRPr="001A4B94">
        <w:rPr>
          <w:rFonts w:ascii="Times New Roman" w:eastAsia="MS Mincho" w:hAnsi="Times New Roman"/>
          <w:sz w:val="23"/>
          <w:szCs w:val="23"/>
          <w:lang w:val="tr-TR"/>
        </w:rPr>
        <w:t xml:space="preserve">. </w:t>
      </w:r>
      <w:r w:rsidR="002D0B2A" w:rsidRPr="001A4B94">
        <w:rPr>
          <w:rFonts w:asciiTheme="majorBidi" w:hAnsiTheme="majorBidi" w:cstheme="majorBidi"/>
          <w:sz w:val="23"/>
          <w:szCs w:val="23"/>
          <w:lang w:val="tr-TR"/>
        </w:rPr>
        <w:t xml:space="preserve"> </w:t>
      </w:r>
    </w:p>
    <w:p w14:paraId="4AE064C2" w14:textId="77777777" w:rsidR="0046251E" w:rsidRPr="001A4B94" w:rsidRDefault="0046251E" w:rsidP="00620B70">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0EF50CD9" w14:textId="0C1B5FE9" w:rsidR="002D0B2A" w:rsidRPr="001A4B94" w:rsidRDefault="00F641D4" w:rsidP="00AC2FD4">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Girişimcilik</w:t>
      </w:r>
      <w:r w:rsidR="002B1A7E" w:rsidRPr="001A4B94">
        <w:rPr>
          <w:rFonts w:ascii="Times New Roman" w:hAnsi="Times New Roman"/>
          <w:b/>
          <w:sz w:val="23"/>
          <w:szCs w:val="23"/>
          <w:lang w:val="tr-TR"/>
        </w:rPr>
        <w:t xml:space="preserve"> ve yenilikçilik desteği y</w:t>
      </w:r>
      <w:r w:rsidR="00867975" w:rsidRPr="001A4B94">
        <w:rPr>
          <w:rFonts w:ascii="Times New Roman" w:hAnsi="Times New Roman"/>
          <w:b/>
          <w:sz w:val="23"/>
          <w:szCs w:val="23"/>
          <w:lang w:val="tr-TR"/>
        </w:rPr>
        <w:t>o</w:t>
      </w:r>
      <w:r w:rsidR="002B1A7E" w:rsidRPr="001A4B94">
        <w:rPr>
          <w:rFonts w:ascii="Times New Roman" w:hAnsi="Times New Roman"/>
          <w:b/>
          <w:sz w:val="23"/>
          <w:szCs w:val="23"/>
          <w:lang w:val="tr-TR"/>
        </w:rPr>
        <w:t xml:space="preserve">luyla </w:t>
      </w:r>
      <w:r w:rsidR="00867975" w:rsidRPr="001A4B94">
        <w:rPr>
          <w:rFonts w:ascii="Times New Roman" w:hAnsi="Times New Roman"/>
          <w:b/>
          <w:sz w:val="23"/>
          <w:szCs w:val="23"/>
          <w:lang w:val="tr-TR"/>
        </w:rPr>
        <w:t>istihdam artışının sağlanması IFC’nin bu amaç kapsamındaki önceliğidir</w:t>
      </w:r>
      <w:r w:rsidR="00620B70" w:rsidRPr="001A4B94">
        <w:rPr>
          <w:rFonts w:ascii="Times New Roman" w:hAnsi="Times New Roman"/>
          <w:b/>
          <w:sz w:val="23"/>
          <w:szCs w:val="23"/>
          <w:lang w:val="tr-TR"/>
        </w:rPr>
        <w:t>.</w:t>
      </w:r>
      <w:r w:rsidR="00620B70" w:rsidRPr="001A4B94">
        <w:rPr>
          <w:rFonts w:ascii="Times New Roman" w:hAnsi="Times New Roman"/>
          <w:sz w:val="23"/>
          <w:szCs w:val="23"/>
          <w:lang w:val="tr-TR"/>
        </w:rPr>
        <w:t xml:space="preserve"> </w:t>
      </w:r>
      <w:r w:rsidR="00867975" w:rsidRPr="001A4B94">
        <w:rPr>
          <w:rFonts w:ascii="Times New Roman" w:hAnsi="Times New Roman"/>
          <w:sz w:val="23"/>
          <w:szCs w:val="23"/>
          <w:lang w:val="tr-TR"/>
        </w:rPr>
        <w:t xml:space="preserve">Finansal aracılar ve reel sektör şirketleri ile doğrudan birlikte çalışma yoluyla, </w:t>
      </w:r>
      <w:r w:rsidR="00AC38CA" w:rsidRPr="001A4B94">
        <w:rPr>
          <w:rFonts w:ascii="Times New Roman" w:hAnsi="Times New Roman"/>
          <w:sz w:val="23"/>
          <w:szCs w:val="23"/>
          <w:lang w:val="tr-TR"/>
        </w:rPr>
        <w:t xml:space="preserve">Türkiye’deki şirketlerin rekabetçiliklerinin güçlendirilmesine yardımcı olacak </w:t>
      </w:r>
      <w:r w:rsidR="0076321C" w:rsidRPr="001A4B94">
        <w:rPr>
          <w:rFonts w:ascii="Times New Roman" w:hAnsi="Times New Roman"/>
          <w:sz w:val="23"/>
          <w:szCs w:val="23"/>
          <w:lang w:val="tr-TR"/>
        </w:rPr>
        <w:t>(</w:t>
      </w:r>
      <w:r w:rsidR="00AC38CA" w:rsidRPr="001A4B94">
        <w:rPr>
          <w:rFonts w:ascii="Times New Roman" w:hAnsi="Times New Roman"/>
          <w:sz w:val="23"/>
          <w:szCs w:val="23"/>
          <w:lang w:val="tr-TR"/>
        </w:rPr>
        <w:t>yeni teknoloji, yenilikçilik ve daha iyi yönetişim yoluyla</w:t>
      </w:r>
      <w:r w:rsidR="0076321C" w:rsidRPr="001A4B94">
        <w:rPr>
          <w:rFonts w:ascii="Times New Roman" w:hAnsi="Times New Roman"/>
          <w:sz w:val="23"/>
          <w:szCs w:val="23"/>
          <w:lang w:val="tr-TR"/>
        </w:rPr>
        <w:t>)</w:t>
      </w:r>
      <w:r w:rsidR="00620B70" w:rsidRPr="001A4B94">
        <w:rPr>
          <w:rFonts w:ascii="Times New Roman" w:hAnsi="Times New Roman"/>
          <w:sz w:val="23"/>
          <w:szCs w:val="23"/>
          <w:lang w:val="tr-TR"/>
        </w:rPr>
        <w:t xml:space="preserve"> </w:t>
      </w:r>
      <w:r w:rsidR="00AC38CA" w:rsidRPr="001A4B94">
        <w:rPr>
          <w:rFonts w:ascii="Times New Roman" w:hAnsi="Times New Roman"/>
          <w:sz w:val="23"/>
          <w:szCs w:val="23"/>
          <w:lang w:val="tr-TR"/>
        </w:rPr>
        <w:t xml:space="preserve">ve bölgesel ve uluslararası ölçekte büyümelerini destekleyecektir. </w:t>
      </w:r>
      <w:r w:rsidR="002E2B78" w:rsidRPr="001A4B94">
        <w:rPr>
          <w:rFonts w:ascii="Times New Roman" w:hAnsi="Times New Roman"/>
          <w:sz w:val="23"/>
          <w:szCs w:val="23"/>
          <w:lang w:val="tr-TR"/>
        </w:rPr>
        <w:t xml:space="preserve">IFC </w:t>
      </w:r>
      <w:r w:rsidR="00AC38CA" w:rsidRPr="001A4B94">
        <w:rPr>
          <w:rFonts w:ascii="Times New Roman" w:hAnsi="Times New Roman"/>
          <w:sz w:val="23"/>
          <w:szCs w:val="23"/>
          <w:lang w:val="tr-TR"/>
        </w:rPr>
        <w:t>yerel girişimciliği, rekabetçiliği ve yenilikçiliği teşvik eden sermaye fonlarına yatırım yapmaya devam edecek</w:t>
      </w:r>
      <w:r w:rsidR="004C7B29" w:rsidRPr="001A4B94">
        <w:rPr>
          <w:rFonts w:ascii="Times New Roman" w:hAnsi="Times New Roman"/>
          <w:sz w:val="23"/>
          <w:szCs w:val="23"/>
          <w:lang w:val="tr-TR"/>
        </w:rPr>
        <w:t xml:space="preserve">, </w:t>
      </w:r>
      <w:r w:rsidR="00AC38CA" w:rsidRPr="001A4B94">
        <w:rPr>
          <w:rFonts w:ascii="Times New Roman" w:hAnsi="Times New Roman"/>
          <w:sz w:val="23"/>
          <w:szCs w:val="23"/>
          <w:lang w:val="tr-TR"/>
        </w:rPr>
        <w:t xml:space="preserve">aynı zamanda hızlı büyüyen ve yüksek katma değerli </w:t>
      </w:r>
      <w:r w:rsidR="00C532F7" w:rsidRPr="001A4B94">
        <w:rPr>
          <w:rFonts w:ascii="Times New Roman" w:hAnsi="Times New Roman"/>
          <w:sz w:val="23"/>
          <w:szCs w:val="23"/>
          <w:lang w:val="tr-TR"/>
        </w:rPr>
        <w:t xml:space="preserve">sektörlerde istihdamı destekleyecektir </w:t>
      </w:r>
      <w:r w:rsidR="002E2B78" w:rsidRPr="001A4B94">
        <w:rPr>
          <w:rFonts w:ascii="Times New Roman" w:hAnsi="Times New Roman"/>
          <w:sz w:val="23"/>
          <w:szCs w:val="23"/>
          <w:lang w:val="tr-TR"/>
        </w:rPr>
        <w:t>(</w:t>
      </w:r>
      <w:r w:rsidR="00C532F7" w:rsidRPr="001A4B94">
        <w:rPr>
          <w:rFonts w:ascii="Times New Roman" w:hAnsi="Times New Roman"/>
          <w:sz w:val="23"/>
          <w:szCs w:val="23"/>
          <w:lang w:val="tr-TR"/>
        </w:rPr>
        <w:t>örneğin imalat</w:t>
      </w:r>
      <w:r w:rsidR="002E2B78" w:rsidRPr="001A4B94">
        <w:rPr>
          <w:rFonts w:ascii="Times New Roman" w:hAnsi="Times New Roman"/>
          <w:sz w:val="23"/>
          <w:szCs w:val="23"/>
          <w:lang w:val="tr-TR"/>
        </w:rPr>
        <w:t xml:space="preserve">, </w:t>
      </w:r>
      <w:r w:rsidR="00C532F7" w:rsidRPr="001A4B94">
        <w:rPr>
          <w:rFonts w:ascii="Times New Roman" w:hAnsi="Times New Roman"/>
          <w:sz w:val="23"/>
          <w:szCs w:val="23"/>
          <w:lang w:val="tr-TR"/>
        </w:rPr>
        <w:t>telekomünikasyon</w:t>
      </w:r>
      <w:r w:rsidR="002E2B78" w:rsidRPr="001A4B94">
        <w:rPr>
          <w:rFonts w:ascii="Times New Roman" w:hAnsi="Times New Roman"/>
          <w:sz w:val="23"/>
          <w:szCs w:val="23"/>
          <w:lang w:val="tr-TR"/>
        </w:rPr>
        <w:t xml:space="preserve">, </w:t>
      </w:r>
      <w:r w:rsidR="00C532F7" w:rsidRPr="001A4B94">
        <w:rPr>
          <w:rFonts w:ascii="Times New Roman" w:hAnsi="Times New Roman"/>
          <w:sz w:val="23"/>
          <w:szCs w:val="23"/>
          <w:lang w:val="tr-TR"/>
        </w:rPr>
        <w:t>teknoloji</w:t>
      </w:r>
      <w:r w:rsidR="002E2B78" w:rsidRPr="001A4B94">
        <w:rPr>
          <w:rFonts w:ascii="Times New Roman" w:hAnsi="Times New Roman"/>
          <w:sz w:val="23"/>
          <w:szCs w:val="23"/>
          <w:lang w:val="tr-TR"/>
        </w:rPr>
        <w:t xml:space="preserve">, </w:t>
      </w:r>
      <w:r w:rsidR="00C532F7" w:rsidRPr="001A4B94">
        <w:rPr>
          <w:rFonts w:ascii="Times New Roman" w:hAnsi="Times New Roman"/>
          <w:sz w:val="23"/>
          <w:szCs w:val="23"/>
          <w:lang w:val="tr-TR"/>
        </w:rPr>
        <w:t>tarımsal işletme</w:t>
      </w:r>
      <w:r w:rsidR="002E2B78" w:rsidRPr="001A4B94">
        <w:rPr>
          <w:rFonts w:ascii="Times New Roman" w:hAnsi="Times New Roman"/>
          <w:sz w:val="23"/>
          <w:szCs w:val="23"/>
          <w:lang w:val="tr-TR"/>
        </w:rPr>
        <w:t xml:space="preserve">). </w:t>
      </w:r>
      <w:r w:rsidR="00F60219" w:rsidRPr="001A4B94">
        <w:rPr>
          <w:rFonts w:ascii="Times New Roman" w:hAnsi="Times New Roman"/>
          <w:sz w:val="23"/>
          <w:szCs w:val="23"/>
          <w:lang w:val="tr-TR"/>
        </w:rPr>
        <w:t>Ticaret finansmanı sağlayan bankalara garantiler sağlayarak riskleri azaltan Küresel Ticaret Finansmanı programına devam edecektir</w:t>
      </w:r>
      <w:r w:rsidR="00650B15" w:rsidRPr="001A4B94">
        <w:rPr>
          <w:rFonts w:ascii="Times New Roman" w:hAnsi="Times New Roman"/>
          <w:sz w:val="23"/>
          <w:szCs w:val="23"/>
          <w:lang w:val="tr-TR"/>
        </w:rPr>
        <w:t xml:space="preserve">. </w:t>
      </w:r>
      <w:r w:rsidR="004F0BC2" w:rsidRPr="001A4B94">
        <w:rPr>
          <w:rFonts w:ascii="Times New Roman" w:hAnsi="Times New Roman"/>
          <w:sz w:val="23"/>
          <w:szCs w:val="23"/>
          <w:lang w:val="tr-TR"/>
        </w:rPr>
        <w:t xml:space="preserve">IFC </w:t>
      </w:r>
      <w:r w:rsidR="00F60219" w:rsidRPr="001A4B94">
        <w:rPr>
          <w:rFonts w:ascii="Times New Roman" w:hAnsi="Times New Roman"/>
          <w:sz w:val="23"/>
          <w:szCs w:val="23"/>
          <w:lang w:val="tr-TR"/>
        </w:rPr>
        <w:t xml:space="preserve">aynı zamanda </w:t>
      </w:r>
      <w:r w:rsidR="00FD5A42" w:rsidRPr="001A4B94">
        <w:rPr>
          <w:rFonts w:ascii="Times New Roman" w:hAnsi="Times New Roman"/>
          <w:sz w:val="23"/>
          <w:szCs w:val="23"/>
          <w:lang w:val="tr-TR"/>
        </w:rPr>
        <w:t xml:space="preserve">kurumsal yönetişim üzerinde odaklanan danışmanlık hizmetleri ile </w:t>
      </w:r>
      <w:r w:rsidR="000254DC" w:rsidRPr="001A4B94">
        <w:rPr>
          <w:rFonts w:ascii="Times New Roman" w:hAnsi="Times New Roman"/>
          <w:sz w:val="23"/>
          <w:szCs w:val="23"/>
          <w:lang w:val="tr-TR"/>
        </w:rPr>
        <w:t>KOBİ’lerin yüksek büyüme performansına sahip değer zincirleriyle daha iyi ilişkiler kurmalarına yardımcı olacak beceri geliştirme etkinlikleri sunmaya devam edecektir.</w:t>
      </w:r>
      <w:r w:rsidR="004F0BC2" w:rsidRPr="001A4B94">
        <w:rPr>
          <w:rFonts w:ascii="Times New Roman" w:hAnsi="Times New Roman"/>
          <w:sz w:val="23"/>
          <w:szCs w:val="23"/>
          <w:lang w:val="tr-TR"/>
        </w:rPr>
        <w:t xml:space="preserve"> IFC</w:t>
      </w:r>
      <w:r w:rsidR="00B91541" w:rsidRPr="001A4B94">
        <w:rPr>
          <w:rFonts w:ascii="Times New Roman" w:hAnsi="Times New Roman"/>
          <w:sz w:val="23"/>
          <w:szCs w:val="23"/>
          <w:lang w:val="tr-TR"/>
        </w:rPr>
        <w:t xml:space="preserve">’nin danışmanlık hizmetleri </w:t>
      </w:r>
      <w:r w:rsidR="004F0BC2" w:rsidRPr="001A4B94">
        <w:rPr>
          <w:rFonts w:ascii="Times New Roman" w:hAnsi="Times New Roman"/>
          <w:sz w:val="23"/>
          <w:szCs w:val="23"/>
          <w:lang w:val="tr-TR"/>
        </w:rPr>
        <w:t xml:space="preserve"> (i) </w:t>
      </w:r>
      <w:r w:rsidR="00B91541" w:rsidRPr="001A4B94">
        <w:rPr>
          <w:rFonts w:ascii="Times New Roman" w:hAnsi="Times New Roman"/>
          <w:sz w:val="23"/>
          <w:szCs w:val="23"/>
          <w:lang w:val="tr-TR"/>
        </w:rPr>
        <w:t>OSB’lerde uygulanacak kaynak verimliliği</w:t>
      </w:r>
      <w:r w:rsidR="004F0BC2" w:rsidRPr="001A4B94">
        <w:rPr>
          <w:rFonts w:ascii="Times New Roman" w:hAnsi="Times New Roman"/>
          <w:sz w:val="23"/>
          <w:szCs w:val="23"/>
          <w:lang w:val="tr-TR"/>
        </w:rPr>
        <w:t xml:space="preserve">, </w:t>
      </w:r>
      <w:r w:rsidR="00B91541" w:rsidRPr="001A4B94">
        <w:rPr>
          <w:rFonts w:ascii="Times New Roman" w:hAnsi="Times New Roman"/>
          <w:sz w:val="23"/>
          <w:szCs w:val="23"/>
          <w:lang w:val="tr-TR"/>
        </w:rPr>
        <w:t>daha temiz üretim</w:t>
      </w:r>
      <w:r w:rsidR="004F0BC2" w:rsidRPr="001A4B94">
        <w:rPr>
          <w:rFonts w:ascii="Times New Roman" w:hAnsi="Times New Roman"/>
          <w:sz w:val="23"/>
          <w:szCs w:val="23"/>
          <w:lang w:val="tr-TR"/>
        </w:rPr>
        <w:t xml:space="preserve">, </w:t>
      </w:r>
      <w:r w:rsidR="00B91541" w:rsidRPr="001A4B94">
        <w:rPr>
          <w:rFonts w:ascii="Times New Roman" w:hAnsi="Times New Roman"/>
          <w:sz w:val="23"/>
          <w:szCs w:val="23"/>
          <w:lang w:val="tr-TR"/>
        </w:rPr>
        <w:t>sanayi sembiyozları ve yeşil altyapı gibi  bir dizi yeşil üretim müdahaleleri</w:t>
      </w:r>
      <w:r w:rsidR="004F0BC2" w:rsidRPr="001A4B94">
        <w:rPr>
          <w:rFonts w:ascii="Times New Roman" w:hAnsi="Times New Roman"/>
          <w:sz w:val="23"/>
          <w:szCs w:val="23"/>
          <w:lang w:val="tr-TR"/>
        </w:rPr>
        <w:t xml:space="preserve">, (ii) </w:t>
      </w:r>
      <w:r w:rsidR="00FB5FF9" w:rsidRPr="001A4B94">
        <w:rPr>
          <w:rFonts w:ascii="Times New Roman" w:hAnsi="Times New Roman"/>
          <w:sz w:val="23"/>
          <w:szCs w:val="23"/>
          <w:lang w:val="tr-TR"/>
        </w:rPr>
        <w:t xml:space="preserve">bankalarca </w:t>
      </w:r>
      <w:r w:rsidR="00E77D20" w:rsidRPr="001A4B94">
        <w:rPr>
          <w:rFonts w:ascii="Times New Roman" w:hAnsi="Times New Roman"/>
          <w:sz w:val="23"/>
          <w:szCs w:val="23"/>
          <w:lang w:val="tr-TR"/>
        </w:rPr>
        <w:t xml:space="preserve">güvenilir projelerin daha iyi tespit edilebilmesi için şirket ve OSB düzeylerinde olurluk incelemeleri </w:t>
      </w:r>
      <w:r w:rsidR="004F0BC2" w:rsidRPr="001A4B94">
        <w:rPr>
          <w:rFonts w:ascii="Times New Roman" w:hAnsi="Times New Roman"/>
          <w:sz w:val="23"/>
          <w:szCs w:val="23"/>
          <w:lang w:val="tr-TR"/>
        </w:rPr>
        <w:t>(</w:t>
      </w:r>
      <w:r w:rsidR="00E77D20" w:rsidRPr="001A4B94">
        <w:rPr>
          <w:rFonts w:ascii="Times New Roman" w:hAnsi="Times New Roman"/>
          <w:sz w:val="23"/>
          <w:szCs w:val="23"/>
          <w:lang w:val="tr-TR"/>
        </w:rPr>
        <w:t>maliyet-fayda analizleri</w:t>
      </w:r>
      <w:r w:rsidR="004F0BC2" w:rsidRPr="001A4B94">
        <w:rPr>
          <w:rFonts w:ascii="Times New Roman" w:hAnsi="Times New Roman"/>
          <w:sz w:val="23"/>
          <w:szCs w:val="23"/>
          <w:lang w:val="tr-TR"/>
        </w:rPr>
        <w:t xml:space="preserve">) </w:t>
      </w:r>
      <w:r w:rsidR="00E77D20" w:rsidRPr="001A4B94">
        <w:rPr>
          <w:rFonts w:ascii="Times New Roman" w:hAnsi="Times New Roman"/>
          <w:sz w:val="23"/>
          <w:szCs w:val="23"/>
          <w:lang w:val="tr-TR"/>
        </w:rPr>
        <w:t xml:space="preserve">ve </w:t>
      </w:r>
      <w:r w:rsidR="004F0BC2" w:rsidRPr="001A4B94">
        <w:rPr>
          <w:rFonts w:ascii="Times New Roman" w:hAnsi="Times New Roman"/>
          <w:sz w:val="23"/>
          <w:szCs w:val="23"/>
          <w:lang w:val="tr-TR"/>
        </w:rPr>
        <w:t xml:space="preserve">(iii) </w:t>
      </w:r>
      <w:r w:rsidR="00E77D20" w:rsidRPr="001A4B94">
        <w:rPr>
          <w:rFonts w:ascii="Times New Roman" w:hAnsi="Times New Roman"/>
          <w:sz w:val="23"/>
          <w:szCs w:val="23"/>
          <w:lang w:val="tr-TR"/>
        </w:rPr>
        <w:t xml:space="preserve">Türkiye için Yeşil OSB’ler hakkında kapsamlı bir ulusal çerçevenin geliştirilmesi </w:t>
      </w:r>
      <w:r w:rsidR="00B91541" w:rsidRPr="001A4B94">
        <w:rPr>
          <w:rFonts w:ascii="Times New Roman" w:hAnsi="Times New Roman"/>
          <w:sz w:val="23"/>
          <w:szCs w:val="23"/>
          <w:lang w:val="tr-TR"/>
        </w:rPr>
        <w:t>yoluyla Türkiye’nin imalat şirketlerinin rekabet güçlerinin, üretkenliklerinin ve sürdürülebilirliklerinin arttırılmasına katkıda bulunacaktır</w:t>
      </w:r>
      <w:r w:rsidR="004F0BC2" w:rsidRPr="001A4B94">
        <w:rPr>
          <w:rFonts w:ascii="Times New Roman" w:hAnsi="Times New Roman"/>
          <w:sz w:val="23"/>
          <w:szCs w:val="23"/>
          <w:lang w:val="tr-TR"/>
        </w:rPr>
        <w:t>.</w:t>
      </w:r>
    </w:p>
    <w:p w14:paraId="260292B7" w14:textId="2412A667" w:rsidR="002D0B2A" w:rsidRPr="001A4B94" w:rsidRDefault="000A1CFF" w:rsidP="002D0B2A">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eastAsiaTheme="minorEastAsia" w:hAnsi="Times New Roman"/>
          <w:b/>
          <w:sz w:val="23"/>
          <w:szCs w:val="23"/>
          <w:lang w:val="tr-TR"/>
        </w:rPr>
        <w:lastRenderedPageBreak/>
        <w:t xml:space="preserve">Odak Alanı </w:t>
      </w:r>
      <w:r w:rsidR="002D0B2A" w:rsidRPr="001A4B94">
        <w:rPr>
          <w:rFonts w:ascii="Times New Roman" w:eastAsiaTheme="minorEastAsia" w:hAnsi="Times New Roman"/>
          <w:b/>
          <w:sz w:val="23"/>
          <w:szCs w:val="23"/>
          <w:lang w:val="tr-TR"/>
        </w:rPr>
        <w:t xml:space="preserve">2: </w:t>
      </w:r>
      <w:r w:rsidRPr="001A4B94">
        <w:rPr>
          <w:rFonts w:ascii="Times New Roman" w:eastAsiaTheme="minorEastAsia" w:hAnsi="Times New Roman"/>
          <w:b/>
          <w:sz w:val="23"/>
          <w:szCs w:val="23"/>
          <w:lang w:val="tr-TR"/>
        </w:rPr>
        <w:t>Kapsama</w:t>
      </w:r>
    </w:p>
    <w:p w14:paraId="4BC343BB" w14:textId="77777777" w:rsidR="002D0B2A" w:rsidRPr="001A4B94" w:rsidRDefault="002D0B2A" w:rsidP="002D0B2A">
      <w:pPr>
        <w:pStyle w:val="ListeParagraf"/>
        <w:rPr>
          <w:rFonts w:ascii="Times New Roman" w:hAnsi="Times New Roman"/>
          <w:bCs/>
          <w:sz w:val="12"/>
          <w:szCs w:val="12"/>
          <w:lang w:val="tr-TR"/>
        </w:rPr>
      </w:pPr>
    </w:p>
    <w:p w14:paraId="677AE9BC" w14:textId="79703AD2" w:rsidR="00F40230" w:rsidRPr="001A4B94" w:rsidRDefault="000A1CFF" w:rsidP="00123A12">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 xml:space="preserve">Bu alandaki Dünya Bankası Grubu desteği bir yandan </w:t>
      </w:r>
      <w:r w:rsidR="003E2558" w:rsidRPr="001A4B94">
        <w:rPr>
          <w:rFonts w:ascii="Times New Roman" w:hAnsi="Times New Roman"/>
          <w:b/>
          <w:iCs/>
          <w:sz w:val="23"/>
          <w:szCs w:val="23"/>
          <w:lang w:val="tr-TR"/>
        </w:rPr>
        <w:t xml:space="preserve">Türkiye’nin </w:t>
      </w:r>
      <w:r w:rsidRPr="001A4B94">
        <w:rPr>
          <w:rFonts w:ascii="Times New Roman" w:hAnsi="Times New Roman"/>
          <w:b/>
          <w:iCs/>
          <w:sz w:val="23"/>
          <w:szCs w:val="23"/>
          <w:lang w:val="tr-TR"/>
        </w:rPr>
        <w:t>ikiz hedeflere ulaşma doğrultusundaki ba</w:t>
      </w:r>
      <w:r w:rsidR="003E2558" w:rsidRPr="001A4B94">
        <w:rPr>
          <w:rFonts w:ascii="Times New Roman" w:hAnsi="Times New Roman"/>
          <w:b/>
          <w:iCs/>
          <w:sz w:val="23"/>
          <w:szCs w:val="23"/>
          <w:lang w:val="tr-TR"/>
        </w:rPr>
        <w:t>ş</w:t>
      </w:r>
      <w:r w:rsidRPr="001A4B94">
        <w:rPr>
          <w:rFonts w:ascii="Times New Roman" w:hAnsi="Times New Roman"/>
          <w:b/>
          <w:iCs/>
          <w:sz w:val="23"/>
          <w:szCs w:val="23"/>
          <w:lang w:val="tr-TR"/>
        </w:rPr>
        <w:t>arısını konsoli</w:t>
      </w:r>
      <w:r w:rsidR="00013318" w:rsidRPr="001A4B94">
        <w:rPr>
          <w:rFonts w:ascii="Times New Roman" w:hAnsi="Times New Roman"/>
          <w:b/>
          <w:iCs/>
          <w:sz w:val="23"/>
          <w:szCs w:val="23"/>
          <w:lang w:val="tr-TR"/>
        </w:rPr>
        <w:t>d</w:t>
      </w:r>
      <w:r w:rsidRPr="001A4B94">
        <w:rPr>
          <w:rFonts w:ascii="Times New Roman" w:hAnsi="Times New Roman"/>
          <w:b/>
          <w:iCs/>
          <w:sz w:val="23"/>
          <w:szCs w:val="23"/>
          <w:lang w:val="tr-TR"/>
        </w:rPr>
        <w:t>e etmeyi, diğer yanda</w:t>
      </w:r>
      <w:r w:rsidR="003E2558" w:rsidRPr="001A4B94">
        <w:rPr>
          <w:rFonts w:ascii="Times New Roman" w:hAnsi="Times New Roman"/>
          <w:b/>
          <w:iCs/>
          <w:sz w:val="23"/>
          <w:szCs w:val="23"/>
          <w:lang w:val="tr-TR"/>
        </w:rPr>
        <w:t>n geride kalanlara ulaşma yönündeki çabaları desteklemeyi amaçlamaktadır</w:t>
      </w:r>
      <w:r w:rsidR="000B71BE" w:rsidRPr="001A4B94">
        <w:rPr>
          <w:rFonts w:ascii="Times New Roman" w:hAnsi="Times New Roman"/>
          <w:b/>
          <w:iCs/>
          <w:sz w:val="23"/>
          <w:szCs w:val="23"/>
          <w:lang w:val="tr-TR"/>
        </w:rPr>
        <w:t>.</w:t>
      </w:r>
      <w:r w:rsidR="000B71BE" w:rsidRPr="001A4B94">
        <w:rPr>
          <w:rFonts w:ascii="Times New Roman" w:hAnsi="Times New Roman"/>
          <w:iCs/>
          <w:sz w:val="23"/>
          <w:szCs w:val="23"/>
          <w:lang w:val="tr-TR"/>
        </w:rPr>
        <w:t xml:space="preserve">  </w:t>
      </w:r>
      <w:r w:rsidR="003E2558" w:rsidRPr="001A4B94">
        <w:rPr>
          <w:rFonts w:ascii="Times New Roman" w:hAnsi="Times New Roman"/>
          <w:sz w:val="23"/>
          <w:szCs w:val="23"/>
          <w:lang w:val="tr-TR"/>
        </w:rPr>
        <w:t xml:space="preserve">Bunun için, giderek artan sayıdaki işgücü için iyi işler yaratarak </w:t>
      </w:r>
      <w:r w:rsidR="00502510" w:rsidRPr="001A4B94">
        <w:rPr>
          <w:rFonts w:ascii="Times New Roman" w:hAnsi="Times New Roman"/>
          <w:sz w:val="23"/>
          <w:szCs w:val="23"/>
          <w:lang w:val="tr-TR"/>
        </w:rPr>
        <w:t>demografik avantajdan yararlanmak ve bu kapsamda kadınların, ge</w:t>
      </w:r>
      <w:r w:rsidR="00123A12" w:rsidRPr="001A4B94">
        <w:rPr>
          <w:rFonts w:ascii="Times New Roman" w:hAnsi="Times New Roman"/>
          <w:sz w:val="23"/>
          <w:szCs w:val="23"/>
          <w:lang w:val="tr-TR"/>
        </w:rPr>
        <w:t>n</w:t>
      </w:r>
      <w:r w:rsidR="00013318" w:rsidRPr="001A4B94">
        <w:rPr>
          <w:rFonts w:ascii="Times New Roman" w:hAnsi="Times New Roman"/>
          <w:sz w:val="23"/>
          <w:szCs w:val="23"/>
          <w:lang w:val="tr-TR"/>
        </w:rPr>
        <w:t>çlerin ve G</w:t>
      </w:r>
      <w:r w:rsidR="00502510" w:rsidRPr="001A4B94">
        <w:rPr>
          <w:rFonts w:ascii="Times New Roman" w:hAnsi="Times New Roman"/>
          <w:sz w:val="23"/>
          <w:szCs w:val="23"/>
          <w:lang w:val="tr-TR"/>
        </w:rPr>
        <w:t xml:space="preserve">KSS’lerin işgücüne daha iyi bir şekilde entegre edilmesi, devam etmekte olan cinsiyet eşitsizliklerinin azaltılması </w:t>
      </w:r>
      <w:r w:rsidR="00F40230" w:rsidRPr="001A4B94">
        <w:rPr>
          <w:rFonts w:ascii="Times New Roman" w:hAnsi="Times New Roman"/>
          <w:sz w:val="23"/>
          <w:szCs w:val="23"/>
          <w:lang w:val="tr-TR"/>
        </w:rPr>
        <w:t>(</w:t>
      </w:r>
      <w:r w:rsidR="00502510" w:rsidRPr="001A4B94">
        <w:rPr>
          <w:rFonts w:ascii="Times New Roman" w:hAnsi="Times New Roman"/>
          <w:sz w:val="23"/>
          <w:szCs w:val="23"/>
          <w:lang w:val="tr-TR"/>
        </w:rPr>
        <w:t>özellikle ekonomik fırsatlara erişimde</w:t>
      </w:r>
      <w:r w:rsidR="00F40230" w:rsidRPr="001A4B94">
        <w:rPr>
          <w:rFonts w:ascii="Times New Roman" w:hAnsi="Times New Roman"/>
          <w:sz w:val="23"/>
          <w:szCs w:val="23"/>
          <w:lang w:val="tr-TR"/>
        </w:rPr>
        <w:t xml:space="preserve">), </w:t>
      </w:r>
      <w:r w:rsidR="00502510" w:rsidRPr="001A4B94">
        <w:rPr>
          <w:rFonts w:ascii="Times New Roman" w:hAnsi="Times New Roman"/>
          <w:sz w:val="23"/>
          <w:szCs w:val="23"/>
          <w:lang w:val="tr-TR"/>
        </w:rPr>
        <w:t>bölgeler arası işgücü piyasası eşitsizliklerinin azaltılm</w:t>
      </w:r>
      <w:r w:rsidR="00013318" w:rsidRPr="001A4B94">
        <w:rPr>
          <w:rFonts w:ascii="Times New Roman" w:hAnsi="Times New Roman"/>
          <w:sz w:val="23"/>
          <w:szCs w:val="23"/>
          <w:lang w:val="tr-TR"/>
        </w:rPr>
        <w:t>a</w:t>
      </w:r>
      <w:r w:rsidR="00502510" w:rsidRPr="001A4B94">
        <w:rPr>
          <w:rFonts w:ascii="Times New Roman" w:hAnsi="Times New Roman"/>
          <w:sz w:val="23"/>
          <w:szCs w:val="23"/>
          <w:lang w:val="tr-TR"/>
        </w:rPr>
        <w:t xml:space="preserve">sı ve öğrenme seviyelerinin yükseltilmesi </w:t>
      </w:r>
      <w:r w:rsidR="00EC7415" w:rsidRPr="001A4B94">
        <w:rPr>
          <w:rFonts w:ascii="Times New Roman" w:hAnsi="Times New Roman"/>
          <w:sz w:val="23"/>
          <w:szCs w:val="23"/>
          <w:lang w:val="tr-TR"/>
        </w:rPr>
        <w:t>(özellikle işyerinde ihtiyaç duyulan bilişsel ve davranışsal beceril</w:t>
      </w:r>
      <w:r w:rsidR="00013318" w:rsidRPr="001A4B94">
        <w:rPr>
          <w:rFonts w:ascii="Times New Roman" w:hAnsi="Times New Roman"/>
          <w:sz w:val="23"/>
          <w:szCs w:val="23"/>
          <w:lang w:val="tr-TR"/>
        </w:rPr>
        <w:t>e</w:t>
      </w:r>
      <w:r w:rsidR="00EC7415" w:rsidRPr="001A4B94">
        <w:rPr>
          <w:rFonts w:ascii="Times New Roman" w:hAnsi="Times New Roman"/>
          <w:sz w:val="23"/>
          <w:szCs w:val="23"/>
          <w:lang w:val="tr-TR"/>
        </w:rPr>
        <w:t>rin gelişiminin optimal düzeyde olduğu en genç yaşlarda</w:t>
      </w:r>
      <w:r w:rsidR="00EC7415" w:rsidRPr="001A4B94">
        <w:rPr>
          <w:rFonts w:ascii="Times New Roman" w:hAnsi="Times New Roman"/>
          <w:sz w:val="23"/>
          <w:szCs w:val="23"/>
          <w:lang w:val="tr-TR" w:eastAsia="tr-TR"/>
        </w:rPr>
        <w:t xml:space="preserve">) </w:t>
      </w:r>
      <w:r w:rsidR="00502510" w:rsidRPr="001A4B94">
        <w:rPr>
          <w:rFonts w:ascii="Times New Roman" w:hAnsi="Times New Roman"/>
          <w:sz w:val="23"/>
          <w:szCs w:val="23"/>
          <w:lang w:val="tr-TR"/>
        </w:rPr>
        <w:t>gerekmektedir</w:t>
      </w:r>
      <w:r w:rsidR="00F40230" w:rsidRPr="001A4B94">
        <w:rPr>
          <w:rFonts w:ascii="Times New Roman" w:hAnsi="Times New Roman"/>
          <w:sz w:val="23"/>
          <w:szCs w:val="23"/>
          <w:lang w:val="tr-TR"/>
        </w:rPr>
        <w:t xml:space="preserve">. </w:t>
      </w:r>
      <w:r w:rsidR="00EC7415" w:rsidRPr="001A4B94">
        <w:rPr>
          <w:rFonts w:ascii="Times New Roman" w:hAnsi="Times New Roman"/>
          <w:iCs/>
          <w:sz w:val="23"/>
          <w:szCs w:val="23"/>
          <w:lang w:val="tr-TR"/>
        </w:rPr>
        <w:t xml:space="preserve">Dünya Bankası Grubu’nun </w:t>
      </w:r>
      <w:r w:rsidR="00EC7415" w:rsidRPr="001A4B94">
        <w:rPr>
          <w:rFonts w:ascii="Times New Roman" w:hAnsi="Times New Roman"/>
          <w:bCs/>
          <w:sz w:val="23"/>
          <w:szCs w:val="23"/>
          <w:lang w:val="tr-TR"/>
        </w:rPr>
        <w:t>bu odak a</w:t>
      </w:r>
      <w:r w:rsidR="00013318" w:rsidRPr="001A4B94">
        <w:rPr>
          <w:rFonts w:ascii="Times New Roman" w:hAnsi="Times New Roman"/>
          <w:bCs/>
          <w:sz w:val="23"/>
          <w:szCs w:val="23"/>
          <w:lang w:val="tr-TR"/>
        </w:rPr>
        <w:t>l</w:t>
      </w:r>
      <w:r w:rsidR="00EC7415" w:rsidRPr="001A4B94">
        <w:rPr>
          <w:rFonts w:ascii="Times New Roman" w:hAnsi="Times New Roman"/>
          <w:bCs/>
          <w:sz w:val="23"/>
          <w:szCs w:val="23"/>
          <w:lang w:val="tr-TR"/>
        </w:rPr>
        <w:t xml:space="preserve">anında bugüne kadar uyguladığı program </w:t>
      </w:r>
      <w:r w:rsidR="006C1F73" w:rsidRPr="001A4B94">
        <w:rPr>
          <w:rFonts w:ascii="Times New Roman" w:hAnsi="Times New Roman"/>
          <w:bCs/>
          <w:sz w:val="23"/>
          <w:szCs w:val="23"/>
          <w:lang w:val="tr-TR"/>
        </w:rPr>
        <w:t xml:space="preserve">hükümet tarafından finanse edilen </w:t>
      </w:r>
      <w:r w:rsidR="004927B9" w:rsidRPr="001A4B94">
        <w:rPr>
          <w:rFonts w:ascii="Times New Roman" w:hAnsi="Times New Roman"/>
          <w:bCs/>
          <w:sz w:val="23"/>
          <w:szCs w:val="23"/>
          <w:lang w:val="tr-TR"/>
        </w:rPr>
        <w:t xml:space="preserve">programlar (ve DPL’ler) için bilgi girdisi sağlayan ve </w:t>
      </w:r>
      <w:r w:rsidR="00123A12" w:rsidRPr="001A4B94">
        <w:rPr>
          <w:rFonts w:ascii="Times New Roman" w:hAnsi="Times New Roman"/>
          <w:bCs/>
          <w:sz w:val="23"/>
          <w:szCs w:val="23"/>
          <w:lang w:val="tr-TR"/>
        </w:rPr>
        <w:t>hükümetin bu alanda gerçekleştirilen reformlardan çoğu için bilgi sağlamadaki rolü sebebiyle bu ortak çalı</w:t>
      </w:r>
      <w:r w:rsidR="00013318" w:rsidRPr="001A4B94">
        <w:rPr>
          <w:rFonts w:ascii="Times New Roman" w:hAnsi="Times New Roman"/>
          <w:bCs/>
          <w:sz w:val="23"/>
          <w:szCs w:val="23"/>
          <w:lang w:val="tr-TR"/>
        </w:rPr>
        <w:t>ş</w:t>
      </w:r>
      <w:r w:rsidR="00123A12" w:rsidRPr="001A4B94">
        <w:rPr>
          <w:rFonts w:ascii="Times New Roman" w:hAnsi="Times New Roman"/>
          <w:bCs/>
          <w:sz w:val="23"/>
          <w:szCs w:val="23"/>
          <w:lang w:val="tr-TR"/>
        </w:rPr>
        <w:t>maların merk</w:t>
      </w:r>
      <w:r w:rsidR="00013318" w:rsidRPr="001A4B94">
        <w:rPr>
          <w:rFonts w:ascii="Times New Roman" w:hAnsi="Times New Roman"/>
          <w:bCs/>
          <w:sz w:val="23"/>
          <w:szCs w:val="23"/>
          <w:lang w:val="tr-TR"/>
        </w:rPr>
        <w:t>e</w:t>
      </w:r>
      <w:r w:rsidR="00123A12" w:rsidRPr="001A4B94">
        <w:rPr>
          <w:rFonts w:ascii="Times New Roman" w:hAnsi="Times New Roman"/>
          <w:bCs/>
          <w:sz w:val="23"/>
          <w:szCs w:val="23"/>
          <w:lang w:val="tr-TR"/>
        </w:rPr>
        <w:t>zinde yer almak istediği ASA faaliyetl</w:t>
      </w:r>
      <w:r w:rsidR="00013318" w:rsidRPr="001A4B94">
        <w:rPr>
          <w:rFonts w:ascii="Times New Roman" w:hAnsi="Times New Roman"/>
          <w:bCs/>
          <w:sz w:val="23"/>
          <w:szCs w:val="23"/>
          <w:lang w:val="tr-TR"/>
        </w:rPr>
        <w:t>e</w:t>
      </w:r>
      <w:r w:rsidR="00123A12" w:rsidRPr="001A4B94">
        <w:rPr>
          <w:rFonts w:ascii="Times New Roman" w:hAnsi="Times New Roman"/>
          <w:bCs/>
          <w:sz w:val="23"/>
          <w:szCs w:val="23"/>
          <w:lang w:val="tr-TR"/>
        </w:rPr>
        <w:t>ri üzer</w:t>
      </w:r>
      <w:r w:rsidR="00013318" w:rsidRPr="001A4B94">
        <w:rPr>
          <w:rFonts w:ascii="Times New Roman" w:hAnsi="Times New Roman"/>
          <w:bCs/>
          <w:sz w:val="23"/>
          <w:szCs w:val="23"/>
          <w:lang w:val="tr-TR"/>
        </w:rPr>
        <w:t>i</w:t>
      </w:r>
      <w:r w:rsidR="00123A12" w:rsidRPr="001A4B94">
        <w:rPr>
          <w:rFonts w:ascii="Times New Roman" w:hAnsi="Times New Roman"/>
          <w:bCs/>
          <w:sz w:val="23"/>
          <w:szCs w:val="23"/>
          <w:lang w:val="tr-TR"/>
        </w:rPr>
        <w:t>n</w:t>
      </w:r>
      <w:r w:rsidR="00013318" w:rsidRPr="001A4B94">
        <w:rPr>
          <w:rFonts w:ascii="Times New Roman" w:hAnsi="Times New Roman"/>
          <w:bCs/>
          <w:sz w:val="23"/>
          <w:szCs w:val="23"/>
          <w:lang w:val="tr-TR"/>
        </w:rPr>
        <w:t>d</w:t>
      </w:r>
      <w:r w:rsidR="00123A12" w:rsidRPr="001A4B94">
        <w:rPr>
          <w:rFonts w:ascii="Times New Roman" w:hAnsi="Times New Roman"/>
          <w:bCs/>
          <w:sz w:val="23"/>
          <w:szCs w:val="23"/>
          <w:lang w:val="tr-TR"/>
        </w:rPr>
        <w:t>e odaklanmaktaydı</w:t>
      </w:r>
      <w:r w:rsidR="000B71BE" w:rsidRPr="001A4B94">
        <w:rPr>
          <w:rFonts w:ascii="Times New Roman" w:hAnsi="Times New Roman"/>
          <w:iCs/>
          <w:sz w:val="23"/>
          <w:szCs w:val="23"/>
          <w:lang w:val="tr-TR"/>
        </w:rPr>
        <w:t xml:space="preserve">. </w:t>
      </w:r>
      <w:r w:rsidR="00BD695B" w:rsidRPr="001A4B94">
        <w:rPr>
          <w:rFonts w:ascii="Times New Roman" w:hAnsi="Times New Roman"/>
          <w:iCs/>
          <w:sz w:val="23"/>
          <w:szCs w:val="23"/>
          <w:lang w:val="tr-TR"/>
        </w:rPr>
        <w:t>Sadece bu Odak Alanını değil Dünya Bank</w:t>
      </w:r>
      <w:r w:rsidR="00F9564F" w:rsidRPr="001A4B94">
        <w:rPr>
          <w:rFonts w:ascii="Times New Roman" w:hAnsi="Times New Roman"/>
          <w:iCs/>
          <w:sz w:val="23"/>
          <w:szCs w:val="23"/>
          <w:lang w:val="tr-TR"/>
        </w:rPr>
        <w:t>a</w:t>
      </w:r>
      <w:r w:rsidR="00BD695B" w:rsidRPr="001A4B94">
        <w:rPr>
          <w:rFonts w:ascii="Times New Roman" w:hAnsi="Times New Roman"/>
          <w:iCs/>
          <w:sz w:val="23"/>
          <w:szCs w:val="23"/>
          <w:lang w:val="tr-TR"/>
        </w:rPr>
        <w:t>sı Grubu programını</w:t>
      </w:r>
      <w:r w:rsidR="00D5223F" w:rsidRPr="001A4B94">
        <w:rPr>
          <w:rFonts w:ascii="Times New Roman" w:hAnsi="Times New Roman"/>
          <w:iCs/>
          <w:sz w:val="23"/>
          <w:szCs w:val="23"/>
          <w:lang w:val="tr-TR"/>
        </w:rPr>
        <w:t>n</w:t>
      </w:r>
      <w:r w:rsidR="00BD695B" w:rsidRPr="001A4B94">
        <w:rPr>
          <w:rFonts w:ascii="Times New Roman" w:hAnsi="Times New Roman"/>
          <w:iCs/>
          <w:sz w:val="23"/>
          <w:szCs w:val="23"/>
          <w:lang w:val="tr-TR"/>
        </w:rPr>
        <w:t xml:space="preserve"> tamamını kapsayan eşitlik, kırılganlık ve bölgesel eşitsizlikler gibi geniş kapsamlı konular, muhtemelen gelecekteki bir CEM veya başka bir ayrıntılı tanılama çalışması yoluyla derinlemesine ASA çalışmalarının konusu olmaya devam edecektir.  DBG programının bu alandaki önemli bir değişikliği </w:t>
      </w:r>
      <w:r w:rsidR="00BD4124" w:rsidRPr="001A4B94">
        <w:rPr>
          <w:rFonts w:ascii="Times New Roman" w:hAnsi="Times New Roman"/>
          <w:iCs/>
          <w:sz w:val="23"/>
          <w:szCs w:val="23"/>
          <w:lang w:val="tr-TR"/>
        </w:rPr>
        <w:t xml:space="preserve">2017 MY’da AB’nin Türkiye’deki Sığınmacılara yönelik Fonu (FRiT) ile finanse edilen yeni yatırım operasyonlarının uygulamaya konulması olmuştur. Söz konusu Fon, </w:t>
      </w:r>
      <w:r w:rsidR="00065840" w:rsidRPr="001A4B94">
        <w:rPr>
          <w:rFonts w:ascii="Times New Roman" w:hAnsi="Times New Roman"/>
          <w:sz w:val="23"/>
          <w:szCs w:val="23"/>
          <w:lang w:val="tr-TR"/>
        </w:rPr>
        <w:t xml:space="preserve"> </w:t>
      </w:r>
      <w:r w:rsidR="00BD4124" w:rsidRPr="001A4B94">
        <w:rPr>
          <w:rFonts w:ascii="Times New Roman" w:hAnsi="Times New Roman"/>
          <w:sz w:val="23"/>
          <w:szCs w:val="23"/>
          <w:lang w:val="tr-TR"/>
        </w:rPr>
        <w:t>GKSS’lere yapılan ev sahipliğini desteklemeye devam etmek için AB’n</w:t>
      </w:r>
      <w:r w:rsidR="00546E19" w:rsidRPr="001A4B94">
        <w:rPr>
          <w:rFonts w:ascii="Times New Roman" w:hAnsi="Times New Roman"/>
          <w:sz w:val="23"/>
          <w:szCs w:val="23"/>
          <w:lang w:val="tr-TR"/>
        </w:rPr>
        <w:t>i</w:t>
      </w:r>
      <w:r w:rsidR="00BD4124" w:rsidRPr="001A4B94">
        <w:rPr>
          <w:rFonts w:ascii="Times New Roman" w:hAnsi="Times New Roman"/>
          <w:sz w:val="23"/>
          <w:szCs w:val="23"/>
          <w:lang w:val="tr-TR"/>
        </w:rPr>
        <w:t xml:space="preserve">n Türkiye’ye taahhüt ettiği yardımın çerçevesini oluşturtmaktadır. </w:t>
      </w:r>
      <w:r w:rsidR="004A1C81" w:rsidRPr="001A4B94">
        <w:rPr>
          <w:rFonts w:ascii="Times New Roman" w:hAnsi="Times New Roman"/>
          <w:sz w:val="23"/>
          <w:szCs w:val="23"/>
          <w:lang w:val="tr-TR"/>
        </w:rPr>
        <w:t xml:space="preserve">FRiT </w:t>
      </w:r>
      <w:r w:rsidR="00BD4124" w:rsidRPr="001A4B94">
        <w:rPr>
          <w:rFonts w:ascii="Times New Roman" w:hAnsi="Times New Roman"/>
          <w:sz w:val="23"/>
          <w:szCs w:val="23"/>
          <w:lang w:val="tr-TR"/>
        </w:rPr>
        <w:t xml:space="preserve">finansmanı DBG’nin bir yandan ASA faaliyetlerini yatırım projeleri yoluyla daha derinlemesine bir destek ile tamamlamasına olanak tanırken, aynı zamanda DBG ile AB arasındaki işbirliğini güçlendirmiştir. </w:t>
      </w:r>
    </w:p>
    <w:p w14:paraId="3B43EA9F" w14:textId="77777777" w:rsidR="004D3EDC" w:rsidRPr="001A4B94" w:rsidRDefault="004D3EDC" w:rsidP="00542475">
      <w:pPr>
        <w:ind w:left="360"/>
        <w:rPr>
          <w:b/>
          <w:bCs/>
          <w:sz w:val="23"/>
          <w:szCs w:val="23"/>
          <w:u w:val="single"/>
          <w:lang w:val="tr-TR"/>
        </w:rPr>
      </w:pPr>
    </w:p>
    <w:p w14:paraId="0D55E63C" w14:textId="6727413E" w:rsidR="00542475" w:rsidRPr="001A4B94" w:rsidRDefault="00542475" w:rsidP="00542475">
      <w:pPr>
        <w:ind w:left="360"/>
        <w:rPr>
          <w:b/>
          <w:bCs/>
          <w:sz w:val="23"/>
          <w:szCs w:val="23"/>
          <w:u w:val="single"/>
          <w:lang w:val="tr-TR"/>
        </w:rPr>
      </w:pPr>
      <w:r w:rsidRPr="001A4B94">
        <w:rPr>
          <w:b/>
          <w:bCs/>
          <w:sz w:val="23"/>
          <w:szCs w:val="23"/>
          <w:u w:val="single"/>
          <w:lang w:val="tr-TR"/>
        </w:rPr>
        <w:t xml:space="preserve">CPF </w:t>
      </w:r>
      <w:r w:rsidR="00E4214A" w:rsidRPr="001A4B94">
        <w:rPr>
          <w:b/>
          <w:bCs/>
          <w:sz w:val="23"/>
          <w:szCs w:val="23"/>
          <w:u w:val="single"/>
          <w:lang w:val="tr-TR"/>
        </w:rPr>
        <w:t xml:space="preserve">Amacı </w:t>
      </w:r>
      <w:r w:rsidRPr="001A4B94">
        <w:rPr>
          <w:b/>
          <w:bCs/>
          <w:sz w:val="23"/>
          <w:szCs w:val="23"/>
          <w:u w:val="single"/>
          <w:lang w:val="tr-TR"/>
        </w:rPr>
        <w:t xml:space="preserve">4: </w:t>
      </w:r>
      <w:r w:rsidR="00722975" w:rsidRPr="001A4B94">
        <w:rPr>
          <w:b/>
          <w:bCs/>
          <w:sz w:val="23"/>
          <w:szCs w:val="23"/>
          <w:u w:val="single"/>
          <w:lang w:val="tr-TR"/>
        </w:rPr>
        <w:t>Sosyal Yardımların Etkililiğinin</w:t>
      </w:r>
      <w:r w:rsidR="00E4214A" w:rsidRPr="001A4B94">
        <w:rPr>
          <w:b/>
          <w:bCs/>
          <w:sz w:val="23"/>
          <w:szCs w:val="23"/>
          <w:u w:val="single"/>
          <w:lang w:val="tr-TR"/>
        </w:rPr>
        <w:t xml:space="preserve"> Arttırılması </w:t>
      </w:r>
    </w:p>
    <w:p w14:paraId="0DDDB42D" w14:textId="77777777" w:rsidR="00542475" w:rsidRPr="001A4B94" w:rsidRDefault="00542475" w:rsidP="00542475">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tbl>
      <w:tblPr>
        <w:tblW w:w="0" w:type="auto"/>
        <w:tblCellMar>
          <w:left w:w="0" w:type="dxa"/>
          <w:right w:w="0" w:type="dxa"/>
        </w:tblCellMar>
        <w:tblLook w:val="04A0" w:firstRow="1" w:lastRow="0" w:firstColumn="1" w:lastColumn="0" w:noHBand="0" w:noVBand="1"/>
      </w:tblPr>
      <w:tblGrid>
        <w:gridCol w:w="9340"/>
      </w:tblGrid>
      <w:tr w:rsidR="00542475" w:rsidRPr="001A4B94" w14:paraId="5E4CEDD7" w14:textId="77777777" w:rsidTr="0082056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1C69A" w14:textId="774CA2C9" w:rsidR="00542475" w:rsidRPr="001A4B94" w:rsidRDefault="00E4214A" w:rsidP="00820564">
            <w:pPr>
              <w:jc w:val="both"/>
              <w:rPr>
                <w:b/>
                <w:sz w:val="22"/>
                <w:lang w:val="tr-TR"/>
              </w:rPr>
            </w:pPr>
            <w:r w:rsidRPr="001A4B94">
              <w:rPr>
                <w:b/>
                <w:sz w:val="22"/>
                <w:lang w:val="tr-TR"/>
              </w:rPr>
              <w:t xml:space="preserve">Amaç 4 için Sonuç Göstergeleri </w:t>
            </w:r>
          </w:p>
        </w:tc>
      </w:tr>
      <w:tr w:rsidR="00542475" w:rsidRPr="001A4B94" w14:paraId="66E50F64" w14:textId="77777777" w:rsidTr="00820564">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84D4086" w14:textId="50C704CA" w:rsidR="00542475" w:rsidRPr="001A4B94" w:rsidRDefault="00E4214A" w:rsidP="00820564">
            <w:pPr>
              <w:tabs>
                <w:tab w:val="left" w:pos="1142"/>
              </w:tabs>
              <w:ind w:left="-28"/>
              <w:rPr>
                <w:i/>
                <w:sz w:val="22"/>
                <w:lang w:val="tr-TR"/>
              </w:rPr>
            </w:pPr>
            <w:r w:rsidRPr="001A4B94">
              <w:rPr>
                <w:i/>
                <w:sz w:val="22"/>
                <w:lang w:val="tr-TR"/>
              </w:rPr>
              <w:t xml:space="preserve">Sosyal yardımların yoksulluk uçurumu üzerindeki etkisinde kaydedilen artış </w:t>
            </w:r>
          </w:p>
          <w:p w14:paraId="56B13257" w14:textId="62B39154" w:rsidR="00542475" w:rsidRPr="001A4B94" w:rsidRDefault="00E4214A" w:rsidP="00820564">
            <w:pPr>
              <w:tabs>
                <w:tab w:val="left" w:pos="1142"/>
              </w:tabs>
              <w:ind w:left="-28"/>
              <w:rPr>
                <w:i/>
                <w:sz w:val="22"/>
                <w:lang w:val="tr-TR"/>
              </w:rPr>
            </w:pPr>
            <w:r w:rsidRPr="001A4B94">
              <w:rPr>
                <w:i/>
                <w:sz w:val="22"/>
                <w:lang w:val="tr-TR"/>
              </w:rPr>
              <w:t>Refah ve kapsayıcılık ile ilgili parasal ve parasal olmay</w:t>
            </w:r>
            <w:r w:rsidR="00722975" w:rsidRPr="001A4B94">
              <w:rPr>
                <w:i/>
                <w:sz w:val="22"/>
                <w:lang w:val="tr-TR"/>
              </w:rPr>
              <w:t>an göstergel</w:t>
            </w:r>
            <w:r w:rsidRPr="001A4B94">
              <w:rPr>
                <w:i/>
                <w:sz w:val="22"/>
                <w:lang w:val="tr-TR"/>
              </w:rPr>
              <w:t>erdeki artış</w:t>
            </w:r>
            <w:r w:rsidR="00542475" w:rsidRPr="001A4B94">
              <w:rPr>
                <w:i/>
                <w:sz w:val="22"/>
                <w:lang w:val="tr-TR"/>
              </w:rPr>
              <w:t>.</w:t>
            </w:r>
          </w:p>
        </w:tc>
      </w:tr>
    </w:tbl>
    <w:p w14:paraId="062FECAB" w14:textId="77777777" w:rsidR="00542475" w:rsidRPr="001A4B94" w:rsidRDefault="00542475" w:rsidP="00542475">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50D2718A" w14:textId="640B61AD" w:rsidR="00542475" w:rsidRPr="001A4B94" w:rsidRDefault="00E4214A" w:rsidP="0054247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bCs/>
          <w:sz w:val="23"/>
          <w:szCs w:val="23"/>
          <w:lang w:val="tr-TR"/>
        </w:rPr>
        <w:t xml:space="preserve">Bu </w:t>
      </w:r>
      <w:r w:rsidR="0023413B" w:rsidRPr="001A4B94">
        <w:rPr>
          <w:rFonts w:ascii="Times New Roman" w:hAnsi="Times New Roman"/>
          <w:b/>
          <w:bCs/>
          <w:sz w:val="23"/>
          <w:szCs w:val="23"/>
          <w:lang w:val="tr-TR"/>
        </w:rPr>
        <w:t xml:space="preserve">CPF </w:t>
      </w:r>
      <w:r w:rsidRPr="001A4B94">
        <w:rPr>
          <w:rFonts w:ascii="Times New Roman" w:hAnsi="Times New Roman"/>
          <w:b/>
          <w:bCs/>
          <w:sz w:val="23"/>
          <w:szCs w:val="23"/>
          <w:lang w:val="tr-TR"/>
        </w:rPr>
        <w:t xml:space="preserve">amacı, sosyal yardımların etkililiğini ve </w:t>
      </w:r>
      <w:r w:rsidR="00722975" w:rsidRPr="001A4B94">
        <w:rPr>
          <w:rFonts w:ascii="Times New Roman" w:hAnsi="Times New Roman"/>
          <w:b/>
          <w:bCs/>
          <w:sz w:val="23"/>
          <w:szCs w:val="23"/>
          <w:lang w:val="tr-TR"/>
        </w:rPr>
        <w:t>etkinliğini</w:t>
      </w:r>
      <w:r w:rsidRPr="001A4B94">
        <w:rPr>
          <w:rFonts w:ascii="Times New Roman" w:hAnsi="Times New Roman"/>
          <w:b/>
          <w:bCs/>
          <w:sz w:val="23"/>
          <w:szCs w:val="23"/>
          <w:lang w:val="tr-TR"/>
        </w:rPr>
        <w:t xml:space="preserve"> arttırmayı, bölgeler arasındaki farkların azaltılmasına yönelik politikalar için kanıt tabanının güçlendirilmesini ve kırılgan grupların daha fazla kapsanmasını sağlamayı hedeflemektedir.</w:t>
      </w:r>
      <w:r w:rsidR="00542475" w:rsidRPr="001A4B94">
        <w:rPr>
          <w:rFonts w:ascii="Times New Roman" w:hAnsi="Times New Roman"/>
          <w:sz w:val="23"/>
          <w:szCs w:val="23"/>
          <w:lang w:val="tr-TR"/>
        </w:rPr>
        <w:t xml:space="preserve">  ASA </w:t>
      </w:r>
      <w:r w:rsidR="00EE1306" w:rsidRPr="001A4B94">
        <w:rPr>
          <w:rFonts w:ascii="Times New Roman" w:hAnsi="Times New Roman"/>
          <w:sz w:val="23"/>
          <w:szCs w:val="23"/>
          <w:lang w:val="tr-TR"/>
        </w:rPr>
        <w:t xml:space="preserve">programı, </w:t>
      </w:r>
      <w:r w:rsidR="00542475" w:rsidRPr="001A4B94">
        <w:rPr>
          <w:rFonts w:ascii="Times New Roman" w:hAnsi="Times New Roman"/>
          <w:sz w:val="23"/>
          <w:szCs w:val="23"/>
          <w:lang w:val="tr-TR"/>
        </w:rPr>
        <w:t xml:space="preserve"> </w:t>
      </w:r>
      <w:r w:rsidR="00EE1306" w:rsidRPr="001A4B94">
        <w:rPr>
          <w:rFonts w:ascii="Times New Roman" w:hAnsi="Times New Roman"/>
          <w:sz w:val="23"/>
          <w:szCs w:val="23"/>
          <w:lang w:val="tr-TR"/>
        </w:rPr>
        <w:t xml:space="preserve">fırsat eşitliği ve çok boyutlu yoksulluk dahil olmak üzere, refah ve kapsayıcılık ile </w:t>
      </w:r>
      <w:r w:rsidR="00722975" w:rsidRPr="001A4B94">
        <w:rPr>
          <w:rFonts w:ascii="Times New Roman" w:hAnsi="Times New Roman"/>
          <w:sz w:val="23"/>
          <w:szCs w:val="23"/>
          <w:lang w:val="tr-TR"/>
        </w:rPr>
        <w:t>ilgili</w:t>
      </w:r>
      <w:r w:rsidR="00EE1306" w:rsidRPr="001A4B94">
        <w:rPr>
          <w:rFonts w:ascii="Times New Roman" w:hAnsi="Times New Roman"/>
          <w:sz w:val="23"/>
          <w:szCs w:val="23"/>
          <w:lang w:val="tr-TR"/>
        </w:rPr>
        <w:t xml:space="preserve"> parasal ve parasal olmayan göstergeler </w:t>
      </w:r>
      <w:r w:rsidR="00722975" w:rsidRPr="001A4B94">
        <w:rPr>
          <w:rFonts w:ascii="Times New Roman" w:hAnsi="Times New Roman"/>
          <w:sz w:val="23"/>
          <w:szCs w:val="23"/>
          <w:lang w:val="tr-TR"/>
        </w:rPr>
        <w:t>üretmeye</w:t>
      </w:r>
      <w:r w:rsidR="00EE1306" w:rsidRPr="001A4B94">
        <w:rPr>
          <w:rFonts w:ascii="Times New Roman" w:hAnsi="Times New Roman"/>
          <w:sz w:val="23"/>
          <w:szCs w:val="23"/>
          <w:lang w:val="tr-TR"/>
        </w:rPr>
        <w:t xml:space="preserve"> ve yaygınlaştırmaya devam edecektir.</w:t>
      </w:r>
      <w:r w:rsidR="00B6274A" w:rsidRPr="001A4B94">
        <w:rPr>
          <w:rFonts w:ascii="Times New Roman" w:hAnsi="Times New Roman"/>
          <w:sz w:val="23"/>
          <w:szCs w:val="23"/>
          <w:lang w:val="tr-TR"/>
        </w:rPr>
        <w:t xml:space="preserve"> </w:t>
      </w:r>
      <w:r w:rsidR="00EE1306" w:rsidRPr="001A4B94">
        <w:rPr>
          <w:rFonts w:ascii="Times New Roman" w:hAnsi="Times New Roman"/>
          <w:sz w:val="23"/>
          <w:szCs w:val="23"/>
          <w:lang w:val="tr-TR"/>
        </w:rPr>
        <w:t>D</w:t>
      </w:r>
      <w:r w:rsidR="00B6274A" w:rsidRPr="001A4B94">
        <w:rPr>
          <w:rFonts w:ascii="Times New Roman" w:hAnsi="Times New Roman"/>
          <w:sz w:val="23"/>
          <w:szCs w:val="23"/>
          <w:lang w:val="tr-TR"/>
        </w:rPr>
        <w:t xml:space="preserve">BG </w:t>
      </w:r>
      <w:r w:rsidR="00EE1306" w:rsidRPr="001A4B94">
        <w:rPr>
          <w:rFonts w:ascii="Times New Roman" w:hAnsi="Times New Roman"/>
          <w:sz w:val="23"/>
          <w:szCs w:val="23"/>
          <w:lang w:val="tr-TR"/>
        </w:rPr>
        <w:t xml:space="preserve">özellikle </w:t>
      </w:r>
      <w:r w:rsidR="00B95AB0" w:rsidRPr="001A4B94">
        <w:rPr>
          <w:rFonts w:ascii="Times New Roman" w:hAnsi="Times New Roman"/>
          <w:sz w:val="23"/>
          <w:szCs w:val="23"/>
          <w:lang w:val="tr-TR"/>
        </w:rPr>
        <w:t xml:space="preserve">engelliler </w:t>
      </w:r>
      <w:r w:rsidR="00EE1306" w:rsidRPr="001A4B94">
        <w:rPr>
          <w:rFonts w:ascii="Times New Roman" w:hAnsi="Times New Roman"/>
          <w:sz w:val="23"/>
          <w:szCs w:val="23"/>
          <w:lang w:val="tr-TR"/>
        </w:rPr>
        <w:t xml:space="preserve">gibi </w:t>
      </w:r>
      <w:r w:rsidR="00722975" w:rsidRPr="001A4B94">
        <w:rPr>
          <w:rFonts w:ascii="Times New Roman" w:hAnsi="Times New Roman"/>
          <w:sz w:val="23"/>
          <w:szCs w:val="23"/>
          <w:lang w:val="tr-TR"/>
        </w:rPr>
        <w:t>k</w:t>
      </w:r>
      <w:r w:rsidR="00EE1306" w:rsidRPr="001A4B94">
        <w:rPr>
          <w:rFonts w:ascii="Times New Roman" w:hAnsi="Times New Roman"/>
          <w:sz w:val="23"/>
          <w:szCs w:val="23"/>
          <w:lang w:val="tr-TR"/>
        </w:rPr>
        <w:t>ırılgan gruplar için sosyal yardım sistemini daha etkili ve etkin hale getirmek için, Aile ve Sosyal Politikalar Bakanlığı’nın (ASPB) Yoksullu</w:t>
      </w:r>
      <w:r w:rsidR="00E456C4" w:rsidRPr="001A4B94">
        <w:rPr>
          <w:rFonts w:ascii="Times New Roman" w:hAnsi="Times New Roman"/>
          <w:sz w:val="23"/>
          <w:szCs w:val="23"/>
          <w:lang w:val="tr-TR"/>
        </w:rPr>
        <w:t>ğu</w:t>
      </w:r>
      <w:r w:rsidR="00EE1306" w:rsidRPr="001A4B94">
        <w:rPr>
          <w:rFonts w:ascii="Times New Roman" w:hAnsi="Times New Roman"/>
          <w:sz w:val="23"/>
          <w:szCs w:val="23"/>
          <w:lang w:val="tr-TR"/>
        </w:rPr>
        <w:t xml:space="preserve"> Azaltma Stratejisi ve Sosyal Yardım Reformu girişimini  desteklemeye devam edecektir</w:t>
      </w:r>
      <w:r w:rsidR="00542475" w:rsidRPr="001A4B94">
        <w:rPr>
          <w:rFonts w:ascii="Times New Roman" w:hAnsi="Times New Roman"/>
          <w:sz w:val="23"/>
          <w:szCs w:val="23"/>
          <w:lang w:val="tr-TR"/>
        </w:rPr>
        <w:t>.</w:t>
      </w:r>
      <w:r w:rsidR="008D25DE" w:rsidRPr="001A4B94">
        <w:rPr>
          <w:rFonts w:ascii="Times New Roman" w:hAnsi="Times New Roman"/>
          <w:sz w:val="23"/>
          <w:szCs w:val="23"/>
          <w:lang w:val="tr-TR"/>
        </w:rPr>
        <w:t xml:space="preserve"> </w:t>
      </w:r>
      <w:r w:rsidR="00EE1306" w:rsidRPr="001A4B94">
        <w:rPr>
          <w:rFonts w:ascii="Times New Roman" w:hAnsi="Times New Roman"/>
          <w:sz w:val="23"/>
          <w:szCs w:val="23"/>
          <w:lang w:val="tr-TR"/>
        </w:rPr>
        <w:t xml:space="preserve">Dünya Bankası </w:t>
      </w:r>
      <w:r w:rsidR="00722975" w:rsidRPr="001A4B94">
        <w:rPr>
          <w:rFonts w:ascii="Times New Roman" w:hAnsi="Times New Roman"/>
          <w:sz w:val="23"/>
          <w:szCs w:val="23"/>
          <w:lang w:val="tr-TR"/>
        </w:rPr>
        <w:t>Grubu’nun</w:t>
      </w:r>
      <w:r w:rsidR="00EE1306" w:rsidRPr="001A4B94">
        <w:rPr>
          <w:rFonts w:ascii="Times New Roman" w:hAnsi="Times New Roman"/>
          <w:sz w:val="23"/>
          <w:szCs w:val="23"/>
          <w:lang w:val="tr-TR"/>
        </w:rPr>
        <w:t xml:space="preserve"> Avrupa ve Orta Asya bölgesinin </w:t>
      </w:r>
      <w:r w:rsidR="00DB3D5C" w:rsidRPr="001A4B94">
        <w:rPr>
          <w:rFonts w:ascii="Times New Roman" w:hAnsi="Times New Roman"/>
          <w:sz w:val="23"/>
          <w:szCs w:val="23"/>
          <w:lang w:val="tr-TR"/>
        </w:rPr>
        <w:t>Romanlara yönelik destek gündemi</w:t>
      </w:r>
      <w:r w:rsidR="000857F6" w:rsidRPr="001A4B94">
        <w:rPr>
          <w:rFonts w:ascii="Times New Roman" w:hAnsi="Times New Roman"/>
          <w:sz w:val="23"/>
          <w:szCs w:val="23"/>
          <w:lang w:val="tr-TR"/>
        </w:rPr>
        <w:t>, kıs</w:t>
      </w:r>
      <w:r w:rsidR="00E456C4" w:rsidRPr="001A4B94">
        <w:rPr>
          <w:rFonts w:ascii="Times New Roman" w:hAnsi="Times New Roman"/>
          <w:sz w:val="23"/>
          <w:szCs w:val="23"/>
          <w:lang w:val="tr-TR"/>
        </w:rPr>
        <w:t>a</w:t>
      </w:r>
      <w:r w:rsidR="000857F6" w:rsidRPr="001A4B94">
        <w:rPr>
          <w:rFonts w:ascii="Times New Roman" w:hAnsi="Times New Roman"/>
          <w:sz w:val="23"/>
          <w:szCs w:val="23"/>
          <w:lang w:val="tr-TR"/>
        </w:rPr>
        <w:t xml:space="preserve"> süre önce kabul edilen Türkiye’deki </w:t>
      </w:r>
      <w:r w:rsidR="000857F6" w:rsidRPr="001A4B94">
        <w:rPr>
          <w:rFonts w:ascii="Times New Roman" w:hAnsi="Times New Roman"/>
          <w:bCs/>
          <w:sz w:val="23"/>
          <w:szCs w:val="23"/>
          <w:lang w:val="tr-TR"/>
        </w:rPr>
        <w:t>Roman</w:t>
      </w:r>
      <w:r w:rsidR="000857F6" w:rsidRPr="001A4B94">
        <w:rPr>
          <w:rFonts w:ascii="Times New Roman" w:hAnsi="Times New Roman"/>
          <w:sz w:val="23"/>
          <w:szCs w:val="23"/>
          <w:lang w:val="tr-TR"/>
        </w:rPr>
        <w:t> Vatandaşlara Yönelik </w:t>
      </w:r>
      <w:r w:rsidR="000857F6" w:rsidRPr="001A4B94">
        <w:rPr>
          <w:rFonts w:ascii="Times New Roman" w:hAnsi="Times New Roman"/>
          <w:bCs/>
          <w:sz w:val="23"/>
          <w:szCs w:val="23"/>
          <w:lang w:val="tr-TR"/>
        </w:rPr>
        <w:t>Strateji</w:t>
      </w:r>
      <w:r w:rsidR="000857F6" w:rsidRPr="001A4B94">
        <w:rPr>
          <w:rFonts w:ascii="Times New Roman" w:hAnsi="Times New Roman"/>
          <w:sz w:val="23"/>
          <w:szCs w:val="23"/>
          <w:lang w:val="tr-TR"/>
        </w:rPr>
        <w:t xml:space="preserve"> Belgesinin (2016-2021) politikalarına destek sağlama çerçevesi yoluyla </w:t>
      </w:r>
      <w:r w:rsidR="00722975" w:rsidRPr="001A4B94">
        <w:rPr>
          <w:rFonts w:ascii="Times New Roman" w:hAnsi="Times New Roman"/>
          <w:sz w:val="23"/>
          <w:szCs w:val="23"/>
          <w:lang w:val="tr-TR"/>
        </w:rPr>
        <w:t>Türkiye’yi</w:t>
      </w:r>
      <w:r w:rsidR="000857F6" w:rsidRPr="001A4B94">
        <w:rPr>
          <w:rFonts w:ascii="Times New Roman" w:hAnsi="Times New Roman"/>
          <w:sz w:val="23"/>
          <w:szCs w:val="23"/>
          <w:lang w:val="tr-TR"/>
        </w:rPr>
        <w:t xml:space="preserve"> de kapsayacaktır. </w:t>
      </w:r>
      <w:r w:rsidR="00DB3D5C" w:rsidRPr="001A4B94">
        <w:rPr>
          <w:rFonts w:ascii="Times New Roman" w:hAnsi="Times New Roman"/>
          <w:sz w:val="23"/>
          <w:szCs w:val="23"/>
          <w:lang w:val="tr-TR"/>
        </w:rPr>
        <w:t xml:space="preserve"> </w:t>
      </w:r>
      <w:r w:rsidR="00EE1306" w:rsidRPr="001A4B94">
        <w:rPr>
          <w:rFonts w:ascii="Times New Roman" w:hAnsi="Times New Roman"/>
          <w:sz w:val="23"/>
          <w:szCs w:val="23"/>
          <w:lang w:val="tr-TR"/>
        </w:rPr>
        <w:t xml:space="preserve"> </w:t>
      </w:r>
      <w:r w:rsidR="00542475" w:rsidRPr="001A4B94">
        <w:rPr>
          <w:rFonts w:ascii="Times New Roman" w:hAnsi="Times New Roman"/>
          <w:sz w:val="23"/>
          <w:szCs w:val="23"/>
          <w:lang w:val="tr-TR"/>
        </w:rPr>
        <w:t xml:space="preserve">  </w:t>
      </w:r>
      <w:r w:rsidR="00197A8F" w:rsidRPr="001A4B94">
        <w:rPr>
          <w:rFonts w:ascii="Times New Roman" w:hAnsi="Times New Roman"/>
          <w:sz w:val="23"/>
          <w:szCs w:val="23"/>
          <w:lang w:val="tr-TR"/>
        </w:rPr>
        <w:t xml:space="preserve"> </w:t>
      </w:r>
    </w:p>
    <w:p w14:paraId="2DC0D545" w14:textId="4424E211" w:rsidR="004B05E7" w:rsidRPr="001A4B94" w:rsidRDefault="004B05E7" w:rsidP="00542475">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4"/>
          <w:szCs w:val="24"/>
          <w:lang w:val="tr-TR"/>
        </w:rPr>
      </w:pPr>
    </w:p>
    <w:p w14:paraId="789AAF82" w14:textId="6BFC4209" w:rsidR="00972BB3" w:rsidRPr="001A4B94" w:rsidRDefault="00704D2A" w:rsidP="00972BB3">
      <w:pPr>
        <w:ind w:left="270"/>
        <w:rPr>
          <w:b/>
          <w:bCs/>
          <w:sz w:val="23"/>
          <w:szCs w:val="23"/>
          <w:u w:val="single"/>
          <w:lang w:val="tr-TR"/>
        </w:rPr>
      </w:pPr>
      <w:r w:rsidRPr="001A4B94">
        <w:rPr>
          <w:b/>
          <w:bCs/>
          <w:sz w:val="23"/>
          <w:szCs w:val="23"/>
          <w:u w:val="single"/>
          <w:lang w:val="tr-TR"/>
        </w:rPr>
        <w:t xml:space="preserve">CPF </w:t>
      </w:r>
      <w:r w:rsidR="000857F6" w:rsidRPr="001A4B94">
        <w:rPr>
          <w:b/>
          <w:bCs/>
          <w:sz w:val="23"/>
          <w:szCs w:val="23"/>
          <w:u w:val="single"/>
          <w:lang w:val="tr-TR"/>
        </w:rPr>
        <w:t xml:space="preserve">Amacı </w:t>
      </w:r>
      <w:r w:rsidR="00542475" w:rsidRPr="001A4B94">
        <w:rPr>
          <w:b/>
          <w:bCs/>
          <w:sz w:val="23"/>
          <w:szCs w:val="23"/>
          <w:u w:val="single"/>
          <w:lang w:val="tr-TR"/>
        </w:rPr>
        <w:t>5</w:t>
      </w:r>
      <w:r w:rsidRPr="001A4B94">
        <w:rPr>
          <w:b/>
          <w:bCs/>
          <w:sz w:val="23"/>
          <w:szCs w:val="23"/>
          <w:u w:val="single"/>
          <w:lang w:val="tr-TR"/>
        </w:rPr>
        <w:t xml:space="preserve">: </w:t>
      </w:r>
      <w:r w:rsidR="00972BB3" w:rsidRPr="001A4B94">
        <w:rPr>
          <w:b/>
          <w:bCs/>
          <w:sz w:val="23"/>
          <w:szCs w:val="23"/>
          <w:u w:val="single"/>
          <w:lang w:val="tr-TR"/>
        </w:rPr>
        <w:t xml:space="preserve">Kadınlar ve Kırılgan Gruplar için İşgücüne Katılımın Arttırılması </w:t>
      </w:r>
    </w:p>
    <w:p w14:paraId="164F97F2" w14:textId="77777777" w:rsidR="00704D2A" w:rsidRPr="001A4B94" w:rsidRDefault="00704D2A" w:rsidP="00704D2A">
      <w:pPr>
        <w:rPr>
          <w:b/>
          <w:bCs/>
          <w:sz w:val="12"/>
          <w:szCs w:val="12"/>
          <w:u w:val="single"/>
          <w:lang w:val="tr-TR"/>
        </w:rPr>
      </w:pPr>
    </w:p>
    <w:tbl>
      <w:tblPr>
        <w:tblW w:w="0" w:type="auto"/>
        <w:tblCellMar>
          <w:left w:w="0" w:type="dxa"/>
          <w:right w:w="0" w:type="dxa"/>
        </w:tblCellMar>
        <w:tblLook w:val="04A0" w:firstRow="1" w:lastRow="0" w:firstColumn="1" w:lastColumn="0" w:noHBand="0" w:noVBand="1"/>
      </w:tblPr>
      <w:tblGrid>
        <w:gridCol w:w="9340"/>
      </w:tblGrid>
      <w:tr w:rsidR="00704D2A" w:rsidRPr="001A4B94" w14:paraId="407C3EE4" w14:textId="77777777" w:rsidTr="00121A7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007459" w14:textId="475AB0EA" w:rsidR="00704D2A" w:rsidRPr="001A4B94" w:rsidRDefault="00972BB3" w:rsidP="00121A74">
            <w:pPr>
              <w:jc w:val="both"/>
              <w:rPr>
                <w:b/>
                <w:sz w:val="22"/>
                <w:lang w:val="tr-TR"/>
              </w:rPr>
            </w:pPr>
            <w:r w:rsidRPr="001A4B94">
              <w:rPr>
                <w:b/>
                <w:sz w:val="22"/>
                <w:lang w:val="tr-TR"/>
              </w:rPr>
              <w:t xml:space="preserve">Amaç 5 için Sonuç Göstergeleri </w:t>
            </w:r>
          </w:p>
        </w:tc>
      </w:tr>
      <w:tr w:rsidR="00704D2A" w:rsidRPr="001A4B94" w14:paraId="5D026234" w14:textId="77777777" w:rsidTr="00121A74">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9859262" w14:textId="7C58EF56" w:rsidR="00704D2A" w:rsidRPr="001A4B94" w:rsidRDefault="00972BB3" w:rsidP="00121A74">
            <w:pPr>
              <w:tabs>
                <w:tab w:val="left" w:pos="1142"/>
              </w:tabs>
              <w:ind w:left="-28"/>
              <w:rPr>
                <w:i/>
                <w:sz w:val="22"/>
                <w:lang w:val="tr-TR"/>
              </w:rPr>
            </w:pPr>
            <w:r w:rsidRPr="001A4B94">
              <w:rPr>
                <w:i/>
                <w:sz w:val="22"/>
                <w:lang w:val="tr-TR"/>
              </w:rPr>
              <w:t xml:space="preserve">Kadınların işgücüne katılımında artış </w:t>
            </w:r>
          </w:p>
          <w:p w14:paraId="144DA67A" w14:textId="2CFF3C3A" w:rsidR="00704D2A" w:rsidRPr="001A4B94" w:rsidRDefault="00972BB3" w:rsidP="00121A74">
            <w:pPr>
              <w:tabs>
                <w:tab w:val="left" w:pos="1142"/>
              </w:tabs>
              <w:ind w:left="-28"/>
              <w:rPr>
                <w:i/>
                <w:sz w:val="22"/>
                <w:lang w:val="tr-TR"/>
              </w:rPr>
            </w:pPr>
            <w:r w:rsidRPr="001A4B94">
              <w:rPr>
                <w:i/>
                <w:sz w:val="22"/>
                <w:lang w:val="tr-TR"/>
              </w:rPr>
              <w:t xml:space="preserve">Gençlerin işgücüne katılımında artış  </w:t>
            </w:r>
          </w:p>
          <w:p w14:paraId="01F846F4" w14:textId="20BB2583" w:rsidR="00704D2A" w:rsidRPr="001A4B94" w:rsidRDefault="00722975" w:rsidP="00121A74">
            <w:pPr>
              <w:tabs>
                <w:tab w:val="left" w:pos="1142"/>
              </w:tabs>
              <w:ind w:left="-28"/>
              <w:rPr>
                <w:i/>
                <w:sz w:val="22"/>
                <w:lang w:val="tr-TR"/>
              </w:rPr>
            </w:pPr>
            <w:r w:rsidRPr="001A4B94">
              <w:rPr>
                <w:i/>
                <w:sz w:val="22"/>
                <w:lang w:val="tr-TR"/>
              </w:rPr>
              <w:t xml:space="preserve">GKSS’lerin işgücünde istihdam edilebilirliklerinde kaydedilen artış </w:t>
            </w:r>
            <w:r w:rsidR="00704D2A" w:rsidRPr="001A4B94">
              <w:rPr>
                <w:i/>
                <w:sz w:val="22"/>
                <w:lang w:val="tr-TR"/>
              </w:rPr>
              <w:t>(</w:t>
            </w:r>
            <w:r w:rsidRPr="001A4B94">
              <w:rPr>
                <w:i/>
                <w:sz w:val="22"/>
                <w:lang w:val="tr-TR"/>
              </w:rPr>
              <w:t>cinsiyet ayrımı bazında</w:t>
            </w:r>
            <w:r w:rsidR="00704D2A" w:rsidRPr="001A4B94">
              <w:rPr>
                <w:i/>
                <w:sz w:val="22"/>
                <w:lang w:val="tr-TR"/>
              </w:rPr>
              <w:t>)</w:t>
            </w:r>
          </w:p>
          <w:p w14:paraId="2CC6ADB2" w14:textId="2551C50D" w:rsidR="000549A1" w:rsidRPr="001A4B94" w:rsidRDefault="00722975" w:rsidP="00331386">
            <w:pPr>
              <w:tabs>
                <w:tab w:val="left" w:pos="1142"/>
              </w:tabs>
              <w:ind w:left="-28"/>
              <w:rPr>
                <w:i/>
                <w:sz w:val="22"/>
                <w:lang w:val="tr-TR"/>
              </w:rPr>
            </w:pPr>
            <w:r w:rsidRPr="001A4B94">
              <w:rPr>
                <w:i/>
                <w:sz w:val="22"/>
                <w:lang w:val="tr-TR"/>
              </w:rPr>
              <w:t xml:space="preserve">IFC’nin imalat sektöründeki müşterileri tarafından doğu ve güneydoğu bölgelerinde doğrudan desteklenen istihdam </w:t>
            </w:r>
          </w:p>
        </w:tc>
      </w:tr>
    </w:tbl>
    <w:p w14:paraId="392DC815" w14:textId="248C52C6" w:rsidR="00704D2A" w:rsidRPr="001A4B94" w:rsidRDefault="0012624F" w:rsidP="003D6F12">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eastAsia="MS Mincho" w:hAnsi="Times New Roman"/>
          <w:b/>
          <w:sz w:val="23"/>
          <w:szCs w:val="23"/>
          <w:lang w:val="tr-TR"/>
        </w:rPr>
        <w:lastRenderedPageBreak/>
        <w:t xml:space="preserve">Bu amaç kapsamındaki Dünya Bankası Grubu desteği, </w:t>
      </w:r>
      <w:r w:rsidR="00D35983" w:rsidRPr="001A4B94">
        <w:rPr>
          <w:rFonts w:ascii="Times New Roman" w:eastAsia="MS Mincho" w:hAnsi="Times New Roman"/>
          <w:b/>
          <w:sz w:val="23"/>
          <w:szCs w:val="23"/>
          <w:lang w:val="tr-TR"/>
        </w:rPr>
        <w:t>özellikle kadınlar ve gençler olmak üzere daha fazla insanı kayıtlı işgücü piyasasına dahil etmeyi hedeflemektedir.</w:t>
      </w:r>
      <w:r w:rsidR="002E2B78" w:rsidRPr="001A4B94">
        <w:rPr>
          <w:rFonts w:ascii="Times New Roman" w:hAnsi="Times New Roman"/>
          <w:iCs/>
          <w:sz w:val="23"/>
          <w:szCs w:val="23"/>
          <w:lang w:val="tr-TR"/>
        </w:rPr>
        <w:t xml:space="preserve"> </w:t>
      </w:r>
      <w:r w:rsidR="00D35983" w:rsidRPr="001A4B94">
        <w:rPr>
          <w:rFonts w:ascii="Times New Roman" w:hAnsi="Times New Roman"/>
          <w:iCs/>
          <w:sz w:val="23"/>
          <w:szCs w:val="23"/>
          <w:lang w:val="tr-TR"/>
        </w:rPr>
        <w:t>Bu Türkiye’nin demografik fırsat penceresinin faydalarını toplayabilmesi ve yaşlanmadan önce büyüyebilmesi için kritik önem taşımaktadır</w:t>
      </w:r>
      <w:r w:rsidR="002E2B78" w:rsidRPr="001A4B94">
        <w:rPr>
          <w:rFonts w:ascii="Times New Roman" w:hAnsi="Times New Roman"/>
          <w:iCs/>
          <w:sz w:val="23"/>
          <w:szCs w:val="23"/>
          <w:lang w:val="tr-TR"/>
        </w:rPr>
        <w:t>.</w:t>
      </w:r>
      <w:r w:rsidR="00EE19E1" w:rsidRPr="001A4B94">
        <w:rPr>
          <w:rFonts w:ascii="Times New Roman" w:hAnsi="Times New Roman"/>
          <w:iCs/>
          <w:sz w:val="23"/>
          <w:szCs w:val="23"/>
          <w:lang w:val="tr-TR"/>
        </w:rPr>
        <w:t xml:space="preserve"> </w:t>
      </w:r>
      <w:r w:rsidR="00D35983" w:rsidRPr="001A4B94">
        <w:rPr>
          <w:rFonts w:ascii="Times New Roman" w:hAnsi="Times New Roman"/>
          <w:iCs/>
          <w:sz w:val="23"/>
          <w:szCs w:val="23"/>
          <w:lang w:val="tr-TR"/>
        </w:rPr>
        <w:t>Bu zorluğun önemi kabul edilmiştir ve geçmişteki reformlar farklı müdahaleler üzerinde odaklanmıştır</w:t>
      </w:r>
      <w:r w:rsidR="00EE19E1" w:rsidRPr="001A4B94">
        <w:rPr>
          <w:rFonts w:ascii="Times New Roman" w:hAnsi="Times New Roman"/>
          <w:iCs/>
          <w:sz w:val="23"/>
          <w:szCs w:val="23"/>
          <w:lang w:val="tr-TR"/>
        </w:rPr>
        <w:t>. Bank</w:t>
      </w:r>
      <w:r w:rsidR="00D35983" w:rsidRPr="001A4B94">
        <w:rPr>
          <w:rFonts w:ascii="Times New Roman" w:hAnsi="Times New Roman"/>
          <w:iCs/>
          <w:sz w:val="23"/>
          <w:szCs w:val="23"/>
          <w:lang w:val="tr-TR"/>
        </w:rPr>
        <w:t>a</w:t>
      </w:r>
      <w:r w:rsidR="00807146" w:rsidRPr="001A4B94">
        <w:rPr>
          <w:rFonts w:ascii="Times New Roman" w:hAnsi="Times New Roman"/>
          <w:iCs/>
          <w:sz w:val="23"/>
          <w:szCs w:val="23"/>
          <w:lang w:val="tr-TR"/>
        </w:rPr>
        <w:t xml:space="preserve">, işgücü piyasasının arz ve talep kısıtlarını ve </w:t>
      </w:r>
      <w:r w:rsidR="003B37B0" w:rsidRPr="001A4B94">
        <w:rPr>
          <w:rFonts w:ascii="Times New Roman" w:hAnsi="Times New Roman"/>
          <w:iCs/>
          <w:sz w:val="23"/>
          <w:szCs w:val="23"/>
          <w:lang w:val="tr-TR"/>
        </w:rPr>
        <w:t xml:space="preserve">okulda, </w:t>
      </w:r>
      <w:r w:rsidR="00807146" w:rsidRPr="001A4B94">
        <w:rPr>
          <w:rFonts w:ascii="Times New Roman" w:hAnsi="Times New Roman"/>
          <w:iCs/>
          <w:sz w:val="23"/>
          <w:szCs w:val="23"/>
          <w:lang w:val="tr-TR"/>
        </w:rPr>
        <w:t xml:space="preserve">eğitimde, istihdamda veya mesleki eğitimde yer almayan </w:t>
      </w:r>
      <w:r w:rsidR="003B37B0" w:rsidRPr="001A4B94">
        <w:rPr>
          <w:rFonts w:ascii="Times New Roman" w:hAnsi="Times New Roman"/>
          <w:iCs/>
          <w:sz w:val="23"/>
          <w:szCs w:val="23"/>
          <w:lang w:val="tr-TR"/>
        </w:rPr>
        <w:t xml:space="preserve">bireyleri </w:t>
      </w:r>
      <w:r w:rsidR="00807146" w:rsidRPr="001A4B94">
        <w:rPr>
          <w:rFonts w:ascii="Times New Roman" w:hAnsi="Times New Roman"/>
          <w:iCs/>
          <w:sz w:val="23"/>
          <w:szCs w:val="23"/>
          <w:lang w:val="tr-TR"/>
        </w:rPr>
        <w:t xml:space="preserve">analiz eden </w:t>
      </w:r>
      <w:r w:rsidR="00EE19E1" w:rsidRPr="001A4B94">
        <w:rPr>
          <w:rFonts w:ascii="Times New Roman" w:hAnsi="Times New Roman"/>
          <w:iCs/>
          <w:sz w:val="23"/>
          <w:szCs w:val="23"/>
          <w:lang w:val="tr-TR"/>
        </w:rPr>
        <w:t xml:space="preserve"> </w:t>
      </w:r>
      <w:r w:rsidR="00807146" w:rsidRPr="001A4B94">
        <w:rPr>
          <w:rFonts w:ascii="Times New Roman" w:hAnsi="Times New Roman"/>
          <w:iCs/>
          <w:sz w:val="23"/>
          <w:szCs w:val="23"/>
          <w:lang w:val="tr-TR"/>
        </w:rPr>
        <w:t xml:space="preserve">kapsamlı bir ASA paketi sunma rolünü devam ettirmek istemektedir </w:t>
      </w:r>
      <w:r w:rsidR="004214C1" w:rsidRPr="001A4B94">
        <w:rPr>
          <w:rFonts w:ascii="Times New Roman" w:hAnsi="Times New Roman"/>
          <w:iCs/>
          <w:sz w:val="23"/>
          <w:szCs w:val="23"/>
          <w:lang w:val="tr-TR"/>
        </w:rPr>
        <w:t>(</w:t>
      </w:r>
      <w:r w:rsidR="00783AE1" w:rsidRPr="001A4B94">
        <w:rPr>
          <w:rFonts w:ascii="Times New Roman" w:hAnsi="Times New Roman"/>
          <w:iCs/>
          <w:sz w:val="23"/>
          <w:szCs w:val="23"/>
          <w:lang w:val="tr-TR"/>
        </w:rPr>
        <w:t>istihdam tanılama çalışması, asgari ücret gibi işgücü politikalarının, okul öncesi eğitim ve çocuk bakım politikalarının ve sosyal norm kısıtlarının değerlendirmeleri dahil olmak üzere</w:t>
      </w:r>
      <w:r w:rsidR="004214C1" w:rsidRPr="001A4B94">
        <w:rPr>
          <w:rFonts w:ascii="Times New Roman" w:hAnsi="Times New Roman"/>
          <w:iCs/>
          <w:sz w:val="23"/>
          <w:szCs w:val="23"/>
          <w:lang w:val="tr-TR"/>
        </w:rPr>
        <w:t>)</w:t>
      </w:r>
      <w:r w:rsidR="008D25DE" w:rsidRPr="001A4B94">
        <w:rPr>
          <w:rFonts w:ascii="Times New Roman" w:hAnsi="Times New Roman"/>
          <w:iCs/>
          <w:sz w:val="23"/>
          <w:szCs w:val="23"/>
          <w:lang w:val="tr-TR"/>
        </w:rPr>
        <w:t xml:space="preserve">.  </w:t>
      </w:r>
      <w:r w:rsidR="00783AE1" w:rsidRPr="001A4B94">
        <w:rPr>
          <w:rFonts w:ascii="Times New Roman" w:hAnsi="Times New Roman"/>
          <w:iCs/>
          <w:sz w:val="23"/>
          <w:szCs w:val="23"/>
          <w:lang w:val="tr-TR"/>
        </w:rPr>
        <w:t>Bu ASA çalışmalarının amacı, Hükümet’in karar verme sü</w:t>
      </w:r>
      <w:r w:rsidR="00C35A62" w:rsidRPr="001A4B94">
        <w:rPr>
          <w:rFonts w:ascii="Times New Roman" w:hAnsi="Times New Roman"/>
          <w:iCs/>
          <w:sz w:val="23"/>
          <w:szCs w:val="23"/>
          <w:lang w:val="tr-TR"/>
        </w:rPr>
        <w:t>reçleri için bilgi girdisi sağl</w:t>
      </w:r>
      <w:r w:rsidR="00783AE1" w:rsidRPr="001A4B94">
        <w:rPr>
          <w:rFonts w:ascii="Times New Roman" w:hAnsi="Times New Roman"/>
          <w:iCs/>
          <w:sz w:val="23"/>
          <w:szCs w:val="23"/>
          <w:lang w:val="tr-TR"/>
        </w:rPr>
        <w:t>ayabilecek ve sonrasında DPL’ler yoluyla desteklenebilecek</w:t>
      </w:r>
      <w:r w:rsidR="008D25DE" w:rsidRPr="001A4B94">
        <w:rPr>
          <w:rFonts w:ascii="Times New Roman" w:hAnsi="Times New Roman"/>
          <w:iCs/>
          <w:sz w:val="23"/>
          <w:szCs w:val="23"/>
          <w:lang w:val="tr-TR"/>
        </w:rPr>
        <w:t xml:space="preserve"> </w:t>
      </w:r>
      <w:r w:rsidR="00C35A62" w:rsidRPr="001A4B94">
        <w:rPr>
          <w:rFonts w:ascii="Times New Roman" w:hAnsi="Times New Roman"/>
          <w:iCs/>
          <w:sz w:val="23"/>
          <w:szCs w:val="23"/>
          <w:lang w:val="tr-TR"/>
        </w:rPr>
        <w:t xml:space="preserve">reform tavsiyeleri önermek olacaktır </w:t>
      </w:r>
      <w:r w:rsidR="006B013D" w:rsidRPr="001A4B94">
        <w:rPr>
          <w:rFonts w:ascii="Times New Roman" w:hAnsi="Times New Roman"/>
          <w:iCs/>
          <w:sz w:val="23"/>
          <w:szCs w:val="23"/>
          <w:lang w:val="tr-TR"/>
        </w:rPr>
        <w:t>(</w:t>
      </w:r>
      <w:r w:rsidR="004B2F83" w:rsidRPr="001A4B94">
        <w:rPr>
          <w:rFonts w:ascii="Times New Roman" w:hAnsi="Times New Roman"/>
          <w:iCs/>
          <w:sz w:val="23"/>
          <w:szCs w:val="23"/>
          <w:lang w:val="tr-TR"/>
        </w:rPr>
        <w:t>örneğin esnek çalışma düzenlemeleri, okul öncesi eğitime yönelik vergi teşvikleri</w:t>
      </w:r>
      <w:r w:rsidR="002E2B78" w:rsidRPr="001A4B94">
        <w:rPr>
          <w:rFonts w:ascii="Times New Roman" w:hAnsi="Times New Roman"/>
          <w:iCs/>
          <w:sz w:val="23"/>
          <w:szCs w:val="23"/>
          <w:lang w:val="tr-TR"/>
        </w:rPr>
        <w:t xml:space="preserve">, </w:t>
      </w:r>
      <w:r w:rsidR="004B2F83" w:rsidRPr="001A4B94">
        <w:rPr>
          <w:rFonts w:ascii="Times New Roman" w:hAnsi="Times New Roman"/>
          <w:iCs/>
          <w:sz w:val="23"/>
          <w:szCs w:val="23"/>
          <w:lang w:val="tr-TR"/>
        </w:rPr>
        <w:t>doğum izni / babalık izni</w:t>
      </w:r>
      <w:r w:rsidR="002E2B78" w:rsidRPr="001A4B94">
        <w:rPr>
          <w:rFonts w:ascii="Times New Roman" w:hAnsi="Times New Roman"/>
          <w:iCs/>
          <w:sz w:val="23"/>
          <w:szCs w:val="23"/>
          <w:lang w:val="tr-TR"/>
        </w:rPr>
        <w:t xml:space="preserve">, </w:t>
      </w:r>
      <w:r w:rsidR="004B2F83" w:rsidRPr="001A4B94">
        <w:rPr>
          <w:rFonts w:ascii="Times New Roman" w:hAnsi="Times New Roman"/>
          <w:iCs/>
          <w:sz w:val="23"/>
          <w:szCs w:val="23"/>
          <w:lang w:val="tr-TR"/>
        </w:rPr>
        <w:t>kadınlara ve gençlere yönelik eğitimi ve istihdamı teşvik eden aktif işgücü piyasası programları (AİPP) gibi</w:t>
      </w:r>
      <w:r w:rsidR="006B013D" w:rsidRPr="001A4B94">
        <w:rPr>
          <w:rFonts w:ascii="Times New Roman" w:hAnsi="Times New Roman"/>
          <w:iCs/>
          <w:sz w:val="23"/>
          <w:szCs w:val="23"/>
          <w:lang w:val="tr-TR"/>
        </w:rPr>
        <w:t xml:space="preserve">).  </w:t>
      </w:r>
      <w:r w:rsidR="004B2F83" w:rsidRPr="001A4B94">
        <w:rPr>
          <w:rFonts w:ascii="Times New Roman" w:hAnsi="Times New Roman"/>
          <w:iCs/>
          <w:sz w:val="23"/>
          <w:szCs w:val="23"/>
          <w:lang w:val="tr-TR"/>
        </w:rPr>
        <w:t xml:space="preserve">İş arayanlara sağlanacak destek kapsamında, Dünya Bankası </w:t>
      </w:r>
      <w:r w:rsidR="002E11E1" w:rsidRPr="001A4B94">
        <w:rPr>
          <w:rFonts w:ascii="Times New Roman" w:hAnsi="Times New Roman"/>
          <w:iCs/>
          <w:sz w:val="23"/>
          <w:szCs w:val="23"/>
          <w:lang w:val="tr-TR"/>
        </w:rPr>
        <w:t>k</w:t>
      </w:r>
      <w:r w:rsidR="004B2F83" w:rsidRPr="001A4B94">
        <w:rPr>
          <w:rFonts w:ascii="Times New Roman" w:hAnsi="Times New Roman"/>
          <w:iCs/>
          <w:sz w:val="23"/>
          <w:szCs w:val="23"/>
          <w:lang w:val="tr-TR"/>
        </w:rPr>
        <w:t xml:space="preserve">amu istihdam hizmetleri kurumunun </w:t>
      </w:r>
      <w:r w:rsidR="008D25DE" w:rsidRPr="001A4B94">
        <w:rPr>
          <w:rFonts w:ascii="Times New Roman" w:hAnsi="Times New Roman"/>
          <w:iCs/>
          <w:sz w:val="23"/>
          <w:szCs w:val="23"/>
          <w:lang w:val="tr-TR"/>
        </w:rPr>
        <w:t>(</w:t>
      </w:r>
      <w:r w:rsidR="004B2F83" w:rsidRPr="001A4B94">
        <w:rPr>
          <w:rFonts w:ascii="Times New Roman" w:hAnsi="Times New Roman"/>
          <w:iCs/>
          <w:sz w:val="23"/>
          <w:szCs w:val="23"/>
          <w:lang w:val="tr-TR"/>
        </w:rPr>
        <w:t>İŞ</w:t>
      </w:r>
      <w:r w:rsidR="008D25DE" w:rsidRPr="001A4B94">
        <w:rPr>
          <w:rFonts w:ascii="Times New Roman" w:hAnsi="Times New Roman"/>
          <w:iCs/>
          <w:sz w:val="23"/>
          <w:szCs w:val="23"/>
          <w:lang w:val="tr-TR"/>
        </w:rPr>
        <w:t xml:space="preserve">KUR) </w:t>
      </w:r>
      <w:r w:rsidR="004B2F83" w:rsidRPr="001A4B94">
        <w:rPr>
          <w:rFonts w:ascii="Times New Roman" w:hAnsi="Times New Roman"/>
          <w:iCs/>
          <w:sz w:val="23"/>
          <w:szCs w:val="23"/>
          <w:lang w:val="tr-TR"/>
        </w:rPr>
        <w:t>kap</w:t>
      </w:r>
      <w:r w:rsidR="002E11E1" w:rsidRPr="001A4B94">
        <w:rPr>
          <w:rFonts w:ascii="Times New Roman" w:hAnsi="Times New Roman"/>
          <w:iCs/>
          <w:sz w:val="23"/>
          <w:szCs w:val="23"/>
          <w:lang w:val="tr-TR"/>
        </w:rPr>
        <w:t>a</w:t>
      </w:r>
      <w:r w:rsidR="004B2F83" w:rsidRPr="001A4B94">
        <w:rPr>
          <w:rFonts w:ascii="Times New Roman" w:hAnsi="Times New Roman"/>
          <w:iCs/>
          <w:sz w:val="23"/>
          <w:szCs w:val="23"/>
          <w:lang w:val="tr-TR"/>
        </w:rPr>
        <w:t xml:space="preserve">sitesini </w:t>
      </w:r>
      <w:r w:rsidR="002E11E1" w:rsidRPr="001A4B94">
        <w:rPr>
          <w:rFonts w:ascii="Times New Roman" w:hAnsi="Times New Roman"/>
          <w:iCs/>
          <w:sz w:val="23"/>
          <w:szCs w:val="23"/>
          <w:lang w:val="tr-TR"/>
        </w:rPr>
        <w:t xml:space="preserve">ve iş arayanlara yönelik yardımlarının etkililiğini güçlendirmeye </w:t>
      </w:r>
      <w:r w:rsidR="004B2F83" w:rsidRPr="001A4B94">
        <w:rPr>
          <w:rFonts w:ascii="Times New Roman" w:hAnsi="Times New Roman"/>
          <w:iCs/>
          <w:sz w:val="23"/>
          <w:szCs w:val="23"/>
          <w:lang w:val="tr-TR"/>
        </w:rPr>
        <w:t>yönelik çalışmalarını desteklemeye devam edecektir</w:t>
      </w:r>
      <w:r w:rsidR="008D25DE" w:rsidRPr="001A4B94">
        <w:rPr>
          <w:rFonts w:ascii="Times New Roman" w:hAnsi="Times New Roman"/>
          <w:iCs/>
          <w:sz w:val="23"/>
          <w:szCs w:val="23"/>
          <w:lang w:val="tr-TR"/>
        </w:rPr>
        <w:t>.</w:t>
      </w:r>
    </w:p>
    <w:p w14:paraId="15229FE3" w14:textId="2F905C6C" w:rsidR="00203928" w:rsidRPr="001A4B94" w:rsidRDefault="00203928" w:rsidP="001A4B94">
      <w:pPr>
        <w:pStyle w:val="ListeParagraf"/>
        <w:tabs>
          <w:tab w:val="left" w:pos="2211"/>
        </w:tabs>
        <w:autoSpaceDE w:val="0"/>
        <w:autoSpaceDN w:val="0"/>
        <w:adjustRightInd w:val="0"/>
        <w:spacing w:after="0" w:line="240" w:lineRule="auto"/>
        <w:ind w:left="0"/>
        <w:jc w:val="both"/>
        <w:rPr>
          <w:rFonts w:ascii="Times New Roman" w:hAnsi="Times New Roman"/>
          <w:sz w:val="23"/>
          <w:szCs w:val="23"/>
          <w:lang w:val="tr-TR"/>
        </w:rPr>
      </w:pPr>
    </w:p>
    <w:p w14:paraId="6E917B9B" w14:textId="02AC740D" w:rsidR="00542475" w:rsidRPr="001A4B94" w:rsidRDefault="002E11E1" w:rsidP="0054247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Bu amaç</w:t>
      </w:r>
      <w:r w:rsidR="00542475" w:rsidRPr="001A4B94">
        <w:rPr>
          <w:rFonts w:ascii="Times New Roman" w:hAnsi="Times New Roman"/>
          <w:b/>
          <w:iCs/>
          <w:sz w:val="23"/>
          <w:szCs w:val="23"/>
          <w:lang w:val="tr-TR"/>
        </w:rPr>
        <w:t xml:space="preserve"> </w:t>
      </w:r>
      <w:r w:rsidRPr="001A4B94">
        <w:rPr>
          <w:rFonts w:ascii="Times New Roman" w:hAnsi="Times New Roman"/>
          <w:b/>
          <w:iCs/>
          <w:sz w:val="23"/>
          <w:szCs w:val="23"/>
          <w:lang w:val="tr-TR"/>
        </w:rPr>
        <w:t>diğer kırılgan grupların istihdam edilebilirliklerini arttırmayı hedefleyecektir</w:t>
      </w:r>
      <w:r w:rsidR="00E078CC" w:rsidRPr="001A4B94">
        <w:rPr>
          <w:rFonts w:ascii="Times New Roman" w:hAnsi="Times New Roman"/>
          <w:b/>
          <w:iCs/>
          <w:sz w:val="23"/>
          <w:szCs w:val="23"/>
          <w:lang w:val="tr-TR"/>
        </w:rPr>
        <w:t xml:space="preserve">. </w:t>
      </w:r>
      <w:r w:rsidRPr="001A4B94">
        <w:rPr>
          <w:rFonts w:ascii="Times New Roman" w:hAnsi="Times New Roman"/>
          <w:sz w:val="23"/>
          <w:szCs w:val="23"/>
          <w:lang w:val="tr-TR"/>
        </w:rPr>
        <w:t>GKSS akışı özellikle bu grupların yoğun olarak bulunduğu güneydoğuda olmak üzere işgücü için yeni zorluklar yaratmıştır</w:t>
      </w:r>
      <w:r w:rsidR="00E078CC" w:rsidRPr="001A4B94">
        <w:rPr>
          <w:rFonts w:ascii="Times New Roman" w:hAnsi="Times New Roman"/>
          <w:sz w:val="23"/>
          <w:szCs w:val="23"/>
          <w:lang w:val="tr-TR"/>
        </w:rPr>
        <w:t xml:space="preserve">. </w:t>
      </w:r>
      <w:r w:rsidRPr="001A4B94">
        <w:rPr>
          <w:rFonts w:ascii="Times New Roman" w:hAnsi="Times New Roman"/>
          <w:sz w:val="23"/>
          <w:szCs w:val="23"/>
          <w:lang w:val="tr-TR"/>
        </w:rPr>
        <w:t xml:space="preserve">Bu durum, zaten daha düşük gelir </w:t>
      </w:r>
      <w:r w:rsidR="00FA1003" w:rsidRPr="001A4B94">
        <w:rPr>
          <w:rFonts w:ascii="Times New Roman" w:hAnsi="Times New Roman"/>
          <w:sz w:val="23"/>
          <w:szCs w:val="23"/>
          <w:lang w:val="tr-TR"/>
        </w:rPr>
        <w:t>seviyelerine</w:t>
      </w:r>
      <w:r w:rsidRPr="001A4B94">
        <w:rPr>
          <w:rFonts w:ascii="Times New Roman" w:hAnsi="Times New Roman"/>
          <w:sz w:val="23"/>
          <w:szCs w:val="23"/>
          <w:lang w:val="tr-TR"/>
        </w:rPr>
        <w:t xml:space="preserve"> </w:t>
      </w:r>
      <w:r w:rsidR="00FA1003" w:rsidRPr="001A4B94">
        <w:rPr>
          <w:rFonts w:ascii="Times New Roman" w:hAnsi="Times New Roman"/>
          <w:sz w:val="23"/>
          <w:szCs w:val="23"/>
          <w:lang w:val="tr-TR"/>
        </w:rPr>
        <w:t>s</w:t>
      </w:r>
      <w:r w:rsidRPr="001A4B94">
        <w:rPr>
          <w:rFonts w:ascii="Times New Roman" w:hAnsi="Times New Roman"/>
          <w:sz w:val="23"/>
          <w:szCs w:val="23"/>
          <w:lang w:val="tr-TR"/>
        </w:rPr>
        <w:t>ahip olan, kamu hizmetl</w:t>
      </w:r>
      <w:r w:rsidR="00FA1003" w:rsidRPr="001A4B94">
        <w:rPr>
          <w:rFonts w:ascii="Times New Roman" w:hAnsi="Times New Roman"/>
          <w:sz w:val="23"/>
          <w:szCs w:val="23"/>
          <w:lang w:val="tr-TR"/>
        </w:rPr>
        <w:t>e</w:t>
      </w:r>
      <w:r w:rsidRPr="001A4B94">
        <w:rPr>
          <w:rFonts w:ascii="Times New Roman" w:hAnsi="Times New Roman"/>
          <w:sz w:val="23"/>
          <w:szCs w:val="23"/>
          <w:lang w:val="tr-TR"/>
        </w:rPr>
        <w:t>rin</w:t>
      </w:r>
      <w:r w:rsidR="00FA1003" w:rsidRPr="001A4B94">
        <w:rPr>
          <w:rFonts w:ascii="Times New Roman" w:hAnsi="Times New Roman"/>
          <w:sz w:val="23"/>
          <w:szCs w:val="23"/>
          <w:lang w:val="tr-TR"/>
        </w:rPr>
        <w:t>d</w:t>
      </w:r>
      <w:r w:rsidRPr="001A4B94">
        <w:rPr>
          <w:rFonts w:ascii="Times New Roman" w:hAnsi="Times New Roman"/>
          <w:sz w:val="23"/>
          <w:szCs w:val="23"/>
          <w:lang w:val="tr-TR"/>
        </w:rPr>
        <w:t xml:space="preserve">en daha az yararlanan </w:t>
      </w:r>
      <w:r w:rsidR="000F345F" w:rsidRPr="001A4B94">
        <w:rPr>
          <w:rFonts w:ascii="Times New Roman" w:hAnsi="Times New Roman"/>
          <w:sz w:val="23"/>
          <w:szCs w:val="23"/>
          <w:lang w:val="tr-TR"/>
        </w:rPr>
        <w:t xml:space="preserve">ve finansmana daha az erişimi olan güneydoğudaki insanlar </w:t>
      </w:r>
      <w:r w:rsidR="00FA1003" w:rsidRPr="001A4B94">
        <w:rPr>
          <w:rFonts w:ascii="Times New Roman" w:hAnsi="Times New Roman"/>
          <w:bCs/>
          <w:sz w:val="23"/>
          <w:szCs w:val="23"/>
          <w:lang w:val="tr-TR"/>
        </w:rPr>
        <w:t xml:space="preserve">(çiftçiler, tarımsal işletmeler ve özellikle kadınlara ait işletmeler olmak üzere KOBİ’ler için) </w:t>
      </w:r>
      <w:r w:rsidR="000F345F" w:rsidRPr="001A4B94">
        <w:rPr>
          <w:rFonts w:ascii="Times New Roman" w:hAnsi="Times New Roman"/>
          <w:sz w:val="23"/>
          <w:szCs w:val="23"/>
          <w:lang w:val="tr-TR"/>
        </w:rPr>
        <w:t xml:space="preserve">için </w:t>
      </w:r>
      <w:r w:rsidR="00FA1003" w:rsidRPr="001A4B94">
        <w:rPr>
          <w:rFonts w:ascii="Times New Roman" w:hAnsi="Times New Roman"/>
          <w:sz w:val="23"/>
          <w:szCs w:val="23"/>
          <w:lang w:val="tr-TR"/>
        </w:rPr>
        <w:t>zaten zorlu olan ortamı daha da ağırlaştırmaktadır</w:t>
      </w:r>
      <w:r w:rsidR="00E078CC" w:rsidRPr="001A4B94">
        <w:rPr>
          <w:rFonts w:ascii="Times New Roman" w:hAnsi="Times New Roman"/>
          <w:bCs/>
          <w:sz w:val="23"/>
          <w:szCs w:val="23"/>
          <w:lang w:val="tr-TR"/>
        </w:rPr>
        <w:t>.</w:t>
      </w:r>
      <w:r w:rsidR="00542475" w:rsidRPr="001A4B94">
        <w:rPr>
          <w:rFonts w:ascii="Times New Roman" w:hAnsi="Times New Roman"/>
          <w:iCs/>
          <w:sz w:val="23"/>
          <w:szCs w:val="23"/>
          <w:lang w:val="tr-TR"/>
        </w:rPr>
        <w:t xml:space="preserve"> </w:t>
      </w:r>
      <w:r w:rsidR="00FA1003" w:rsidRPr="001A4B94">
        <w:rPr>
          <w:rFonts w:ascii="Times New Roman" w:hAnsi="Times New Roman"/>
          <w:iCs/>
          <w:sz w:val="23"/>
          <w:szCs w:val="23"/>
          <w:lang w:val="tr-TR"/>
        </w:rPr>
        <w:t>D</w:t>
      </w:r>
      <w:r w:rsidR="00E078CC" w:rsidRPr="001A4B94">
        <w:rPr>
          <w:rFonts w:ascii="Times New Roman" w:hAnsi="Times New Roman"/>
          <w:bCs/>
          <w:sz w:val="23"/>
          <w:szCs w:val="23"/>
          <w:lang w:val="tr-TR"/>
        </w:rPr>
        <w:t xml:space="preserve">BG </w:t>
      </w:r>
      <w:r w:rsidR="00AD054A" w:rsidRPr="001A4B94">
        <w:rPr>
          <w:rFonts w:ascii="Times New Roman" w:hAnsi="Times New Roman"/>
          <w:bCs/>
          <w:sz w:val="23"/>
          <w:szCs w:val="23"/>
          <w:lang w:val="tr-TR"/>
        </w:rPr>
        <w:t xml:space="preserve">politika danışmanlığı </w:t>
      </w:r>
      <w:r w:rsidR="00F26557" w:rsidRPr="001A4B94">
        <w:rPr>
          <w:rFonts w:ascii="Times New Roman" w:hAnsi="Times New Roman"/>
          <w:bCs/>
          <w:sz w:val="23"/>
          <w:szCs w:val="23"/>
          <w:lang w:val="tr-TR"/>
        </w:rPr>
        <w:t>(AB ve SIDA vakıf fonlarının desteği ile)  ve proje müdahaleleri yoluyla bu sorunların ele alınmasına yardımcı olacaktır</w:t>
      </w:r>
      <w:r w:rsidR="00E078CC" w:rsidRPr="001A4B94">
        <w:rPr>
          <w:rFonts w:ascii="Times New Roman" w:hAnsi="Times New Roman"/>
          <w:bCs/>
          <w:sz w:val="23"/>
          <w:szCs w:val="23"/>
          <w:lang w:val="tr-TR"/>
        </w:rPr>
        <w:t>.</w:t>
      </w:r>
      <w:r w:rsidR="00542475" w:rsidRPr="001A4B94">
        <w:rPr>
          <w:rFonts w:ascii="Times New Roman" w:hAnsi="Times New Roman"/>
          <w:iCs/>
          <w:sz w:val="23"/>
          <w:szCs w:val="23"/>
          <w:lang w:val="tr-TR"/>
        </w:rPr>
        <w:t xml:space="preserve">  FRiT</w:t>
      </w:r>
      <w:r w:rsidR="00F26557" w:rsidRPr="001A4B94">
        <w:rPr>
          <w:rFonts w:ascii="Times New Roman" w:hAnsi="Times New Roman"/>
          <w:iCs/>
          <w:sz w:val="23"/>
          <w:szCs w:val="23"/>
          <w:lang w:val="tr-TR"/>
        </w:rPr>
        <w:t xml:space="preserve"> tarafından finanse edilen bir işgücü piyasası kapsama projesi </w:t>
      </w:r>
      <w:r w:rsidR="00203928" w:rsidRPr="001A4B94">
        <w:rPr>
          <w:rFonts w:ascii="Times New Roman" w:hAnsi="Times New Roman"/>
          <w:iCs/>
          <w:sz w:val="23"/>
          <w:szCs w:val="23"/>
          <w:lang w:val="tr-TR"/>
        </w:rPr>
        <w:t xml:space="preserve">(50 </w:t>
      </w:r>
      <w:r w:rsidR="00F26557" w:rsidRPr="001A4B94">
        <w:rPr>
          <w:rFonts w:ascii="Times New Roman" w:hAnsi="Times New Roman"/>
          <w:iCs/>
          <w:sz w:val="23"/>
          <w:szCs w:val="23"/>
          <w:lang w:val="tr-TR"/>
        </w:rPr>
        <w:t>milyon €</w:t>
      </w:r>
      <w:r w:rsidR="007F0021" w:rsidRPr="001A4B94">
        <w:rPr>
          <w:rFonts w:ascii="Times New Roman" w:hAnsi="Times New Roman"/>
          <w:iCs/>
          <w:sz w:val="23"/>
          <w:szCs w:val="23"/>
          <w:lang w:val="tr-TR"/>
        </w:rPr>
        <w:t xml:space="preserve">, </w:t>
      </w:r>
      <w:r w:rsidR="00F26557" w:rsidRPr="001A4B94">
        <w:rPr>
          <w:rFonts w:ascii="Times New Roman" w:hAnsi="Times New Roman"/>
          <w:iCs/>
          <w:sz w:val="23"/>
          <w:szCs w:val="23"/>
          <w:lang w:val="tr-TR"/>
        </w:rPr>
        <w:t>2017 MY</w:t>
      </w:r>
      <w:r w:rsidR="00203928" w:rsidRPr="001A4B94">
        <w:rPr>
          <w:rFonts w:ascii="Times New Roman" w:hAnsi="Times New Roman"/>
          <w:iCs/>
          <w:sz w:val="23"/>
          <w:szCs w:val="23"/>
          <w:lang w:val="tr-TR"/>
        </w:rPr>
        <w:t xml:space="preserve">) </w:t>
      </w:r>
      <w:r w:rsidR="00F26557" w:rsidRPr="001A4B94">
        <w:rPr>
          <w:rFonts w:ascii="Times New Roman" w:hAnsi="Times New Roman"/>
          <w:iCs/>
          <w:sz w:val="23"/>
          <w:szCs w:val="23"/>
          <w:lang w:val="tr-TR"/>
        </w:rPr>
        <w:t>AİPP’lere erişimin arttırılması yoluyla GKSS’lerin işgücü piyasasına katılımlarını arttırmayı hedeflemektedir</w:t>
      </w:r>
      <w:r w:rsidR="00542475" w:rsidRPr="001A4B94">
        <w:rPr>
          <w:rFonts w:ascii="Times New Roman" w:hAnsi="Times New Roman"/>
          <w:iCs/>
          <w:sz w:val="23"/>
          <w:szCs w:val="23"/>
          <w:lang w:val="tr-TR"/>
        </w:rPr>
        <w:t>.</w:t>
      </w:r>
      <w:r w:rsidR="003C09CE" w:rsidRPr="001A4B94">
        <w:rPr>
          <w:rFonts w:ascii="Times New Roman" w:hAnsi="Times New Roman"/>
          <w:iCs/>
          <w:sz w:val="23"/>
          <w:szCs w:val="23"/>
          <w:lang w:val="tr-TR"/>
        </w:rPr>
        <w:t xml:space="preserve"> </w:t>
      </w:r>
      <w:r w:rsidR="00F26557" w:rsidRPr="001A4B94">
        <w:rPr>
          <w:rFonts w:ascii="Times New Roman" w:hAnsi="Times New Roman"/>
          <w:iCs/>
          <w:sz w:val="23"/>
          <w:szCs w:val="23"/>
          <w:lang w:val="tr-TR"/>
        </w:rPr>
        <w:t>Bunu tamamlayıcı olarak, FRiT  tarafından</w:t>
      </w:r>
      <w:r w:rsidR="00C3219A" w:rsidRPr="001A4B94">
        <w:rPr>
          <w:rFonts w:ascii="Times New Roman" w:hAnsi="Times New Roman"/>
          <w:iCs/>
          <w:sz w:val="23"/>
          <w:szCs w:val="23"/>
          <w:lang w:val="tr-TR"/>
        </w:rPr>
        <w:t>, GKSS’lerin etkilediği bölgelerde istihdam ve girişimcilik fırs</w:t>
      </w:r>
      <w:r w:rsidR="00795EBD" w:rsidRPr="001A4B94">
        <w:rPr>
          <w:rFonts w:ascii="Times New Roman" w:hAnsi="Times New Roman"/>
          <w:iCs/>
          <w:sz w:val="23"/>
          <w:szCs w:val="23"/>
          <w:lang w:val="tr-TR"/>
        </w:rPr>
        <w:t xml:space="preserve">atlarını </w:t>
      </w:r>
      <w:r w:rsidR="00C3219A" w:rsidRPr="001A4B94">
        <w:rPr>
          <w:rFonts w:ascii="Times New Roman" w:hAnsi="Times New Roman"/>
          <w:iCs/>
          <w:sz w:val="23"/>
          <w:szCs w:val="23"/>
          <w:lang w:val="tr-TR"/>
        </w:rPr>
        <w:t xml:space="preserve">desteklemeye yönelik </w:t>
      </w:r>
      <w:r w:rsidR="00795EBD" w:rsidRPr="001A4B94">
        <w:rPr>
          <w:rFonts w:ascii="Times New Roman" w:hAnsi="Times New Roman"/>
          <w:iCs/>
          <w:sz w:val="23"/>
          <w:szCs w:val="23"/>
          <w:lang w:val="tr-TR"/>
        </w:rPr>
        <w:t>IBRD danışmanlık çalışmaları için 5 milyon €’luk bir finansman sağlanmıştır</w:t>
      </w:r>
      <w:r w:rsidR="003C09CE" w:rsidRPr="001A4B94">
        <w:rPr>
          <w:rFonts w:ascii="Times New Roman" w:hAnsi="Times New Roman"/>
          <w:iCs/>
          <w:sz w:val="23"/>
          <w:szCs w:val="23"/>
          <w:lang w:val="tr-TR"/>
        </w:rPr>
        <w:t xml:space="preserve">. </w:t>
      </w:r>
      <w:r w:rsidR="00542475" w:rsidRPr="001A4B94">
        <w:rPr>
          <w:rFonts w:ascii="Times New Roman" w:hAnsi="Times New Roman"/>
          <w:iCs/>
          <w:sz w:val="23"/>
          <w:szCs w:val="23"/>
          <w:lang w:val="tr-TR"/>
        </w:rPr>
        <w:t xml:space="preserve"> </w:t>
      </w:r>
      <w:r w:rsidR="00795EBD" w:rsidRPr="001A4B94">
        <w:rPr>
          <w:rFonts w:ascii="Times New Roman" w:hAnsi="Times New Roman"/>
          <w:iCs/>
          <w:sz w:val="23"/>
          <w:szCs w:val="23"/>
          <w:lang w:val="tr-TR"/>
        </w:rPr>
        <w:t xml:space="preserve">Müşteri talebinin olduğu ve ikiz hedefler ile bağlantının kurulabildiği yerlerde daha fazla </w:t>
      </w:r>
      <w:r w:rsidR="00542475" w:rsidRPr="001A4B94">
        <w:rPr>
          <w:rFonts w:ascii="Times New Roman" w:hAnsi="Times New Roman"/>
          <w:iCs/>
          <w:sz w:val="23"/>
          <w:szCs w:val="23"/>
          <w:lang w:val="tr-TR"/>
        </w:rPr>
        <w:t xml:space="preserve">IBRD </w:t>
      </w:r>
      <w:r w:rsidR="00795EBD" w:rsidRPr="001A4B94">
        <w:rPr>
          <w:rFonts w:ascii="Times New Roman" w:hAnsi="Times New Roman"/>
          <w:iCs/>
          <w:sz w:val="23"/>
          <w:szCs w:val="23"/>
          <w:lang w:val="tr-TR"/>
        </w:rPr>
        <w:t>ve</w:t>
      </w:r>
      <w:r w:rsidR="00542475" w:rsidRPr="001A4B94">
        <w:rPr>
          <w:rFonts w:ascii="Times New Roman" w:hAnsi="Times New Roman"/>
          <w:iCs/>
          <w:sz w:val="23"/>
          <w:szCs w:val="23"/>
          <w:lang w:val="tr-TR"/>
        </w:rPr>
        <w:t>/</w:t>
      </w:r>
      <w:r w:rsidR="00795EBD" w:rsidRPr="001A4B94">
        <w:rPr>
          <w:rFonts w:ascii="Times New Roman" w:hAnsi="Times New Roman"/>
          <w:iCs/>
          <w:sz w:val="23"/>
          <w:szCs w:val="23"/>
          <w:lang w:val="tr-TR"/>
        </w:rPr>
        <w:t>veya AB yatırımları düşünülecektir</w:t>
      </w:r>
      <w:r w:rsidR="00542475" w:rsidRPr="001A4B94">
        <w:rPr>
          <w:rFonts w:ascii="Times New Roman" w:hAnsi="Times New Roman"/>
          <w:iCs/>
          <w:sz w:val="23"/>
          <w:szCs w:val="23"/>
          <w:lang w:val="tr-TR"/>
        </w:rPr>
        <w:t xml:space="preserve">.  </w:t>
      </w:r>
      <w:r w:rsidR="00795EBD" w:rsidRPr="001A4B94">
        <w:rPr>
          <w:rFonts w:ascii="Times New Roman" w:hAnsi="Times New Roman"/>
          <w:iCs/>
          <w:sz w:val="23"/>
          <w:szCs w:val="23"/>
          <w:lang w:val="tr-TR"/>
        </w:rPr>
        <w:t>D</w:t>
      </w:r>
      <w:r w:rsidR="00542475" w:rsidRPr="001A4B94">
        <w:rPr>
          <w:rFonts w:ascii="Times New Roman" w:hAnsi="Times New Roman"/>
          <w:iCs/>
          <w:sz w:val="23"/>
          <w:szCs w:val="23"/>
          <w:lang w:val="tr-TR"/>
        </w:rPr>
        <w:t xml:space="preserve">BG </w:t>
      </w:r>
      <w:r w:rsidR="00795EBD" w:rsidRPr="001A4B94">
        <w:rPr>
          <w:rFonts w:ascii="Times New Roman" w:hAnsi="Times New Roman"/>
          <w:iCs/>
          <w:sz w:val="23"/>
          <w:szCs w:val="23"/>
          <w:lang w:val="tr-TR"/>
        </w:rPr>
        <w:t>aynı zamanda bu konudaki küresel bilgi rolü kapsamında daha geniş anlamda göç sorunları için de destek sağlamaktadır</w:t>
      </w:r>
      <w:r w:rsidR="00542475" w:rsidRPr="001A4B94">
        <w:rPr>
          <w:rFonts w:ascii="Times New Roman" w:hAnsi="Times New Roman"/>
          <w:iCs/>
          <w:sz w:val="23"/>
          <w:szCs w:val="23"/>
          <w:lang w:val="tr-TR"/>
        </w:rPr>
        <w:t xml:space="preserve">.  </w:t>
      </w:r>
    </w:p>
    <w:p w14:paraId="56C0451C" w14:textId="267A445A" w:rsidR="00542475" w:rsidRPr="001A4B94" w:rsidRDefault="00542475" w:rsidP="00542475">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676ECED4" w14:textId="47F288A2" w:rsidR="00B30A52" w:rsidRPr="001A4B94" w:rsidRDefault="006B013D" w:rsidP="00B30A52">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IFC</w:t>
      </w:r>
      <w:r w:rsidR="006C6AA8" w:rsidRPr="001A4B94">
        <w:rPr>
          <w:rFonts w:ascii="Times New Roman" w:hAnsi="Times New Roman"/>
          <w:b/>
          <w:iCs/>
          <w:sz w:val="23"/>
          <w:szCs w:val="23"/>
          <w:lang w:val="tr-TR"/>
        </w:rPr>
        <w:t>,</w:t>
      </w:r>
      <w:r w:rsidRPr="001A4B94">
        <w:rPr>
          <w:rFonts w:ascii="Times New Roman" w:hAnsi="Times New Roman"/>
          <w:b/>
          <w:iCs/>
          <w:sz w:val="23"/>
          <w:szCs w:val="23"/>
          <w:lang w:val="tr-TR"/>
        </w:rPr>
        <w:t xml:space="preserve"> </w:t>
      </w:r>
      <w:r w:rsidR="0066491D" w:rsidRPr="001A4B94">
        <w:rPr>
          <w:rFonts w:ascii="Times New Roman" w:hAnsi="Times New Roman"/>
          <w:b/>
          <w:iCs/>
          <w:sz w:val="23"/>
          <w:szCs w:val="23"/>
          <w:lang w:val="tr-TR"/>
        </w:rPr>
        <w:t>kırılgan ve yetersiz hizmet alan grupların hizmetlere, istihdama ve finans</w:t>
      </w:r>
      <w:r w:rsidR="006C6AA8" w:rsidRPr="001A4B94">
        <w:rPr>
          <w:rFonts w:ascii="Times New Roman" w:hAnsi="Times New Roman"/>
          <w:b/>
          <w:iCs/>
          <w:sz w:val="23"/>
          <w:szCs w:val="23"/>
          <w:lang w:val="tr-TR"/>
        </w:rPr>
        <w:t>m</w:t>
      </w:r>
      <w:r w:rsidR="0066491D" w:rsidRPr="001A4B94">
        <w:rPr>
          <w:rFonts w:ascii="Times New Roman" w:hAnsi="Times New Roman"/>
          <w:b/>
          <w:iCs/>
          <w:sz w:val="23"/>
          <w:szCs w:val="23"/>
          <w:lang w:val="tr-TR"/>
        </w:rPr>
        <w:t>ana erişimlerin</w:t>
      </w:r>
      <w:r w:rsidR="006C6AA8" w:rsidRPr="001A4B94">
        <w:rPr>
          <w:rFonts w:ascii="Times New Roman" w:hAnsi="Times New Roman"/>
          <w:b/>
          <w:iCs/>
          <w:sz w:val="23"/>
          <w:szCs w:val="23"/>
          <w:lang w:val="tr-TR"/>
        </w:rPr>
        <w:t>de daha fazla eşitlik sağlayan projelere yatırım yapmayı amaçlamaktadır</w:t>
      </w:r>
      <w:r w:rsidR="00A37666" w:rsidRPr="001A4B94">
        <w:rPr>
          <w:rFonts w:ascii="Times New Roman" w:hAnsi="Times New Roman"/>
          <w:b/>
          <w:sz w:val="23"/>
          <w:szCs w:val="23"/>
          <w:lang w:val="tr-TR"/>
        </w:rPr>
        <w:t>.</w:t>
      </w:r>
      <w:r w:rsidR="00A37666" w:rsidRPr="001A4B94">
        <w:rPr>
          <w:rFonts w:ascii="Times New Roman" w:hAnsi="Times New Roman"/>
          <w:sz w:val="23"/>
          <w:szCs w:val="23"/>
          <w:lang w:val="tr-TR"/>
        </w:rPr>
        <w:t xml:space="preserve"> IFC </w:t>
      </w:r>
      <w:r w:rsidR="00843A0D" w:rsidRPr="001A4B94">
        <w:rPr>
          <w:rFonts w:ascii="Times New Roman" w:hAnsi="Times New Roman"/>
          <w:sz w:val="23"/>
          <w:szCs w:val="23"/>
          <w:lang w:val="tr-TR"/>
        </w:rPr>
        <w:t xml:space="preserve">kadın girişimcilere ve çiftçilere yönelik KOBİ </w:t>
      </w:r>
      <w:r w:rsidR="006C6AA8" w:rsidRPr="001A4B94">
        <w:rPr>
          <w:rFonts w:ascii="Times New Roman" w:hAnsi="Times New Roman"/>
          <w:sz w:val="23"/>
          <w:szCs w:val="23"/>
          <w:lang w:val="tr-TR"/>
        </w:rPr>
        <w:t>finansmanlarının ölçeği</w:t>
      </w:r>
      <w:r w:rsidR="00843A0D" w:rsidRPr="001A4B94">
        <w:rPr>
          <w:rFonts w:ascii="Times New Roman" w:hAnsi="Times New Roman"/>
          <w:sz w:val="23"/>
          <w:szCs w:val="23"/>
          <w:lang w:val="tr-TR"/>
        </w:rPr>
        <w:t>ni</w:t>
      </w:r>
      <w:r w:rsidR="006C6AA8" w:rsidRPr="001A4B94">
        <w:rPr>
          <w:rFonts w:ascii="Times New Roman" w:hAnsi="Times New Roman"/>
          <w:sz w:val="23"/>
          <w:szCs w:val="23"/>
          <w:lang w:val="tr-TR"/>
        </w:rPr>
        <w:t xml:space="preserve"> yükseltecek ve BDFK’ların bu gruplara yöne</w:t>
      </w:r>
      <w:r w:rsidR="00843A0D" w:rsidRPr="001A4B94">
        <w:rPr>
          <w:rFonts w:ascii="Times New Roman" w:hAnsi="Times New Roman"/>
          <w:sz w:val="23"/>
          <w:szCs w:val="23"/>
          <w:lang w:val="tr-TR"/>
        </w:rPr>
        <w:t>l</w:t>
      </w:r>
      <w:r w:rsidR="006C6AA8" w:rsidRPr="001A4B94">
        <w:rPr>
          <w:rFonts w:ascii="Times New Roman" w:hAnsi="Times New Roman"/>
          <w:sz w:val="23"/>
          <w:szCs w:val="23"/>
          <w:lang w:val="tr-TR"/>
        </w:rPr>
        <w:t>ik finan</w:t>
      </w:r>
      <w:r w:rsidR="00843A0D" w:rsidRPr="001A4B94">
        <w:rPr>
          <w:rFonts w:ascii="Times New Roman" w:hAnsi="Times New Roman"/>
          <w:sz w:val="23"/>
          <w:szCs w:val="23"/>
          <w:lang w:val="tr-TR"/>
        </w:rPr>
        <w:t>smana erişimi arttırmaları için kaldıraç etkisi yaratacaktır</w:t>
      </w:r>
      <w:r w:rsidR="00A37666" w:rsidRPr="001A4B94">
        <w:rPr>
          <w:rFonts w:ascii="Times New Roman" w:hAnsi="Times New Roman"/>
          <w:bCs/>
          <w:sz w:val="23"/>
          <w:szCs w:val="23"/>
          <w:lang w:val="tr-TR"/>
        </w:rPr>
        <w:t xml:space="preserve">.  </w:t>
      </w:r>
      <w:r w:rsidR="001042D9" w:rsidRPr="001A4B94">
        <w:rPr>
          <w:rFonts w:ascii="Times New Roman" w:hAnsi="Times New Roman"/>
          <w:bCs/>
          <w:sz w:val="23"/>
          <w:szCs w:val="23"/>
          <w:lang w:val="tr-TR"/>
        </w:rPr>
        <w:t>Aynı zamanda geride kalmış bölgelerde istihdamı desteklemek amacıyla, Türkiye’nin güneydoğusunda faaliyet gösteren kilit imalat şirketlerine de yatırım yapacaktır</w:t>
      </w:r>
      <w:r w:rsidR="004C7B29" w:rsidRPr="001A4B94">
        <w:rPr>
          <w:rFonts w:ascii="Times New Roman" w:hAnsi="Times New Roman"/>
          <w:sz w:val="23"/>
          <w:szCs w:val="23"/>
          <w:lang w:val="tr-TR"/>
        </w:rPr>
        <w:t xml:space="preserve">. </w:t>
      </w:r>
      <w:r w:rsidR="00843A0D" w:rsidRPr="001A4B94">
        <w:rPr>
          <w:rFonts w:ascii="Times New Roman" w:hAnsi="Times New Roman"/>
          <w:sz w:val="23"/>
          <w:szCs w:val="23"/>
          <w:lang w:val="tr-TR"/>
        </w:rPr>
        <w:t xml:space="preserve">yetersiz hizmet alan nüfus gruplarının daha iyi kentsel hizmetlere erişebilmelerine yardımcı olmak için, </w:t>
      </w:r>
      <w:r w:rsidR="004C7B29" w:rsidRPr="001A4B94">
        <w:rPr>
          <w:rFonts w:ascii="Times New Roman" w:hAnsi="Times New Roman"/>
          <w:sz w:val="23"/>
          <w:szCs w:val="23"/>
          <w:lang w:val="tr-TR"/>
        </w:rPr>
        <w:t xml:space="preserve">IFC </w:t>
      </w:r>
      <w:r w:rsidR="00843A0D" w:rsidRPr="001A4B94">
        <w:rPr>
          <w:rFonts w:ascii="Times New Roman" w:hAnsi="Times New Roman"/>
          <w:sz w:val="23"/>
          <w:szCs w:val="23"/>
          <w:lang w:val="tr-TR"/>
        </w:rPr>
        <w:t>ikinci kademede yer alan daha az gelişmiş bölgelerde ticari açıdan sürdürülebilir kentsel altyapı projelerine yatırım yapma imkanlarını araştıracaktır</w:t>
      </w:r>
      <w:r w:rsidR="004C7B29" w:rsidRPr="001A4B94">
        <w:rPr>
          <w:rFonts w:ascii="Times New Roman" w:hAnsi="Times New Roman"/>
          <w:sz w:val="23"/>
          <w:szCs w:val="23"/>
          <w:lang w:val="tr-TR"/>
        </w:rPr>
        <w:t xml:space="preserve">. </w:t>
      </w:r>
      <w:r w:rsidR="00843A0D" w:rsidRPr="001A4B94">
        <w:rPr>
          <w:rFonts w:ascii="Times New Roman" w:hAnsi="Times New Roman"/>
          <w:sz w:val="23"/>
          <w:szCs w:val="23"/>
          <w:lang w:val="tr-TR"/>
        </w:rPr>
        <w:t>Ayrıca</w:t>
      </w:r>
      <w:r w:rsidR="004C7B29" w:rsidRPr="001A4B94">
        <w:rPr>
          <w:rFonts w:ascii="Times New Roman" w:hAnsi="Times New Roman"/>
          <w:sz w:val="23"/>
          <w:szCs w:val="23"/>
          <w:lang w:val="tr-TR"/>
        </w:rPr>
        <w:t xml:space="preserve">, </w:t>
      </w:r>
      <w:r w:rsidR="00BD6929" w:rsidRPr="001A4B94">
        <w:rPr>
          <w:rFonts w:ascii="Times New Roman" w:hAnsi="Times New Roman"/>
          <w:sz w:val="23"/>
          <w:szCs w:val="23"/>
          <w:lang w:val="tr-TR"/>
        </w:rPr>
        <w:t>kadın istihdamını ve girişimciliğini destekleyen toplumsal cinsiyet programları geliştirmelerine yardımcı olmak için, Türk şirketlerine danışmanlık hizmetleri sunacaktır</w:t>
      </w:r>
      <w:r w:rsidR="004C7B29" w:rsidRPr="001A4B94">
        <w:rPr>
          <w:rFonts w:ascii="Times New Roman" w:hAnsi="Times New Roman"/>
          <w:sz w:val="23"/>
          <w:szCs w:val="23"/>
          <w:lang w:val="tr-TR"/>
        </w:rPr>
        <w:t>.</w:t>
      </w:r>
    </w:p>
    <w:p w14:paraId="31F53B33" w14:textId="7863009E" w:rsidR="004C507E" w:rsidRPr="001A4B94" w:rsidRDefault="004C507E" w:rsidP="004C507E">
      <w:pPr>
        <w:rPr>
          <w:b/>
          <w:bCs/>
          <w:sz w:val="23"/>
          <w:szCs w:val="23"/>
          <w:u w:val="single"/>
          <w:lang w:val="tr-TR"/>
        </w:rPr>
      </w:pPr>
    </w:p>
    <w:p w14:paraId="78731BB3" w14:textId="6C677EB0" w:rsidR="000549A1" w:rsidRPr="001A4B94" w:rsidRDefault="00542475" w:rsidP="000549A1">
      <w:pPr>
        <w:ind w:left="396"/>
        <w:rPr>
          <w:b/>
          <w:bCs/>
          <w:sz w:val="23"/>
          <w:szCs w:val="23"/>
          <w:u w:val="single"/>
          <w:lang w:val="tr-TR"/>
        </w:rPr>
      </w:pPr>
      <w:r w:rsidRPr="001A4B94">
        <w:rPr>
          <w:b/>
          <w:bCs/>
          <w:sz w:val="23"/>
          <w:szCs w:val="23"/>
          <w:u w:val="single"/>
          <w:lang w:val="tr-TR"/>
        </w:rPr>
        <w:t xml:space="preserve">CPF </w:t>
      </w:r>
      <w:r w:rsidR="00BD6929" w:rsidRPr="001A4B94">
        <w:rPr>
          <w:b/>
          <w:bCs/>
          <w:sz w:val="23"/>
          <w:szCs w:val="23"/>
          <w:u w:val="single"/>
          <w:lang w:val="tr-TR"/>
        </w:rPr>
        <w:t xml:space="preserve">Amacı </w:t>
      </w:r>
      <w:r w:rsidRPr="001A4B94">
        <w:rPr>
          <w:b/>
          <w:bCs/>
          <w:sz w:val="23"/>
          <w:szCs w:val="23"/>
          <w:u w:val="single"/>
          <w:lang w:val="tr-TR"/>
        </w:rPr>
        <w:t>6</w:t>
      </w:r>
      <w:r w:rsidR="00420992" w:rsidRPr="001A4B94">
        <w:rPr>
          <w:b/>
          <w:bCs/>
          <w:sz w:val="23"/>
          <w:szCs w:val="23"/>
          <w:u w:val="single"/>
          <w:lang w:val="tr-TR"/>
        </w:rPr>
        <w:t xml:space="preserve">: </w:t>
      </w:r>
      <w:r w:rsidR="00E7641E" w:rsidRPr="001A4B94">
        <w:rPr>
          <w:b/>
          <w:bCs/>
          <w:sz w:val="23"/>
          <w:szCs w:val="23"/>
          <w:u w:val="single"/>
          <w:lang w:val="tr-TR"/>
        </w:rPr>
        <w:t xml:space="preserve">Eğitim ve Sağlık Sektörlerinin Performansının Güçlendirilmesi  </w:t>
      </w:r>
    </w:p>
    <w:p w14:paraId="72FAA42D" w14:textId="77777777" w:rsidR="000549A1" w:rsidRPr="001A4B94" w:rsidRDefault="000549A1" w:rsidP="000549A1">
      <w:pPr>
        <w:ind w:left="396"/>
        <w:rPr>
          <w:b/>
          <w:bCs/>
          <w:sz w:val="12"/>
          <w:szCs w:val="12"/>
          <w:u w:val="single"/>
          <w:lang w:val="tr-TR"/>
        </w:rPr>
      </w:pPr>
    </w:p>
    <w:tbl>
      <w:tblPr>
        <w:tblW w:w="0" w:type="auto"/>
        <w:tblCellMar>
          <w:left w:w="0" w:type="dxa"/>
          <w:right w:w="0" w:type="dxa"/>
        </w:tblCellMar>
        <w:tblLook w:val="04A0" w:firstRow="1" w:lastRow="0" w:firstColumn="1" w:lastColumn="0" w:noHBand="0" w:noVBand="1"/>
      </w:tblPr>
      <w:tblGrid>
        <w:gridCol w:w="9340"/>
      </w:tblGrid>
      <w:tr w:rsidR="000549A1" w:rsidRPr="001A4B94" w14:paraId="0A921D4E" w14:textId="77777777" w:rsidTr="006026F0">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93FD2" w14:textId="5BA8C50A" w:rsidR="000549A1" w:rsidRPr="001A4B94" w:rsidRDefault="00E7641E" w:rsidP="006026F0">
            <w:pPr>
              <w:jc w:val="both"/>
              <w:rPr>
                <w:b/>
                <w:sz w:val="22"/>
                <w:lang w:val="tr-TR"/>
              </w:rPr>
            </w:pPr>
            <w:r w:rsidRPr="001A4B94">
              <w:rPr>
                <w:b/>
                <w:sz w:val="22"/>
                <w:lang w:val="tr-TR"/>
              </w:rPr>
              <w:t xml:space="preserve">Amaç 6 için Sonuç Göstergeleri </w:t>
            </w:r>
          </w:p>
        </w:tc>
      </w:tr>
      <w:tr w:rsidR="000549A1" w:rsidRPr="001A4B94" w14:paraId="14224450" w14:textId="77777777" w:rsidTr="006026F0">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27AEDCA" w14:textId="3C70EB08" w:rsidR="000549A1" w:rsidRPr="001A4B94" w:rsidRDefault="00E7641E" w:rsidP="006026F0">
            <w:pPr>
              <w:tabs>
                <w:tab w:val="left" w:pos="1142"/>
              </w:tabs>
              <w:rPr>
                <w:i/>
                <w:sz w:val="22"/>
                <w:lang w:val="tr-TR"/>
              </w:rPr>
            </w:pPr>
            <w:r w:rsidRPr="001A4B94">
              <w:rPr>
                <w:i/>
                <w:sz w:val="22"/>
                <w:lang w:val="tr-TR"/>
              </w:rPr>
              <w:t xml:space="preserve">6-18 yaş arası GKSS’li çocukların </w:t>
            </w:r>
            <w:r w:rsidR="0035514D" w:rsidRPr="001A4B94">
              <w:rPr>
                <w:i/>
                <w:sz w:val="22"/>
                <w:lang w:val="tr-TR"/>
              </w:rPr>
              <w:t xml:space="preserve">örgün </w:t>
            </w:r>
            <w:r w:rsidRPr="001A4B94">
              <w:rPr>
                <w:i/>
                <w:sz w:val="22"/>
                <w:lang w:val="tr-TR"/>
              </w:rPr>
              <w:t xml:space="preserve">okullaşma </w:t>
            </w:r>
            <w:r w:rsidR="00075EFA" w:rsidRPr="001A4B94">
              <w:rPr>
                <w:i/>
                <w:sz w:val="22"/>
                <w:lang w:val="tr-TR"/>
              </w:rPr>
              <w:t xml:space="preserve">oranlarındaki </w:t>
            </w:r>
            <w:r w:rsidRPr="001A4B94">
              <w:rPr>
                <w:i/>
                <w:sz w:val="22"/>
                <w:lang w:val="tr-TR"/>
              </w:rPr>
              <w:t xml:space="preserve">artış </w:t>
            </w:r>
          </w:p>
          <w:p w14:paraId="6101178D" w14:textId="0A128CA3" w:rsidR="000549A1" w:rsidRPr="001A4B94" w:rsidRDefault="002F78D9" w:rsidP="006026F0">
            <w:pPr>
              <w:tabs>
                <w:tab w:val="left" w:pos="1142"/>
              </w:tabs>
              <w:rPr>
                <w:i/>
                <w:sz w:val="22"/>
                <w:lang w:val="tr-TR"/>
              </w:rPr>
            </w:pPr>
            <w:r w:rsidRPr="001A4B94">
              <w:rPr>
                <w:i/>
                <w:sz w:val="22"/>
                <w:lang w:val="tr-TR"/>
              </w:rPr>
              <w:t>Bulaşıcı ol</w:t>
            </w:r>
            <w:r w:rsidR="00870C9B" w:rsidRPr="001A4B94">
              <w:rPr>
                <w:i/>
                <w:sz w:val="22"/>
                <w:lang w:val="tr-TR"/>
              </w:rPr>
              <w:t>m</w:t>
            </w:r>
            <w:r w:rsidRPr="001A4B94">
              <w:rPr>
                <w:i/>
                <w:sz w:val="22"/>
                <w:lang w:val="tr-TR"/>
              </w:rPr>
              <w:t xml:space="preserve">ayan </w:t>
            </w:r>
            <w:r w:rsidR="00870C9B" w:rsidRPr="001A4B94">
              <w:rPr>
                <w:i/>
                <w:sz w:val="22"/>
                <w:lang w:val="tr-TR"/>
              </w:rPr>
              <w:t>hastalıklara</w:t>
            </w:r>
            <w:r w:rsidRPr="001A4B94">
              <w:rPr>
                <w:i/>
                <w:sz w:val="22"/>
                <w:lang w:val="tr-TR"/>
              </w:rPr>
              <w:t xml:space="preserve"> yönelik birincil ve ikincil önleme </w:t>
            </w:r>
            <w:r w:rsidR="00870C9B" w:rsidRPr="001A4B94">
              <w:rPr>
                <w:i/>
                <w:sz w:val="22"/>
                <w:lang w:val="tr-TR"/>
              </w:rPr>
              <w:t xml:space="preserve">faaliyetlerinin iyileştirilmesi </w:t>
            </w:r>
          </w:p>
          <w:p w14:paraId="25E66E4D" w14:textId="02BE267E" w:rsidR="000549A1" w:rsidRPr="001A4B94" w:rsidRDefault="00870C9B" w:rsidP="006026F0">
            <w:pPr>
              <w:tabs>
                <w:tab w:val="left" w:pos="1142"/>
              </w:tabs>
              <w:rPr>
                <w:i/>
                <w:sz w:val="22"/>
                <w:lang w:val="tr-TR"/>
              </w:rPr>
            </w:pPr>
            <w:r w:rsidRPr="001A4B94">
              <w:rPr>
                <w:i/>
                <w:sz w:val="22"/>
                <w:lang w:val="tr-TR"/>
              </w:rPr>
              <w:t xml:space="preserve">IFC’nin sağlık sektöründeki müşterileri tarafından hizmet verilen hasta sayısı </w:t>
            </w:r>
          </w:p>
        </w:tc>
      </w:tr>
    </w:tbl>
    <w:p w14:paraId="01A36E5C" w14:textId="77777777" w:rsidR="000549A1" w:rsidRPr="001A4B94" w:rsidRDefault="000549A1" w:rsidP="000549A1">
      <w:pPr>
        <w:tabs>
          <w:tab w:val="left" w:pos="270"/>
        </w:tabs>
        <w:jc w:val="both"/>
        <w:rPr>
          <w:lang w:val="tr-TR"/>
        </w:rPr>
      </w:pPr>
    </w:p>
    <w:p w14:paraId="68BBAAB0" w14:textId="225835AA" w:rsidR="009E05E1" w:rsidRPr="001A4B94" w:rsidRDefault="00A065AD" w:rsidP="00C1381A">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bCs/>
          <w:sz w:val="23"/>
          <w:szCs w:val="23"/>
          <w:lang w:val="tr-TR"/>
        </w:rPr>
        <w:lastRenderedPageBreak/>
        <w:t>Sağlık sektöründeki program sağlıklı yaşam tarzlarının teşvik ed</w:t>
      </w:r>
      <w:r w:rsidR="00AF3561" w:rsidRPr="001A4B94">
        <w:rPr>
          <w:rFonts w:ascii="Times New Roman" w:hAnsi="Times New Roman"/>
          <w:b/>
          <w:bCs/>
          <w:sz w:val="23"/>
          <w:szCs w:val="23"/>
          <w:lang w:val="tr-TR"/>
        </w:rPr>
        <w:t>i</w:t>
      </w:r>
      <w:r w:rsidRPr="001A4B94">
        <w:rPr>
          <w:rFonts w:ascii="Times New Roman" w:hAnsi="Times New Roman"/>
          <w:b/>
          <w:bCs/>
          <w:sz w:val="23"/>
          <w:szCs w:val="23"/>
          <w:lang w:val="tr-TR"/>
        </w:rPr>
        <w:t>lmesi üzer</w:t>
      </w:r>
      <w:r w:rsidR="00AF3561" w:rsidRPr="001A4B94">
        <w:rPr>
          <w:rFonts w:ascii="Times New Roman" w:hAnsi="Times New Roman"/>
          <w:b/>
          <w:bCs/>
          <w:sz w:val="23"/>
          <w:szCs w:val="23"/>
          <w:lang w:val="tr-TR"/>
        </w:rPr>
        <w:t>i</w:t>
      </w:r>
      <w:r w:rsidRPr="001A4B94">
        <w:rPr>
          <w:rFonts w:ascii="Times New Roman" w:hAnsi="Times New Roman"/>
          <w:b/>
          <w:bCs/>
          <w:sz w:val="23"/>
          <w:szCs w:val="23"/>
          <w:lang w:val="tr-TR"/>
        </w:rPr>
        <w:t>nde odaklanacaktır</w:t>
      </w:r>
      <w:r w:rsidR="00131F38" w:rsidRPr="001A4B94">
        <w:rPr>
          <w:rFonts w:ascii="Times New Roman" w:hAnsi="Times New Roman"/>
          <w:b/>
          <w:bCs/>
          <w:sz w:val="23"/>
          <w:szCs w:val="23"/>
          <w:lang w:val="tr-TR"/>
        </w:rPr>
        <w:t xml:space="preserve">.  </w:t>
      </w:r>
      <w:r w:rsidR="00486BCC" w:rsidRPr="001A4B94">
        <w:rPr>
          <w:rFonts w:ascii="Times New Roman" w:hAnsi="Times New Roman"/>
          <w:bCs/>
          <w:sz w:val="23"/>
          <w:szCs w:val="23"/>
          <w:lang w:val="tr-TR"/>
        </w:rPr>
        <w:t xml:space="preserve">Türkiye </w:t>
      </w:r>
      <w:r w:rsidR="00BB67FA" w:rsidRPr="001A4B94">
        <w:rPr>
          <w:rFonts w:ascii="Times New Roman" w:hAnsi="Times New Roman"/>
          <w:bCs/>
          <w:sz w:val="23"/>
          <w:szCs w:val="23"/>
          <w:lang w:val="tr-TR"/>
        </w:rPr>
        <w:t>ölüm oranının düşürülmesinde ve</w:t>
      </w:r>
      <w:r w:rsidR="00BB67FA" w:rsidRPr="001A4B94">
        <w:rPr>
          <w:rFonts w:ascii="Times New Roman" w:hAnsi="Times New Roman"/>
          <w:b/>
          <w:bCs/>
          <w:sz w:val="23"/>
          <w:szCs w:val="23"/>
          <w:lang w:val="tr-TR"/>
        </w:rPr>
        <w:t xml:space="preserve"> </w:t>
      </w:r>
      <w:r w:rsidR="00BB67FA" w:rsidRPr="001A4B94">
        <w:rPr>
          <w:rFonts w:ascii="Times New Roman" w:hAnsi="Times New Roman"/>
          <w:sz w:val="23"/>
          <w:szCs w:val="23"/>
          <w:lang w:val="tr-TR"/>
        </w:rPr>
        <w:t>beklenen yaşam süresinin uzatılmasında zaten çok önemli ilerlemeler kaydetmiş durumdadır</w:t>
      </w:r>
      <w:r w:rsidR="009353EA" w:rsidRPr="001A4B94">
        <w:rPr>
          <w:rFonts w:ascii="Times New Roman" w:hAnsi="Times New Roman"/>
          <w:sz w:val="23"/>
          <w:szCs w:val="23"/>
          <w:lang w:val="tr-TR"/>
        </w:rPr>
        <w:t>;</w:t>
      </w:r>
      <w:r w:rsidR="00AE270A" w:rsidRPr="001A4B94">
        <w:rPr>
          <w:rFonts w:ascii="Times New Roman" w:hAnsi="Times New Roman"/>
          <w:sz w:val="23"/>
          <w:szCs w:val="23"/>
          <w:lang w:val="tr-TR"/>
        </w:rPr>
        <w:t xml:space="preserve"> </w:t>
      </w:r>
      <w:r w:rsidR="00BB67FA" w:rsidRPr="001A4B94">
        <w:rPr>
          <w:rFonts w:ascii="Times New Roman" w:hAnsi="Times New Roman"/>
          <w:sz w:val="23"/>
          <w:szCs w:val="23"/>
          <w:lang w:val="tr-TR"/>
        </w:rPr>
        <w:t>şu anda en büyük potansiyel etkiye sahip zorluk davranışsal riskler ile mücadele ederek sa</w:t>
      </w:r>
      <w:r w:rsidR="00AF3561" w:rsidRPr="001A4B94">
        <w:rPr>
          <w:rFonts w:ascii="Times New Roman" w:hAnsi="Times New Roman"/>
          <w:sz w:val="23"/>
          <w:szCs w:val="23"/>
          <w:lang w:val="tr-TR"/>
        </w:rPr>
        <w:t>ğ</w:t>
      </w:r>
      <w:r w:rsidR="00BB67FA" w:rsidRPr="001A4B94">
        <w:rPr>
          <w:rFonts w:ascii="Times New Roman" w:hAnsi="Times New Roman"/>
          <w:sz w:val="23"/>
          <w:szCs w:val="23"/>
          <w:lang w:val="tr-TR"/>
        </w:rPr>
        <w:t>lıklı yaşam tarzlarını teşvik etmektir.</w:t>
      </w:r>
      <w:r w:rsidR="00AE270A" w:rsidRPr="001A4B94">
        <w:rPr>
          <w:rFonts w:ascii="Times New Roman" w:hAnsi="Times New Roman"/>
          <w:sz w:val="23"/>
          <w:szCs w:val="23"/>
          <w:lang w:val="tr-TR"/>
        </w:rPr>
        <w:t xml:space="preserve"> </w:t>
      </w:r>
      <w:r w:rsidR="00BB67FA" w:rsidRPr="001A4B94">
        <w:rPr>
          <w:rFonts w:ascii="Times New Roman" w:hAnsi="Times New Roman"/>
          <w:sz w:val="23"/>
          <w:szCs w:val="23"/>
          <w:lang w:val="tr-TR"/>
        </w:rPr>
        <w:t xml:space="preserve">Devam etmekte olan bir </w:t>
      </w:r>
      <w:r w:rsidR="00131F38" w:rsidRPr="001A4B94">
        <w:rPr>
          <w:rFonts w:ascii="Times New Roman" w:hAnsi="Times New Roman"/>
          <w:sz w:val="23"/>
          <w:szCs w:val="23"/>
          <w:lang w:val="tr-TR"/>
        </w:rPr>
        <w:t>IBRD</w:t>
      </w:r>
      <w:r w:rsidR="00BB67FA" w:rsidRPr="001A4B94">
        <w:rPr>
          <w:rFonts w:ascii="Times New Roman" w:hAnsi="Times New Roman"/>
          <w:sz w:val="23"/>
          <w:szCs w:val="23"/>
          <w:lang w:val="tr-TR"/>
        </w:rPr>
        <w:t xml:space="preserve"> finansmanlı sağlık projesi</w:t>
      </w:r>
      <w:r w:rsidR="00045725" w:rsidRPr="001A4B94">
        <w:rPr>
          <w:rFonts w:ascii="Times New Roman" w:hAnsi="Times New Roman"/>
          <w:sz w:val="23"/>
          <w:szCs w:val="23"/>
          <w:lang w:val="tr-TR"/>
        </w:rPr>
        <w:t xml:space="preserve">, Sağlık Bakanlığı’nın kanıta dayalı politika oluşturma kapasitesini güçlendirmeyi, </w:t>
      </w:r>
      <w:r w:rsidR="00BB67FA" w:rsidRPr="001A4B94">
        <w:rPr>
          <w:rFonts w:ascii="Times New Roman" w:hAnsi="Times New Roman"/>
          <w:sz w:val="23"/>
          <w:szCs w:val="23"/>
          <w:lang w:val="tr-TR"/>
        </w:rPr>
        <w:t xml:space="preserve"> </w:t>
      </w:r>
      <w:r w:rsidR="00223329" w:rsidRPr="001A4B94">
        <w:rPr>
          <w:rFonts w:ascii="Times New Roman" w:hAnsi="Times New Roman"/>
          <w:sz w:val="23"/>
          <w:szCs w:val="23"/>
          <w:lang w:val="tr-TR"/>
        </w:rPr>
        <w:t>hastane yönetim kapasitesini arttır</w:t>
      </w:r>
      <w:r w:rsidR="00AF3561" w:rsidRPr="001A4B94">
        <w:rPr>
          <w:rFonts w:ascii="Times New Roman" w:hAnsi="Times New Roman"/>
          <w:sz w:val="23"/>
          <w:szCs w:val="23"/>
          <w:lang w:val="tr-TR"/>
        </w:rPr>
        <w:t>m</w:t>
      </w:r>
      <w:r w:rsidR="00223329" w:rsidRPr="001A4B94">
        <w:rPr>
          <w:rFonts w:ascii="Times New Roman" w:hAnsi="Times New Roman"/>
          <w:sz w:val="23"/>
          <w:szCs w:val="23"/>
          <w:lang w:val="tr-TR"/>
        </w:rPr>
        <w:t>ayı ve seçilen bulaşıcı olmayan hastalıkları önleme performansını iyileştirmeyi amaçlamaktadır</w:t>
      </w:r>
      <w:r w:rsidR="00131F38" w:rsidRPr="001A4B94">
        <w:rPr>
          <w:rFonts w:ascii="Times New Roman" w:hAnsi="Times New Roman"/>
          <w:sz w:val="23"/>
          <w:szCs w:val="23"/>
          <w:lang w:val="tr-TR"/>
        </w:rPr>
        <w:t>. </w:t>
      </w:r>
      <w:r w:rsidR="00223329" w:rsidRPr="001A4B94">
        <w:rPr>
          <w:rFonts w:ascii="Times New Roman" w:hAnsi="Times New Roman"/>
          <w:sz w:val="23"/>
          <w:szCs w:val="23"/>
          <w:lang w:val="tr-TR"/>
        </w:rPr>
        <w:t>Proje temel olarak bulaşıcı olmayan hastalıkların risk faktörleri (sigara kullanımı, obezite ve fiziksel hareketsizlik gibi) hakkında farkındalık seviyesini yükseltmeyi  ve davranış değişikliklerini teşvik etmeyi amaçlamaktadır</w:t>
      </w:r>
      <w:r w:rsidR="00203928" w:rsidRPr="001A4B94">
        <w:rPr>
          <w:rFonts w:ascii="Times New Roman" w:hAnsi="Times New Roman"/>
          <w:sz w:val="23"/>
          <w:szCs w:val="23"/>
          <w:lang w:val="tr-TR"/>
        </w:rPr>
        <w:t xml:space="preserve">; </w:t>
      </w:r>
      <w:r w:rsidR="00223329" w:rsidRPr="001A4B94">
        <w:rPr>
          <w:rFonts w:ascii="Times New Roman" w:hAnsi="Times New Roman"/>
          <w:sz w:val="23"/>
          <w:szCs w:val="23"/>
          <w:lang w:val="tr-TR"/>
        </w:rPr>
        <w:t>diğer faaliyetlerin yanı sıra, Türkiye küresel bir obezite çalışmasına dahil edilecektir ve tütün kontrolüne ilişkin deneyimleri belgelenecektir</w:t>
      </w:r>
      <w:r w:rsidR="00131F38" w:rsidRPr="001A4B94">
        <w:rPr>
          <w:rFonts w:ascii="Times New Roman" w:hAnsi="Times New Roman"/>
          <w:sz w:val="23"/>
          <w:szCs w:val="23"/>
          <w:lang w:val="tr-TR"/>
        </w:rPr>
        <w:t xml:space="preserve">. </w:t>
      </w:r>
      <w:r w:rsidR="00223329" w:rsidRPr="001A4B94">
        <w:rPr>
          <w:rFonts w:ascii="Times New Roman" w:hAnsi="Times New Roman"/>
          <w:sz w:val="23"/>
          <w:szCs w:val="23"/>
          <w:lang w:val="tr-TR"/>
        </w:rPr>
        <w:t>Ayrıca</w:t>
      </w:r>
      <w:r w:rsidR="00203928" w:rsidRPr="001A4B94">
        <w:rPr>
          <w:rFonts w:ascii="Times New Roman" w:hAnsi="Times New Roman"/>
          <w:sz w:val="23"/>
          <w:szCs w:val="23"/>
          <w:lang w:val="tr-TR"/>
        </w:rPr>
        <w:t xml:space="preserve">, </w:t>
      </w:r>
      <w:r w:rsidR="00131F38" w:rsidRPr="001A4B94">
        <w:rPr>
          <w:rFonts w:ascii="Times New Roman" w:hAnsi="Times New Roman"/>
          <w:sz w:val="23"/>
          <w:szCs w:val="23"/>
          <w:lang w:val="tr-TR"/>
        </w:rPr>
        <w:t xml:space="preserve">IBRD </w:t>
      </w:r>
      <w:r w:rsidR="00AF3561" w:rsidRPr="001A4B94">
        <w:rPr>
          <w:rFonts w:ascii="Times New Roman" w:hAnsi="Times New Roman"/>
          <w:sz w:val="23"/>
          <w:szCs w:val="23"/>
          <w:lang w:val="tr-TR"/>
        </w:rPr>
        <w:t>sonuca dayalı müdahaleler ve ödeme reformları yoluyla kaliteli sağlık hizmetlerinin sunulması üzerinde odaklanan faaliyetler yoluyla sağlıkta dönüşüm programını</w:t>
      </w:r>
      <w:r w:rsidR="004570EC" w:rsidRPr="001A4B94">
        <w:rPr>
          <w:rFonts w:ascii="Times New Roman" w:hAnsi="Times New Roman"/>
          <w:sz w:val="23"/>
          <w:szCs w:val="23"/>
          <w:lang w:val="tr-TR"/>
        </w:rPr>
        <w:t>n</w:t>
      </w:r>
      <w:r w:rsidR="00AF3561" w:rsidRPr="001A4B94">
        <w:rPr>
          <w:rFonts w:ascii="Times New Roman" w:hAnsi="Times New Roman"/>
          <w:sz w:val="23"/>
          <w:szCs w:val="23"/>
          <w:lang w:val="tr-TR"/>
        </w:rPr>
        <w:t xml:space="preserve"> ikinci aşamasını desteklemeye devam edecektir. </w:t>
      </w:r>
      <w:r w:rsidR="00AA33D6" w:rsidRPr="001A4B94">
        <w:rPr>
          <w:rFonts w:ascii="Times New Roman" w:hAnsi="Times New Roman"/>
          <w:sz w:val="23"/>
          <w:szCs w:val="23"/>
          <w:lang w:val="tr-TR"/>
        </w:rPr>
        <w:t xml:space="preserve">Bu kapsamda </w:t>
      </w:r>
      <w:r w:rsidR="0071628D" w:rsidRPr="001A4B94">
        <w:rPr>
          <w:rFonts w:ascii="Times New Roman" w:hAnsi="Times New Roman"/>
          <w:sz w:val="23"/>
          <w:szCs w:val="23"/>
          <w:lang w:val="tr-TR"/>
        </w:rPr>
        <w:t>elde edilen başarılar ve karşılaşılan zorluklar ile dönüşümün siyasi ekonomisi belgelenecektir.</w:t>
      </w:r>
      <w:r w:rsidR="005B770B" w:rsidRPr="001A4B94">
        <w:rPr>
          <w:rFonts w:ascii="Times New Roman" w:hAnsi="Times New Roman"/>
          <w:sz w:val="23"/>
          <w:szCs w:val="23"/>
          <w:lang w:val="tr-TR"/>
        </w:rPr>
        <w:t xml:space="preserve"> </w:t>
      </w:r>
      <w:r w:rsidR="004C7B29" w:rsidRPr="001A4B94">
        <w:rPr>
          <w:rFonts w:ascii="Times New Roman" w:hAnsi="Times New Roman"/>
          <w:sz w:val="23"/>
          <w:szCs w:val="23"/>
          <w:lang w:val="tr-TR"/>
        </w:rPr>
        <w:t xml:space="preserve">IFC </w:t>
      </w:r>
      <w:r w:rsidR="0071628D" w:rsidRPr="001A4B94">
        <w:rPr>
          <w:rFonts w:ascii="Times New Roman" w:hAnsi="Times New Roman"/>
          <w:sz w:val="23"/>
          <w:szCs w:val="23"/>
          <w:lang w:val="tr-TR"/>
        </w:rPr>
        <w:t>ve MIGA, uzmanlaşmış sağlık hizmet sağlayıcılarına yatırım yaparak ve sağlık altyapısı finansmanına yönelik alt</w:t>
      </w:r>
      <w:r w:rsidR="00D6361C" w:rsidRPr="001A4B94">
        <w:rPr>
          <w:rFonts w:ascii="Times New Roman" w:hAnsi="Times New Roman"/>
          <w:sz w:val="23"/>
          <w:szCs w:val="23"/>
          <w:lang w:val="tr-TR"/>
        </w:rPr>
        <w:t>e</w:t>
      </w:r>
      <w:r w:rsidR="0071628D" w:rsidRPr="001A4B94">
        <w:rPr>
          <w:rFonts w:ascii="Times New Roman" w:hAnsi="Times New Roman"/>
          <w:sz w:val="23"/>
          <w:szCs w:val="23"/>
          <w:lang w:val="tr-TR"/>
        </w:rPr>
        <w:t>rnatif ser</w:t>
      </w:r>
      <w:r w:rsidR="00D6361C" w:rsidRPr="001A4B94">
        <w:rPr>
          <w:rFonts w:ascii="Times New Roman" w:hAnsi="Times New Roman"/>
          <w:sz w:val="23"/>
          <w:szCs w:val="23"/>
          <w:lang w:val="tr-TR"/>
        </w:rPr>
        <w:t>m</w:t>
      </w:r>
      <w:r w:rsidR="0071628D" w:rsidRPr="001A4B94">
        <w:rPr>
          <w:rFonts w:ascii="Times New Roman" w:hAnsi="Times New Roman"/>
          <w:sz w:val="23"/>
          <w:szCs w:val="23"/>
          <w:lang w:val="tr-TR"/>
        </w:rPr>
        <w:t>aye piyas</w:t>
      </w:r>
      <w:r w:rsidR="002C7A88" w:rsidRPr="001A4B94">
        <w:rPr>
          <w:rFonts w:ascii="Times New Roman" w:hAnsi="Times New Roman"/>
          <w:sz w:val="23"/>
          <w:szCs w:val="23"/>
          <w:lang w:val="tr-TR"/>
        </w:rPr>
        <w:t>a</w:t>
      </w:r>
      <w:r w:rsidR="0071628D" w:rsidRPr="001A4B94">
        <w:rPr>
          <w:rFonts w:ascii="Times New Roman" w:hAnsi="Times New Roman"/>
          <w:sz w:val="23"/>
          <w:szCs w:val="23"/>
          <w:lang w:val="tr-TR"/>
        </w:rPr>
        <w:t>s</w:t>
      </w:r>
      <w:r w:rsidR="002C7A88" w:rsidRPr="001A4B94">
        <w:rPr>
          <w:rFonts w:ascii="Times New Roman" w:hAnsi="Times New Roman"/>
          <w:sz w:val="23"/>
          <w:szCs w:val="23"/>
          <w:lang w:val="tr-TR"/>
        </w:rPr>
        <w:t>ı</w:t>
      </w:r>
      <w:r w:rsidR="0071628D" w:rsidRPr="001A4B94">
        <w:rPr>
          <w:rFonts w:ascii="Times New Roman" w:hAnsi="Times New Roman"/>
          <w:sz w:val="23"/>
          <w:szCs w:val="23"/>
          <w:lang w:val="tr-TR"/>
        </w:rPr>
        <w:t xml:space="preserve"> çözümleri yaratmaya yardımcı olacak finansal yenilikçilik yoluyla Türk</w:t>
      </w:r>
      <w:r w:rsidR="002C7A88" w:rsidRPr="001A4B94">
        <w:rPr>
          <w:rFonts w:ascii="Times New Roman" w:hAnsi="Times New Roman"/>
          <w:sz w:val="23"/>
          <w:szCs w:val="23"/>
          <w:lang w:val="tr-TR"/>
        </w:rPr>
        <w:t>i</w:t>
      </w:r>
      <w:r w:rsidR="0071628D" w:rsidRPr="001A4B94">
        <w:rPr>
          <w:rFonts w:ascii="Times New Roman" w:hAnsi="Times New Roman"/>
          <w:sz w:val="23"/>
          <w:szCs w:val="23"/>
          <w:lang w:val="tr-TR"/>
        </w:rPr>
        <w:t>ye’nin sağlık sektörünü d</w:t>
      </w:r>
      <w:r w:rsidR="002C7A88" w:rsidRPr="001A4B94">
        <w:rPr>
          <w:rFonts w:ascii="Times New Roman" w:hAnsi="Times New Roman"/>
          <w:sz w:val="23"/>
          <w:szCs w:val="23"/>
          <w:lang w:val="tr-TR"/>
        </w:rPr>
        <w:t>e</w:t>
      </w:r>
      <w:r w:rsidR="0071628D" w:rsidRPr="001A4B94">
        <w:rPr>
          <w:rFonts w:ascii="Times New Roman" w:hAnsi="Times New Roman"/>
          <w:sz w:val="23"/>
          <w:szCs w:val="23"/>
          <w:lang w:val="tr-TR"/>
        </w:rPr>
        <w:t>steklemeye devam edecektir.</w:t>
      </w:r>
      <w:r w:rsidR="004C7B29" w:rsidRPr="001A4B94">
        <w:rPr>
          <w:rFonts w:ascii="Times New Roman" w:hAnsi="Times New Roman"/>
          <w:sz w:val="23"/>
          <w:szCs w:val="23"/>
          <w:lang w:val="tr-TR"/>
        </w:rPr>
        <w:t xml:space="preserve"> </w:t>
      </w:r>
      <w:r w:rsidR="0071628D" w:rsidRPr="001A4B94">
        <w:rPr>
          <w:rFonts w:ascii="Times New Roman" w:hAnsi="Times New Roman"/>
          <w:sz w:val="23"/>
          <w:szCs w:val="23"/>
          <w:lang w:val="tr-TR"/>
        </w:rPr>
        <w:t>Örneğin</w:t>
      </w:r>
      <w:r w:rsidR="004C7B29" w:rsidRPr="001A4B94">
        <w:rPr>
          <w:rFonts w:ascii="Times New Roman" w:hAnsi="Times New Roman"/>
          <w:sz w:val="23"/>
          <w:szCs w:val="23"/>
          <w:lang w:val="tr-TR"/>
        </w:rPr>
        <w:t xml:space="preserve">, </w:t>
      </w:r>
      <w:r w:rsidR="00C1381A" w:rsidRPr="001A4B94">
        <w:rPr>
          <w:rFonts w:ascii="Times New Roman" w:hAnsi="Times New Roman"/>
          <w:sz w:val="23"/>
          <w:szCs w:val="23"/>
          <w:lang w:val="tr-TR"/>
        </w:rPr>
        <w:t xml:space="preserve">IFC </w:t>
      </w:r>
      <w:r w:rsidR="002C7A88" w:rsidRPr="001A4B94">
        <w:rPr>
          <w:rFonts w:ascii="Times New Roman" w:hAnsi="Times New Roman"/>
          <w:sz w:val="23"/>
          <w:szCs w:val="23"/>
          <w:lang w:val="tr-TR"/>
        </w:rPr>
        <w:t>Elazığ KÖİ Sağlık Projesi kapsamında Türkiye’nin ilk KÖİ tahvil ihracını finanse etmiştir; söz konusu tahvil ihracı kredi geliştirme ürünleri yoluyla MIGA ve EBRD tarafından yapılandırılmış ve desteklenmiştir</w:t>
      </w:r>
      <w:r w:rsidR="004C7B29" w:rsidRPr="001A4B94">
        <w:rPr>
          <w:rFonts w:ascii="Times New Roman" w:hAnsi="Times New Roman"/>
          <w:sz w:val="23"/>
          <w:szCs w:val="23"/>
          <w:lang w:val="tr-TR"/>
        </w:rPr>
        <w:t xml:space="preserve">. IFC </w:t>
      </w:r>
      <w:r w:rsidR="002C7A88" w:rsidRPr="001A4B94">
        <w:rPr>
          <w:rFonts w:ascii="Times New Roman" w:hAnsi="Times New Roman"/>
          <w:sz w:val="23"/>
          <w:szCs w:val="23"/>
          <w:lang w:val="tr-TR"/>
        </w:rPr>
        <w:t>stratejik y</w:t>
      </w:r>
      <w:r w:rsidR="00A5192B" w:rsidRPr="001A4B94">
        <w:rPr>
          <w:rFonts w:ascii="Times New Roman" w:hAnsi="Times New Roman"/>
          <w:sz w:val="23"/>
          <w:szCs w:val="23"/>
          <w:lang w:val="tr-TR"/>
        </w:rPr>
        <w:t>a</w:t>
      </w:r>
      <w:r w:rsidR="002C7A88" w:rsidRPr="001A4B94">
        <w:rPr>
          <w:rFonts w:ascii="Times New Roman" w:hAnsi="Times New Roman"/>
          <w:sz w:val="23"/>
          <w:szCs w:val="23"/>
          <w:lang w:val="tr-TR"/>
        </w:rPr>
        <w:t>tırımcıları çek</w:t>
      </w:r>
      <w:r w:rsidR="00A5192B" w:rsidRPr="001A4B94">
        <w:rPr>
          <w:rFonts w:ascii="Times New Roman" w:hAnsi="Times New Roman"/>
          <w:sz w:val="23"/>
          <w:szCs w:val="23"/>
          <w:lang w:val="tr-TR"/>
        </w:rPr>
        <w:t xml:space="preserve">mede ve ortaklıklar oluşturmada rol oynayabileceği </w:t>
      </w:r>
      <w:r w:rsidR="0019031E" w:rsidRPr="001A4B94">
        <w:rPr>
          <w:rFonts w:ascii="Times New Roman" w:hAnsi="Times New Roman"/>
          <w:sz w:val="23"/>
          <w:szCs w:val="23"/>
          <w:lang w:val="tr-TR"/>
        </w:rPr>
        <w:t xml:space="preserve">ve sonrasında finansman ile destek sağlayabileceği uzmanlaşmış hizmetlere yatırım yapacaktır </w:t>
      </w:r>
      <w:r w:rsidR="004C7B29" w:rsidRPr="001A4B94">
        <w:rPr>
          <w:rFonts w:ascii="Times New Roman" w:hAnsi="Times New Roman"/>
          <w:sz w:val="23"/>
          <w:szCs w:val="23"/>
          <w:lang w:val="tr-TR"/>
        </w:rPr>
        <w:t>(</w:t>
      </w:r>
      <w:r w:rsidR="0019031E" w:rsidRPr="001A4B94">
        <w:rPr>
          <w:rFonts w:ascii="Times New Roman" w:hAnsi="Times New Roman"/>
          <w:sz w:val="23"/>
          <w:szCs w:val="23"/>
          <w:lang w:val="tr-TR"/>
        </w:rPr>
        <w:t xml:space="preserve">örneğin </w:t>
      </w:r>
      <w:r w:rsidR="004C7B29" w:rsidRPr="001A4B94">
        <w:rPr>
          <w:rFonts w:ascii="Times New Roman" w:hAnsi="Times New Roman"/>
          <w:sz w:val="23"/>
          <w:szCs w:val="23"/>
          <w:lang w:val="tr-TR"/>
        </w:rPr>
        <w:t>bi</w:t>
      </w:r>
      <w:r w:rsidR="0019031E" w:rsidRPr="001A4B94">
        <w:rPr>
          <w:rFonts w:ascii="Times New Roman" w:hAnsi="Times New Roman"/>
          <w:sz w:val="23"/>
          <w:szCs w:val="23"/>
          <w:lang w:val="tr-TR"/>
        </w:rPr>
        <w:t>y</w:t>
      </w:r>
      <w:r w:rsidR="004C7B29" w:rsidRPr="001A4B94">
        <w:rPr>
          <w:rFonts w:ascii="Times New Roman" w:hAnsi="Times New Roman"/>
          <w:sz w:val="23"/>
          <w:szCs w:val="23"/>
          <w:lang w:val="tr-TR"/>
        </w:rPr>
        <w:t>o-</w:t>
      </w:r>
      <w:r w:rsidR="0019031E" w:rsidRPr="001A4B94">
        <w:rPr>
          <w:rFonts w:ascii="Times New Roman" w:hAnsi="Times New Roman"/>
          <w:sz w:val="23"/>
          <w:szCs w:val="23"/>
          <w:lang w:val="tr-TR"/>
        </w:rPr>
        <w:t>farmasötik üretim</w:t>
      </w:r>
      <w:r w:rsidR="004C7B29" w:rsidRPr="001A4B94">
        <w:rPr>
          <w:rFonts w:ascii="Times New Roman" w:hAnsi="Times New Roman"/>
          <w:sz w:val="23"/>
          <w:szCs w:val="23"/>
          <w:lang w:val="tr-TR"/>
        </w:rPr>
        <w:t>).</w:t>
      </w:r>
      <w:r w:rsidR="00C1381A" w:rsidRPr="001A4B94">
        <w:rPr>
          <w:rFonts w:ascii="Times New Roman" w:hAnsi="Times New Roman"/>
          <w:sz w:val="23"/>
          <w:szCs w:val="23"/>
          <w:lang w:val="tr-TR"/>
        </w:rPr>
        <w:t xml:space="preserve"> </w:t>
      </w:r>
      <w:r w:rsidR="005B770B" w:rsidRPr="001A4B94">
        <w:rPr>
          <w:rFonts w:ascii="Times New Roman" w:hAnsi="Times New Roman"/>
          <w:sz w:val="23"/>
          <w:szCs w:val="23"/>
          <w:lang w:val="tr-TR"/>
        </w:rPr>
        <w:t xml:space="preserve">MIGA </w:t>
      </w:r>
      <w:r w:rsidR="0019031E" w:rsidRPr="001A4B94">
        <w:rPr>
          <w:rFonts w:ascii="Times New Roman" w:hAnsi="Times New Roman"/>
          <w:sz w:val="23"/>
          <w:szCs w:val="23"/>
          <w:lang w:val="tr-TR"/>
        </w:rPr>
        <w:t xml:space="preserve">ise </w:t>
      </w:r>
      <w:r w:rsidR="00560798" w:rsidRPr="001A4B94">
        <w:rPr>
          <w:rFonts w:ascii="Times New Roman" w:hAnsi="Times New Roman"/>
          <w:sz w:val="23"/>
          <w:szCs w:val="23"/>
          <w:lang w:val="tr-TR"/>
        </w:rPr>
        <w:t xml:space="preserve">yeni sağlık tesislerinin </w:t>
      </w:r>
      <w:r w:rsidR="00012C3F" w:rsidRPr="001A4B94">
        <w:rPr>
          <w:rFonts w:ascii="Times New Roman" w:hAnsi="Times New Roman"/>
          <w:sz w:val="23"/>
          <w:szCs w:val="23"/>
          <w:lang w:val="tr-TR"/>
        </w:rPr>
        <w:t>yapımı ve işletilmesi için siyasi risk sigortası garantileri sağlayarak, Türkiye’nin sağlık KÖİ yatırımlarını destekleme</w:t>
      </w:r>
      <w:r w:rsidR="00075EFA" w:rsidRPr="001A4B94">
        <w:rPr>
          <w:rFonts w:ascii="Times New Roman" w:hAnsi="Times New Roman"/>
          <w:sz w:val="23"/>
          <w:szCs w:val="23"/>
          <w:lang w:val="tr-TR"/>
        </w:rPr>
        <w:t>ye</w:t>
      </w:r>
      <w:r w:rsidR="00012C3F" w:rsidRPr="001A4B94">
        <w:rPr>
          <w:rFonts w:ascii="Times New Roman" w:hAnsi="Times New Roman"/>
          <w:sz w:val="23"/>
          <w:szCs w:val="23"/>
          <w:lang w:val="tr-TR"/>
        </w:rPr>
        <w:t xml:space="preserve"> hazır olacaktır</w:t>
      </w:r>
      <w:r w:rsidR="005B770B" w:rsidRPr="001A4B94">
        <w:rPr>
          <w:rFonts w:ascii="Times New Roman" w:hAnsi="Times New Roman"/>
          <w:sz w:val="23"/>
          <w:szCs w:val="23"/>
          <w:lang w:val="tr-TR"/>
        </w:rPr>
        <w:t xml:space="preserve">. </w:t>
      </w:r>
      <w:r w:rsidR="00012C3F" w:rsidRPr="001A4B94">
        <w:rPr>
          <w:rFonts w:ascii="Times New Roman" w:hAnsi="Times New Roman"/>
          <w:sz w:val="23"/>
          <w:szCs w:val="23"/>
          <w:lang w:val="tr-TR"/>
        </w:rPr>
        <w:t>IFC ile benzer şekilde</w:t>
      </w:r>
      <w:r w:rsidR="005B770B" w:rsidRPr="001A4B94">
        <w:rPr>
          <w:rFonts w:ascii="Times New Roman" w:hAnsi="Times New Roman"/>
          <w:sz w:val="23"/>
          <w:szCs w:val="23"/>
          <w:lang w:val="tr-TR"/>
        </w:rPr>
        <w:t xml:space="preserve">, </w:t>
      </w:r>
      <w:r w:rsidR="00012C3F" w:rsidRPr="001A4B94">
        <w:rPr>
          <w:rFonts w:ascii="Times New Roman" w:hAnsi="Times New Roman"/>
          <w:sz w:val="23"/>
          <w:szCs w:val="23"/>
          <w:lang w:val="tr-TR"/>
        </w:rPr>
        <w:t>Türkiye’nin sağlık sektöründe finansal yenilikçilik, kısa süre önce kapanan Elazığ tahvil işleminde kullanıldığı gibi,   MIGA’nın kredi geliştirme ürünlerinin kullanımını sağlayacak bir odak alanı olarak kalmaya devam edecektir.</w:t>
      </w:r>
    </w:p>
    <w:p w14:paraId="081BC4E8" w14:textId="2DAE86C2" w:rsidR="00131F38" w:rsidRPr="001A4B94" w:rsidRDefault="00131F38" w:rsidP="004C7B29">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68F4D2B5" w14:textId="428A6E9B" w:rsidR="0087193B" w:rsidRPr="001A4B94" w:rsidRDefault="00C12E87" w:rsidP="00941A93">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Eğ</w:t>
      </w:r>
      <w:r w:rsidR="0081444F" w:rsidRPr="001A4B94">
        <w:rPr>
          <w:rFonts w:ascii="Times New Roman" w:hAnsi="Times New Roman"/>
          <w:b/>
          <w:sz w:val="23"/>
          <w:szCs w:val="23"/>
          <w:lang w:val="tr-TR"/>
        </w:rPr>
        <w:t>i</w:t>
      </w:r>
      <w:r w:rsidRPr="001A4B94">
        <w:rPr>
          <w:rFonts w:ascii="Times New Roman" w:hAnsi="Times New Roman"/>
          <w:b/>
          <w:sz w:val="23"/>
          <w:szCs w:val="23"/>
          <w:lang w:val="tr-TR"/>
        </w:rPr>
        <w:t>t</w:t>
      </w:r>
      <w:r w:rsidR="0081444F" w:rsidRPr="001A4B94">
        <w:rPr>
          <w:rFonts w:ascii="Times New Roman" w:hAnsi="Times New Roman"/>
          <w:b/>
          <w:sz w:val="23"/>
          <w:szCs w:val="23"/>
          <w:lang w:val="tr-TR"/>
        </w:rPr>
        <w:t>i</w:t>
      </w:r>
      <w:r w:rsidRPr="001A4B94">
        <w:rPr>
          <w:rFonts w:ascii="Times New Roman" w:hAnsi="Times New Roman"/>
          <w:b/>
          <w:sz w:val="23"/>
          <w:szCs w:val="23"/>
          <w:lang w:val="tr-TR"/>
        </w:rPr>
        <w:t>m sektöründe</w:t>
      </w:r>
      <w:r w:rsidR="00131F38" w:rsidRPr="001A4B94">
        <w:rPr>
          <w:rFonts w:ascii="Times New Roman" w:hAnsi="Times New Roman"/>
          <w:b/>
          <w:sz w:val="23"/>
          <w:szCs w:val="23"/>
          <w:lang w:val="tr-TR"/>
        </w:rPr>
        <w:t xml:space="preserve">, </w:t>
      </w:r>
      <w:r w:rsidR="00652855" w:rsidRPr="001A4B94">
        <w:rPr>
          <w:rFonts w:ascii="Times New Roman" w:hAnsi="Times New Roman"/>
          <w:b/>
          <w:sz w:val="23"/>
          <w:szCs w:val="23"/>
          <w:lang w:val="tr-TR"/>
        </w:rPr>
        <w:t>Türkiye’nin son zamanlarda düşen PISA ve TIMMS puanları karşısında Ülke İşbirliği Çerçevesi ASA faaliyetlerini arttıracaktır</w:t>
      </w:r>
      <w:r w:rsidR="00131F38" w:rsidRPr="001A4B94">
        <w:rPr>
          <w:rFonts w:ascii="Times New Roman" w:hAnsi="Times New Roman"/>
          <w:sz w:val="23"/>
          <w:szCs w:val="23"/>
          <w:lang w:val="tr-TR"/>
        </w:rPr>
        <w:t xml:space="preserve">.  </w:t>
      </w:r>
      <w:r w:rsidR="00652855" w:rsidRPr="001A4B94">
        <w:rPr>
          <w:rFonts w:ascii="Times New Roman" w:hAnsi="Times New Roman"/>
          <w:sz w:val="23"/>
          <w:szCs w:val="23"/>
          <w:lang w:val="tr-TR"/>
        </w:rPr>
        <w:t xml:space="preserve">Bu </w:t>
      </w:r>
      <w:r w:rsidR="00131F38" w:rsidRPr="001A4B94">
        <w:rPr>
          <w:rFonts w:ascii="Times New Roman" w:hAnsi="Times New Roman"/>
          <w:sz w:val="23"/>
          <w:szCs w:val="23"/>
          <w:lang w:val="tr-TR"/>
        </w:rPr>
        <w:t xml:space="preserve">ASA </w:t>
      </w:r>
      <w:r w:rsidR="00652855" w:rsidRPr="001A4B94">
        <w:rPr>
          <w:rFonts w:ascii="Times New Roman" w:hAnsi="Times New Roman"/>
          <w:sz w:val="23"/>
          <w:szCs w:val="23"/>
          <w:lang w:val="tr-TR"/>
        </w:rPr>
        <w:t xml:space="preserve">faaliyetleri </w:t>
      </w:r>
      <w:r w:rsidR="00655FD8" w:rsidRPr="001A4B94">
        <w:rPr>
          <w:rFonts w:ascii="Times New Roman" w:hAnsi="Times New Roman"/>
          <w:sz w:val="23"/>
          <w:szCs w:val="23"/>
          <w:lang w:val="tr-TR"/>
        </w:rPr>
        <w:t>ilköğretim ve öğretmen eğitimi reform çabalarını destekleyecek</w:t>
      </w:r>
      <w:r w:rsidR="008D25DE" w:rsidRPr="001A4B94">
        <w:rPr>
          <w:rFonts w:ascii="Times New Roman" w:hAnsi="Times New Roman"/>
          <w:sz w:val="23"/>
          <w:szCs w:val="23"/>
          <w:lang w:val="tr-TR"/>
        </w:rPr>
        <w:t xml:space="preserve">, </w:t>
      </w:r>
      <w:r w:rsidR="00C857AE" w:rsidRPr="001A4B94">
        <w:rPr>
          <w:rFonts w:ascii="Times New Roman" w:hAnsi="Times New Roman"/>
          <w:sz w:val="23"/>
          <w:szCs w:val="23"/>
          <w:lang w:val="tr-TR"/>
        </w:rPr>
        <w:t>eğitimin kalitesini ve eğitim hizmetlerinin izlenmesini etkileyen politikalar için bilgi girdisi sa</w:t>
      </w:r>
      <w:r w:rsidR="00075EFA" w:rsidRPr="001A4B94">
        <w:rPr>
          <w:rFonts w:ascii="Times New Roman" w:hAnsi="Times New Roman"/>
          <w:sz w:val="23"/>
          <w:szCs w:val="23"/>
          <w:lang w:val="tr-TR"/>
        </w:rPr>
        <w:t>ğ</w:t>
      </w:r>
      <w:r w:rsidR="00C857AE" w:rsidRPr="001A4B94">
        <w:rPr>
          <w:rFonts w:ascii="Times New Roman" w:hAnsi="Times New Roman"/>
          <w:sz w:val="23"/>
          <w:szCs w:val="23"/>
          <w:lang w:val="tr-TR"/>
        </w:rPr>
        <w:t>layacak ve bunları etkileyecektir</w:t>
      </w:r>
      <w:r w:rsidR="00131F38" w:rsidRPr="001A4B94">
        <w:rPr>
          <w:rFonts w:ascii="Times New Roman" w:hAnsi="Times New Roman"/>
          <w:sz w:val="23"/>
          <w:szCs w:val="23"/>
          <w:lang w:val="tr-TR"/>
        </w:rPr>
        <w:t xml:space="preserve">. </w:t>
      </w:r>
      <w:r w:rsidR="00C857AE" w:rsidRPr="001A4B94">
        <w:rPr>
          <w:rFonts w:ascii="Times New Roman" w:hAnsi="Times New Roman"/>
          <w:sz w:val="23"/>
          <w:szCs w:val="23"/>
          <w:lang w:val="tr-TR"/>
        </w:rPr>
        <w:t xml:space="preserve">Öğrenmeyi etkilemek için ihtiyaç duyulan zaman göz önüne alındığında, </w:t>
      </w:r>
      <w:r w:rsidR="00131F38" w:rsidRPr="001A4B94">
        <w:rPr>
          <w:rFonts w:ascii="Times New Roman" w:hAnsi="Times New Roman"/>
          <w:sz w:val="23"/>
          <w:szCs w:val="23"/>
          <w:lang w:val="tr-TR"/>
        </w:rPr>
        <w:t xml:space="preserve"> </w:t>
      </w:r>
      <w:r w:rsidR="00C857AE" w:rsidRPr="001A4B94">
        <w:rPr>
          <w:rFonts w:ascii="Times New Roman" w:hAnsi="Times New Roman"/>
          <w:sz w:val="23"/>
          <w:szCs w:val="23"/>
          <w:lang w:val="tr-TR"/>
        </w:rPr>
        <w:t>sonuçlar</w:t>
      </w:r>
      <w:r w:rsidR="005561C3" w:rsidRPr="001A4B94">
        <w:rPr>
          <w:rFonts w:ascii="Times New Roman" w:hAnsi="Times New Roman"/>
          <w:sz w:val="23"/>
          <w:szCs w:val="23"/>
          <w:lang w:val="tr-TR"/>
        </w:rPr>
        <w:t xml:space="preserve">ın CPF döneminde </w:t>
      </w:r>
      <w:r w:rsidR="00C857AE" w:rsidRPr="001A4B94">
        <w:rPr>
          <w:rFonts w:ascii="Times New Roman" w:hAnsi="Times New Roman"/>
          <w:sz w:val="23"/>
          <w:szCs w:val="23"/>
          <w:lang w:val="tr-TR"/>
        </w:rPr>
        <w:t xml:space="preserve"> </w:t>
      </w:r>
      <w:r w:rsidR="005561C3" w:rsidRPr="001A4B94">
        <w:rPr>
          <w:rFonts w:ascii="Times New Roman" w:hAnsi="Times New Roman"/>
          <w:sz w:val="23"/>
          <w:szCs w:val="23"/>
          <w:lang w:val="tr-TR"/>
        </w:rPr>
        <w:t>ılımlı düzeyde olması ve başarının dönem sonrasında or</w:t>
      </w:r>
      <w:r w:rsidR="00075EFA" w:rsidRPr="001A4B94">
        <w:rPr>
          <w:rFonts w:ascii="Times New Roman" w:hAnsi="Times New Roman"/>
          <w:sz w:val="23"/>
          <w:szCs w:val="23"/>
          <w:lang w:val="tr-TR"/>
        </w:rPr>
        <w:t>t</w:t>
      </w:r>
      <w:r w:rsidR="005561C3" w:rsidRPr="001A4B94">
        <w:rPr>
          <w:rFonts w:ascii="Times New Roman" w:hAnsi="Times New Roman"/>
          <w:sz w:val="23"/>
          <w:szCs w:val="23"/>
          <w:lang w:val="tr-TR"/>
        </w:rPr>
        <w:t xml:space="preserve">aya </w:t>
      </w:r>
      <w:r w:rsidR="00695943" w:rsidRPr="001A4B94">
        <w:rPr>
          <w:rFonts w:ascii="Times New Roman" w:hAnsi="Times New Roman"/>
          <w:sz w:val="23"/>
          <w:szCs w:val="23"/>
          <w:lang w:val="tr-TR"/>
        </w:rPr>
        <w:t>ç</w:t>
      </w:r>
      <w:r w:rsidR="005561C3" w:rsidRPr="001A4B94">
        <w:rPr>
          <w:rFonts w:ascii="Times New Roman" w:hAnsi="Times New Roman"/>
          <w:sz w:val="23"/>
          <w:szCs w:val="23"/>
          <w:lang w:val="tr-TR"/>
        </w:rPr>
        <w:t>ıkması muhtemeldir</w:t>
      </w:r>
      <w:r w:rsidR="00131F38" w:rsidRPr="001A4B94">
        <w:rPr>
          <w:rFonts w:ascii="Times New Roman" w:hAnsi="Times New Roman"/>
          <w:sz w:val="23"/>
          <w:szCs w:val="23"/>
          <w:lang w:val="tr-TR"/>
        </w:rPr>
        <w:t>.</w:t>
      </w:r>
      <w:r w:rsidR="00695943" w:rsidRPr="001A4B94">
        <w:rPr>
          <w:rFonts w:ascii="Times New Roman" w:hAnsi="Times New Roman"/>
          <w:sz w:val="23"/>
          <w:szCs w:val="23"/>
          <w:lang w:val="tr-TR"/>
        </w:rPr>
        <w:t xml:space="preserve"> Dünya Bankası Grubu’nun küresel deneyime sahip olduğu yaşam boyu öğrenme ve uzaktan eğitim yaklaşıml</w:t>
      </w:r>
      <w:r w:rsidR="00F10D68" w:rsidRPr="001A4B94">
        <w:rPr>
          <w:rFonts w:ascii="Times New Roman" w:hAnsi="Times New Roman"/>
          <w:sz w:val="23"/>
          <w:szCs w:val="23"/>
          <w:lang w:val="tr-TR"/>
        </w:rPr>
        <w:t>a</w:t>
      </w:r>
      <w:r w:rsidR="00695943" w:rsidRPr="001A4B94">
        <w:rPr>
          <w:rFonts w:ascii="Times New Roman" w:hAnsi="Times New Roman"/>
          <w:sz w:val="23"/>
          <w:szCs w:val="23"/>
          <w:lang w:val="tr-TR"/>
        </w:rPr>
        <w:t xml:space="preserve">rı gibi </w:t>
      </w:r>
      <w:r w:rsidR="00F10D68" w:rsidRPr="001A4B94">
        <w:rPr>
          <w:rFonts w:ascii="Times New Roman" w:hAnsi="Times New Roman"/>
          <w:sz w:val="23"/>
          <w:szCs w:val="23"/>
          <w:lang w:val="tr-TR"/>
        </w:rPr>
        <w:t>alanları desteklemek için Milli Eğitim Bakanlığı (MEB) ile görüşmeler yürütülmektedir.</w:t>
      </w:r>
      <w:r w:rsidR="00131F38" w:rsidRPr="001A4B94">
        <w:rPr>
          <w:rFonts w:ascii="Times New Roman" w:hAnsi="Times New Roman"/>
          <w:sz w:val="23"/>
          <w:szCs w:val="23"/>
          <w:lang w:val="tr-TR"/>
        </w:rPr>
        <w:t xml:space="preserve"> IBRD </w:t>
      </w:r>
      <w:r w:rsidR="00F10D68" w:rsidRPr="001A4B94">
        <w:rPr>
          <w:rFonts w:ascii="Times New Roman" w:hAnsi="Times New Roman"/>
          <w:sz w:val="23"/>
          <w:szCs w:val="23"/>
          <w:lang w:val="tr-TR"/>
        </w:rPr>
        <w:t xml:space="preserve">eğitim hizmetlerinin yaygınlaştırılmasını ve kaynakların </w:t>
      </w:r>
      <w:r w:rsidR="00703C36" w:rsidRPr="001A4B94">
        <w:rPr>
          <w:rFonts w:ascii="Times New Roman" w:hAnsi="Times New Roman"/>
          <w:sz w:val="23"/>
          <w:szCs w:val="23"/>
          <w:lang w:val="tr-TR"/>
        </w:rPr>
        <w:t xml:space="preserve">GKSS nüfusunun ve aynı zamanda ev sahibi toplulukların kapasite kısıtları ile karşı karşıya kaldığı yerlere yönlendirilmesini amaçlayan FRiT finansmanlı bir eğitim projesi </w:t>
      </w:r>
      <w:r w:rsidR="00131F38" w:rsidRPr="001A4B94">
        <w:rPr>
          <w:rFonts w:ascii="Times New Roman" w:hAnsi="Times New Roman"/>
          <w:sz w:val="23"/>
          <w:szCs w:val="23"/>
          <w:lang w:val="tr-TR"/>
        </w:rPr>
        <w:t xml:space="preserve">(150 </w:t>
      </w:r>
      <w:r w:rsidR="00703C36" w:rsidRPr="001A4B94">
        <w:rPr>
          <w:rFonts w:ascii="Times New Roman" w:hAnsi="Times New Roman"/>
          <w:sz w:val="23"/>
          <w:szCs w:val="23"/>
          <w:lang w:val="tr-TR"/>
        </w:rPr>
        <w:t>milyon €</w:t>
      </w:r>
      <w:r w:rsidR="00131F38" w:rsidRPr="001A4B94">
        <w:rPr>
          <w:rFonts w:ascii="Times New Roman" w:hAnsi="Times New Roman"/>
          <w:sz w:val="23"/>
          <w:szCs w:val="23"/>
          <w:lang w:val="tr-TR"/>
        </w:rPr>
        <w:t xml:space="preserve">) </w:t>
      </w:r>
      <w:r w:rsidR="00703C36" w:rsidRPr="001A4B94">
        <w:rPr>
          <w:rFonts w:ascii="Times New Roman" w:hAnsi="Times New Roman"/>
          <w:sz w:val="23"/>
          <w:szCs w:val="23"/>
          <w:lang w:val="tr-TR"/>
        </w:rPr>
        <w:t>uygulayacaktır</w:t>
      </w:r>
      <w:r w:rsidR="0024127E" w:rsidRPr="001A4B94">
        <w:rPr>
          <w:rFonts w:ascii="Times New Roman" w:hAnsi="Times New Roman"/>
          <w:sz w:val="23"/>
          <w:szCs w:val="23"/>
          <w:lang w:val="tr-TR"/>
        </w:rPr>
        <w:t>.</w:t>
      </w:r>
      <w:r w:rsidR="008D25DE" w:rsidRPr="001A4B94">
        <w:rPr>
          <w:rFonts w:ascii="Times New Roman" w:hAnsi="Times New Roman"/>
          <w:sz w:val="23"/>
          <w:szCs w:val="23"/>
          <w:lang w:val="tr-TR"/>
        </w:rPr>
        <w:t xml:space="preserve"> </w:t>
      </w:r>
      <w:r w:rsidR="00203928" w:rsidRPr="001A4B94">
        <w:rPr>
          <w:rFonts w:ascii="Times New Roman" w:eastAsia="Times New Roman" w:hAnsi="Times New Roman"/>
          <w:bCs/>
          <w:iCs/>
          <w:sz w:val="23"/>
          <w:szCs w:val="23"/>
          <w:lang w:val="tr-TR"/>
        </w:rPr>
        <w:t>IBRD</w:t>
      </w:r>
      <w:r w:rsidR="00131F38" w:rsidRPr="001A4B94">
        <w:rPr>
          <w:rFonts w:ascii="Times New Roman" w:eastAsia="Times New Roman" w:hAnsi="Times New Roman"/>
          <w:bCs/>
          <w:iCs/>
          <w:sz w:val="23"/>
          <w:szCs w:val="23"/>
          <w:lang w:val="tr-TR"/>
        </w:rPr>
        <w:t xml:space="preserve"> </w:t>
      </w:r>
      <w:r w:rsidR="0005627C" w:rsidRPr="001A4B94">
        <w:rPr>
          <w:rFonts w:ascii="Times New Roman" w:eastAsia="Times New Roman" w:hAnsi="Times New Roman"/>
          <w:bCs/>
          <w:iCs/>
          <w:sz w:val="23"/>
          <w:szCs w:val="23"/>
          <w:lang w:val="tr-TR"/>
        </w:rPr>
        <w:t>aynı zamanda göçmen çocukların eğitim ve mesleki eğitim sistemine entegre edilmesine yönelik bir stratejinin oluşturulmasına yönelik teknik destek de sağlamaktadır</w:t>
      </w:r>
      <w:r w:rsidR="0009273E" w:rsidRPr="001A4B94">
        <w:rPr>
          <w:rFonts w:ascii="Times New Roman" w:eastAsia="Times New Roman" w:hAnsi="Times New Roman"/>
          <w:bCs/>
          <w:iCs/>
          <w:sz w:val="23"/>
          <w:szCs w:val="23"/>
          <w:lang w:val="tr-TR"/>
        </w:rPr>
        <w:t xml:space="preserve">.  </w:t>
      </w:r>
      <w:r w:rsidR="0005627C" w:rsidRPr="001A4B94">
        <w:rPr>
          <w:rFonts w:ascii="Times New Roman" w:eastAsia="Times New Roman" w:hAnsi="Times New Roman"/>
          <w:bCs/>
          <w:iCs/>
          <w:sz w:val="23"/>
          <w:szCs w:val="23"/>
          <w:lang w:val="tr-TR"/>
        </w:rPr>
        <w:t>Ayrıca</w:t>
      </w:r>
      <w:r w:rsidR="0009273E" w:rsidRPr="001A4B94">
        <w:rPr>
          <w:rFonts w:ascii="Times New Roman" w:eastAsia="Times New Roman" w:hAnsi="Times New Roman"/>
          <w:bCs/>
          <w:iCs/>
          <w:sz w:val="23"/>
          <w:szCs w:val="23"/>
          <w:lang w:val="tr-TR"/>
        </w:rPr>
        <w:t xml:space="preserve">, </w:t>
      </w:r>
      <w:r w:rsidR="00941A93" w:rsidRPr="001A4B94">
        <w:rPr>
          <w:rFonts w:ascii="Times New Roman" w:eastAsia="Times New Roman" w:hAnsi="Times New Roman"/>
          <w:bCs/>
          <w:iCs/>
          <w:sz w:val="23"/>
          <w:szCs w:val="23"/>
          <w:lang w:val="tr-TR"/>
        </w:rPr>
        <w:t>AB Katılım Öncesi Yardım Aracı (IPA) ile finanse edilmek üzere, Türk gençleri arasında</w:t>
      </w:r>
      <w:r w:rsidR="0005627C" w:rsidRPr="001A4B94">
        <w:rPr>
          <w:rFonts w:ascii="Times New Roman" w:eastAsia="Times New Roman" w:hAnsi="Times New Roman"/>
          <w:bCs/>
          <w:iCs/>
          <w:sz w:val="23"/>
          <w:szCs w:val="23"/>
          <w:lang w:val="tr-TR"/>
        </w:rPr>
        <w:t xml:space="preserve"> okul terk oranl</w:t>
      </w:r>
      <w:r w:rsidR="00941A93" w:rsidRPr="001A4B94">
        <w:rPr>
          <w:rFonts w:ascii="Times New Roman" w:eastAsia="Times New Roman" w:hAnsi="Times New Roman"/>
          <w:bCs/>
          <w:iCs/>
          <w:sz w:val="23"/>
          <w:szCs w:val="23"/>
          <w:lang w:val="tr-TR"/>
        </w:rPr>
        <w:t>a</w:t>
      </w:r>
      <w:r w:rsidR="0005627C" w:rsidRPr="001A4B94">
        <w:rPr>
          <w:rFonts w:ascii="Times New Roman" w:eastAsia="Times New Roman" w:hAnsi="Times New Roman"/>
          <w:bCs/>
          <w:iCs/>
          <w:sz w:val="23"/>
          <w:szCs w:val="23"/>
          <w:lang w:val="tr-TR"/>
        </w:rPr>
        <w:t>rının yüksek o</w:t>
      </w:r>
      <w:r w:rsidR="00941A93" w:rsidRPr="001A4B94">
        <w:rPr>
          <w:rFonts w:ascii="Times New Roman" w:eastAsia="Times New Roman" w:hAnsi="Times New Roman"/>
          <w:bCs/>
          <w:iCs/>
          <w:sz w:val="23"/>
          <w:szCs w:val="23"/>
          <w:lang w:val="tr-TR"/>
        </w:rPr>
        <w:t>l</w:t>
      </w:r>
      <w:r w:rsidR="0005627C" w:rsidRPr="001A4B94">
        <w:rPr>
          <w:rFonts w:ascii="Times New Roman" w:eastAsia="Times New Roman" w:hAnsi="Times New Roman"/>
          <w:bCs/>
          <w:iCs/>
          <w:sz w:val="23"/>
          <w:szCs w:val="23"/>
          <w:lang w:val="tr-TR"/>
        </w:rPr>
        <w:t xml:space="preserve">duğu </w:t>
      </w:r>
      <w:r w:rsidR="00941A93" w:rsidRPr="001A4B94">
        <w:rPr>
          <w:rFonts w:ascii="Times New Roman" w:eastAsia="Times New Roman" w:hAnsi="Times New Roman"/>
          <w:bCs/>
          <w:iCs/>
          <w:sz w:val="23"/>
          <w:szCs w:val="23"/>
          <w:lang w:val="tr-TR"/>
        </w:rPr>
        <w:t xml:space="preserve">ve GKSS’li gençlerin hiç okula gidememe riskinin mevcut olduğu yerlerde, </w:t>
      </w:r>
      <w:r w:rsidR="0005627C" w:rsidRPr="001A4B94">
        <w:rPr>
          <w:rFonts w:ascii="Times New Roman" w:eastAsia="Times New Roman" w:hAnsi="Times New Roman"/>
          <w:bCs/>
          <w:iCs/>
          <w:sz w:val="23"/>
          <w:szCs w:val="23"/>
          <w:lang w:val="tr-TR"/>
        </w:rPr>
        <w:t>okul dışındaki gençleri hedefleyen yeni bir proje hazırlanmaktadır</w:t>
      </w:r>
      <w:r w:rsidR="00C65B34" w:rsidRPr="001A4B94">
        <w:rPr>
          <w:rFonts w:ascii="Times New Roman" w:eastAsia="Times New Roman" w:hAnsi="Times New Roman"/>
          <w:bCs/>
          <w:iCs/>
          <w:sz w:val="23"/>
          <w:szCs w:val="23"/>
          <w:lang w:val="tr-TR"/>
        </w:rPr>
        <w:t xml:space="preserve">.  </w:t>
      </w:r>
      <w:r w:rsidR="00941A93" w:rsidRPr="001A4B94">
        <w:rPr>
          <w:rFonts w:ascii="Times New Roman" w:eastAsia="Times New Roman" w:hAnsi="Times New Roman"/>
          <w:bCs/>
          <w:iCs/>
          <w:sz w:val="23"/>
          <w:szCs w:val="23"/>
          <w:lang w:val="tr-TR"/>
        </w:rPr>
        <w:t>Son olarak</w:t>
      </w:r>
      <w:r w:rsidR="00C65B34" w:rsidRPr="001A4B94">
        <w:rPr>
          <w:rFonts w:ascii="Times New Roman" w:eastAsia="Times New Roman" w:hAnsi="Times New Roman"/>
          <w:bCs/>
          <w:iCs/>
          <w:sz w:val="23"/>
          <w:szCs w:val="23"/>
          <w:lang w:val="tr-TR"/>
        </w:rPr>
        <w:t xml:space="preserve">, </w:t>
      </w:r>
      <w:r w:rsidR="0009273E" w:rsidRPr="001A4B94">
        <w:rPr>
          <w:rFonts w:ascii="Times New Roman" w:eastAsia="Times New Roman" w:hAnsi="Times New Roman"/>
          <w:bCs/>
          <w:iCs/>
          <w:sz w:val="23"/>
          <w:szCs w:val="23"/>
          <w:lang w:val="tr-TR"/>
        </w:rPr>
        <w:t xml:space="preserve">IFC </w:t>
      </w:r>
      <w:r w:rsidR="00941A93" w:rsidRPr="001A4B94">
        <w:rPr>
          <w:rFonts w:ascii="Times New Roman" w:eastAsia="Times New Roman" w:hAnsi="Times New Roman"/>
          <w:bCs/>
          <w:iCs/>
          <w:sz w:val="23"/>
          <w:szCs w:val="23"/>
          <w:lang w:val="tr-TR"/>
        </w:rPr>
        <w:t>özel sektör tarafından sağlanacak  mesleki eğitimi teşvik etmek amacıyla eğitim hizmet sa</w:t>
      </w:r>
      <w:r w:rsidR="00075EFA" w:rsidRPr="001A4B94">
        <w:rPr>
          <w:rFonts w:ascii="Times New Roman" w:eastAsia="Times New Roman" w:hAnsi="Times New Roman"/>
          <w:bCs/>
          <w:iCs/>
          <w:sz w:val="23"/>
          <w:szCs w:val="23"/>
          <w:lang w:val="tr-TR"/>
        </w:rPr>
        <w:t>ğ</w:t>
      </w:r>
      <w:r w:rsidR="00941A93" w:rsidRPr="001A4B94">
        <w:rPr>
          <w:rFonts w:ascii="Times New Roman" w:eastAsia="Times New Roman" w:hAnsi="Times New Roman"/>
          <w:bCs/>
          <w:iCs/>
          <w:sz w:val="23"/>
          <w:szCs w:val="23"/>
          <w:lang w:val="tr-TR"/>
        </w:rPr>
        <w:t>layıcılarına yatırım yapma olanaklarını araştıracaktır</w:t>
      </w:r>
      <w:r w:rsidR="0009273E" w:rsidRPr="001A4B94">
        <w:rPr>
          <w:rFonts w:ascii="Times New Roman" w:eastAsia="Times New Roman" w:hAnsi="Times New Roman"/>
          <w:bCs/>
          <w:iCs/>
          <w:sz w:val="23"/>
          <w:szCs w:val="23"/>
          <w:lang w:val="tr-TR"/>
        </w:rPr>
        <w:t>.</w:t>
      </w:r>
    </w:p>
    <w:p w14:paraId="3BDB2A20" w14:textId="77777777" w:rsidR="00A12C8C" w:rsidRPr="001A4B94" w:rsidRDefault="00A12C8C" w:rsidP="0087193B">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673B4A2C" w14:textId="0611D78D" w:rsidR="0087193B" w:rsidRPr="001A4B94" w:rsidRDefault="00941A93" w:rsidP="0087193B">
      <w:pPr>
        <w:pStyle w:val="Balk4"/>
        <w:rPr>
          <w:rFonts w:ascii="Times New Roman" w:eastAsiaTheme="minorEastAsia" w:hAnsi="Times New Roman" w:cs="Times New Roman"/>
          <w:b/>
          <w:color w:val="auto"/>
          <w:sz w:val="23"/>
          <w:szCs w:val="23"/>
          <w:lang w:val="tr-TR"/>
        </w:rPr>
      </w:pPr>
      <w:r w:rsidRPr="001A4B94">
        <w:rPr>
          <w:rFonts w:ascii="Times New Roman" w:eastAsiaTheme="minorEastAsia" w:hAnsi="Times New Roman" w:cs="Times New Roman"/>
          <w:b/>
          <w:color w:val="auto"/>
          <w:sz w:val="23"/>
          <w:szCs w:val="23"/>
          <w:lang w:val="tr-TR"/>
        </w:rPr>
        <w:t xml:space="preserve">Odak Alanı </w:t>
      </w:r>
      <w:r w:rsidR="0087193B" w:rsidRPr="001A4B94">
        <w:rPr>
          <w:rFonts w:ascii="Times New Roman" w:eastAsiaTheme="minorEastAsia" w:hAnsi="Times New Roman" w:cs="Times New Roman"/>
          <w:b/>
          <w:color w:val="auto"/>
          <w:sz w:val="23"/>
          <w:szCs w:val="23"/>
          <w:lang w:val="tr-TR"/>
        </w:rPr>
        <w:t>3: S</w:t>
      </w:r>
      <w:r w:rsidRPr="001A4B94">
        <w:rPr>
          <w:rFonts w:ascii="Times New Roman" w:eastAsiaTheme="minorEastAsia" w:hAnsi="Times New Roman" w:cs="Times New Roman"/>
          <w:b/>
          <w:color w:val="auto"/>
          <w:sz w:val="23"/>
          <w:szCs w:val="23"/>
          <w:lang w:val="tr-TR"/>
        </w:rPr>
        <w:t xml:space="preserve">ürdürülebilirlik </w:t>
      </w:r>
    </w:p>
    <w:p w14:paraId="02F992AD" w14:textId="77777777" w:rsidR="0087193B" w:rsidRPr="001A4B94" w:rsidRDefault="0087193B" w:rsidP="0087193B">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12D2CD25" w14:textId="53C215B0" w:rsidR="007D3899" w:rsidRPr="001A4B94" w:rsidRDefault="00A12C8C" w:rsidP="0087193B">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Dünya Bankası G</w:t>
      </w:r>
      <w:r w:rsidR="00266A31" w:rsidRPr="001A4B94">
        <w:rPr>
          <w:rFonts w:ascii="Times New Roman" w:hAnsi="Times New Roman"/>
          <w:b/>
          <w:iCs/>
          <w:sz w:val="23"/>
          <w:szCs w:val="23"/>
          <w:lang w:val="tr-TR"/>
        </w:rPr>
        <w:t>r</w:t>
      </w:r>
      <w:r w:rsidRPr="001A4B94">
        <w:rPr>
          <w:rFonts w:ascii="Times New Roman" w:hAnsi="Times New Roman"/>
          <w:b/>
          <w:iCs/>
          <w:sz w:val="23"/>
          <w:szCs w:val="23"/>
          <w:lang w:val="tr-TR"/>
        </w:rPr>
        <w:t xml:space="preserve">ubu’nun </w:t>
      </w:r>
      <w:r w:rsidR="00266A31" w:rsidRPr="001A4B94">
        <w:rPr>
          <w:rFonts w:ascii="Times New Roman" w:hAnsi="Times New Roman"/>
          <w:b/>
          <w:iCs/>
          <w:sz w:val="23"/>
          <w:szCs w:val="23"/>
          <w:lang w:val="tr-TR"/>
        </w:rPr>
        <w:t>program</w:t>
      </w:r>
      <w:r w:rsidR="00695C50" w:rsidRPr="001A4B94">
        <w:rPr>
          <w:rFonts w:ascii="Times New Roman" w:hAnsi="Times New Roman"/>
          <w:b/>
          <w:iCs/>
          <w:sz w:val="23"/>
          <w:szCs w:val="23"/>
          <w:lang w:val="tr-TR"/>
        </w:rPr>
        <w:t>ı</w:t>
      </w:r>
      <w:r w:rsidR="00266A31" w:rsidRPr="001A4B94">
        <w:rPr>
          <w:rFonts w:ascii="Times New Roman" w:hAnsi="Times New Roman"/>
          <w:b/>
          <w:iCs/>
          <w:sz w:val="23"/>
          <w:szCs w:val="23"/>
          <w:lang w:val="tr-TR"/>
        </w:rPr>
        <w:t xml:space="preserve">, </w:t>
      </w:r>
      <w:r w:rsidR="0069584B" w:rsidRPr="001A4B94">
        <w:rPr>
          <w:rFonts w:ascii="Times New Roman" w:hAnsi="Times New Roman"/>
          <w:b/>
          <w:iCs/>
          <w:sz w:val="23"/>
          <w:szCs w:val="23"/>
          <w:lang w:val="tr-TR"/>
        </w:rPr>
        <w:t xml:space="preserve"> </w:t>
      </w:r>
      <w:r w:rsidR="00266A31" w:rsidRPr="001A4B94">
        <w:rPr>
          <w:rFonts w:ascii="Times New Roman" w:hAnsi="Times New Roman"/>
          <w:b/>
          <w:iCs/>
          <w:sz w:val="23"/>
          <w:szCs w:val="23"/>
          <w:lang w:val="tr-TR"/>
        </w:rPr>
        <w:t>Sistematik Ülke Değerlendirmesinin ön plana çıkardığı büyümeyi yeni</w:t>
      </w:r>
      <w:r w:rsidR="008717E3" w:rsidRPr="001A4B94">
        <w:rPr>
          <w:rFonts w:ascii="Times New Roman" w:hAnsi="Times New Roman"/>
          <w:b/>
          <w:iCs/>
          <w:sz w:val="23"/>
          <w:szCs w:val="23"/>
          <w:lang w:val="tr-TR"/>
        </w:rPr>
        <w:t>d</w:t>
      </w:r>
      <w:r w:rsidR="00266A31" w:rsidRPr="001A4B94">
        <w:rPr>
          <w:rFonts w:ascii="Times New Roman" w:hAnsi="Times New Roman"/>
          <w:b/>
          <w:iCs/>
          <w:sz w:val="23"/>
          <w:szCs w:val="23"/>
          <w:lang w:val="tr-TR"/>
        </w:rPr>
        <w:t xml:space="preserve">en daha yeşil, afetlere karşı dayanıklı ve </w:t>
      </w:r>
      <w:r w:rsidR="008717E3" w:rsidRPr="001A4B94">
        <w:rPr>
          <w:rFonts w:ascii="Times New Roman" w:hAnsi="Times New Roman"/>
          <w:b/>
          <w:iCs/>
          <w:sz w:val="23"/>
          <w:szCs w:val="23"/>
          <w:lang w:val="tr-TR"/>
        </w:rPr>
        <w:t>sürdürülebilir</w:t>
      </w:r>
      <w:r w:rsidR="00266A31" w:rsidRPr="001A4B94">
        <w:rPr>
          <w:rFonts w:ascii="Times New Roman" w:hAnsi="Times New Roman"/>
          <w:b/>
          <w:iCs/>
          <w:sz w:val="23"/>
          <w:szCs w:val="23"/>
          <w:lang w:val="tr-TR"/>
        </w:rPr>
        <w:t xml:space="preserve"> bir </w:t>
      </w:r>
      <w:r w:rsidR="008717E3" w:rsidRPr="001A4B94">
        <w:rPr>
          <w:rFonts w:ascii="Times New Roman" w:hAnsi="Times New Roman"/>
          <w:b/>
          <w:iCs/>
          <w:sz w:val="23"/>
          <w:szCs w:val="23"/>
          <w:lang w:val="tr-TR"/>
        </w:rPr>
        <w:t>düzene</w:t>
      </w:r>
      <w:r w:rsidR="00266A31" w:rsidRPr="001A4B94">
        <w:rPr>
          <w:rFonts w:ascii="Times New Roman" w:hAnsi="Times New Roman"/>
          <w:b/>
          <w:iCs/>
          <w:sz w:val="23"/>
          <w:szCs w:val="23"/>
          <w:lang w:val="tr-TR"/>
        </w:rPr>
        <w:t xml:space="preserve"> sokma zorluğunun ele alınmasına yardımcı olacaktır</w:t>
      </w:r>
      <w:r w:rsidR="002E2B78" w:rsidRPr="001A4B94">
        <w:rPr>
          <w:rFonts w:ascii="Times New Roman" w:hAnsi="Times New Roman"/>
          <w:iCs/>
          <w:sz w:val="23"/>
          <w:szCs w:val="23"/>
          <w:lang w:val="tr-TR"/>
        </w:rPr>
        <w:t xml:space="preserve">.  </w:t>
      </w:r>
      <w:r w:rsidR="00266A31" w:rsidRPr="001A4B94">
        <w:rPr>
          <w:rFonts w:ascii="Times New Roman" w:hAnsi="Times New Roman"/>
          <w:iCs/>
          <w:sz w:val="23"/>
          <w:szCs w:val="23"/>
          <w:lang w:val="tr-TR"/>
        </w:rPr>
        <w:t xml:space="preserve">Türkiye’de ekonomik büyüme ve şehirleşme </w:t>
      </w:r>
      <w:r w:rsidR="00266A31" w:rsidRPr="001A4B94">
        <w:rPr>
          <w:rFonts w:ascii="Times New Roman" w:hAnsi="Times New Roman"/>
          <w:iCs/>
          <w:sz w:val="23"/>
          <w:szCs w:val="23"/>
          <w:lang w:val="tr-TR"/>
        </w:rPr>
        <w:lastRenderedPageBreak/>
        <w:t xml:space="preserve">henüz </w:t>
      </w:r>
      <w:r w:rsidR="00324D80" w:rsidRPr="001A4B94">
        <w:rPr>
          <w:rFonts w:ascii="Times New Roman" w:hAnsi="Times New Roman"/>
          <w:iCs/>
          <w:sz w:val="23"/>
          <w:szCs w:val="23"/>
          <w:lang w:val="tr-TR"/>
        </w:rPr>
        <w:t>artan enerji kullanımından, kirlilikten ve sera gazı emisyonlarından ayrılabilmiş değildir; dolayısıyla kaynak verimliliğinin arttırılması ve kirliliğin azaltılması için büyük bir potansiyel mevcuttur</w:t>
      </w:r>
      <w:r w:rsidR="007D7D9C" w:rsidRPr="001A4B94">
        <w:rPr>
          <w:rFonts w:ascii="Times New Roman" w:hAnsi="Times New Roman"/>
          <w:sz w:val="23"/>
          <w:szCs w:val="23"/>
          <w:lang w:val="tr-TR"/>
        </w:rPr>
        <w:t xml:space="preserve">. </w:t>
      </w:r>
      <w:r w:rsidR="00324D80" w:rsidRPr="001A4B94">
        <w:rPr>
          <w:rFonts w:ascii="Times New Roman" w:hAnsi="Times New Roman"/>
          <w:sz w:val="23"/>
          <w:szCs w:val="23"/>
          <w:lang w:val="tr-TR"/>
        </w:rPr>
        <w:t xml:space="preserve">Buradaki zorluk, bağlantı olanaklarını ve yığınlaşmanın  faydalarını çevresel, sosyal ve finansal açıdan sürdürülebilir bir şekilde sunmaktır </w:t>
      </w:r>
      <w:r w:rsidR="007D7D9C" w:rsidRPr="001A4B94">
        <w:rPr>
          <w:rFonts w:ascii="Times New Roman" w:hAnsi="Times New Roman"/>
          <w:sz w:val="23"/>
          <w:szCs w:val="23"/>
          <w:lang w:val="tr-TR"/>
        </w:rPr>
        <w:t>(</w:t>
      </w:r>
      <w:r w:rsidR="00324D80" w:rsidRPr="001A4B94">
        <w:rPr>
          <w:rFonts w:ascii="Times New Roman" w:hAnsi="Times New Roman"/>
          <w:sz w:val="23"/>
          <w:szCs w:val="23"/>
          <w:lang w:val="tr-TR"/>
        </w:rPr>
        <w:t>özellikle enerji yoğunluğunun düşürülmesi su kıtlığının önlenmesi bakımından</w:t>
      </w:r>
      <w:r w:rsidR="007D7D9C" w:rsidRPr="001A4B94">
        <w:rPr>
          <w:rFonts w:ascii="Times New Roman" w:hAnsi="Times New Roman"/>
          <w:sz w:val="23"/>
          <w:szCs w:val="23"/>
          <w:lang w:val="tr-TR"/>
        </w:rPr>
        <w:t>)</w:t>
      </w:r>
      <w:r w:rsidR="006D58D7" w:rsidRPr="001A4B94">
        <w:rPr>
          <w:rFonts w:ascii="Times New Roman" w:hAnsi="Times New Roman"/>
          <w:sz w:val="23"/>
          <w:szCs w:val="23"/>
          <w:lang w:val="tr-TR"/>
        </w:rPr>
        <w:t xml:space="preserve">.  </w:t>
      </w:r>
      <w:r w:rsidR="00324D80" w:rsidRPr="001A4B94">
        <w:rPr>
          <w:rFonts w:ascii="Times New Roman" w:hAnsi="Times New Roman"/>
          <w:iCs/>
          <w:sz w:val="23"/>
          <w:szCs w:val="23"/>
          <w:lang w:val="tr-TR"/>
        </w:rPr>
        <w:t>P</w:t>
      </w:r>
      <w:r w:rsidR="00AA39E7" w:rsidRPr="001A4B94">
        <w:rPr>
          <w:rFonts w:ascii="Times New Roman" w:hAnsi="Times New Roman"/>
          <w:iCs/>
          <w:sz w:val="23"/>
          <w:szCs w:val="23"/>
          <w:lang w:val="tr-TR"/>
        </w:rPr>
        <w:t>rogram, IBRD’nin yatırım programının yüzde 75’inin ve IFC’nin çalışmalarının önemli bir bölümünün yoğunlaştığı enerji ve kentsel / belediye hizmetleri alanında IBRD ve IFC’nin oturmuş işbirliğinden yararlanacaktır</w:t>
      </w:r>
      <w:r w:rsidR="00A75FD2" w:rsidRPr="001A4B94">
        <w:rPr>
          <w:rFonts w:ascii="Times New Roman" w:hAnsi="Times New Roman"/>
          <w:iCs/>
          <w:sz w:val="23"/>
          <w:szCs w:val="23"/>
          <w:lang w:val="tr-TR"/>
        </w:rPr>
        <w:t xml:space="preserve">: </w:t>
      </w:r>
      <w:r w:rsidR="00AA39E7" w:rsidRPr="001A4B94">
        <w:rPr>
          <w:rFonts w:ascii="Times New Roman" w:hAnsi="Times New Roman"/>
          <w:iCs/>
          <w:sz w:val="23"/>
          <w:szCs w:val="23"/>
          <w:lang w:val="tr-TR"/>
        </w:rPr>
        <w:t xml:space="preserve">bu </w:t>
      </w:r>
      <w:r w:rsidR="00C66E6B" w:rsidRPr="001A4B94">
        <w:rPr>
          <w:rFonts w:ascii="Times New Roman" w:hAnsi="Times New Roman"/>
          <w:iCs/>
          <w:sz w:val="23"/>
          <w:szCs w:val="23"/>
          <w:lang w:val="tr-TR"/>
        </w:rPr>
        <w:t>finansmanda basamak yaklaşımının işler hale getirilmesi için mükemmel bir fırsat sunmaktadır</w:t>
      </w:r>
      <w:r w:rsidR="006D58D7" w:rsidRPr="001A4B94">
        <w:rPr>
          <w:rFonts w:ascii="Times New Roman" w:hAnsi="Times New Roman"/>
          <w:iCs/>
          <w:sz w:val="23"/>
          <w:szCs w:val="23"/>
          <w:lang w:val="tr-TR"/>
        </w:rPr>
        <w:t xml:space="preserve">. </w:t>
      </w:r>
      <w:r w:rsidR="00C66E6B" w:rsidRPr="001A4B94">
        <w:rPr>
          <w:rFonts w:ascii="Times New Roman" w:hAnsi="Times New Roman"/>
          <w:iCs/>
          <w:sz w:val="23"/>
          <w:szCs w:val="23"/>
          <w:lang w:val="tr-TR"/>
        </w:rPr>
        <w:t xml:space="preserve">Ülke İşbirliği Çerçevesi hem devam etmekte olan programının temel alınmasını hem de </w:t>
      </w:r>
      <w:r w:rsidR="0054138A" w:rsidRPr="001A4B94">
        <w:rPr>
          <w:rFonts w:ascii="Times New Roman" w:hAnsi="Times New Roman"/>
          <w:iCs/>
          <w:sz w:val="23"/>
          <w:szCs w:val="23"/>
          <w:lang w:val="tr-TR"/>
        </w:rPr>
        <w:t>Türkiye’nin gelecekteki büyüme performansı için kritik önem taşıyan konulara doğru evrilmesini teşvik etmeyi öngörmektedir.</w:t>
      </w:r>
      <w:r w:rsidR="006D58D7" w:rsidRPr="001A4B94">
        <w:rPr>
          <w:rFonts w:ascii="Times New Roman" w:hAnsi="Times New Roman"/>
          <w:sz w:val="23"/>
          <w:szCs w:val="23"/>
          <w:lang w:val="tr-TR"/>
        </w:rPr>
        <w:t xml:space="preserve"> </w:t>
      </w:r>
      <w:r w:rsidR="00186915" w:rsidRPr="001A4B94">
        <w:rPr>
          <w:rFonts w:ascii="Times New Roman" w:hAnsi="Times New Roman"/>
          <w:sz w:val="23"/>
          <w:szCs w:val="23"/>
          <w:lang w:val="tr-TR"/>
        </w:rPr>
        <w:t xml:space="preserve">Bu, </w:t>
      </w:r>
      <w:r w:rsidR="0054138A" w:rsidRPr="001A4B94">
        <w:rPr>
          <w:rFonts w:ascii="Times New Roman" w:hAnsi="Times New Roman"/>
          <w:sz w:val="23"/>
          <w:szCs w:val="23"/>
          <w:lang w:val="tr-TR"/>
        </w:rPr>
        <w:t xml:space="preserve">Onuncu Kalkınma Planının enerji verimliliğinin </w:t>
      </w:r>
      <w:r w:rsidR="003C6D46" w:rsidRPr="001A4B94">
        <w:rPr>
          <w:rFonts w:ascii="Times New Roman" w:hAnsi="Times New Roman"/>
          <w:sz w:val="23"/>
          <w:szCs w:val="23"/>
          <w:lang w:val="tr-TR"/>
        </w:rPr>
        <w:t>geliştirilmesi, yerli kaynaklara dayalı enerji ür</w:t>
      </w:r>
      <w:r w:rsidR="00573073" w:rsidRPr="001A4B94">
        <w:rPr>
          <w:rFonts w:ascii="Times New Roman" w:hAnsi="Times New Roman"/>
          <w:sz w:val="23"/>
          <w:szCs w:val="23"/>
          <w:lang w:val="tr-TR"/>
        </w:rPr>
        <w:t>e</w:t>
      </w:r>
      <w:r w:rsidR="003C6D46" w:rsidRPr="001A4B94">
        <w:rPr>
          <w:rFonts w:ascii="Times New Roman" w:hAnsi="Times New Roman"/>
          <w:sz w:val="23"/>
          <w:szCs w:val="23"/>
          <w:lang w:val="tr-TR"/>
        </w:rPr>
        <w:t>timi</w:t>
      </w:r>
      <w:r w:rsidR="00573073" w:rsidRPr="001A4B94">
        <w:rPr>
          <w:rFonts w:ascii="Times New Roman" w:hAnsi="Times New Roman"/>
          <w:sz w:val="23"/>
          <w:szCs w:val="23"/>
          <w:lang w:val="tr-TR"/>
        </w:rPr>
        <w:t>, kentsel gelişim, içme suyu ve atıksu hizmetlerine erişimin iyileştirilmesi</w:t>
      </w:r>
      <w:r w:rsidR="0054138A" w:rsidRPr="001A4B94">
        <w:rPr>
          <w:rFonts w:ascii="Times New Roman" w:hAnsi="Times New Roman"/>
          <w:sz w:val="23"/>
          <w:szCs w:val="23"/>
          <w:lang w:val="tr-TR"/>
        </w:rPr>
        <w:t xml:space="preserve">, </w:t>
      </w:r>
      <w:r w:rsidR="00573073" w:rsidRPr="001A4B94">
        <w:rPr>
          <w:rFonts w:ascii="Times New Roman" w:hAnsi="Times New Roman"/>
          <w:sz w:val="23"/>
          <w:szCs w:val="23"/>
          <w:lang w:val="tr-TR"/>
        </w:rPr>
        <w:t>tarımda suyun etkili kullanımı ve doğal sermayen</w:t>
      </w:r>
      <w:r w:rsidR="005C69D8" w:rsidRPr="001A4B94">
        <w:rPr>
          <w:rFonts w:ascii="Times New Roman" w:hAnsi="Times New Roman"/>
          <w:sz w:val="23"/>
          <w:szCs w:val="23"/>
          <w:lang w:val="tr-TR"/>
        </w:rPr>
        <w:t>i</w:t>
      </w:r>
      <w:r w:rsidR="00573073" w:rsidRPr="001A4B94">
        <w:rPr>
          <w:rFonts w:ascii="Times New Roman" w:hAnsi="Times New Roman"/>
          <w:sz w:val="23"/>
          <w:szCs w:val="23"/>
          <w:lang w:val="tr-TR"/>
        </w:rPr>
        <w:t xml:space="preserve">n sürdürülebilir kullanımı </w:t>
      </w:r>
      <w:r w:rsidR="0054138A" w:rsidRPr="001A4B94">
        <w:rPr>
          <w:rFonts w:ascii="Times New Roman" w:hAnsi="Times New Roman"/>
          <w:sz w:val="23"/>
          <w:szCs w:val="23"/>
          <w:lang w:val="tr-TR"/>
        </w:rPr>
        <w:t>üzerinde odaklanan Dönüş</w:t>
      </w:r>
      <w:r w:rsidR="00573073" w:rsidRPr="001A4B94">
        <w:rPr>
          <w:rFonts w:ascii="Times New Roman" w:hAnsi="Times New Roman"/>
          <w:sz w:val="23"/>
          <w:szCs w:val="23"/>
          <w:lang w:val="tr-TR"/>
        </w:rPr>
        <w:t>ü</w:t>
      </w:r>
      <w:r w:rsidR="0054138A" w:rsidRPr="001A4B94">
        <w:rPr>
          <w:rFonts w:ascii="Times New Roman" w:hAnsi="Times New Roman"/>
          <w:sz w:val="23"/>
          <w:szCs w:val="23"/>
          <w:lang w:val="tr-TR"/>
        </w:rPr>
        <w:t xml:space="preserve">m </w:t>
      </w:r>
      <w:r w:rsidR="00695C50" w:rsidRPr="001A4B94">
        <w:rPr>
          <w:rFonts w:ascii="Times New Roman" w:hAnsi="Times New Roman"/>
          <w:sz w:val="23"/>
          <w:szCs w:val="23"/>
          <w:lang w:val="tr-TR"/>
        </w:rPr>
        <w:t>P</w:t>
      </w:r>
      <w:r w:rsidR="00573073" w:rsidRPr="001A4B94">
        <w:rPr>
          <w:rFonts w:ascii="Times New Roman" w:hAnsi="Times New Roman"/>
          <w:sz w:val="23"/>
          <w:szCs w:val="23"/>
          <w:lang w:val="tr-TR"/>
        </w:rPr>
        <w:t>r</w:t>
      </w:r>
      <w:r w:rsidR="0054138A" w:rsidRPr="001A4B94">
        <w:rPr>
          <w:rFonts w:ascii="Times New Roman" w:hAnsi="Times New Roman"/>
          <w:sz w:val="23"/>
          <w:szCs w:val="23"/>
          <w:lang w:val="tr-TR"/>
        </w:rPr>
        <w:t xml:space="preserve">ogramları </w:t>
      </w:r>
      <w:r w:rsidR="00573073" w:rsidRPr="001A4B94">
        <w:rPr>
          <w:rFonts w:ascii="Times New Roman" w:hAnsi="Times New Roman"/>
          <w:sz w:val="23"/>
          <w:szCs w:val="23"/>
          <w:lang w:val="tr-TR"/>
        </w:rPr>
        <w:t>i</w:t>
      </w:r>
      <w:r w:rsidR="0054138A" w:rsidRPr="001A4B94">
        <w:rPr>
          <w:rFonts w:ascii="Times New Roman" w:hAnsi="Times New Roman"/>
          <w:sz w:val="23"/>
          <w:szCs w:val="23"/>
          <w:lang w:val="tr-TR"/>
        </w:rPr>
        <w:t>le de uyum</w:t>
      </w:r>
      <w:r w:rsidR="00A021AE" w:rsidRPr="001A4B94">
        <w:rPr>
          <w:rFonts w:ascii="Times New Roman" w:hAnsi="Times New Roman"/>
          <w:sz w:val="23"/>
          <w:szCs w:val="23"/>
          <w:lang w:val="tr-TR"/>
        </w:rPr>
        <w:t>l</w:t>
      </w:r>
      <w:r w:rsidR="0054138A" w:rsidRPr="001A4B94">
        <w:rPr>
          <w:rFonts w:ascii="Times New Roman" w:hAnsi="Times New Roman"/>
          <w:sz w:val="23"/>
          <w:szCs w:val="23"/>
          <w:lang w:val="tr-TR"/>
        </w:rPr>
        <w:t>udur</w:t>
      </w:r>
      <w:r w:rsidR="00147244" w:rsidRPr="001A4B94">
        <w:rPr>
          <w:rFonts w:ascii="Times New Roman" w:hAnsi="Times New Roman"/>
          <w:sz w:val="23"/>
          <w:szCs w:val="23"/>
          <w:lang w:val="tr-TR"/>
        </w:rPr>
        <w:t xml:space="preserve">. </w:t>
      </w:r>
      <w:r w:rsidR="00573073" w:rsidRPr="001A4B94">
        <w:rPr>
          <w:rFonts w:ascii="Times New Roman" w:hAnsi="Times New Roman"/>
          <w:sz w:val="23"/>
          <w:szCs w:val="23"/>
          <w:lang w:val="tr-TR"/>
        </w:rPr>
        <w:t xml:space="preserve">Bu odak alanı içerisindeki </w:t>
      </w:r>
      <w:r w:rsidR="002E2B78" w:rsidRPr="001A4B94">
        <w:rPr>
          <w:rFonts w:ascii="Times New Roman" w:hAnsi="Times New Roman"/>
          <w:iCs/>
          <w:sz w:val="23"/>
          <w:szCs w:val="23"/>
          <w:lang w:val="tr-TR"/>
        </w:rPr>
        <w:t xml:space="preserve">CPF </w:t>
      </w:r>
      <w:r w:rsidR="00573073" w:rsidRPr="001A4B94">
        <w:rPr>
          <w:rFonts w:ascii="Times New Roman" w:hAnsi="Times New Roman"/>
          <w:iCs/>
          <w:sz w:val="23"/>
          <w:szCs w:val="23"/>
          <w:lang w:val="tr-TR"/>
        </w:rPr>
        <w:t xml:space="preserve">amaçları şunlardır: </w:t>
      </w:r>
      <w:r w:rsidR="00397565" w:rsidRPr="001A4B94">
        <w:rPr>
          <w:rFonts w:ascii="Times New Roman" w:hAnsi="Times New Roman"/>
          <w:iCs/>
          <w:sz w:val="23"/>
          <w:szCs w:val="23"/>
          <w:lang w:val="tr-TR"/>
        </w:rPr>
        <w:t xml:space="preserve">(i) </w:t>
      </w:r>
      <w:r w:rsidR="00573073" w:rsidRPr="001A4B94">
        <w:rPr>
          <w:rFonts w:ascii="Times New Roman" w:hAnsi="Times New Roman"/>
          <w:iCs/>
          <w:sz w:val="23"/>
          <w:szCs w:val="23"/>
          <w:lang w:val="tr-TR"/>
        </w:rPr>
        <w:t>enerji arz güvenliğinin ve yeşil enerji üretiminin arttırılması</w:t>
      </w:r>
      <w:r w:rsidR="002E2B78" w:rsidRPr="001A4B94">
        <w:rPr>
          <w:rFonts w:ascii="Times New Roman" w:hAnsi="Times New Roman"/>
          <w:sz w:val="23"/>
          <w:szCs w:val="23"/>
          <w:lang w:val="tr-TR"/>
        </w:rPr>
        <w:t xml:space="preserve">; (ii) </w:t>
      </w:r>
      <w:r w:rsidR="00573073" w:rsidRPr="001A4B94">
        <w:rPr>
          <w:rFonts w:ascii="Times New Roman" w:hAnsi="Times New Roman"/>
          <w:sz w:val="23"/>
          <w:szCs w:val="23"/>
          <w:lang w:val="tr-TR"/>
        </w:rPr>
        <w:t>Şehirlerin sürdürülebilirliklerinin ve afetlere karşı dayanıklılıklarının arttırılması</w:t>
      </w:r>
      <w:r w:rsidR="002E2B78" w:rsidRPr="001A4B94">
        <w:rPr>
          <w:rFonts w:ascii="Times New Roman" w:hAnsi="Times New Roman"/>
          <w:sz w:val="23"/>
          <w:szCs w:val="23"/>
          <w:lang w:val="tr-TR"/>
        </w:rPr>
        <w:t xml:space="preserve">; </w:t>
      </w:r>
      <w:r w:rsidR="00573073" w:rsidRPr="001A4B94">
        <w:rPr>
          <w:rFonts w:ascii="Times New Roman" w:hAnsi="Times New Roman"/>
          <w:sz w:val="23"/>
          <w:szCs w:val="23"/>
          <w:lang w:val="tr-TR"/>
        </w:rPr>
        <w:t xml:space="preserve">ve </w:t>
      </w:r>
      <w:r w:rsidR="002E2B78" w:rsidRPr="001A4B94">
        <w:rPr>
          <w:rFonts w:ascii="Times New Roman" w:hAnsi="Times New Roman"/>
          <w:sz w:val="23"/>
          <w:szCs w:val="23"/>
          <w:lang w:val="tr-TR"/>
        </w:rPr>
        <w:t xml:space="preserve">(iii) </w:t>
      </w:r>
      <w:r w:rsidR="00573073" w:rsidRPr="001A4B94">
        <w:rPr>
          <w:rFonts w:ascii="Times New Roman" w:hAnsi="Times New Roman"/>
          <w:sz w:val="23"/>
          <w:szCs w:val="23"/>
          <w:lang w:val="tr-TR"/>
        </w:rPr>
        <w:t>Altyapı varlıklarının ve doğal sermayenin sürdürülebilirliğinin arttırılması</w:t>
      </w:r>
      <w:r w:rsidR="002E2B78" w:rsidRPr="001A4B94">
        <w:rPr>
          <w:rFonts w:ascii="Times New Roman" w:hAnsi="Times New Roman"/>
          <w:sz w:val="23"/>
          <w:szCs w:val="23"/>
          <w:lang w:val="tr-TR"/>
        </w:rPr>
        <w:t>.</w:t>
      </w:r>
    </w:p>
    <w:p w14:paraId="3725FF09" w14:textId="77777777" w:rsidR="00870C9B" w:rsidRPr="001A4B94" w:rsidRDefault="00870C9B" w:rsidP="0069584B">
      <w:pPr>
        <w:ind w:left="396"/>
        <w:rPr>
          <w:b/>
          <w:bCs/>
          <w:sz w:val="23"/>
          <w:szCs w:val="23"/>
          <w:u w:val="single"/>
          <w:lang w:val="tr-TR"/>
        </w:rPr>
      </w:pPr>
    </w:p>
    <w:p w14:paraId="379386A2" w14:textId="0A6128D2" w:rsidR="0069584B" w:rsidRPr="001A4B94" w:rsidRDefault="00542475" w:rsidP="0069584B">
      <w:pPr>
        <w:ind w:left="396"/>
        <w:rPr>
          <w:b/>
          <w:bCs/>
          <w:sz w:val="23"/>
          <w:szCs w:val="23"/>
          <w:u w:val="single"/>
          <w:lang w:val="tr-TR"/>
        </w:rPr>
      </w:pPr>
      <w:r w:rsidRPr="001A4B94">
        <w:rPr>
          <w:b/>
          <w:bCs/>
          <w:sz w:val="23"/>
          <w:szCs w:val="23"/>
          <w:u w:val="single"/>
          <w:lang w:val="tr-TR"/>
        </w:rPr>
        <w:t xml:space="preserve">CPF </w:t>
      </w:r>
      <w:r w:rsidR="005C69D8" w:rsidRPr="001A4B94">
        <w:rPr>
          <w:b/>
          <w:bCs/>
          <w:sz w:val="23"/>
          <w:szCs w:val="23"/>
          <w:u w:val="single"/>
          <w:lang w:val="tr-TR"/>
        </w:rPr>
        <w:t xml:space="preserve">Amacı </w:t>
      </w:r>
      <w:r w:rsidRPr="001A4B94">
        <w:rPr>
          <w:b/>
          <w:bCs/>
          <w:sz w:val="23"/>
          <w:szCs w:val="23"/>
          <w:u w:val="single"/>
          <w:lang w:val="tr-TR"/>
        </w:rPr>
        <w:t>7</w:t>
      </w:r>
      <w:r w:rsidR="0069584B" w:rsidRPr="001A4B94">
        <w:rPr>
          <w:b/>
          <w:bCs/>
          <w:sz w:val="23"/>
          <w:szCs w:val="23"/>
          <w:u w:val="single"/>
          <w:lang w:val="tr-TR"/>
        </w:rPr>
        <w:t xml:space="preserve">: </w:t>
      </w:r>
      <w:r w:rsidR="004F40E8" w:rsidRPr="001A4B94">
        <w:rPr>
          <w:b/>
          <w:bCs/>
          <w:sz w:val="23"/>
          <w:szCs w:val="23"/>
          <w:u w:val="single"/>
          <w:lang w:val="tr-TR"/>
        </w:rPr>
        <w:t>E</w:t>
      </w:r>
      <w:r w:rsidR="005C69D8" w:rsidRPr="001A4B94">
        <w:rPr>
          <w:b/>
          <w:bCs/>
          <w:iCs/>
          <w:sz w:val="23"/>
          <w:szCs w:val="23"/>
          <w:u w:val="single"/>
          <w:lang w:val="tr-TR"/>
        </w:rPr>
        <w:t xml:space="preserve">nerji </w:t>
      </w:r>
      <w:r w:rsidR="004F40E8" w:rsidRPr="001A4B94">
        <w:rPr>
          <w:b/>
          <w:bCs/>
          <w:iCs/>
          <w:sz w:val="23"/>
          <w:szCs w:val="23"/>
          <w:u w:val="single"/>
          <w:lang w:val="tr-TR"/>
        </w:rPr>
        <w:t>A</w:t>
      </w:r>
      <w:r w:rsidR="005C69D8" w:rsidRPr="001A4B94">
        <w:rPr>
          <w:b/>
          <w:bCs/>
          <w:iCs/>
          <w:sz w:val="23"/>
          <w:szCs w:val="23"/>
          <w:u w:val="single"/>
          <w:lang w:val="tr-TR"/>
        </w:rPr>
        <w:t xml:space="preserve">rz </w:t>
      </w:r>
      <w:r w:rsidR="004F40E8" w:rsidRPr="001A4B94">
        <w:rPr>
          <w:b/>
          <w:bCs/>
          <w:iCs/>
          <w:sz w:val="23"/>
          <w:szCs w:val="23"/>
          <w:u w:val="single"/>
          <w:lang w:val="tr-TR"/>
        </w:rPr>
        <w:t>G</w:t>
      </w:r>
      <w:r w:rsidR="005C69D8" w:rsidRPr="001A4B94">
        <w:rPr>
          <w:b/>
          <w:bCs/>
          <w:iCs/>
          <w:sz w:val="23"/>
          <w:szCs w:val="23"/>
          <w:u w:val="single"/>
          <w:lang w:val="tr-TR"/>
        </w:rPr>
        <w:t xml:space="preserve">üvenliğinin ve </w:t>
      </w:r>
      <w:r w:rsidR="004F40E8" w:rsidRPr="001A4B94">
        <w:rPr>
          <w:b/>
          <w:bCs/>
          <w:iCs/>
          <w:sz w:val="23"/>
          <w:szCs w:val="23"/>
          <w:u w:val="single"/>
          <w:lang w:val="tr-TR"/>
        </w:rPr>
        <w:t>Y</w:t>
      </w:r>
      <w:r w:rsidR="005C69D8" w:rsidRPr="001A4B94">
        <w:rPr>
          <w:b/>
          <w:bCs/>
          <w:iCs/>
          <w:sz w:val="23"/>
          <w:szCs w:val="23"/>
          <w:u w:val="single"/>
          <w:lang w:val="tr-TR"/>
        </w:rPr>
        <w:t xml:space="preserve">eşil </w:t>
      </w:r>
      <w:r w:rsidR="004F40E8" w:rsidRPr="001A4B94">
        <w:rPr>
          <w:b/>
          <w:bCs/>
          <w:iCs/>
          <w:sz w:val="23"/>
          <w:szCs w:val="23"/>
          <w:u w:val="single"/>
          <w:lang w:val="tr-TR"/>
        </w:rPr>
        <w:t>E</w:t>
      </w:r>
      <w:r w:rsidR="005C69D8" w:rsidRPr="001A4B94">
        <w:rPr>
          <w:b/>
          <w:bCs/>
          <w:iCs/>
          <w:sz w:val="23"/>
          <w:szCs w:val="23"/>
          <w:u w:val="single"/>
          <w:lang w:val="tr-TR"/>
        </w:rPr>
        <w:t xml:space="preserve">nerji </w:t>
      </w:r>
      <w:r w:rsidR="004F40E8" w:rsidRPr="001A4B94">
        <w:rPr>
          <w:b/>
          <w:bCs/>
          <w:iCs/>
          <w:sz w:val="23"/>
          <w:szCs w:val="23"/>
          <w:u w:val="single"/>
          <w:lang w:val="tr-TR"/>
        </w:rPr>
        <w:t>Ü</w:t>
      </w:r>
      <w:r w:rsidR="005C69D8" w:rsidRPr="001A4B94">
        <w:rPr>
          <w:b/>
          <w:bCs/>
          <w:iCs/>
          <w:sz w:val="23"/>
          <w:szCs w:val="23"/>
          <w:u w:val="single"/>
          <w:lang w:val="tr-TR"/>
        </w:rPr>
        <w:t xml:space="preserve">retiminin </w:t>
      </w:r>
      <w:r w:rsidR="004F40E8" w:rsidRPr="001A4B94">
        <w:rPr>
          <w:b/>
          <w:bCs/>
          <w:iCs/>
          <w:sz w:val="23"/>
          <w:szCs w:val="23"/>
          <w:u w:val="single"/>
          <w:lang w:val="tr-TR"/>
        </w:rPr>
        <w:t>A</w:t>
      </w:r>
      <w:r w:rsidR="005C69D8" w:rsidRPr="001A4B94">
        <w:rPr>
          <w:b/>
          <w:bCs/>
          <w:iCs/>
          <w:sz w:val="23"/>
          <w:szCs w:val="23"/>
          <w:u w:val="single"/>
          <w:lang w:val="tr-TR"/>
        </w:rPr>
        <w:t>rttırılması</w:t>
      </w:r>
      <w:r w:rsidR="005C69D8" w:rsidRPr="001A4B94">
        <w:rPr>
          <w:b/>
          <w:bCs/>
          <w:sz w:val="23"/>
          <w:szCs w:val="23"/>
          <w:u w:val="single"/>
          <w:lang w:val="tr-TR"/>
        </w:rPr>
        <w:t xml:space="preserve"> </w:t>
      </w:r>
    </w:p>
    <w:p w14:paraId="31A0CFE4" w14:textId="77777777" w:rsidR="0069584B" w:rsidRPr="001A4B94" w:rsidRDefault="0069584B" w:rsidP="0069584B">
      <w:pPr>
        <w:ind w:left="396"/>
        <w:rPr>
          <w:b/>
          <w:bCs/>
          <w:sz w:val="12"/>
          <w:szCs w:val="12"/>
          <w:u w:val="single"/>
          <w:lang w:val="tr-TR"/>
        </w:rPr>
      </w:pPr>
    </w:p>
    <w:tbl>
      <w:tblPr>
        <w:tblW w:w="0" w:type="auto"/>
        <w:tblCellMar>
          <w:left w:w="0" w:type="dxa"/>
          <w:right w:w="0" w:type="dxa"/>
        </w:tblCellMar>
        <w:tblLook w:val="04A0" w:firstRow="1" w:lastRow="0" w:firstColumn="1" w:lastColumn="0" w:noHBand="0" w:noVBand="1"/>
      </w:tblPr>
      <w:tblGrid>
        <w:gridCol w:w="9340"/>
      </w:tblGrid>
      <w:tr w:rsidR="0069584B" w:rsidRPr="001A4B94" w14:paraId="1525211A" w14:textId="77777777" w:rsidTr="0082056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42BE8" w14:textId="7B3480B6" w:rsidR="0069584B" w:rsidRPr="001A4B94" w:rsidRDefault="004F40E8" w:rsidP="00820564">
            <w:pPr>
              <w:jc w:val="both"/>
              <w:rPr>
                <w:b/>
                <w:sz w:val="22"/>
                <w:lang w:val="tr-TR"/>
              </w:rPr>
            </w:pPr>
            <w:r w:rsidRPr="001A4B94">
              <w:rPr>
                <w:b/>
                <w:sz w:val="22"/>
                <w:lang w:val="tr-TR"/>
              </w:rPr>
              <w:t xml:space="preserve">Amaç 7 için Sonuç Göstergeleri </w:t>
            </w:r>
          </w:p>
        </w:tc>
      </w:tr>
      <w:tr w:rsidR="0069584B" w:rsidRPr="001A4B94" w14:paraId="5FC9DBC3" w14:textId="77777777" w:rsidTr="00820564">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73904D" w14:textId="29D6B5DA" w:rsidR="0069584B" w:rsidRPr="001A4B94" w:rsidRDefault="004F40E8" w:rsidP="00820564">
            <w:pPr>
              <w:tabs>
                <w:tab w:val="left" w:pos="1142"/>
              </w:tabs>
              <w:ind w:left="-28"/>
              <w:rPr>
                <w:i/>
                <w:sz w:val="22"/>
                <w:lang w:val="tr-TR"/>
              </w:rPr>
            </w:pPr>
            <w:r w:rsidRPr="001A4B94">
              <w:rPr>
                <w:i/>
                <w:sz w:val="22"/>
                <w:lang w:val="tr-TR"/>
              </w:rPr>
              <w:t xml:space="preserve">Yenilenebilir kaynaklara dayalı enerji üretiminin toplam enerji üretimi içerisindeki yüzdelik payı  </w:t>
            </w:r>
          </w:p>
          <w:p w14:paraId="3C75AEAF" w14:textId="0AEB8D62" w:rsidR="008169D7" w:rsidRPr="001A4B94" w:rsidRDefault="004F40E8" w:rsidP="00820564">
            <w:pPr>
              <w:tabs>
                <w:tab w:val="left" w:pos="1142"/>
              </w:tabs>
              <w:ind w:left="-28"/>
              <w:rPr>
                <w:i/>
                <w:sz w:val="22"/>
                <w:lang w:val="tr-TR"/>
              </w:rPr>
            </w:pPr>
            <w:r w:rsidRPr="001A4B94">
              <w:rPr>
                <w:i/>
                <w:sz w:val="22"/>
                <w:lang w:val="tr-TR"/>
              </w:rPr>
              <w:t xml:space="preserve">IFC müşterilerinin </w:t>
            </w:r>
            <w:r w:rsidR="00C1672D" w:rsidRPr="001A4B94">
              <w:rPr>
                <w:i/>
                <w:sz w:val="22"/>
                <w:lang w:val="tr-TR"/>
              </w:rPr>
              <w:t>yenilenebilir</w:t>
            </w:r>
            <w:r w:rsidRPr="001A4B94">
              <w:rPr>
                <w:i/>
                <w:sz w:val="22"/>
                <w:lang w:val="tr-TR"/>
              </w:rPr>
              <w:t xml:space="preserve"> enerji projelerine sağladıkları kredilerin değeri </w:t>
            </w:r>
          </w:p>
          <w:p w14:paraId="0873C59C" w14:textId="516EB1E7" w:rsidR="0069584B" w:rsidRPr="001A4B94" w:rsidRDefault="004F40E8" w:rsidP="00820564">
            <w:pPr>
              <w:tabs>
                <w:tab w:val="left" w:pos="1142"/>
              </w:tabs>
              <w:ind w:left="-28"/>
              <w:rPr>
                <w:i/>
                <w:sz w:val="22"/>
                <w:lang w:val="tr-TR"/>
              </w:rPr>
            </w:pPr>
            <w:r w:rsidRPr="001A4B94">
              <w:rPr>
                <w:i/>
                <w:sz w:val="22"/>
                <w:lang w:val="tr-TR"/>
              </w:rPr>
              <w:t xml:space="preserve">Müşterilerin ulaştıkları toplam elektrik üretimi ve dağıtımı </w:t>
            </w:r>
          </w:p>
          <w:p w14:paraId="5C70B58E" w14:textId="48868B64" w:rsidR="0069584B" w:rsidRPr="001A4B94" w:rsidRDefault="004F40E8" w:rsidP="00820564">
            <w:pPr>
              <w:tabs>
                <w:tab w:val="left" w:pos="1142"/>
              </w:tabs>
              <w:ind w:left="-28"/>
              <w:rPr>
                <w:i/>
                <w:sz w:val="22"/>
                <w:lang w:val="tr-TR"/>
              </w:rPr>
            </w:pPr>
            <w:r w:rsidRPr="001A4B94">
              <w:rPr>
                <w:i/>
                <w:sz w:val="22"/>
                <w:lang w:val="tr-TR"/>
              </w:rPr>
              <w:t>Doğ</w:t>
            </w:r>
            <w:r w:rsidR="00C1672D" w:rsidRPr="001A4B94">
              <w:rPr>
                <w:i/>
                <w:sz w:val="22"/>
                <w:lang w:val="tr-TR"/>
              </w:rPr>
              <w:t>a</w:t>
            </w:r>
            <w:r w:rsidRPr="001A4B94">
              <w:rPr>
                <w:i/>
                <w:sz w:val="22"/>
                <w:lang w:val="tr-TR"/>
              </w:rPr>
              <w:t xml:space="preserve">l gaz depolama kapasitesindeki artış </w:t>
            </w:r>
          </w:p>
          <w:p w14:paraId="6AF1F827" w14:textId="6FE0DAD3" w:rsidR="0069584B" w:rsidRPr="001A4B94" w:rsidRDefault="004F40E8" w:rsidP="00820564">
            <w:pPr>
              <w:tabs>
                <w:tab w:val="left" w:pos="1142"/>
              </w:tabs>
              <w:ind w:left="-28"/>
              <w:rPr>
                <w:i/>
                <w:sz w:val="22"/>
                <w:lang w:val="tr-TR"/>
              </w:rPr>
            </w:pPr>
            <w:r w:rsidRPr="001A4B94">
              <w:rPr>
                <w:i/>
                <w:sz w:val="22"/>
                <w:lang w:val="tr-TR"/>
              </w:rPr>
              <w:t xml:space="preserve">Trans Anadolu Boru Hattı (TANAP) Projesi yoluyla sağlanan doğal gaz ithalatı </w:t>
            </w:r>
          </w:p>
        </w:tc>
      </w:tr>
    </w:tbl>
    <w:p w14:paraId="1F5B7214" w14:textId="7BD48A35" w:rsidR="00B30A52" w:rsidRPr="001A4B94" w:rsidRDefault="00B30A52" w:rsidP="0069584B">
      <w:pPr>
        <w:tabs>
          <w:tab w:val="left" w:pos="426"/>
          <w:tab w:val="left" w:pos="2970"/>
        </w:tabs>
        <w:autoSpaceDE w:val="0"/>
        <w:autoSpaceDN w:val="0"/>
        <w:adjustRightInd w:val="0"/>
        <w:jc w:val="both"/>
        <w:rPr>
          <w:sz w:val="12"/>
          <w:szCs w:val="12"/>
          <w:lang w:val="tr-TR"/>
        </w:rPr>
      </w:pPr>
    </w:p>
    <w:p w14:paraId="620C027E" w14:textId="1A23DF72" w:rsidR="0069584B" w:rsidRPr="001A4B94" w:rsidRDefault="004F40E8" w:rsidP="00785F7F">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eastAsia="MS Mincho" w:hAnsi="Times New Roman"/>
          <w:b/>
          <w:sz w:val="23"/>
          <w:szCs w:val="23"/>
          <w:lang w:val="tr-TR"/>
        </w:rPr>
        <w:t>Dünya Bankası Grubu’nun mevcut program</w:t>
      </w:r>
      <w:r w:rsidR="00EE3897" w:rsidRPr="001A4B94">
        <w:rPr>
          <w:rFonts w:ascii="Times New Roman" w:eastAsia="MS Mincho" w:hAnsi="Times New Roman"/>
          <w:b/>
          <w:sz w:val="23"/>
          <w:szCs w:val="23"/>
          <w:lang w:val="tr-TR"/>
        </w:rPr>
        <w:t>ı</w:t>
      </w:r>
      <w:r w:rsidRPr="001A4B94">
        <w:rPr>
          <w:rFonts w:ascii="Times New Roman" w:eastAsia="MS Mincho" w:hAnsi="Times New Roman"/>
          <w:b/>
          <w:sz w:val="23"/>
          <w:szCs w:val="23"/>
          <w:lang w:val="tr-TR"/>
        </w:rPr>
        <w:t xml:space="preserve"> ağır bir şekilde enerji sektörü üzer</w:t>
      </w:r>
      <w:r w:rsidR="00C1672D" w:rsidRPr="001A4B94">
        <w:rPr>
          <w:rFonts w:ascii="Times New Roman" w:eastAsia="MS Mincho" w:hAnsi="Times New Roman"/>
          <w:b/>
          <w:sz w:val="23"/>
          <w:szCs w:val="23"/>
          <w:lang w:val="tr-TR"/>
        </w:rPr>
        <w:t>i</w:t>
      </w:r>
      <w:r w:rsidRPr="001A4B94">
        <w:rPr>
          <w:rFonts w:ascii="Times New Roman" w:eastAsia="MS Mincho" w:hAnsi="Times New Roman"/>
          <w:b/>
          <w:sz w:val="23"/>
          <w:szCs w:val="23"/>
          <w:lang w:val="tr-TR"/>
        </w:rPr>
        <w:t>nde yo</w:t>
      </w:r>
      <w:r w:rsidR="00C1672D" w:rsidRPr="001A4B94">
        <w:rPr>
          <w:rFonts w:ascii="Times New Roman" w:eastAsia="MS Mincho" w:hAnsi="Times New Roman"/>
          <w:b/>
          <w:sz w:val="23"/>
          <w:szCs w:val="23"/>
          <w:lang w:val="tr-TR"/>
        </w:rPr>
        <w:t>ğ</w:t>
      </w:r>
      <w:r w:rsidRPr="001A4B94">
        <w:rPr>
          <w:rFonts w:ascii="Times New Roman" w:eastAsia="MS Mincho" w:hAnsi="Times New Roman"/>
          <w:b/>
          <w:sz w:val="23"/>
          <w:szCs w:val="23"/>
          <w:lang w:val="tr-TR"/>
        </w:rPr>
        <w:t xml:space="preserve">unlaşmaktadır ve </w:t>
      </w:r>
      <w:r w:rsidR="002C13F6" w:rsidRPr="001A4B94">
        <w:rPr>
          <w:rFonts w:ascii="Times New Roman" w:eastAsia="MS Mincho" w:hAnsi="Times New Roman"/>
          <w:b/>
          <w:sz w:val="23"/>
          <w:szCs w:val="23"/>
          <w:lang w:val="tr-TR"/>
        </w:rPr>
        <w:t>IBRD’nin politika danışmanlığı ile teknik yar</w:t>
      </w:r>
      <w:r w:rsidR="00C1672D" w:rsidRPr="001A4B94">
        <w:rPr>
          <w:rFonts w:ascii="Times New Roman" w:eastAsia="MS Mincho" w:hAnsi="Times New Roman"/>
          <w:b/>
          <w:sz w:val="23"/>
          <w:szCs w:val="23"/>
          <w:lang w:val="tr-TR"/>
        </w:rPr>
        <w:t>dımlarının  IFC ve MIGA destekl</w:t>
      </w:r>
      <w:r w:rsidR="002C13F6" w:rsidRPr="001A4B94">
        <w:rPr>
          <w:rFonts w:ascii="Times New Roman" w:eastAsia="MS Mincho" w:hAnsi="Times New Roman"/>
          <w:b/>
          <w:sz w:val="23"/>
          <w:szCs w:val="23"/>
          <w:lang w:val="tr-TR"/>
        </w:rPr>
        <w:t>i özel sektör katılımında artışın yolunu açtığı bir basamak yaklaşımı izlenmektedir.</w:t>
      </w:r>
      <w:r w:rsidR="00785F7F" w:rsidRPr="001A4B94">
        <w:rPr>
          <w:rFonts w:ascii="Times New Roman" w:eastAsia="MS Mincho" w:hAnsi="Times New Roman"/>
          <w:sz w:val="23"/>
          <w:szCs w:val="23"/>
          <w:lang w:val="tr-TR"/>
        </w:rPr>
        <w:t xml:space="preserve">  </w:t>
      </w:r>
      <w:r w:rsidR="002C13F6" w:rsidRPr="001A4B94">
        <w:rPr>
          <w:rFonts w:ascii="Times New Roman" w:eastAsia="MS Mincho" w:hAnsi="Times New Roman"/>
          <w:sz w:val="23"/>
          <w:szCs w:val="23"/>
          <w:lang w:val="tr-TR"/>
        </w:rPr>
        <w:t>P</w:t>
      </w:r>
      <w:r w:rsidR="00785F7F" w:rsidRPr="001A4B94">
        <w:rPr>
          <w:rFonts w:ascii="Times New Roman" w:hAnsi="Times New Roman"/>
          <w:iCs/>
          <w:sz w:val="23"/>
          <w:szCs w:val="23"/>
          <w:lang w:val="tr-TR"/>
        </w:rPr>
        <w:t xml:space="preserve">rogram </w:t>
      </w:r>
      <w:r w:rsidR="002C13F6" w:rsidRPr="001A4B94">
        <w:rPr>
          <w:rFonts w:ascii="Times New Roman" w:hAnsi="Times New Roman"/>
          <w:iCs/>
          <w:sz w:val="23"/>
          <w:szCs w:val="23"/>
          <w:lang w:val="tr-TR"/>
        </w:rPr>
        <w:t xml:space="preserve">Türkiye’nin enerjideki dışa bağımlılığını azaltmasına yardımcı olmayı </w:t>
      </w:r>
      <w:r w:rsidR="00785F7F" w:rsidRPr="001A4B94">
        <w:rPr>
          <w:rFonts w:ascii="Times New Roman" w:hAnsi="Times New Roman"/>
          <w:iCs/>
          <w:sz w:val="23"/>
          <w:szCs w:val="23"/>
          <w:lang w:val="tr-TR"/>
        </w:rPr>
        <w:t>(</w:t>
      </w:r>
      <w:r w:rsidR="002C13F6" w:rsidRPr="001A4B94">
        <w:rPr>
          <w:rFonts w:ascii="Times New Roman" w:hAnsi="Times New Roman"/>
          <w:iCs/>
          <w:sz w:val="23"/>
          <w:szCs w:val="23"/>
          <w:lang w:val="tr-TR"/>
        </w:rPr>
        <w:t>petrol ihtiyacının yüzde 92’sini ve doğal gaz ihtiyacının yüzde 98’ini ithal etmektedir)</w:t>
      </w:r>
      <w:r w:rsidR="00785F7F" w:rsidRPr="001A4B94">
        <w:rPr>
          <w:rFonts w:ascii="Times New Roman" w:hAnsi="Times New Roman"/>
          <w:iCs/>
          <w:sz w:val="23"/>
          <w:szCs w:val="23"/>
          <w:lang w:val="tr-TR"/>
        </w:rPr>
        <w:t xml:space="preserve">, </w:t>
      </w:r>
      <w:r w:rsidR="002C13F6" w:rsidRPr="001A4B94">
        <w:rPr>
          <w:rFonts w:ascii="Times New Roman" w:hAnsi="Times New Roman"/>
          <w:iCs/>
          <w:sz w:val="23"/>
          <w:szCs w:val="23"/>
          <w:lang w:val="tr-TR"/>
        </w:rPr>
        <w:t>enerji reform gündemini d</w:t>
      </w:r>
      <w:r w:rsidR="004F4354" w:rsidRPr="001A4B94">
        <w:rPr>
          <w:rFonts w:ascii="Times New Roman" w:hAnsi="Times New Roman"/>
          <w:iCs/>
          <w:sz w:val="23"/>
          <w:szCs w:val="23"/>
          <w:lang w:val="tr-TR"/>
        </w:rPr>
        <w:t>e</w:t>
      </w:r>
      <w:r w:rsidR="002C13F6" w:rsidRPr="001A4B94">
        <w:rPr>
          <w:rFonts w:ascii="Times New Roman" w:hAnsi="Times New Roman"/>
          <w:iCs/>
          <w:sz w:val="23"/>
          <w:szCs w:val="23"/>
          <w:lang w:val="tr-TR"/>
        </w:rPr>
        <w:t>steklemeyi</w:t>
      </w:r>
      <w:r w:rsidR="001952B7" w:rsidRPr="001A4B94">
        <w:rPr>
          <w:rFonts w:ascii="Times New Roman" w:hAnsi="Times New Roman"/>
          <w:iCs/>
          <w:sz w:val="23"/>
          <w:szCs w:val="23"/>
          <w:lang w:val="tr-TR"/>
        </w:rPr>
        <w:t xml:space="preserve">, </w:t>
      </w:r>
      <w:r w:rsidR="002C13F6" w:rsidRPr="001A4B94">
        <w:rPr>
          <w:rFonts w:ascii="Times New Roman" w:hAnsi="Times New Roman"/>
          <w:iCs/>
          <w:sz w:val="23"/>
          <w:szCs w:val="23"/>
          <w:lang w:val="tr-TR"/>
        </w:rPr>
        <w:t xml:space="preserve">enerji üretimini çeşitlendirmeyi </w:t>
      </w:r>
      <w:r w:rsidR="00785F7F" w:rsidRPr="001A4B94">
        <w:rPr>
          <w:rFonts w:ascii="Times New Roman" w:hAnsi="Times New Roman"/>
          <w:iCs/>
          <w:sz w:val="23"/>
          <w:szCs w:val="23"/>
          <w:lang w:val="tr-TR"/>
        </w:rPr>
        <w:t>(</w:t>
      </w:r>
      <w:r w:rsidR="004F4354" w:rsidRPr="001A4B94">
        <w:rPr>
          <w:rFonts w:ascii="Times New Roman" w:hAnsi="Times New Roman"/>
          <w:i/>
          <w:iCs/>
          <w:sz w:val="23"/>
          <w:szCs w:val="23"/>
          <w:lang w:val="tr-TR"/>
        </w:rPr>
        <w:t xml:space="preserve">diğer hususların yanında </w:t>
      </w:r>
      <w:r w:rsidR="004F4354" w:rsidRPr="001A4B94">
        <w:rPr>
          <w:rFonts w:ascii="Times New Roman" w:hAnsi="Times New Roman"/>
          <w:iCs/>
          <w:sz w:val="23"/>
          <w:szCs w:val="23"/>
          <w:lang w:val="tr-TR"/>
        </w:rPr>
        <w:t>yenilenebilir enerji ka</w:t>
      </w:r>
      <w:r w:rsidR="00C1672D" w:rsidRPr="001A4B94">
        <w:rPr>
          <w:rFonts w:ascii="Times New Roman" w:hAnsi="Times New Roman"/>
          <w:iCs/>
          <w:sz w:val="23"/>
          <w:szCs w:val="23"/>
          <w:lang w:val="tr-TR"/>
        </w:rPr>
        <w:t>ynaklarının daha fazla kullanıl</w:t>
      </w:r>
      <w:r w:rsidR="004F4354" w:rsidRPr="001A4B94">
        <w:rPr>
          <w:rFonts w:ascii="Times New Roman" w:hAnsi="Times New Roman"/>
          <w:iCs/>
          <w:sz w:val="23"/>
          <w:szCs w:val="23"/>
          <w:lang w:val="tr-TR"/>
        </w:rPr>
        <w:t>m</w:t>
      </w:r>
      <w:r w:rsidR="00C1672D" w:rsidRPr="001A4B94">
        <w:rPr>
          <w:rFonts w:ascii="Times New Roman" w:hAnsi="Times New Roman"/>
          <w:iCs/>
          <w:sz w:val="23"/>
          <w:szCs w:val="23"/>
          <w:lang w:val="tr-TR"/>
        </w:rPr>
        <w:t>a</w:t>
      </w:r>
      <w:r w:rsidR="004F4354" w:rsidRPr="001A4B94">
        <w:rPr>
          <w:rFonts w:ascii="Times New Roman" w:hAnsi="Times New Roman"/>
          <w:iCs/>
          <w:sz w:val="23"/>
          <w:szCs w:val="23"/>
          <w:lang w:val="tr-TR"/>
        </w:rPr>
        <w:t>sı yoluyla) ve bölgesel iletim ve dağıtım şebekelerini geliştirmeyi amaçlamaktadır</w:t>
      </w:r>
      <w:r w:rsidR="00785F7F" w:rsidRPr="001A4B94">
        <w:rPr>
          <w:rFonts w:ascii="Times New Roman" w:hAnsi="Times New Roman"/>
          <w:sz w:val="23"/>
          <w:szCs w:val="23"/>
          <w:lang w:val="tr-TR"/>
        </w:rPr>
        <w:t xml:space="preserve">. </w:t>
      </w:r>
      <w:r w:rsidR="004F4354" w:rsidRPr="001A4B94">
        <w:rPr>
          <w:rFonts w:ascii="Times New Roman" w:hAnsi="Times New Roman"/>
          <w:sz w:val="23"/>
          <w:szCs w:val="23"/>
          <w:lang w:val="tr-TR"/>
        </w:rPr>
        <w:t>AB standartları ile uyumlaşma da kilit bir amaçtır</w:t>
      </w:r>
      <w:r w:rsidR="00785F7F" w:rsidRPr="001A4B94">
        <w:rPr>
          <w:rFonts w:ascii="Times New Roman" w:hAnsi="Times New Roman"/>
          <w:sz w:val="23"/>
          <w:szCs w:val="23"/>
          <w:lang w:val="tr-TR"/>
        </w:rPr>
        <w:t xml:space="preserve">. </w:t>
      </w:r>
      <w:r w:rsidR="0069584B" w:rsidRPr="001A4B94">
        <w:rPr>
          <w:rFonts w:ascii="Times New Roman" w:eastAsia="MS Mincho" w:hAnsi="Times New Roman"/>
          <w:sz w:val="23"/>
          <w:szCs w:val="23"/>
          <w:lang w:val="tr-TR"/>
        </w:rPr>
        <w:t>ASA</w:t>
      </w:r>
      <w:r w:rsidR="00594C4C" w:rsidRPr="001A4B94">
        <w:rPr>
          <w:rFonts w:ascii="Times New Roman" w:eastAsia="MS Mincho" w:hAnsi="Times New Roman"/>
          <w:sz w:val="23"/>
          <w:szCs w:val="23"/>
          <w:lang w:val="tr-TR"/>
        </w:rPr>
        <w:t xml:space="preserve"> çalışmaları</w:t>
      </w:r>
      <w:r w:rsidR="0069584B" w:rsidRPr="001A4B94">
        <w:rPr>
          <w:rFonts w:ascii="Times New Roman" w:eastAsia="MS Mincho" w:hAnsi="Times New Roman"/>
          <w:sz w:val="23"/>
          <w:szCs w:val="23"/>
          <w:lang w:val="tr-TR"/>
        </w:rPr>
        <w:t xml:space="preserve"> </w:t>
      </w:r>
      <w:r w:rsidR="003D6F12" w:rsidRPr="001A4B94">
        <w:rPr>
          <w:rFonts w:ascii="Times New Roman" w:eastAsia="MS Mincho" w:hAnsi="Times New Roman"/>
          <w:sz w:val="23"/>
          <w:szCs w:val="23"/>
          <w:lang w:val="tr-TR"/>
        </w:rPr>
        <w:t>–</w:t>
      </w:r>
      <w:r w:rsidR="00594C4C" w:rsidRPr="001A4B94">
        <w:rPr>
          <w:rFonts w:ascii="Times New Roman" w:eastAsia="MS Mincho" w:hAnsi="Times New Roman"/>
          <w:sz w:val="23"/>
          <w:szCs w:val="23"/>
          <w:lang w:val="tr-TR"/>
        </w:rPr>
        <w:t>AB</w:t>
      </w:r>
      <w:r w:rsidR="00FB0363" w:rsidRPr="001A4B94">
        <w:rPr>
          <w:rFonts w:ascii="Times New Roman" w:eastAsia="MS Mincho" w:hAnsi="Times New Roman"/>
          <w:sz w:val="23"/>
          <w:szCs w:val="23"/>
          <w:lang w:val="tr-TR"/>
        </w:rPr>
        <w:t>/</w:t>
      </w:r>
      <w:r w:rsidR="0069584B" w:rsidRPr="001A4B94">
        <w:rPr>
          <w:rFonts w:ascii="Times New Roman" w:eastAsia="MS Mincho" w:hAnsi="Times New Roman"/>
          <w:sz w:val="23"/>
          <w:szCs w:val="23"/>
          <w:lang w:val="tr-TR"/>
        </w:rPr>
        <w:t>IPA</w:t>
      </w:r>
      <w:r w:rsidR="001952B7" w:rsidRPr="001A4B94">
        <w:rPr>
          <w:rFonts w:ascii="Times New Roman" w:eastAsia="MS Mincho" w:hAnsi="Times New Roman"/>
          <w:sz w:val="23"/>
          <w:szCs w:val="23"/>
          <w:lang w:val="tr-TR"/>
        </w:rPr>
        <w:t xml:space="preserve">, ESMAP </w:t>
      </w:r>
      <w:r w:rsidR="00594C4C" w:rsidRPr="001A4B94">
        <w:rPr>
          <w:rFonts w:ascii="Times New Roman" w:eastAsia="MS Mincho" w:hAnsi="Times New Roman"/>
          <w:sz w:val="23"/>
          <w:szCs w:val="23"/>
          <w:lang w:val="tr-TR"/>
        </w:rPr>
        <w:t xml:space="preserve">ve </w:t>
      </w:r>
      <w:r w:rsidR="0061303E" w:rsidRPr="001A4B94">
        <w:rPr>
          <w:rFonts w:ascii="Times New Roman" w:eastAsia="MS Mincho" w:hAnsi="Times New Roman"/>
          <w:sz w:val="23"/>
          <w:szCs w:val="23"/>
          <w:lang w:val="tr-TR"/>
        </w:rPr>
        <w:t>CTF</w:t>
      </w:r>
      <w:r w:rsidR="0069584B" w:rsidRPr="001A4B94">
        <w:rPr>
          <w:rFonts w:ascii="Times New Roman" w:eastAsia="MS Mincho" w:hAnsi="Times New Roman"/>
          <w:sz w:val="23"/>
          <w:szCs w:val="23"/>
          <w:lang w:val="tr-TR"/>
        </w:rPr>
        <w:t xml:space="preserve"> </w:t>
      </w:r>
      <w:r w:rsidR="00594C4C" w:rsidRPr="001A4B94">
        <w:rPr>
          <w:rFonts w:ascii="Times New Roman" w:eastAsia="MS Mincho" w:hAnsi="Times New Roman"/>
          <w:sz w:val="23"/>
          <w:szCs w:val="23"/>
          <w:lang w:val="tr-TR"/>
        </w:rPr>
        <w:t>hibelerinin desteklediği, çatı üstü güneş enerjisi programları</w:t>
      </w:r>
      <w:r w:rsidR="003D6F12" w:rsidRPr="001A4B94">
        <w:rPr>
          <w:rFonts w:ascii="Times New Roman" w:eastAsia="MS Mincho" w:hAnsi="Times New Roman"/>
          <w:sz w:val="23"/>
          <w:szCs w:val="23"/>
          <w:lang w:val="tr-TR"/>
        </w:rPr>
        <w:t xml:space="preserve">, </w:t>
      </w:r>
      <w:r w:rsidR="00594C4C" w:rsidRPr="001A4B94">
        <w:rPr>
          <w:rFonts w:ascii="Times New Roman" w:eastAsia="MS Mincho" w:hAnsi="Times New Roman"/>
          <w:sz w:val="23"/>
          <w:szCs w:val="23"/>
          <w:lang w:val="tr-TR"/>
        </w:rPr>
        <w:t>üretim planlaması</w:t>
      </w:r>
      <w:r w:rsidR="003D6F12" w:rsidRPr="001A4B94">
        <w:rPr>
          <w:rFonts w:ascii="Times New Roman" w:eastAsia="MS Mincho" w:hAnsi="Times New Roman"/>
          <w:sz w:val="23"/>
          <w:szCs w:val="23"/>
          <w:lang w:val="tr-TR"/>
        </w:rPr>
        <w:t xml:space="preserve">, </w:t>
      </w:r>
      <w:r w:rsidR="00010F9B" w:rsidRPr="001A4B94">
        <w:rPr>
          <w:rFonts w:ascii="Times New Roman" w:eastAsia="MS Mincho" w:hAnsi="Times New Roman"/>
          <w:sz w:val="23"/>
          <w:szCs w:val="23"/>
          <w:lang w:val="tr-TR"/>
        </w:rPr>
        <w:t>ga</w:t>
      </w:r>
      <w:r w:rsidR="00594C4C" w:rsidRPr="001A4B94">
        <w:rPr>
          <w:rFonts w:ascii="Times New Roman" w:eastAsia="MS Mincho" w:hAnsi="Times New Roman"/>
          <w:sz w:val="23"/>
          <w:szCs w:val="23"/>
          <w:lang w:val="tr-TR"/>
        </w:rPr>
        <w:t>z</w:t>
      </w:r>
      <w:r w:rsidR="00010F9B" w:rsidRPr="001A4B94">
        <w:rPr>
          <w:rFonts w:ascii="Times New Roman" w:eastAsia="MS Mincho" w:hAnsi="Times New Roman"/>
          <w:sz w:val="23"/>
          <w:szCs w:val="23"/>
          <w:lang w:val="tr-TR"/>
        </w:rPr>
        <w:t xml:space="preserve"> </w:t>
      </w:r>
      <w:r w:rsidR="00594C4C" w:rsidRPr="001A4B94">
        <w:rPr>
          <w:rFonts w:ascii="Times New Roman" w:eastAsia="MS Mincho" w:hAnsi="Times New Roman"/>
          <w:sz w:val="23"/>
          <w:szCs w:val="23"/>
          <w:lang w:val="tr-TR"/>
        </w:rPr>
        <w:t>sektörünün yeniden yapılandırılması</w:t>
      </w:r>
      <w:r w:rsidR="00010F9B" w:rsidRPr="001A4B94">
        <w:rPr>
          <w:rFonts w:ascii="Times New Roman" w:eastAsia="MS Mincho" w:hAnsi="Times New Roman"/>
          <w:sz w:val="23"/>
          <w:szCs w:val="23"/>
          <w:lang w:val="tr-TR"/>
        </w:rPr>
        <w:t xml:space="preserve">, </w:t>
      </w:r>
      <w:r w:rsidR="00C1672D" w:rsidRPr="001A4B94">
        <w:rPr>
          <w:rFonts w:ascii="Times New Roman" w:eastAsia="MS Mincho" w:hAnsi="Times New Roman"/>
          <w:sz w:val="23"/>
          <w:szCs w:val="23"/>
          <w:lang w:val="tr-TR"/>
        </w:rPr>
        <w:t>akıllı şebeke uy</w:t>
      </w:r>
      <w:r w:rsidR="00594C4C" w:rsidRPr="001A4B94">
        <w:rPr>
          <w:rFonts w:ascii="Times New Roman" w:eastAsia="MS Mincho" w:hAnsi="Times New Roman"/>
          <w:sz w:val="23"/>
          <w:szCs w:val="23"/>
          <w:lang w:val="tr-TR"/>
        </w:rPr>
        <w:t>g</w:t>
      </w:r>
      <w:r w:rsidR="00C1672D" w:rsidRPr="001A4B94">
        <w:rPr>
          <w:rFonts w:ascii="Times New Roman" w:eastAsia="MS Mincho" w:hAnsi="Times New Roman"/>
          <w:sz w:val="23"/>
          <w:szCs w:val="23"/>
          <w:lang w:val="tr-TR"/>
        </w:rPr>
        <w:t>u</w:t>
      </w:r>
      <w:r w:rsidR="00594C4C" w:rsidRPr="001A4B94">
        <w:rPr>
          <w:rFonts w:ascii="Times New Roman" w:eastAsia="MS Mincho" w:hAnsi="Times New Roman"/>
          <w:sz w:val="23"/>
          <w:szCs w:val="23"/>
          <w:lang w:val="tr-TR"/>
        </w:rPr>
        <w:t>lamaları ve dağıtım şirketleri hakkındak</w:t>
      </w:r>
      <w:r w:rsidR="00C1672D" w:rsidRPr="001A4B94">
        <w:rPr>
          <w:rFonts w:ascii="Times New Roman" w:eastAsia="MS Mincho" w:hAnsi="Times New Roman"/>
          <w:sz w:val="23"/>
          <w:szCs w:val="23"/>
          <w:lang w:val="tr-TR"/>
        </w:rPr>
        <w:t>i</w:t>
      </w:r>
      <w:r w:rsidR="00594C4C" w:rsidRPr="001A4B94">
        <w:rPr>
          <w:rFonts w:ascii="Times New Roman" w:eastAsia="MS Mincho" w:hAnsi="Times New Roman"/>
          <w:sz w:val="23"/>
          <w:szCs w:val="23"/>
          <w:lang w:val="tr-TR"/>
        </w:rPr>
        <w:t xml:space="preserve"> çalışmalar</w:t>
      </w:r>
      <w:r w:rsidR="003D6F12" w:rsidRPr="001A4B94">
        <w:rPr>
          <w:rFonts w:ascii="Times New Roman" w:eastAsia="MS Mincho" w:hAnsi="Times New Roman"/>
          <w:sz w:val="23"/>
          <w:szCs w:val="23"/>
          <w:lang w:val="tr-TR"/>
        </w:rPr>
        <w:t>–</w:t>
      </w:r>
      <w:r w:rsidR="0069584B" w:rsidRPr="001A4B94">
        <w:rPr>
          <w:rFonts w:ascii="Times New Roman" w:eastAsia="MS Mincho" w:hAnsi="Times New Roman"/>
          <w:sz w:val="23"/>
          <w:szCs w:val="23"/>
          <w:lang w:val="tr-TR"/>
        </w:rPr>
        <w:t xml:space="preserve"> </w:t>
      </w:r>
      <w:r w:rsidR="00594C4C" w:rsidRPr="001A4B94">
        <w:rPr>
          <w:rFonts w:ascii="Times New Roman" w:eastAsia="MS Mincho" w:hAnsi="Times New Roman"/>
          <w:sz w:val="23"/>
          <w:szCs w:val="23"/>
          <w:lang w:val="tr-TR"/>
        </w:rPr>
        <w:t>hükümetin tartıştığı sektör sorunl</w:t>
      </w:r>
      <w:r w:rsidR="00C1672D" w:rsidRPr="001A4B94">
        <w:rPr>
          <w:rFonts w:ascii="Times New Roman" w:eastAsia="MS Mincho" w:hAnsi="Times New Roman"/>
          <w:sz w:val="23"/>
          <w:szCs w:val="23"/>
          <w:lang w:val="tr-TR"/>
        </w:rPr>
        <w:t>a</w:t>
      </w:r>
      <w:r w:rsidR="00594C4C" w:rsidRPr="001A4B94">
        <w:rPr>
          <w:rFonts w:ascii="Times New Roman" w:eastAsia="MS Mincho" w:hAnsi="Times New Roman"/>
          <w:sz w:val="23"/>
          <w:szCs w:val="23"/>
          <w:lang w:val="tr-TR"/>
        </w:rPr>
        <w:t>rı hakkında politika danışmanlığı ve “tam zamanı</w:t>
      </w:r>
      <w:r w:rsidR="00C1672D" w:rsidRPr="001A4B94">
        <w:rPr>
          <w:rFonts w:ascii="Times New Roman" w:eastAsia="MS Mincho" w:hAnsi="Times New Roman"/>
          <w:sz w:val="23"/>
          <w:szCs w:val="23"/>
          <w:lang w:val="tr-TR"/>
        </w:rPr>
        <w:t>n</w:t>
      </w:r>
      <w:r w:rsidR="00594C4C" w:rsidRPr="001A4B94">
        <w:rPr>
          <w:rFonts w:ascii="Times New Roman" w:eastAsia="MS Mincho" w:hAnsi="Times New Roman"/>
          <w:sz w:val="23"/>
          <w:szCs w:val="23"/>
          <w:lang w:val="tr-TR"/>
        </w:rPr>
        <w:t>da” analizler sunmaya devam edecektir.</w:t>
      </w:r>
      <w:r w:rsidR="0069584B" w:rsidRPr="001A4B94">
        <w:rPr>
          <w:rFonts w:ascii="Times New Roman" w:eastAsia="MS Mincho" w:hAnsi="Times New Roman"/>
          <w:sz w:val="23"/>
          <w:szCs w:val="23"/>
          <w:lang w:val="tr-TR"/>
        </w:rPr>
        <w:t xml:space="preserve">  IBRD, IFC</w:t>
      </w:r>
      <w:r w:rsidR="00594C4C" w:rsidRPr="001A4B94">
        <w:rPr>
          <w:rFonts w:ascii="Times New Roman" w:eastAsia="MS Mincho" w:hAnsi="Times New Roman"/>
          <w:sz w:val="23"/>
          <w:szCs w:val="23"/>
          <w:lang w:val="tr-TR"/>
        </w:rPr>
        <w:t xml:space="preserve"> ve </w:t>
      </w:r>
      <w:r w:rsidR="0069584B" w:rsidRPr="001A4B94">
        <w:rPr>
          <w:rFonts w:ascii="Times New Roman" w:eastAsia="MS Mincho" w:hAnsi="Times New Roman"/>
          <w:sz w:val="23"/>
          <w:szCs w:val="23"/>
          <w:lang w:val="tr-TR"/>
        </w:rPr>
        <w:t xml:space="preserve">MIGA </w:t>
      </w:r>
      <w:r w:rsidR="00594C4C" w:rsidRPr="001A4B94">
        <w:rPr>
          <w:rFonts w:ascii="Times New Roman" w:eastAsia="MS Mincho" w:hAnsi="Times New Roman"/>
          <w:sz w:val="23"/>
          <w:szCs w:val="23"/>
          <w:lang w:val="tr-TR"/>
        </w:rPr>
        <w:t xml:space="preserve">yakın bir şekilde birlikte çalışarak </w:t>
      </w:r>
      <w:r w:rsidR="0091281D" w:rsidRPr="001A4B94">
        <w:rPr>
          <w:rFonts w:ascii="Times New Roman" w:eastAsia="MS Mincho" w:hAnsi="Times New Roman"/>
          <w:sz w:val="23"/>
          <w:szCs w:val="23"/>
          <w:lang w:val="tr-TR"/>
        </w:rPr>
        <w:t xml:space="preserve">Türkiye’nin özel sektör </w:t>
      </w:r>
      <w:r w:rsidR="00C1672D" w:rsidRPr="001A4B94">
        <w:rPr>
          <w:rFonts w:ascii="Times New Roman" w:eastAsia="MS Mincho" w:hAnsi="Times New Roman"/>
          <w:sz w:val="23"/>
          <w:szCs w:val="23"/>
          <w:lang w:val="tr-TR"/>
        </w:rPr>
        <w:t>enerji yatırımlarını daha fazla teşvik etmek</w:t>
      </w:r>
      <w:r w:rsidR="00594C4C" w:rsidRPr="001A4B94">
        <w:rPr>
          <w:rFonts w:ascii="Times New Roman" w:eastAsia="MS Mincho" w:hAnsi="Times New Roman"/>
          <w:sz w:val="23"/>
          <w:szCs w:val="23"/>
          <w:lang w:val="tr-TR"/>
        </w:rPr>
        <w:t xml:space="preserve">, </w:t>
      </w:r>
      <w:r w:rsidR="00C1672D" w:rsidRPr="001A4B94">
        <w:rPr>
          <w:rFonts w:ascii="Times New Roman" w:eastAsia="MS Mincho" w:hAnsi="Times New Roman"/>
          <w:sz w:val="23"/>
          <w:szCs w:val="23"/>
          <w:lang w:val="tr-TR"/>
        </w:rPr>
        <w:t xml:space="preserve">enerji sektörü için düzenleyici ortamı güçlendirmek ve yenilenebilir enerji için uzun vadeli finansmanı arttırmak </w:t>
      </w:r>
      <w:r w:rsidR="00594C4C" w:rsidRPr="001A4B94">
        <w:rPr>
          <w:rFonts w:ascii="Times New Roman" w:eastAsia="MS Mincho" w:hAnsi="Times New Roman"/>
          <w:sz w:val="23"/>
          <w:szCs w:val="23"/>
          <w:lang w:val="tr-TR"/>
        </w:rPr>
        <w:t>için KÖİ politika çerçevesini geliştirmesine yardımcı olacaktır</w:t>
      </w:r>
      <w:r w:rsidR="00023D70" w:rsidRPr="001A4B94">
        <w:rPr>
          <w:rStyle w:val="DipnotBavurusu"/>
          <w:rFonts w:ascii="Times New Roman" w:eastAsia="MS Mincho" w:hAnsi="Times New Roman"/>
          <w:sz w:val="23"/>
          <w:szCs w:val="23"/>
          <w:lang w:val="tr-TR"/>
        </w:rPr>
        <w:footnoteReference w:id="6"/>
      </w:r>
      <w:r w:rsidR="0069584B" w:rsidRPr="001A4B94">
        <w:rPr>
          <w:rFonts w:ascii="Times New Roman" w:eastAsia="MS Mincho" w:hAnsi="Times New Roman"/>
          <w:sz w:val="23"/>
          <w:szCs w:val="23"/>
          <w:lang w:val="tr-TR"/>
        </w:rPr>
        <w:t xml:space="preserve">. ASA </w:t>
      </w:r>
      <w:r w:rsidR="00F873DB" w:rsidRPr="001A4B94">
        <w:rPr>
          <w:rFonts w:ascii="Times New Roman" w:eastAsia="MS Mincho" w:hAnsi="Times New Roman"/>
          <w:sz w:val="23"/>
          <w:szCs w:val="23"/>
          <w:lang w:val="tr-TR"/>
        </w:rPr>
        <w:t>çalışmaları aynı zamanda yenilenebilir enerji üretimine ve iletimine yönelik yatırımları ve ilgili iklim değişikliği faydalarını canlandırabilecek gelecekteki DPL’lerin tasarımına da katkıda bulunacaktır</w:t>
      </w:r>
      <w:r w:rsidR="0069584B" w:rsidRPr="001A4B94">
        <w:rPr>
          <w:rFonts w:ascii="Times New Roman" w:eastAsia="MS Mincho" w:hAnsi="Times New Roman"/>
          <w:sz w:val="23"/>
          <w:szCs w:val="23"/>
          <w:lang w:val="tr-TR"/>
        </w:rPr>
        <w:t>.</w:t>
      </w:r>
    </w:p>
    <w:p w14:paraId="3F396398" w14:textId="57C6D18F" w:rsidR="00BC5E0D" w:rsidRPr="001A4B94" w:rsidRDefault="002E2B78" w:rsidP="009B44E8">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eastAsia="MS Mincho" w:hAnsi="Times New Roman"/>
          <w:b/>
          <w:sz w:val="23"/>
          <w:szCs w:val="23"/>
          <w:lang w:val="tr-TR"/>
        </w:rPr>
        <w:lastRenderedPageBreak/>
        <w:t xml:space="preserve">IBRD </w:t>
      </w:r>
      <w:r w:rsidR="00327F16" w:rsidRPr="001A4B94">
        <w:rPr>
          <w:rFonts w:ascii="Times New Roman" w:eastAsia="MS Mincho" w:hAnsi="Times New Roman"/>
          <w:b/>
          <w:sz w:val="23"/>
          <w:szCs w:val="23"/>
          <w:lang w:val="tr-TR"/>
        </w:rPr>
        <w:t>yatırım portföyü, yenilenebilir enerji kaynaklarının (rüzgar, güneş, jeoter</w:t>
      </w:r>
      <w:r w:rsidR="009A2C3B" w:rsidRPr="001A4B94">
        <w:rPr>
          <w:rFonts w:ascii="Times New Roman" w:eastAsia="MS Mincho" w:hAnsi="Times New Roman"/>
          <w:b/>
          <w:sz w:val="23"/>
          <w:szCs w:val="23"/>
          <w:lang w:val="tr-TR"/>
        </w:rPr>
        <w:t>m</w:t>
      </w:r>
      <w:r w:rsidR="00327F16" w:rsidRPr="001A4B94">
        <w:rPr>
          <w:rFonts w:ascii="Times New Roman" w:eastAsia="MS Mincho" w:hAnsi="Times New Roman"/>
          <w:b/>
          <w:sz w:val="23"/>
          <w:szCs w:val="23"/>
          <w:lang w:val="tr-TR"/>
        </w:rPr>
        <w:t>al) daha f</w:t>
      </w:r>
      <w:r w:rsidR="009A2C3B" w:rsidRPr="001A4B94">
        <w:rPr>
          <w:rFonts w:ascii="Times New Roman" w:eastAsia="MS Mincho" w:hAnsi="Times New Roman"/>
          <w:b/>
          <w:sz w:val="23"/>
          <w:szCs w:val="23"/>
          <w:lang w:val="tr-TR"/>
        </w:rPr>
        <w:t>a</w:t>
      </w:r>
      <w:r w:rsidR="00327F16" w:rsidRPr="001A4B94">
        <w:rPr>
          <w:rFonts w:ascii="Times New Roman" w:eastAsia="MS Mincho" w:hAnsi="Times New Roman"/>
          <w:b/>
          <w:sz w:val="23"/>
          <w:szCs w:val="23"/>
          <w:lang w:val="tr-TR"/>
        </w:rPr>
        <w:t>zla kullanılması gibi yollarla  Türkiye’nin enerji güvenliğinin ve bi</w:t>
      </w:r>
      <w:r w:rsidR="009A2C3B" w:rsidRPr="001A4B94">
        <w:rPr>
          <w:rFonts w:ascii="Times New Roman" w:eastAsia="MS Mincho" w:hAnsi="Times New Roman"/>
          <w:b/>
          <w:sz w:val="23"/>
          <w:szCs w:val="23"/>
          <w:lang w:val="tr-TR"/>
        </w:rPr>
        <w:t>leşiminin iyileştirilmesi üzeri</w:t>
      </w:r>
      <w:r w:rsidR="00327F16" w:rsidRPr="001A4B94">
        <w:rPr>
          <w:rFonts w:ascii="Times New Roman" w:eastAsia="MS Mincho" w:hAnsi="Times New Roman"/>
          <w:b/>
          <w:sz w:val="23"/>
          <w:szCs w:val="23"/>
          <w:lang w:val="tr-TR"/>
        </w:rPr>
        <w:t>n</w:t>
      </w:r>
      <w:r w:rsidR="009A2C3B" w:rsidRPr="001A4B94">
        <w:rPr>
          <w:rFonts w:ascii="Times New Roman" w:eastAsia="MS Mincho" w:hAnsi="Times New Roman"/>
          <w:b/>
          <w:sz w:val="23"/>
          <w:szCs w:val="23"/>
          <w:lang w:val="tr-TR"/>
        </w:rPr>
        <w:t>d</w:t>
      </w:r>
      <w:r w:rsidR="00327F16" w:rsidRPr="001A4B94">
        <w:rPr>
          <w:rFonts w:ascii="Times New Roman" w:eastAsia="MS Mincho" w:hAnsi="Times New Roman"/>
          <w:b/>
          <w:sz w:val="23"/>
          <w:szCs w:val="23"/>
          <w:lang w:val="tr-TR"/>
        </w:rPr>
        <w:t>e odaklanmaya devam edecektir</w:t>
      </w:r>
      <w:r w:rsidR="00740208" w:rsidRPr="001A4B94">
        <w:rPr>
          <w:rFonts w:ascii="Times New Roman" w:eastAsia="MS Mincho" w:hAnsi="Times New Roman"/>
          <w:sz w:val="23"/>
          <w:szCs w:val="23"/>
          <w:lang w:val="tr-TR"/>
        </w:rPr>
        <w:t>.  CPF program</w:t>
      </w:r>
      <w:r w:rsidR="00327F16" w:rsidRPr="001A4B94">
        <w:rPr>
          <w:rFonts w:ascii="Times New Roman" w:eastAsia="MS Mincho" w:hAnsi="Times New Roman"/>
          <w:sz w:val="23"/>
          <w:szCs w:val="23"/>
          <w:lang w:val="tr-TR"/>
        </w:rPr>
        <w:t>ı</w:t>
      </w:r>
      <w:r w:rsidR="00740208" w:rsidRPr="001A4B94">
        <w:rPr>
          <w:rFonts w:ascii="Times New Roman" w:eastAsia="MS Mincho" w:hAnsi="Times New Roman"/>
          <w:sz w:val="23"/>
          <w:szCs w:val="23"/>
          <w:lang w:val="tr-TR"/>
        </w:rPr>
        <w:t xml:space="preserve"> </w:t>
      </w:r>
      <w:r w:rsidR="00327F16" w:rsidRPr="001A4B94">
        <w:rPr>
          <w:rFonts w:ascii="Times New Roman" w:eastAsia="MS Mincho" w:hAnsi="Times New Roman"/>
          <w:sz w:val="23"/>
          <w:szCs w:val="23"/>
          <w:lang w:val="tr-TR"/>
        </w:rPr>
        <w:t xml:space="preserve">aşağıdakileri içermektedir: </w:t>
      </w:r>
      <w:r w:rsidRPr="001A4B94">
        <w:rPr>
          <w:rFonts w:ascii="Times New Roman" w:eastAsia="MS Mincho" w:hAnsi="Times New Roman"/>
          <w:sz w:val="23"/>
          <w:szCs w:val="23"/>
          <w:lang w:val="tr-TR"/>
        </w:rPr>
        <w:t xml:space="preserve">(i) </w:t>
      </w:r>
      <w:r w:rsidR="00327F16" w:rsidRPr="001A4B94">
        <w:rPr>
          <w:rFonts w:ascii="Times New Roman" w:eastAsia="MS Mincho" w:hAnsi="Times New Roman"/>
          <w:sz w:val="23"/>
          <w:szCs w:val="23"/>
          <w:lang w:val="tr-TR"/>
        </w:rPr>
        <w:t>devam etmekte olan Yenilenebilir Enerji Entegrasyon, Özel Sektör Yenileneb</w:t>
      </w:r>
      <w:r w:rsidR="009A2C3B" w:rsidRPr="001A4B94">
        <w:rPr>
          <w:rFonts w:ascii="Times New Roman" w:eastAsia="MS Mincho" w:hAnsi="Times New Roman"/>
          <w:sz w:val="23"/>
          <w:szCs w:val="23"/>
          <w:lang w:val="tr-TR"/>
        </w:rPr>
        <w:t>i</w:t>
      </w:r>
      <w:r w:rsidR="00327F16" w:rsidRPr="001A4B94">
        <w:rPr>
          <w:rFonts w:ascii="Times New Roman" w:eastAsia="MS Mincho" w:hAnsi="Times New Roman"/>
          <w:sz w:val="23"/>
          <w:szCs w:val="23"/>
          <w:lang w:val="tr-TR"/>
        </w:rPr>
        <w:t>lir Enerji ve Enerji Verimliliği, Jeotermal Geliştirme ve AB/IPA Enerji Sektörü Teknik Yardım Projeleri yoluyla ye</w:t>
      </w:r>
      <w:r w:rsidR="009A2C3B" w:rsidRPr="001A4B94">
        <w:rPr>
          <w:rFonts w:ascii="Times New Roman" w:eastAsia="MS Mincho" w:hAnsi="Times New Roman"/>
          <w:sz w:val="23"/>
          <w:szCs w:val="23"/>
          <w:lang w:val="tr-TR"/>
        </w:rPr>
        <w:t>nilenebilir enerji kaynaklarınd</w:t>
      </w:r>
      <w:r w:rsidR="00327F16" w:rsidRPr="001A4B94">
        <w:rPr>
          <w:rFonts w:ascii="Times New Roman" w:eastAsia="MS Mincho" w:hAnsi="Times New Roman"/>
          <w:sz w:val="23"/>
          <w:szCs w:val="23"/>
          <w:lang w:val="tr-TR"/>
        </w:rPr>
        <w:t>a</w:t>
      </w:r>
      <w:r w:rsidR="009A2C3B" w:rsidRPr="001A4B94">
        <w:rPr>
          <w:rFonts w:ascii="Times New Roman" w:eastAsia="MS Mincho" w:hAnsi="Times New Roman"/>
          <w:sz w:val="23"/>
          <w:szCs w:val="23"/>
          <w:lang w:val="tr-TR"/>
        </w:rPr>
        <w:t>n</w:t>
      </w:r>
      <w:r w:rsidR="00327F16" w:rsidRPr="001A4B94">
        <w:rPr>
          <w:rFonts w:ascii="Times New Roman" w:eastAsia="MS Mincho" w:hAnsi="Times New Roman"/>
          <w:sz w:val="23"/>
          <w:szCs w:val="23"/>
          <w:lang w:val="tr-TR"/>
        </w:rPr>
        <w:t xml:space="preserve"> üretilen elektriğin</w:t>
      </w:r>
      <w:r w:rsidR="0002529D" w:rsidRPr="001A4B94">
        <w:rPr>
          <w:rFonts w:ascii="Times New Roman" w:eastAsia="MS Mincho" w:hAnsi="Times New Roman"/>
          <w:sz w:val="23"/>
          <w:szCs w:val="23"/>
          <w:lang w:val="tr-TR"/>
        </w:rPr>
        <w:t xml:space="preserve"> payının arttırılması ve şebekey</w:t>
      </w:r>
      <w:r w:rsidR="00327F16" w:rsidRPr="001A4B94">
        <w:rPr>
          <w:rFonts w:ascii="Times New Roman" w:eastAsia="MS Mincho" w:hAnsi="Times New Roman"/>
          <w:sz w:val="23"/>
          <w:szCs w:val="23"/>
          <w:lang w:val="tr-TR"/>
        </w:rPr>
        <w:t>e entegrasyonunun iyileştirilmesi</w:t>
      </w:r>
      <w:r w:rsidRPr="001A4B94">
        <w:rPr>
          <w:rFonts w:ascii="Times New Roman" w:eastAsia="MS Mincho" w:hAnsi="Times New Roman"/>
          <w:sz w:val="23"/>
          <w:szCs w:val="23"/>
          <w:lang w:val="tr-TR"/>
        </w:rPr>
        <w:t>;</w:t>
      </w:r>
      <w:r w:rsidR="00785F7F" w:rsidRPr="001A4B94">
        <w:rPr>
          <w:rFonts w:ascii="Times New Roman" w:eastAsia="MS Mincho" w:hAnsi="Times New Roman"/>
          <w:sz w:val="23"/>
          <w:szCs w:val="23"/>
          <w:lang w:val="tr-TR"/>
        </w:rPr>
        <w:t xml:space="preserve"> (ii) </w:t>
      </w:r>
      <w:r w:rsidR="0002529D" w:rsidRPr="001A4B94">
        <w:rPr>
          <w:rFonts w:ascii="Times New Roman" w:eastAsia="MS Mincho" w:hAnsi="Times New Roman"/>
          <w:sz w:val="23"/>
          <w:szCs w:val="23"/>
          <w:lang w:val="tr-TR"/>
        </w:rPr>
        <w:t xml:space="preserve">devam etmekte olan Gaz Sektörü Geliştirme Projesi ve önerilen Gaz </w:t>
      </w:r>
      <w:r w:rsidR="00A021AE" w:rsidRPr="001A4B94">
        <w:rPr>
          <w:rFonts w:ascii="Times New Roman" w:eastAsia="MS Mincho" w:hAnsi="Times New Roman"/>
          <w:sz w:val="23"/>
          <w:szCs w:val="23"/>
          <w:lang w:val="tr-TR"/>
        </w:rPr>
        <w:t>D</w:t>
      </w:r>
      <w:r w:rsidR="0002529D" w:rsidRPr="001A4B94">
        <w:rPr>
          <w:rFonts w:ascii="Times New Roman" w:eastAsia="MS Mincho" w:hAnsi="Times New Roman"/>
          <w:sz w:val="23"/>
          <w:szCs w:val="23"/>
          <w:lang w:val="tr-TR"/>
        </w:rPr>
        <w:t>epolama Kapasit</w:t>
      </w:r>
      <w:r w:rsidR="009A2C3B" w:rsidRPr="001A4B94">
        <w:rPr>
          <w:rFonts w:ascii="Times New Roman" w:eastAsia="MS Mincho" w:hAnsi="Times New Roman"/>
          <w:sz w:val="23"/>
          <w:szCs w:val="23"/>
          <w:lang w:val="tr-TR"/>
        </w:rPr>
        <w:t>e</w:t>
      </w:r>
      <w:r w:rsidR="0002529D" w:rsidRPr="001A4B94">
        <w:rPr>
          <w:rFonts w:ascii="Times New Roman" w:eastAsia="MS Mincho" w:hAnsi="Times New Roman"/>
          <w:sz w:val="23"/>
          <w:szCs w:val="23"/>
          <w:lang w:val="tr-TR"/>
        </w:rPr>
        <w:t>sinin Arttırılması Projesi yoluyla enerji güvenliği altyapısının geliştirilmesi</w:t>
      </w:r>
      <w:r w:rsidRPr="001A4B94">
        <w:rPr>
          <w:rFonts w:ascii="Times New Roman" w:eastAsia="MS Mincho" w:hAnsi="Times New Roman"/>
          <w:sz w:val="23"/>
          <w:szCs w:val="23"/>
          <w:lang w:val="tr-TR"/>
        </w:rPr>
        <w:t>;</w:t>
      </w:r>
      <w:r w:rsidR="00785F7F" w:rsidRPr="001A4B94">
        <w:rPr>
          <w:rFonts w:ascii="Times New Roman" w:eastAsia="MS Mincho" w:hAnsi="Times New Roman"/>
          <w:sz w:val="23"/>
          <w:szCs w:val="23"/>
          <w:lang w:val="tr-TR"/>
        </w:rPr>
        <w:t xml:space="preserve"> </w:t>
      </w:r>
      <w:r w:rsidR="001952B7" w:rsidRPr="001A4B94">
        <w:rPr>
          <w:rFonts w:ascii="Times New Roman" w:eastAsia="MS Mincho" w:hAnsi="Times New Roman"/>
          <w:sz w:val="23"/>
          <w:szCs w:val="23"/>
          <w:lang w:val="tr-TR"/>
        </w:rPr>
        <w:t xml:space="preserve">(iii) </w:t>
      </w:r>
      <w:r w:rsidR="009A2C3B" w:rsidRPr="001A4B94">
        <w:rPr>
          <w:rFonts w:ascii="Times New Roman" w:eastAsia="MS Mincho" w:hAnsi="Times New Roman"/>
          <w:sz w:val="23"/>
          <w:szCs w:val="23"/>
          <w:lang w:val="tr-TR"/>
        </w:rPr>
        <w:t>AB/IPA Enerji</w:t>
      </w:r>
      <w:r w:rsidR="0002529D" w:rsidRPr="001A4B94">
        <w:rPr>
          <w:rFonts w:ascii="Times New Roman" w:eastAsia="MS Mincho" w:hAnsi="Times New Roman"/>
          <w:sz w:val="23"/>
          <w:szCs w:val="23"/>
          <w:lang w:val="tr-TR"/>
        </w:rPr>
        <w:t xml:space="preserve"> </w:t>
      </w:r>
      <w:r w:rsidR="009A2C3B" w:rsidRPr="001A4B94">
        <w:rPr>
          <w:rFonts w:ascii="Times New Roman" w:eastAsia="MS Mincho" w:hAnsi="Times New Roman"/>
          <w:sz w:val="23"/>
          <w:szCs w:val="23"/>
          <w:lang w:val="tr-TR"/>
        </w:rPr>
        <w:t xml:space="preserve">Sektörü Teknik Yardım Projesi </w:t>
      </w:r>
      <w:r w:rsidR="0002529D" w:rsidRPr="001A4B94">
        <w:rPr>
          <w:rFonts w:ascii="Times New Roman" w:eastAsia="MS Mincho" w:hAnsi="Times New Roman"/>
          <w:sz w:val="23"/>
          <w:szCs w:val="23"/>
          <w:lang w:val="tr-TR"/>
        </w:rPr>
        <w:t>yoluyla enerji ticaretinin geliştirilmesi ve BOTAŞ’ın yeniden yapılandırılması</w:t>
      </w:r>
      <w:r w:rsidR="001952B7" w:rsidRPr="001A4B94">
        <w:rPr>
          <w:rFonts w:ascii="Times New Roman" w:eastAsia="MS Mincho" w:hAnsi="Times New Roman"/>
          <w:sz w:val="23"/>
          <w:szCs w:val="23"/>
          <w:lang w:val="tr-TR"/>
        </w:rPr>
        <w:t xml:space="preserve">; </w:t>
      </w:r>
      <w:r w:rsidR="00785F7F" w:rsidRPr="001A4B94">
        <w:rPr>
          <w:rFonts w:ascii="Times New Roman" w:eastAsia="MS Mincho" w:hAnsi="Times New Roman"/>
          <w:sz w:val="23"/>
          <w:szCs w:val="23"/>
          <w:lang w:val="tr-TR"/>
        </w:rPr>
        <w:t>(iv</w:t>
      </w:r>
      <w:r w:rsidR="00661530" w:rsidRPr="001A4B94">
        <w:rPr>
          <w:rFonts w:ascii="Times New Roman" w:eastAsia="MS Mincho" w:hAnsi="Times New Roman"/>
          <w:sz w:val="23"/>
          <w:szCs w:val="23"/>
          <w:lang w:val="tr-TR"/>
        </w:rPr>
        <w:t xml:space="preserve">) </w:t>
      </w:r>
      <w:r w:rsidR="00E70964" w:rsidRPr="001A4B94">
        <w:rPr>
          <w:rFonts w:ascii="Times New Roman" w:eastAsia="MS Mincho" w:hAnsi="Times New Roman"/>
          <w:sz w:val="23"/>
          <w:szCs w:val="23"/>
          <w:lang w:val="tr-TR"/>
        </w:rPr>
        <w:t xml:space="preserve">TANAP Projesi </w:t>
      </w:r>
      <w:r w:rsidR="00DF513F" w:rsidRPr="001A4B94">
        <w:rPr>
          <w:rFonts w:ascii="Times New Roman" w:eastAsia="MS Mincho" w:hAnsi="Times New Roman"/>
          <w:sz w:val="23"/>
          <w:szCs w:val="23"/>
          <w:lang w:val="tr-TR"/>
        </w:rPr>
        <w:t xml:space="preserve">(Türkiye’nin BOTAŞ şirketine ve Azerbaycan’ın Güney Gaz Koridoruna (SGC) sağlanan 800 milyon ABD$ tutarındaki IBRD kredisi Asya Altyapı Yatırım Bankası’ndan (AIIB) 600 milyon ABD$ tutarında bir finansmanı harekete geçirmiştir </w:t>
      </w:r>
      <w:r w:rsidR="00F54F63" w:rsidRPr="001A4B94">
        <w:rPr>
          <w:rFonts w:ascii="Times New Roman" w:eastAsia="MS Mincho" w:hAnsi="Times New Roman"/>
          <w:sz w:val="23"/>
          <w:szCs w:val="23"/>
          <w:lang w:val="tr-TR"/>
        </w:rPr>
        <w:t>ve 1,2 milyar ABD$’na kadar ulaşabilecek bir MIGA garantisini harekete geçirmesi beklenmektedir)</w:t>
      </w:r>
      <w:r w:rsidR="00DF513F" w:rsidRPr="001A4B94">
        <w:rPr>
          <w:rFonts w:ascii="Times New Roman" w:eastAsia="MS Mincho" w:hAnsi="Times New Roman"/>
          <w:sz w:val="23"/>
          <w:szCs w:val="23"/>
          <w:lang w:val="tr-TR"/>
        </w:rPr>
        <w:t xml:space="preserve"> </w:t>
      </w:r>
      <w:r w:rsidR="00E70964" w:rsidRPr="001A4B94">
        <w:rPr>
          <w:rFonts w:ascii="Times New Roman" w:eastAsia="MS Mincho" w:hAnsi="Times New Roman"/>
          <w:sz w:val="23"/>
          <w:szCs w:val="23"/>
          <w:lang w:val="tr-TR"/>
        </w:rPr>
        <w:t xml:space="preserve">yoluyla </w:t>
      </w:r>
      <w:r w:rsidR="00DF513F" w:rsidRPr="001A4B94">
        <w:rPr>
          <w:rFonts w:ascii="Times New Roman" w:eastAsia="MS Mincho" w:hAnsi="Times New Roman"/>
          <w:sz w:val="23"/>
          <w:szCs w:val="23"/>
          <w:lang w:val="tr-TR"/>
        </w:rPr>
        <w:t xml:space="preserve">Azerbaycan’dan gaz ithalatı dahil olmak üzere Türkiye’nin </w:t>
      </w:r>
      <w:r w:rsidR="00C21493" w:rsidRPr="001A4B94">
        <w:rPr>
          <w:rFonts w:ascii="Times New Roman" w:eastAsia="MS Mincho" w:hAnsi="Times New Roman"/>
          <w:sz w:val="23"/>
          <w:szCs w:val="23"/>
          <w:lang w:val="tr-TR"/>
        </w:rPr>
        <w:t>gaz arzının</w:t>
      </w:r>
      <w:r w:rsidR="00DF513F" w:rsidRPr="001A4B94">
        <w:rPr>
          <w:rFonts w:ascii="Times New Roman" w:eastAsia="MS Mincho" w:hAnsi="Times New Roman"/>
          <w:sz w:val="23"/>
          <w:szCs w:val="23"/>
          <w:lang w:val="tr-TR"/>
        </w:rPr>
        <w:t xml:space="preserve"> güvence altına alınması ve çeşitlendirilmesi</w:t>
      </w:r>
      <w:r w:rsidR="00023D70" w:rsidRPr="001A4B94">
        <w:rPr>
          <w:rFonts w:ascii="Times New Roman" w:eastAsia="MS Mincho" w:hAnsi="Times New Roman"/>
          <w:sz w:val="23"/>
          <w:szCs w:val="23"/>
          <w:lang w:val="tr-TR"/>
        </w:rPr>
        <w:t xml:space="preserve">; </w:t>
      </w:r>
      <w:r w:rsidR="005F648B" w:rsidRPr="001A4B94">
        <w:rPr>
          <w:rFonts w:ascii="Times New Roman" w:eastAsia="MS Mincho" w:hAnsi="Times New Roman"/>
          <w:sz w:val="23"/>
          <w:szCs w:val="23"/>
          <w:lang w:val="tr-TR"/>
        </w:rPr>
        <w:t>(iv)</w:t>
      </w:r>
      <w:r w:rsidR="00F54F63" w:rsidRPr="001A4B94">
        <w:rPr>
          <w:rFonts w:ascii="Times New Roman" w:eastAsia="MS Mincho" w:hAnsi="Times New Roman"/>
          <w:sz w:val="23"/>
          <w:szCs w:val="23"/>
          <w:lang w:val="tr-TR"/>
        </w:rPr>
        <w:t xml:space="preserve"> sınır ötesi elektrik ve </w:t>
      </w:r>
      <w:r w:rsidR="006F3B46" w:rsidRPr="001A4B94">
        <w:rPr>
          <w:rFonts w:ascii="Times New Roman" w:eastAsia="MS Mincho" w:hAnsi="Times New Roman"/>
          <w:sz w:val="23"/>
          <w:szCs w:val="23"/>
          <w:lang w:val="tr-TR"/>
        </w:rPr>
        <w:t>doğal gaz ticaretini sağlamak için enterkoneksiyonların geliştirilmesi</w:t>
      </w:r>
      <w:r w:rsidR="005F648B" w:rsidRPr="001A4B94">
        <w:rPr>
          <w:rFonts w:ascii="Times New Roman" w:eastAsia="MS Mincho" w:hAnsi="Times New Roman"/>
          <w:sz w:val="23"/>
          <w:szCs w:val="23"/>
          <w:lang w:val="tr-TR"/>
        </w:rPr>
        <w:t xml:space="preserve">; </w:t>
      </w:r>
      <w:r w:rsidR="006F3B46" w:rsidRPr="001A4B94">
        <w:rPr>
          <w:rFonts w:ascii="Times New Roman" w:eastAsia="MS Mincho" w:hAnsi="Times New Roman"/>
          <w:sz w:val="23"/>
          <w:szCs w:val="23"/>
          <w:lang w:val="tr-TR"/>
        </w:rPr>
        <w:t xml:space="preserve">ve </w:t>
      </w:r>
      <w:r w:rsidR="00023D70" w:rsidRPr="001A4B94">
        <w:rPr>
          <w:rFonts w:ascii="Times New Roman" w:eastAsia="MS Mincho" w:hAnsi="Times New Roman"/>
          <w:sz w:val="23"/>
          <w:szCs w:val="23"/>
          <w:lang w:val="tr-TR"/>
        </w:rPr>
        <w:t>(v</w:t>
      </w:r>
      <w:r w:rsidR="005F648B" w:rsidRPr="001A4B94">
        <w:rPr>
          <w:rFonts w:ascii="Times New Roman" w:eastAsia="MS Mincho" w:hAnsi="Times New Roman"/>
          <w:sz w:val="23"/>
          <w:szCs w:val="23"/>
          <w:lang w:val="tr-TR"/>
        </w:rPr>
        <w:t>i</w:t>
      </w:r>
      <w:r w:rsidR="00023D70" w:rsidRPr="001A4B94">
        <w:rPr>
          <w:rFonts w:ascii="Times New Roman" w:eastAsia="MS Mincho" w:hAnsi="Times New Roman"/>
          <w:sz w:val="23"/>
          <w:szCs w:val="23"/>
          <w:lang w:val="tr-TR"/>
        </w:rPr>
        <w:t xml:space="preserve">) </w:t>
      </w:r>
      <w:r w:rsidR="009B44E8" w:rsidRPr="001A4B94">
        <w:rPr>
          <w:rFonts w:ascii="Times New Roman" w:eastAsia="MS Mincho" w:hAnsi="Times New Roman"/>
          <w:sz w:val="23"/>
          <w:szCs w:val="23"/>
          <w:lang w:val="tr-TR"/>
        </w:rPr>
        <w:t>Hükümet ile DBG arasında kararlaştırılan ve enerji sektörünün sürdürülebilir bir şekilde geliştirilmesini destekleyecek diğer alanlar (şebeke kapasitesinin ve akıllı şebeke teknolojilerinin geliştirilmesi</w:t>
      </w:r>
      <w:r w:rsidR="005F648B" w:rsidRPr="001A4B94">
        <w:rPr>
          <w:rFonts w:ascii="Times New Roman" w:eastAsia="MS Mincho" w:hAnsi="Times New Roman"/>
          <w:sz w:val="23"/>
          <w:szCs w:val="23"/>
          <w:lang w:val="tr-TR"/>
        </w:rPr>
        <w:t xml:space="preserve">, </w:t>
      </w:r>
      <w:r w:rsidR="009B44E8" w:rsidRPr="001A4B94">
        <w:rPr>
          <w:rFonts w:ascii="Times New Roman" w:eastAsia="MS Mincho" w:hAnsi="Times New Roman"/>
          <w:sz w:val="23"/>
          <w:szCs w:val="23"/>
          <w:lang w:val="tr-TR"/>
        </w:rPr>
        <w:t>dağıtım ve iletim şebekelerinin sistemlerinin geliştirilmesi gibi)</w:t>
      </w:r>
      <w:r w:rsidR="001952B7" w:rsidRPr="001A4B94">
        <w:rPr>
          <w:rFonts w:ascii="Times New Roman" w:eastAsia="MS Mincho" w:hAnsi="Times New Roman"/>
          <w:sz w:val="23"/>
          <w:szCs w:val="23"/>
          <w:lang w:val="tr-TR"/>
        </w:rPr>
        <w:t>.</w:t>
      </w:r>
      <w:r w:rsidR="00A80D2D" w:rsidRPr="001A4B94">
        <w:rPr>
          <w:rFonts w:ascii="Times New Roman" w:eastAsia="MS Mincho" w:hAnsi="Times New Roman"/>
          <w:sz w:val="23"/>
          <w:szCs w:val="23"/>
          <w:lang w:val="tr-TR"/>
        </w:rPr>
        <w:t xml:space="preserve"> </w:t>
      </w:r>
      <w:r w:rsidR="009B44E8" w:rsidRPr="001A4B94">
        <w:rPr>
          <w:rFonts w:ascii="Times New Roman" w:eastAsia="MS Mincho" w:hAnsi="Times New Roman"/>
          <w:sz w:val="23"/>
          <w:szCs w:val="23"/>
          <w:lang w:val="tr-TR"/>
        </w:rPr>
        <w:t xml:space="preserve">IBRD’nin sektördeki karşılaştırmalı avantajı göz önüne alındığında, müşteri talebine bağlı olarak ve DBG’nin özel sektör finansmanını harekete geçirmedeki basamak yaklaşımı takip edilerek daha fazla enerji yatırımları </w:t>
      </w:r>
      <w:r w:rsidRPr="001A4B94">
        <w:rPr>
          <w:rFonts w:ascii="Times New Roman" w:eastAsia="MS Mincho" w:hAnsi="Times New Roman"/>
          <w:sz w:val="23"/>
          <w:szCs w:val="23"/>
          <w:lang w:val="tr-TR"/>
        </w:rPr>
        <w:t xml:space="preserve"> </w:t>
      </w:r>
      <w:r w:rsidR="009B44E8" w:rsidRPr="001A4B94">
        <w:rPr>
          <w:rFonts w:ascii="Times New Roman" w:eastAsia="MS Mincho" w:hAnsi="Times New Roman"/>
          <w:sz w:val="23"/>
          <w:szCs w:val="23"/>
          <w:lang w:val="tr-TR"/>
        </w:rPr>
        <w:t>takip edebilir</w:t>
      </w:r>
      <w:r w:rsidRPr="001A4B94">
        <w:rPr>
          <w:rFonts w:ascii="Times New Roman" w:eastAsia="MS Mincho" w:hAnsi="Times New Roman"/>
          <w:sz w:val="23"/>
          <w:szCs w:val="23"/>
          <w:lang w:val="tr-TR"/>
        </w:rPr>
        <w:t xml:space="preserve">.  </w:t>
      </w:r>
    </w:p>
    <w:p w14:paraId="7A8292F7" w14:textId="77777777" w:rsidR="00870C9B" w:rsidRPr="001A4B94" w:rsidRDefault="00870C9B" w:rsidP="00870C9B">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7341BFBA" w14:textId="7F0178C1" w:rsidR="00FC2C6E" w:rsidRPr="001A4B94" w:rsidRDefault="00FC2C6E" w:rsidP="00FC2C6E">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color w:val="000000" w:themeColor="text1"/>
          <w:sz w:val="23"/>
          <w:szCs w:val="23"/>
          <w:lang w:val="tr-TR"/>
        </w:rPr>
        <w:t xml:space="preserve">IFC </w:t>
      </w:r>
      <w:r w:rsidR="009B44E8" w:rsidRPr="001A4B94">
        <w:rPr>
          <w:rFonts w:ascii="Times New Roman" w:hAnsi="Times New Roman"/>
          <w:b/>
          <w:color w:val="000000" w:themeColor="text1"/>
          <w:sz w:val="23"/>
          <w:szCs w:val="23"/>
          <w:lang w:val="tr-TR"/>
        </w:rPr>
        <w:t>Türkiye’nin enerji güvenliğini desteklemeyi ve sektörde gerçekleştirilecek seçici ve stratejik çalışmalar yoluyla enerji bileşiminin yeniden dengelenmesine yardımcı olmayı amaçlamaktadır</w:t>
      </w:r>
      <w:r w:rsidRPr="001A4B94">
        <w:rPr>
          <w:rFonts w:ascii="Times New Roman" w:hAnsi="Times New Roman"/>
          <w:b/>
          <w:color w:val="000000" w:themeColor="text1"/>
          <w:sz w:val="23"/>
          <w:szCs w:val="23"/>
          <w:lang w:val="tr-TR"/>
        </w:rPr>
        <w:t>.</w:t>
      </w:r>
      <w:r w:rsidRPr="001A4B94">
        <w:rPr>
          <w:rFonts w:ascii="Times New Roman" w:hAnsi="Times New Roman"/>
          <w:color w:val="000000" w:themeColor="text1"/>
          <w:sz w:val="23"/>
          <w:szCs w:val="23"/>
          <w:lang w:val="tr-TR"/>
        </w:rPr>
        <w:t xml:space="preserve"> IFC </w:t>
      </w:r>
      <w:r w:rsidR="0017221C" w:rsidRPr="001A4B94">
        <w:rPr>
          <w:rFonts w:ascii="Times New Roman" w:hAnsi="Times New Roman"/>
          <w:color w:val="000000" w:themeColor="text1"/>
          <w:sz w:val="23"/>
          <w:szCs w:val="23"/>
          <w:lang w:val="tr-TR"/>
        </w:rPr>
        <w:t>alternatif</w:t>
      </w:r>
      <w:r w:rsidR="00B62AEC" w:rsidRPr="001A4B94">
        <w:rPr>
          <w:rFonts w:ascii="Times New Roman" w:hAnsi="Times New Roman"/>
          <w:color w:val="000000" w:themeColor="text1"/>
          <w:sz w:val="23"/>
          <w:szCs w:val="23"/>
          <w:lang w:val="tr-TR"/>
        </w:rPr>
        <w:t xml:space="preserve"> yatırımlar yoluyla başarılamayacak </w:t>
      </w:r>
      <w:r w:rsidR="0017221C" w:rsidRPr="001A4B94">
        <w:rPr>
          <w:rFonts w:ascii="Times New Roman" w:hAnsi="Times New Roman"/>
          <w:color w:val="000000" w:themeColor="text1"/>
          <w:sz w:val="23"/>
          <w:szCs w:val="23"/>
          <w:lang w:val="tr-TR"/>
        </w:rPr>
        <w:t>yüksek</w:t>
      </w:r>
      <w:r w:rsidR="00B62AEC" w:rsidRPr="001A4B94">
        <w:rPr>
          <w:rFonts w:ascii="Times New Roman" w:hAnsi="Times New Roman"/>
          <w:color w:val="000000" w:themeColor="text1"/>
          <w:sz w:val="23"/>
          <w:szCs w:val="23"/>
          <w:lang w:val="tr-TR"/>
        </w:rPr>
        <w:t xml:space="preserve"> kalkınma etkisine sahip y</w:t>
      </w:r>
      <w:r w:rsidR="0017221C" w:rsidRPr="001A4B94">
        <w:rPr>
          <w:rFonts w:ascii="Times New Roman" w:hAnsi="Times New Roman"/>
          <w:color w:val="000000" w:themeColor="text1"/>
          <w:sz w:val="23"/>
          <w:szCs w:val="23"/>
          <w:lang w:val="tr-TR"/>
        </w:rPr>
        <w:t>a</w:t>
      </w:r>
      <w:r w:rsidR="00B62AEC" w:rsidRPr="001A4B94">
        <w:rPr>
          <w:rFonts w:ascii="Times New Roman" w:hAnsi="Times New Roman"/>
          <w:color w:val="000000" w:themeColor="text1"/>
          <w:sz w:val="23"/>
          <w:szCs w:val="23"/>
          <w:lang w:val="tr-TR"/>
        </w:rPr>
        <w:t>tırımlar ile IFC’nin özellikle DYY şeklinde harekete geçirici bir rol oynayabileceği projeler üzerinde odaklanacaktır</w:t>
      </w:r>
      <w:r w:rsidRPr="001A4B94">
        <w:rPr>
          <w:rFonts w:ascii="Times New Roman" w:hAnsi="Times New Roman"/>
          <w:color w:val="000000" w:themeColor="text1"/>
          <w:sz w:val="23"/>
          <w:szCs w:val="23"/>
          <w:lang w:val="tr-TR"/>
        </w:rPr>
        <w:t>.</w:t>
      </w:r>
      <w:r w:rsidRPr="001A4B94">
        <w:rPr>
          <w:rFonts w:ascii="Times New Roman" w:hAnsi="Times New Roman"/>
          <w:sz w:val="23"/>
          <w:szCs w:val="23"/>
          <w:lang w:val="tr-TR"/>
        </w:rPr>
        <w:t xml:space="preserve"> </w:t>
      </w:r>
      <w:r w:rsidR="004D294B" w:rsidRPr="001A4B94">
        <w:rPr>
          <w:rFonts w:ascii="Times New Roman" w:hAnsi="Times New Roman"/>
          <w:sz w:val="23"/>
          <w:szCs w:val="23"/>
          <w:lang w:val="tr-TR"/>
        </w:rPr>
        <w:t>Artık elektrik dağıtım sektörünün tamamen özelleştirildiği düşünüldü</w:t>
      </w:r>
      <w:r w:rsidR="0017221C" w:rsidRPr="001A4B94">
        <w:rPr>
          <w:rFonts w:ascii="Times New Roman" w:hAnsi="Times New Roman"/>
          <w:sz w:val="23"/>
          <w:szCs w:val="23"/>
          <w:lang w:val="tr-TR"/>
        </w:rPr>
        <w:t>ğ</w:t>
      </w:r>
      <w:r w:rsidR="004D294B" w:rsidRPr="001A4B94">
        <w:rPr>
          <w:rFonts w:ascii="Times New Roman" w:hAnsi="Times New Roman"/>
          <w:sz w:val="23"/>
          <w:szCs w:val="23"/>
          <w:lang w:val="tr-TR"/>
        </w:rPr>
        <w:t xml:space="preserve">ünde, </w:t>
      </w:r>
      <w:r w:rsidRPr="001A4B94" w:rsidDel="006B1F09">
        <w:rPr>
          <w:rFonts w:ascii="Times New Roman" w:hAnsi="Times New Roman"/>
          <w:sz w:val="23"/>
          <w:szCs w:val="23"/>
          <w:lang w:val="tr-TR"/>
        </w:rPr>
        <w:t xml:space="preserve"> </w:t>
      </w:r>
      <w:r w:rsidRPr="001A4B94" w:rsidDel="006B1F09">
        <w:rPr>
          <w:rFonts w:ascii="Times New Roman" w:hAnsi="Times New Roman"/>
          <w:color w:val="000000" w:themeColor="text1"/>
          <w:sz w:val="23"/>
          <w:szCs w:val="23"/>
          <w:lang w:val="tr-TR"/>
        </w:rPr>
        <w:t xml:space="preserve">IFC </w:t>
      </w:r>
      <w:r w:rsidR="004D294B" w:rsidRPr="001A4B94">
        <w:rPr>
          <w:rFonts w:ascii="Times New Roman" w:hAnsi="Times New Roman"/>
          <w:color w:val="000000" w:themeColor="text1"/>
          <w:sz w:val="23"/>
          <w:szCs w:val="23"/>
          <w:lang w:val="tr-TR"/>
        </w:rPr>
        <w:t>dağıtım şirketl</w:t>
      </w:r>
      <w:r w:rsidR="0017221C" w:rsidRPr="001A4B94">
        <w:rPr>
          <w:rFonts w:ascii="Times New Roman" w:hAnsi="Times New Roman"/>
          <w:color w:val="000000" w:themeColor="text1"/>
          <w:sz w:val="23"/>
          <w:szCs w:val="23"/>
          <w:lang w:val="tr-TR"/>
        </w:rPr>
        <w:t>e</w:t>
      </w:r>
      <w:r w:rsidR="004D294B" w:rsidRPr="001A4B94">
        <w:rPr>
          <w:rFonts w:ascii="Times New Roman" w:hAnsi="Times New Roman"/>
          <w:color w:val="000000" w:themeColor="text1"/>
          <w:sz w:val="23"/>
          <w:szCs w:val="23"/>
          <w:lang w:val="tr-TR"/>
        </w:rPr>
        <w:t>rinin finansal yapılarının güçlendirilmesi ve kamu mülk</w:t>
      </w:r>
      <w:r w:rsidR="0017221C" w:rsidRPr="001A4B94">
        <w:rPr>
          <w:rFonts w:ascii="Times New Roman" w:hAnsi="Times New Roman"/>
          <w:color w:val="000000" w:themeColor="text1"/>
          <w:sz w:val="23"/>
          <w:szCs w:val="23"/>
          <w:lang w:val="tr-TR"/>
        </w:rPr>
        <w:t>i</w:t>
      </w:r>
      <w:r w:rsidR="004D294B" w:rsidRPr="001A4B94">
        <w:rPr>
          <w:rFonts w:ascii="Times New Roman" w:hAnsi="Times New Roman"/>
          <w:color w:val="000000" w:themeColor="text1"/>
          <w:sz w:val="23"/>
          <w:szCs w:val="23"/>
          <w:lang w:val="tr-TR"/>
        </w:rPr>
        <w:t>yeti sırasında yetersiz yatırım yapılan dağıtım şebekesinin geliştirilmesine yönelik uz</w:t>
      </w:r>
      <w:r w:rsidR="0017221C" w:rsidRPr="001A4B94">
        <w:rPr>
          <w:rFonts w:ascii="Times New Roman" w:hAnsi="Times New Roman"/>
          <w:color w:val="000000" w:themeColor="text1"/>
          <w:sz w:val="23"/>
          <w:szCs w:val="23"/>
          <w:lang w:val="tr-TR"/>
        </w:rPr>
        <w:t>u</w:t>
      </w:r>
      <w:r w:rsidR="004D294B" w:rsidRPr="001A4B94">
        <w:rPr>
          <w:rFonts w:ascii="Times New Roman" w:hAnsi="Times New Roman"/>
          <w:color w:val="000000" w:themeColor="text1"/>
          <w:sz w:val="23"/>
          <w:szCs w:val="23"/>
          <w:lang w:val="tr-TR"/>
        </w:rPr>
        <w:t>n v</w:t>
      </w:r>
      <w:r w:rsidR="0017221C" w:rsidRPr="001A4B94">
        <w:rPr>
          <w:rFonts w:ascii="Times New Roman" w:hAnsi="Times New Roman"/>
          <w:color w:val="000000" w:themeColor="text1"/>
          <w:sz w:val="23"/>
          <w:szCs w:val="23"/>
          <w:lang w:val="tr-TR"/>
        </w:rPr>
        <w:t>a</w:t>
      </w:r>
      <w:r w:rsidR="004D294B" w:rsidRPr="001A4B94">
        <w:rPr>
          <w:rFonts w:ascii="Times New Roman" w:hAnsi="Times New Roman"/>
          <w:color w:val="000000" w:themeColor="text1"/>
          <w:sz w:val="23"/>
          <w:szCs w:val="23"/>
          <w:lang w:val="tr-TR"/>
        </w:rPr>
        <w:t>deli finansmanın çekilmesi için özelleştirme sonrası finansal destek sağlamak üzerinde odaklanacaktır</w:t>
      </w:r>
      <w:r w:rsidRPr="001A4B94" w:rsidDel="006B1F09">
        <w:rPr>
          <w:rFonts w:ascii="Times New Roman" w:hAnsi="Times New Roman"/>
          <w:color w:val="000000" w:themeColor="text1"/>
          <w:sz w:val="23"/>
          <w:szCs w:val="23"/>
          <w:lang w:val="tr-TR"/>
        </w:rPr>
        <w:t xml:space="preserve">. IFC </w:t>
      </w:r>
      <w:r w:rsidR="0017221C" w:rsidRPr="001A4B94">
        <w:rPr>
          <w:rFonts w:ascii="Times New Roman" w:hAnsi="Times New Roman"/>
          <w:color w:val="000000" w:themeColor="text1"/>
          <w:sz w:val="23"/>
          <w:szCs w:val="23"/>
          <w:lang w:val="tr-TR"/>
        </w:rPr>
        <w:t xml:space="preserve">dağıtım şirketlerinin </w:t>
      </w:r>
      <w:r w:rsidR="00034184" w:rsidRPr="001A4B94">
        <w:rPr>
          <w:rFonts w:ascii="Times New Roman" w:hAnsi="Times New Roman"/>
          <w:color w:val="000000" w:themeColor="text1"/>
          <w:sz w:val="23"/>
          <w:szCs w:val="23"/>
          <w:lang w:val="tr-TR"/>
        </w:rPr>
        <w:t>döviz risklerinden korunmaları için  uygun finansman planları sunarak kur uyumsuzluğu sorununu aşmalarına yardımcı olmayı amaçlamaktadır</w:t>
      </w:r>
      <w:r w:rsidRPr="001A4B94" w:rsidDel="006B1F09">
        <w:rPr>
          <w:rFonts w:ascii="Times New Roman" w:hAnsi="Times New Roman"/>
          <w:color w:val="000000" w:themeColor="text1"/>
          <w:sz w:val="23"/>
          <w:szCs w:val="23"/>
          <w:lang w:val="tr-TR"/>
        </w:rPr>
        <w:t xml:space="preserve">. </w:t>
      </w:r>
      <w:r w:rsidRPr="001A4B94">
        <w:rPr>
          <w:rFonts w:ascii="Times New Roman" w:hAnsi="Times New Roman"/>
          <w:color w:val="000000" w:themeColor="text1"/>
          <w:sz w:val="23"/>
          <w:szCs w:val="23"/>
          <w:lang w:val="tr-TR"/>
        </w:rPr>
        <w:t xml:space="preserve">IFC </w:t>
      </w:r>
      <w:r w:rsidR="00034184" w:rsidRPr="001A4B94">
        <w:rPr>
          <w:rFonts w:ascii="Times New Roman" w:hAnsi="Times New Roman"/>
          <w:color w:val="000000" w:themeColor="text1"/>
          <w:sz w:val="23"/>
          <w:szCs w:val="23"/>
          <w:lang w:val="tr-TR"/>
        </w:rPr>
        <w:t>elektrik dağıtım sektöründeki sorunlardan bazılarını çözmek amacıyla yeni teknolojilere (örneğin akıllı sayaçlar) yapılabilecek yatırım fırsatlarını araştıracaktır</w:t>
      </w:r>
      <w:r w:rsidRPr="001A4B94">
        <w:rPr>
          <w:rFonts w:ascii="Times New Roman" w:hAnsi="Times New Roman"/>
          <w:color w:val="000000" w:themeColor="text1"/>
          <w:sz w:val="23"/>
          <w:szCs w:val="23"/>
          <w:lang w:val="tr-TR"/>
        </w:rPr>
        <w:t xml:space="preserve">. </w:t>
      </w:r>
      <w:r w:rsidR="00034184" w:rsidRPr="001A4B94">
        <w:rPr>
          <w:rFonts w:ascii="Times New Roman" w:hAnsi="Times New Roman"/>
          <w:color w:val="000000" w:themeColor="text1"/>
          <w:sz w:val="23"/>
          <w:szCs w:val="23"/>
          <w:lang w:val="tr-TR"/>
        </w:rPr>
        <w:t>Ayrıca</w:t>
      </w:r>
      <w:r w:rsidRPr="001A4B94">
        <w:rPr>
          <w:rFonts w:ascii="Times New Roman" w:hAnsi="Times New Roman"/>
          <w:color w:val="000000" w:themeColor="text1"/>
          <w:sz w:val="23"/>
          <w:szCs w:val="23"/>
          <w:lang w:val="tr-TR"/>
        </w:rPr>
        <w:t xml:space="preserve">, </w:t>
      </w:r>
      <w:r w:rsidR="00A47B73" w:rsidRPr="001A4B94">
        <w:rPr>
          <w:rFonts w:ascii="Times New Roman" w:hAnsi="Times New Roman"/>
          <w:color w:val="000000" w:themeColor="text1"/>
          <w:sz w:val="23"/>
          <w:szCs w:val="23"/>
          <w:lang w:val="tr-TR"/>
        </w:rPr>
        <w:t>ithalat terminalleri</w:t>
      </w:r>
      <w:r w:rsidR="00AA142F" w:rsidRPr="001A4B94">
        <w:rPr>
          <w:rFonts w:ascii="Times New Roman" w:hAnsi="Times New Roman"/>
          <w:color w:val="000000" w:themeColor="text1"/>
          <w:sz w:val="23"/>
          <w:szCs w:val="23"/>
          <w:lang w:val="tr-TR"/>
        </w:rPr>
        <w:t xml:space="preserve"> </w:t>
      </w:r>
      <w:r w:rsidR="00A47B73" w:rsidRPr="001A4B94">
        <w:rPr>
          <w:rFonts w:ascii="Times New Roman" w:hAnsi="Times New Roman"/>
          <w:color w:val="000000" w:themeColor="text1"/>
          <w:sz w:val="23"/>
          <w:szCs w:val="23"/>
          <w:lang w:val="tr-TR"/>
        </w:rPr>
        <w:t xml:space="preserve">ve depolama tesisleri ile doğal gaz dağıtımı </w:t>
      </w:r>
      <w:r w:rsidR="00AA142F" w:rsidRPr="001A4B94">
        <w:rPr>
          <w:rFonts w:ascii="Times New Roman" w:hAnsi="Times New Roman"/>
          <w:color w:val="000000" w:themeColor="text1"/>
          <w:sz w:val="23"/>
          <w:szCs w:val="23"/>
          <w:lang w:val="tr-TR"/>
        </w:rPr>
        <w:t xml:space="preserve">dahil olmak üzere doğal gaz altyapısına yapılacak yatırımlar yoluyla </w:t>
      </w:r>
      <w:r w:rsidR="00A47B73" w:rsidRPr="001A4B94">
        <w:rPr>
          <w:rFonts w:ascii="Times New Roman" w:hAnsi="Times New Roman"/>
          <w:color w:val="000000" w:themeColor="text1"/>
          <w:sz w:val="23"/>
          <w:szCs w:val="23"/>
          <w:lang w:val="tr-TR"/>
        </w:rPr>
        <w:t>gaz arzındaki açıkları kapatma fırsat</w:t>
      </w:r>
      <w:r w:rsidR="008300D6" w:rsidRPr="001A4B94">
        <w:rPr>
          <w:rFonts w:ascii="Times New Roman" w:hAnsi="Times New Roman"/>
          <w:color w:val="000000" w:themeColor="text1"/>
          <w:sz w:val="23"/>
          <w:szCs w:val="23"/>
          <w:lang w:val="tr-TR"/>
        </w:rPr>
        <w:t xml:space="preserve">larını </w:t>
      </w:r>
      <w:r w:rsidR="00A47B73" w:rsidRPr="001A4B94">
        <w:rPr>
          <w:rFonts w:ascii="Times New Roman" w:hAnsi="Times New Roman"/>
          <w:color w:val="000000" w:themeColor="text1"/>
          <w:sz w:val="23"/>
          <w:szCs w:val="23"/>
          <w:lang w:val="tr-TR"/>
        </w:rPr>
        <w:t>araştıracaktır</w:t>
      </w:r>
      <w:r w:rsidRPr="001A4B94">
        <w:rPr>
          <w:rFonts w:ascii="Times New Roman" w:hAnsi="Times New Roman"/>
          <w:color w:val="000000" w:themeColor="text1"/>
          <w:sz w:val="23"/>
          <w:szCs w:val="23"/>
          <w:lang w:val="tr-TR"/>
        </w:rPr>
        <w:t xml:space="preserve">. MIGA </w:t>
      </w:r>
      <w:r w:rsidR="005D5BDB" w:rsidRPr="001A4B94">
        <w:rPr>
          <w:rFonts w:ascii="Times New Roman" w:hAnsi="Times New Roman"/>
          <w:color w:val="000000" w:themeColor="text1"/>
          <w:sz w:val="23"/>
          <w:szCs w:val="23"/>
          <w:lang w:val="tr-TR"/>
        </w:rPr>
        <w:t>siyasi risk sigortası garantileri sağlayarak yenilenebilir enerji alanındaki DYY girişimlerini desteklemeye hazırdır</w:t>
      </w:r>
      <w:r w:rsidRPr="001A4B94">
        <w:rPr>
          <w:rFonts w:ascii="Times New Roman" w:hAnsi="Times New Roman"/>
          <w:sz w:val="23"/>
          <w:szCs w:val="23"/>
          <w:lang w:val="tr-TR"/>
        </w:rPr>
        <w:t>.</w:t>
      </w:r>
    </w:p>
    <w:p w14:paraId="111E179C" w14:textId="60128C62" w:rsidR="0007002E" w:rsidRPr="001A4B94" w:rsidRDefault="0007002E" w:rsidP="0007002E">
      <w:pPr>
        <w:tabs>
          <w:tab w:val="left" w:pos="426"/>
          <w:tab w:val="left" w:pos="2970"/>
        </w:tabs>
        <w:autoSpaceDE w:val="0"/>
        <w:autoSpaceDN w:val="0"/>
        <w:adjustRightInd w:val="0"/>
        <w:jc w:val="both"/>
        <w:rPr>
          <w:sz w:val="23"/>
          <w:szCs w:val="23"/>
          <w:lang w:val="tr-TR"/>
        </w:rPr>
      </w:pPr>
    </w:p>
    <w:p w14:paraId="283B8342" w14:textId="74F41DCC" w:rsidR="00B30A52" w:rsidRPr="001A4B94" w:rsidRDefault="00542475" w:rsidP="007F1D77">
      <w:pPr>
        <w:ind w:left="142" w:right="-421"/>
        <w:rPr>
          <w:b/>
          <w:bCs/>
          <w:sz w:val="23"/>
          <w:szCs w:val="23"/>
          <w:u w:val="single"/>
          <w:lang w:val="tr-TR"/>
        </w:rPr>
      </w:pPr>
      <w:r w:rsidRPr="001A4B94">
        <w:rPr>
          <w:b/>
          <w:bCs/>
          <w:sz w:val="23"/>
          <w:szCs w:val="23"/>
          <w:u w:val="single"/>
          <w:lang w:val="tr-TR"/>
        </w:rPr>
        <w:t xml:space="preserve">CPF </w:t>
      </w:r>
      <w:r w:rsidR="005D5BDB" w:rsidRPr="001A4B94">
        <w:rPr>
          <w:b/>
          <w:bCs/>
          <w:sz w:val="23"/>
          <w:szCs w:val="23"/>
          <w:u w:val="single"/>
          <w:lang w:val="tr-TR"/>
        </w:rPr>
        <w:t xml:space="preserve">Amacı </w:t>
      </w:r>
      <w:r w:rsidRPr="001A4B94">
        <w:rPr>
          <w:b/>
          <w:bCs/>
          <w:sz w:val="23"/>
          <w:szCs w:val="23"/>
          <w:u w:val="single"/>
          <w:lang w:val="tr-TR"/>
        </w:rPr>
        <w:t>8</w:t>
      </w:r>
      <w:r w:rsidR="00420992" w:rsidRPr="001A4B94">
        <w:rPr>
          <w:b/>
          <w:bCs/>
          <w:sz w:val="23"/>
          <w:szCs w:val="23"/>
          <w:u w:val="single"/>
          <w:lang w:val="tr-TR"/>
        </w:rPr>
        <w:t xml:space="preserve">: </w:t>
      </w:r>
      <w:r w:rsidR="005D5BDB" w:rsidRPr="001A4B94">
        <w:rPr>
          <w:b/>
          <w:bCs/>
          <w:sz w:val="23"/>
          <w:szCs w:val="23"/>
          <w:u w:val="single"/>
          <w:lang w:val="tr-TR"/>
        </w:rPr>
        <w:t>Şehirlerin Sürdürülebilirli</w:t>
      </w:r>
      <w:r w:rsidR="007F1D77" w:rsidRPr="001A4B94">
        <w:rPr>
          <w:b/>
          <w:bCs/>
          <w:sz w:val="23"/>
          <w:szCs w:val="23"/>
          <w:u w:val="single"/>
          <w:lang w:val="tr-TR"/>
        </w:rPr>
        <w:t xml:space="preserve">ğinin </w:t>
      </w:r>
      <w:r w:rsidR="005D5BDB" w:rsidRPr="001A4B94">
        <w:rPr>
          <w:b/>
          <w:bCs/>
          <w:sz w:val="23"/>
          <w:szCs w:val="23"/>
          <w:u w:val="single"/>
          <w:lang w:val="tr-TR"/>
        </w:rPr>
        <w:t>ve Afetlere Karşı Dayanıklılı</w:t>
      </w:r>
      <w:r w:rsidR="007F1D77" w:rsidRPr="001A4B94">
        <w:rPr>
          <w:b/>
          <w:bCs/>
          <w:sz w:val="23"/>
          <w:szCs w:val="23"/>
          <w:u w:val="single"/>
          <w:lang w:val="tr-TR"/>
        </w:rPr>
        <w:t xml:space="preserve">ğının </w:t>
      </w:r>
      <w:r w:rsidR="005D5BDB" w:rsidRPr="001A4B94">
        <w:rPr>
          <w:b/>
          <w:bCs/>
          <w:sz w:val="23"/>
          <w:szCs w:val="23"/>
          <w:u w:val="single"/>
          <w:lang w:val="tr-TR"/>
        </w:rPr>
        <w:t xml:space="preserve">Arttırılması  </w:t>
      </w:r>
    </w:p>
    <w:p w14:paraId="0E2735CC" w14:textId="77777777" w:rsidR="00B30A52" w:rsidRPr="001A4B94" w:rsidRDefault="00B30A52" w:rsidP="007F1D77">
      <w:pPr>
        <w:ind w:left="142" w:right="-421"/>
        <w:rPr>
          <w:b/>
          <w:bCs/>
          <w:u w:val="single"/>
          <w:lang w:val="tr-TR"/>
        </w:rPr>
      </w:pPr>
    </w:p>
    <w:tbl>
      <w:tblPr>
        <w:tblW w:w="0" w:type="auto"/>
        <w:tblCellMar>
          <w:left w:w="0" w:type="dxa"/>
          <w:right w:w="0" w:type="dxa"/>
        </w:tblCellMar>
        <w:tblLook w:val="04A0" w:firstRow="1" w:lastRow="0" w:firstColumn="1" w:lastColumn="0" w:noHBand="0" w:noVBand="1"/>
      </w:tblPr>
      <w:tblGrid>
        <w:gridCol w:w="9340"/>
      </w:tblGrid>
      <w:tr w:rsidR="00B30A52" w:rsidRPr="001A4B94" w14:paraId="0364333E" w14:textId="77777777" w:rsidTr="00121A7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479D24" w14:textId="5C89CD49" w:rsidR="00B30A52" w:rsidRPr="001A4B94" w:rsidRDefault="005D5BDB" w:rsidP="00121A74">
            <w:pPr>
              <w:jc w:val="both"/>
              <w:rPr>
                <w:b/>
                <w:sz w:val="22"/>
                <w:lang w:val="tr-TR"/>
              </w:rPr>
            </w:pPr>
            <w:r w:rsidRPr="001A4B94">
              <w:rPr>
                <w:b/>
                <w:sz w:val="22"/>
                <w:lang w:val="tr-TR"/>
              </w:rPr>
              <w:t xml:space="preserve">Amaç 8 için Sonuç Göstergeleri </w:t>
            </w:r>
          </w:p>
        </w:tc>
      </w:tr>
      <w:tr w:rsidR="00B30A52" w:rsidRPr="001A4B94" w14:paraId="247CFB76" w14:textId="77777777" w:rsidTr="00121A74">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60E77BD" w14:textId="795CCF74" w:rsidR="00B30A52" w:rsidRPr="001A4B94" w:rsidRDefault="005D5BDB" w:rsidP="00121A74">
            <w:pPr>
              <w:tabs>
                <w:tab w:val="left" w:pos="1142"/>
              </w:tabs>
              <w:rPr>
                <w:i/>
                <w:sz w:val="22"/>
                <w:lang w:val="tr-TR"/>
              </w:rPr>
            </w:pPr>
            <w:r w:rsidRPr="001A4B94">
              <w:rPr>
                <w:i/>
                <w:sz w:val="22"/>
                <w:lang w:val="tr-TR"/>
              </w:rPr>
              <w:t>Hizmet sunu</w:t>
            </w:r>
            <w:r w:rsidR="00A021AE" w:rsidRPr="001A4B94">
              <w:rPr>
                <w:i/>
                <w:sz w:val="22"/>
                <w:lang w:val="tr-TR"/>
              </w:rPr>
              <w:t>mu</w:t>
            </w:r>
            <w:r w:rsidRPr="001A4B94">
              <w:rPr>
                <w:i/>
                <w:sz w:val="22"/>
                <w:lang w:val="tr-TR"/>
              </w:rPr>
              <w:t xml:space="preserve">nda iyileşme ve sayısallaştırılmış tapu ve kadastro bilgilerine erişimdeki artış </w:t>
            </w:r>
          </w:p>
          <w:p w14:paraId="7BBCC339" w14:textId="36ED51B1" w:rsidR="00B30A52" w:rsidRPr="001A4B94" w:rsidRDefault="005D5BDB" w:rsidP="00121A74">
            <w:pPr>
              <w:tabs>
                <w:tab w:val="left" w:pos="1142"/>
              </w:tabs>
              <w:rPr>
                <w:i/>
                <w:sz w:val="22"/>
                <w:lang w:val="tr-TR"/>
              </w:rPr>
            </w:pPr>
            <w:r w:rsidRPr="001A4B94">
              <w:rPr>
                <w:i/>
                <w:sz w:val="22"/>
                <w:lang w:val="tr-TR"/>
              </w:rPr>
              <w:t>İyileşen kentsel altyapı ve belediye hizmetl</w:t>
            </w:r>
            <w:r w:rsidR="007F1D77" w:rsidRPr="001A4B94">
              <w:rPr>
                <w:i/>
                <w:sz w:val="22"/>
                <w:lang w:val="tr-TR"/>
              </w:rPr>
              <w:t>e</w:t>
            </w:r>
            <w:r w:rsidRPr="001A4B94">
              <w:rPr>
                <w:i/>
                <w:sz w:val="22"/>
                <w:lang w:val="tr-TR"/>
              </w:rPr>
              <w:t>rinde</w:t>
            </w:r>
            <w:r w:rsidR="00CA0F7F" w:rsidRPr="001A4B94">
              <w:rPr>
                <w:i/>
                <w:sz w:val="22"/>
                <w:lang w:val="tr-TR"/>
              </w:rPr>
              <w:t>n</w:t>
            </w:r>
            <w:r w:rsidRPr="001A4B94">
              <w:rPr>
                <w:i/>
                <w:sz w:val="22"/>
                <w:lang w:val="tr-TR"/>
              </w:rPr>
              <w:t xml:space="preserve"> yararlanan ilave kişi sayısı </w:t>
            </w:r>
          </w:p>
          <w:p w14:paraId="139A60B7" w14:textId="31A11FB1" w:rsidR="00B30A52" w:rsidRPr="001A4B94" w:rsidRDefault="007F1D77" w:rsidP="00121A74">
            <w:pPr>
              <w:tabs>
                <w:tab w:val="left" w:pos="1142"/>
              </w:tabs>
              <w:rPr>
                <w:lang w:val="tr-TR"/>
              </w:rPr>
            </w:pPr>
            <w:r w:rsidRPr="001A4B94">
              <w:rPr>
                <w:i/>
                <w:sz w:val="22"/>
                <w:lang w:val="tr-TR"/>
              </w:rPr>
              <w:t>Afete dayanıklı kamu binalarının sayısının arttırılması ve afetlere karşı hazırlık durumunun iyileştirilmesi yoluyla şehirlerin afetlere karşı dayanıklılığında sağlanan artış</w:t>
            </w:r>
            <w:r w:rsidR="005C0C21" w:rsidRPr="001A4B94">
              <w:rPr>
                <w:i/>
                <w:sz w:val="22"/>
                <w:lang w:val="tr-TR"/>
              </w:rPr>
              <w:t>.</w:t>
            </w:r>
          </w:p>
        </w:tc>
      </w:tr>
    </w:tbl>
    <w:p w14:paraId="16637B18" w14:textId="77777777" w:rsidR="00B96286" w:rsidRPr="001A4B94" w:rsidRDefault="00B96286" w:rsidP="00BC5E0D">
      <w:pPr>
        <w:pStyle w:val="ListeParagraf"/>
        <w:ind w:left="0" w:firstLine="180"/>
        <w:rPr>
          <w:rFonts w:ascii="Times New Roman" w:hAnsi="Times New Roman"/>
          <w:color w:val="000000" w:themeColor="text1"/>
          <w:sz w:val="24"/>
          <w:szCs w:val="24"/>
          <w:lang w:val="tr-TR"/>
        </w:rPr>
      </w:pPr>
    </w:p>
    <w:p w14:paraId="37487443" w14:textId="6B401E97" w:rsidR="00BC5E0D" w:rsidRPr="001A4B94" w:rsidRDefault="007F1D77" w:rsidP="005F603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eastAsia="MS Mincho" w:hAnsi="Times New Roman"/>
          <w:b/>
          <w:sz w:val="23"/>
          <w:szCs w:val="23"/>
          <w:lang w:val="tr-TR"/>
        </w:rPr>
        <w:t>Şehirleşmenin Türkiye’nin kalkınma başarısında oynadığı önemli rol göz önünde bulundurularak, D</w:t>
      </w:r>
      <w:r w:rsidR="00BC5E0D" w:rsidRPr="001A4B94">
        <w:rPr>
          <w:rFonts w:ascii="Times New Roman" w:eastAsia="MS Mincho" w:hAnsi="Times New Roman"/>
          <w:b/>
          <w:sz w:val="23"/>
          <w:szCs w:val="23"/>
          <w:lang w:val="tr-TR"/>
        </w:rPr>
        <w:t>BG program</w:t>
      </w:r>
      <w:r w:rsidRPr="001A4B94">
        <w:rPr>
          <w:rFonts w:ascii="Times New Roman" w:eastAsia="MS Mincho" w:hAnsi="Times New Roman"/>
          <w:b/>
          <w:sz w:val="23"/>
          <w:szCs w:val="23"/>
          <w:lang w:val="tr-TR"/>
        </w:rPr>
        <w:t>ı</w:t>
      </w:r>
      <w:r w:rsidR="00BC5E0D" w:rsidRPr="001A4B94">
        <w:rPr>
          <w:rFonts w:ascii="Times New Roman" w:eastAsia="MS Mincho" w:hAnsi="Times New Roman"/>
          <w:b/>
          <w:sz w:val="23"/>
          <w:szCs w:val="23"/>
          <w:lang w:val="tr-TR"/>
        </w:rPr>
        <w:t xml:space="preserve"> </w:t>
      </w:r>
      <w:r w:rsidRPr="001A4B94">
        <w:rPr>
          <w:rFonts w:ascii="Times New Roman" w:eastAsia="MS Mincho" w:hAnsi="Times New Roman"/>
          <w:b/>
          <w:sz w:val="23"/>
          <w:szCs w:val="23"/>
          <w:lang w:val="tr-TR"/>
        </w:rPr>
        <w:t>şehirlerin sürdürüleb</w:t>
      </w:r>
      <w:r w:rsidR="000125A5" w:rsidRPr="001A4B94">
        <w:rPr>
          <w:rFonts w:ascii="Times New Roman" w:eastAsia="MS Mincho" w:hAnsi="Times New Roman"/>
          <w:b/>
          <w:sz w:val="23"/>
          <w:szCs w:val="23"/>
          <w:lang w:val="tr-TR"/>
        </w:rPr>
        <w:t>i</w:t>
      </w:r>
      <w:r w:rsidRPr="001A4B94">
        <w:rPr>
          <w:rFonts w:ascii="Times New Roman" w:eastAsia="MS Mincho" w:hAnsi="Times New Roman"/>
          <w:b/>
          <w:sz w:val="23"/>
          <w:szCs w:val="23"/>
          <w:lang w:val="tr-TR"/>
        </w:rPr>
        <w:t>lir ve afetlere karşı dayanıklı hale gelmelerine yardımcı olmak üzer</w:t>
      </w:r>
      <w:r w:rsidR="000125A5" w:rsidRPr="001A4B94">
        <w:rPr>
          <w:rFonts w:ascii="Times New Roman" w:eastAsia="MS Mincho" w:hAnsi="Times New Roman"/>
          <w:b/>
          <w:sz w:val="23"/>
          <w:szCs w:val="23"/>
          <w:lang w:val="tr-TR"/>
        </w:rPr>
        <w:t>i</w:t>
      </w:r>
      <w:r w:rsidRPr="001A4B94">
        <w:rPr>
          <w:rFonts w:ascii="Times New Roman" w:eastAsia="MS Mincho" w:hAnsi="Times New Roman"/>
          <w:b/>
          <w:sz w:val="23"/>
          <w:szCs w:val="23"/>
          <w:lang w:val="tr-TR"/>
        </w:rPr>
        <w:t>nde odaklanmaya devam edecektir.</w:t>
      </w:r>
      <w:r w:rsidR="006E2AC3" w:rsidRPr="001A4B94">
        <w:rPr>
          <w:rFonts w:ascii="Times New Roman" w:eastAsia="MS Mincho" w:hAnsi="Times New Roman"/>
          <w:sz w:val="23"/>
          <w:szCs w:val="23"/>
          <w:lang w:val="tr-TR"/>
        </w:rPr>
        <w:t xml:space="preserve"> </w:t>
      </w:r>
      <w:r w:rsidRPr="001A4B94">
        <w:rPr>
          <w:rFonts w:ascii="Times New Roman" w:eastAsia="MS Mincho" w:hAnsi="Times New Roman"/>
          <w:sz w:val="23"/>
          <w:szCs w:val="23"/>
          <w:lang w:val="tr-TR"/>
        </w:rPr>
        <w:t xml:space="preserve">Türkiye’nin </w:t>
      </w:r>
      <w:r w:rsidR="00101C8C" w:rsidRPr="001A4B94">
        <w:rPr>
          <w:rFonts w:ascii="Times New Roman" w:eastAsia="MS Mincho" w:hAnsi="Times New Roman"/>
          <w:sz w:val="23"/>
          <w:szCs w:val="23"/>
          <w:lang w:val="tr-TR"/>
        </w:rPr>
        <w:t>b</w:t>
      </w:r>
      <w:r w:rsidRPr="001A4B94">
        <w:rPr>
          <w:rFonts w:ascii="Times New Roman" w:eastAsia="MS Mincho" w:hAnsi="Times New Roman"/>
          <w:sz w:val="23"/>
          <w:szCs w:val="23"/>
          <w:lang w:val="tr-TR"/>
        </w:rPr>
        <w:t xml:space="preserve">azı </w:t>
      </w:r>
      <w:r w:rsidRPr="001A4B94">
        <w:rPr>
          <w:rFonts w:ascii="Times New Roman" w:eastAsia="MS Mincho" w:hAnsi="Times New Roman"/>
          <w:sz w:val="23"/>
          <w:szCs w:val="23"/>
          <w:lang w:val="tr-TR"/>
        </w:rPr>
        <w:lastRenderedPageBreak/>
        <w:t>şehirlerin</w:t>
      </w:r>
      <w:r w:rsidR="00101C8C" w:rsidRPr="001A4B94">
        <w:rPr>
          <w:rFonts w:ascii="Times New Roman" w:eastAsia="MS Mincho" w:hAnsi="Times New Roman"/>
          <w:sz w:val="23"/>
          <w:szCs w:val="23"/>
          <w:lang w:val="tr-TR"/>
        </w:rPr>
        <w:t>d</w:t>
      </w:r>
      <w:r w:rsidRPr="001A4B94">
        <w:rPr>
          <w:rFonts w:ascii="Times New Roman" w:eastAsia="MS Mincho" w:hAnsi="Times New Roman"/>
          <w:sz w:val="23"/>
          <w:szCs w:val="23"/>
          <w:lang w:val="tr-TR"/>
        </w:rPr>
        <w:t>e yük</w:t>
      </w:r>
      <w:r w:rsidR="00101C8C" w:rsidRPr="001A4B94">
        <w:rPr>
          <w:rFonts w:ascii="Times New Roman" w:eastAsia="MS Mincho" w:hAnsi="Times New Roman"/>
          <w:sz w:val="23"/>
          <w:szCs w:val="23"/>
          <w:lang w:val="tr-TR"/>
        </w:rPr>
        <w:t>s</w:t>
      </w:r>
      <w:r w:rsidRPr="001A4B94">
        <w:rPr>
          <w:rFonts w:ascii="Times New Roman" w:eastAsia="MS Mincho" w:hAnsi="Times New Roman"/>
          <w:sz w:val="23"/>
          <w:szCs w:val="23"/>
          <w:lang w:val="tr-TR"/>
        </w:rPr>
        <w:t>ek nüfus artışı</w:t>
      </w:r>
      <w:r w:rsidR="00101C8C" w:rsidRPr="001A4B94">
        <w:rPr>
          <w:rFonts w:ascii="Times New Roman" w:eastAsia="MS Mincho" w:hAnsi="Times New Roman"/>
          <w:sz w:val="23"/>
          <w:szCs w:val="23"/>
          <w:lang w:val="tr-TR"/>
        </w:rPr>
        <w:t>, bağlantı olanaklarını ve yığınlaşma faydalarını olumsuz etkileyebilecek</w:t>
      </w:r>
      <w:r w:rsidRPr="001A4B94">
        <w:rPr>
          <w:rFonts w:ascii="Times New Roman" w:eastAsia="MS Mincho" w:hAnsi="Times New Roman"/>
          <w:sz w:val="23"/>
          <w:szCs w:val="23"/>
          <w:lang w:val="tr-TR"/>
        </w:rPr>
        <w:t xml:space="preserve"> </w:t>
      </w:r>
      <w:r w:rsidR="00101C8C" w:rsidRPr="001A4B94">
        <w:rPr>
          <w:rFonts w:ascii="Times New Roman" w:eastAsia="MS Mincho" w:hAnsi="Times New Roman"/>
          <w:sz w:val="23"/>
          <w:szCs w:val="23"/>
          <w:lang w:val="tr-TR"/>
        </w:rPr>
        <w:t>trafik sıkışıklıklarına ve çevresel bozunuma yol açmıştır</w:t>
      </w:r>
      <w:r w:rsidR="00456222" w:rsidRPr="001A4B94">
        <w:rPr>
          <w:rFonts w:ascii="Times New Roman" w:eastAsia="MS Mincho" w:hAnsi="Times New Roman"/>
          <w:sz w:val="23"/>
          <w:szCs w:val="23"/>
          <w:lang w:val="tr-TR"/>
        </w:rPr>
        <w:t xml:space="preserve">. </w:t>
      </w:r>
      <w:r w:rsidR="00CF5FF4" w:rsidRPr="001A4B94">
        <w:rPr>
          <w:rFonts w:ascii="Times New Roman" w:eastAsia="MS Mincho" w:hAnsi="Times New Roman"/>
          <w:sz w:val="23"/>
          <w:szCs w:val="23"/>
          <w:lang w:val="tr-TR"/>
        </w:rPr>
        <w:t xml:space="preserve">Türkiye </w:t>
      </w:r>
      <w:r w:rsidR="00431355" w:rsidRPr="001A4B94">
        <w:rPr>
          <w:rFonts w:ascii="Times New Roman" w:eastAsia="MS Mincho" w:hAnsi="Times New Roman"/>
          <w:sz w:val="23"/>
          <w:szCs w:val="23"/>
          <w:lang w:val="tr-TR"/>
        </w:rPr>
        <w:t>bu zorluğa karşı şehirlerin hizmetlerini çevresel ve sosyal açıdan daha sürdürülebilir yollarla planlama, i</w:t>
      </w:r>
      <w:r w:rsidR="001B3936" w:rsidRPr="001A4B94">
        <w:rPr>
          <w:rFonts w:ascii="Times New Roman" w:eastAsia="MS Mincho" w:hAnsi="Times New Roman"/>
          <w:sz w:val="23"/>
          <w:szCs w:val="23"/>
          <w:lang w:val="tr-TR"/>
        </w:rPr>
        <w:t>n</w:t>
      </w:r>
      <w:r w:rsidR="00431355" w:rsidRPr="001A4B94">
        <w:rPr>
          <w:rFonts w:ascii="Times New Roman" w:eastAsia="MS Mincho" w:hAnsi="Times New Roman"/>
          <w:sz w:val="23"/>
          <w:szCs w:val="23"/>
          <w:lang w:val="tr-TR"/>
        </w:rPr>
        <w:t xml:space="preserve">şa etme ve sunma ihtiyaçları üzerinde odaklanan </w:t>
      </w:r>
      <w:r w:rsidR="00F704C3" w:rsidRPr="001A4B94">
        <w:rPr>
          <w:rFonts w:ascii="Times New Roman" w:eastAsia="MS Mincho" w:hAnsi="Times New Roman"/>
          <w:sz w:val="23"/>
          <w:szCs w:val="23"/>
          <w:lang w:val="tr-TR"/>
        </w:rPr>
        <w:t>bir “Akıllı Şehirler” yaklaşımını takip etmektedir.  Dünya Bankası Grubu</w:t>
      </w:r>
      <w:r w:rsidR="00622BE0" w:rsidRPr="001A4B94">
        <w:rPr>
          <w:rFonts w:ascii="Times New Roman" w:eastAsia="MS Mincho" w:hAnsi="Times New Roman"/>
          <w:sz w:val="23"/>
          <w:szCs w:val="23"/>
          <w:lang w:val="tr-TR"/>
        </w:rPr>
        <w:t xml:space="preserve">, IBRD ile IFC arasındaki bir yatırım koordinasyon platformu  yoluyla basamaklı </w:t>
      </w:r>
      <w:r w:rsidR="00F424F2" w:rsidRPr="001A4B94">
        <w:rPr>
          <w:rFonts w:ascii="Times New Roman" w:eastAsia="MS Mincho" w:hAnsi="Times New Roman"/>
          <w:sz w:val="23"/>
          <w:szCs w:val="23"/>
          <w:lang w:val="tr-TR"/>
        </w:rPr>
        <w:t>bir yaklaşım getiren Sürdürülebilir Şehirler Programı kapsamında destek sağlamaktadır</w:t>
      </w:r>
      <w:r w:rsidR="00BC5E0D" w:rsidRPr="001A4B94">
        <w:rPr>
          <w:rFonts w:ascii="Times New Roman" w:eastAsia="MS Mincho" w:hAnsi="Times New Roman"/>
          <w:sz w:val="23"/>
          <w:szCs w:val="23"/>
          <w:lang w:val="tr-TR"/>
        </w:rPr>
        <w:t xml:space="preserve">. </w:t>
      </w:r>
      <w:r w:rsidR="00F424F2" w:rsidRPr="001A4B94">
        <w:rPr>
          <w:rFonts w:ascii="Times New Roman" w:eastAsia="MS Mincho" w:hAnsi="Times New Roman"/>
          <w:sz w:val="23"/>
          <w:szCs w:val="23"/>
          <w:lang w:val="tr-TR"/>
        </w:rPr>
        <w:t xml:space="preserve">Sürdürülebilir Şehirler Programı kapsamında DBG </w:t>
      </w:r>
      <w:r w:rsidR="00C6662B" w:rsidRPr="001A4B94">
        <w:rPr>
          <w:rFonts w:ascii="Times New Roman" w:eastAsia="MS Mincho" w:hAnsi="Times New Roman"/>
          <w:sz w:val="23"/>
          <w:szCs w:val="23"/>
          <w:lang w:val="tr-TR"/>
        </w:rPr>
        <w:t xml:space="preserve">merkezi hükümet ile </w:t>
      </w:r>
      <w:r w:rsidR="00BC5E0D" w:rsidRPr="001A4B94">
        <w:rPr>
          <w:rFonts w:ascii="Times New Roman" w:hAnsi="Times New Roman"/>
          <w:color w:val="000000" w:themeColor="text1"/>
          <w:sz w:val="23"/>
          <w:szCs w:val="23"/>
          <w:lang w:val="tr-TR"/>
        </w:rPr>
        <w:t xml:space="preserve"> </w:t>
      </w:r>
      <w:r w:rsidR="00C6662B" w:rsidRPr="001A4B94">
        <w:rPr>
          <w:rFonts w:ascii="Times New Roman" w:hAnsi="Times New Roman"/>
          <w:color w:val="000000" w:themeColor="text1"/>
          <w:sz w:val="23"/>
          <w:szCs w:val="23"/>
          <w:lang w:val="tr-TR"/>
        </w:rPr>
        <w:t>mevcut belediye finansman ve yatırım çerçevesinin modernize edilmesine yardımcı olacak politika değişiklikleri ve düzenleyici değişiklikler hakkında yapıcı bir diyalogun sürdürülmesi yoluyla finansmanı en üst düzeye çıkarmayı amaçlamaktadır</w:t>
      </w:r>
      <w:r w:rsidR="00A75FD2" w:rsidRPr="001A4B94">
        <w:rPr>
          <w:rFonts w:ascii="Times New Roman" w:hAnsi="Times New Roman"/>
          <w:color w:val="000000" w:themeColor="text1"/>
          <w:sz w:val="23"/>
          <w:szCs w:val="23"/>
          <w:lang w:val="tr-TR"/>
        </w:rPr>
        <w:t xml:space="preserve">. </w:t>
      </w:r>
      <w:r w:rsidR="00C6662B" w:rsidRPr="001A4B94">
        <w:rPr>
          <w:rFonts w:ascii="Times New Roman" w:hAnsi="Times New Roman"/>
          <w:color w:val="000000" w:themeColor="text1"/>
          <w:sz w:val="23"/>
          <w:szCs w:val="23"/>
          <w:lang w:val="tr-TR"/>
        </w:rPr>
        <w:t xml:space="preserve">Bu </w:t>
      </w:r>
      <w:r w:rsidR="00A877FC" w:rsidRPr="001A4B94">
        <w:rPr>
          <w:rFonts w:ascii="Times New Roman" w:hAnsi="Times New Roman"/>
          <w:color w:val="000000" w:themeColor="text1"/>
          <w:sz w:val="23"/>
          <w:szCs w:val="23"/>
          <w:lang w:val="tr-TR"/>
        </w:rPr>
        <w:t xml:space="preserve">kapsamda </w:t>
      </w:r>
      <w:r w:rsidR="00A37249" w:rsidRPr="001A4B94">
        <w:rPr>
          <w:rFonts w:ascii="Times New Roman" w:hAnsi="Times New Roman"/>
          <w:color w:val="000000" w:themeColor="text1"/>
          <w:sz w:val="23"/>
          <w:szCs w:val="23"/>
          <w:lang w:val="tr-TR"/>
        </w:rPr>
        <w:t>şehirlerin imtiyazlı finansmana erişim için kredi değerliklerini arttırmalarına ve kamu finansmanını en fazla ihtiyaç duyulan yerlerde yoğunlaştırmalarına destek sağlanacaktır</w:t>
      </w:r>
      <w:r w:rsidR="00BC5E0D" w:rsidRPr="001A4B94">
        <w:rPr>
          <w:rFonts w:ascii="Times New Roman" w:hAnsi="Times New Roman"/>
          <w:color w:val="000000" w:themeColor="text1"/>
          <w:sz w:val="23"/>
          <w:szCs w:val="23"/>
          <w:lang w:val="tr-TR"/>
        </w:rPr>
        <w:t xml:space="preserve">. </w:t>
      </w:r>
      <w:r w:rsidR="00A37249" w:rsidRPr="001A4B94">
        <w:rPr>
          <w:rFonts w:ascii="Times New Roman" w:hAnsi="Times New Roman"/>
          <w:color w:val="000000" w:themeColor="text1"/>
          <w:sz w:val="23"/>
          <w:szCs w:val="23"/>
          <w:lang w:val="tr-TR"/>
        </w:rPr>
        <w:t>K</w:t>
      </w:r>
      <w:r w:rsidR="00A37249" w:rsidRPr="001A4B94">
        <w:rPr>
          <w:rFonts w:ascii="Times New Roman" w:eastAsia="MS Mincho" w:hAnsi="Times New Roman"/>
          <w:sz w:val="23"/>
          <w:szCs w:val="23"/>
          <w:lang w:val="tr-TR"/>
        </w:rPr>
        <w:t>entsel dönüşüm (konutlar dahil olmak üzere) ile ilgili konularda şehirlere ve belediyelere sağlanacak p</w:t>
      </w:r>
      <w:r w:rsidR="00A37249" w:rsidRPr="001A4B94">
        <w:rPr>
          <w:rFonts w:ascii="Times New Roman" w:hAnsi="Times New Roman"/>
          <w:color w:val="000000" w:themeColor="text1"/>
          <w:sz w:val="23"/>
          <w:szCs w:val="23"/>
          <w:lang w:val="tr-TR"/>
        </w:rPr>
        <w:t>olitika danışmanlığı</w:t>
      </w:r>
      <w:r w:rsidR="00F91232" w:rsidRPr="001A4B94">
        <w:rPr>
          <w:rFonts w:ascii="Times New Roman" w:eastAsia="MS Mincho" w:hAnsi="Times New Roman"/>
          <w:sz w:val="23"/>
          <w:szCs w:val="23"/>
          <w:lang w:val="tr-TR"/>
        </w:rPr>
        <w:t xml:space="preserve">, </w:t>
      </w:r>
      <w:r w:rsidR="00A37249" w:rsidRPr="001A4B94">
        <w:rPr>
          <w:rFonts w:ascii="Times New Roman" w:eastAsia="MS Mincho" w:hAnsi="Times New Roman"/>
          <w:sz w:val="23"/>
          <w:szCs w:val="23"/>
          <w:lang w:val="tr-TR"/>
        </w:rPr>
        <w:t xml:space="preserve">teknik yardım ve kapasite oluşturma desteği,  </w:t>
      </w:r>
      <w:r w:rsidR="005F6035" w:rsidRPr="001A4B94">
        <w:rPr>
          <w:rFonts w:ascii="Times New Roman" w:eastAsia="MS Mincho" w:hAnsi="Times New Roman"/>
          <w:sz w:val="23"/>
          <w:szCs w:val="23"/>
          <w:lang w:val="tr-TR"/>
        </w:rPr>
        <w:t>IFC ve MIGA tarafından desteklenen özel sektör yatırımların artmasının yolunu açabilir</w:t>
      </w:r>
      <w:r w:rsidR="00BC5E0D" w:rsidRPr="001A4B94">
        <w:rPr>
          <w:rFonts w:ascii="Times New Roman" w:eastAsia="MS Mincho" w:hAnsi="Times New Roman"/>
          <w:sz w:val="23"/>
          <w:szCs w:val="23"/>
          <w:lang w:val="tr-TR"/>
        </w:rPr>
        <w:t xml:space="preserve">.  </w:t>
      </w:r>
      <w:r w:rsidR="005F6035" w:rsidRPr="001A4B94">
        <w:rPr>
          <w:rFonts w:ascii="Times New Roman" w:eastAsia="MS Mincho" w:hAnsi="Times New Roman"/>
          <w:sz w:val="23"/>
          <w:szCs w:val="23"/>
          <w:lang w:val="tr-TR"/>
        </w:rPr>
        <w:t>Özellikle, IBRD’nin</w:t>
      </w:r>
      <w:r w:rsidR="00C21E5C" w:rsidRPr="001A4B94">
        <w:rPr>
          <w:rFonts w:ascii="Times New Roman" w:eastAsia="MS Mincho" w:hAnsi="Times New Roman"/>
          <w:sz w:val="23"/>
          <w:szCs w:val="23"/>
          <w:lang w:val="tr-TR"/>
        </w:rPr>
        <w:t xml:space="preserve"> kentsel planlamayı, altyapı ve sermaye yatırım planlamasını geliştirme ve belediyelerin finansal kapasitelerini </w:t>
      </w:r>
      <w:r w:rsidR="00C21E5C" w:rsidRPr="001A4B94">
        <w:rPr>
          <w:rFonts w:ascii="Times New Roman" w:hAnsi="Times New Roman"/>
          <w:color w:val="000000" w:themeColor="text1"/>
          <w:sz w:val="23"/>
          <w:szCs w:val="23"/>
          <w:lang w:val="tr-TR"/>
        </w:rPr>
        <w:t xml:space="preserve">(kredi değerlikleri dahil olmak üzere)  </w:t>
      </w:r>
      <w:r w:rsidR="00C21E5C" w:rsidRPr="001A4B94">
        <w:rPr>
          <w:rFonts w:ascii="Times New Roman" w:eastAsia="MS Mincho" w:hAnsi="Times New Roman"/>
          <w:sz w:val="23"/>
          <w:szCs w:val="23"/>
          <w:lang w:val="tr-TR"/>
        </w:rPr>
        <w:t xml:space="preserve">güçlendirme </w:t>
      </w:r>
      <w:r w:rsidR="00BC5E0D" w:rsidRPr="001A4B94">
        <w:rPr>
          <w:rFonts w:ascii="Times New Roman" w:eastAsia="MS Mincho" w:hAnsi="Times New Roman"/>
          <w:sz w:val="23"/>
          <w:szCs w:val="23"/>
          <w:lang w:val="tr-TR"/>
        </w:rPr>
        <w:t xml:space="preserve"> </w:t>
      </w:r>
      <w:r w:rsidR="00C21E5C" w:rsidRPr="001A4B94">
        <w:rPr>
          <w:rFonts w:ascii="Times New Roman" w:eastAsia="MS Mincho" w:hAnsi="Times New Roman"/>
          <w:sz w:val="23"/>
          <w:szCs w:val="23"/>
          <w:lang w:val="tr-TR"/>
        </w:rPr>
        <w:t>çabalarında belediyeleri desteklemek için İller Bankası ile yürüttüğü işbirliği</w:t>
      </w:r>
      <w:r w:rsidR="008E0DFA" w:rsidRPr="001A4B94">
        <w:rPr>
          <w:rFonts w:ascii="Times New Roman" w:eastAsia="MS Mincho" w:hAnsi="Times New Roman"/>
          <w:sz w:val="23"/>
          <w:szCs w:val="23"/>
          <w:lang w:val="tr-TR"/>
        </w:rPr>
        <w:t>,</w:t>
      </w:r>
      <w:r w:rsidR="00C21E5C" w:rsidRPr="001A4B94">
        <w:rPr>
          <w:rFonts w:ascii="Times New Roman" w:eastAsia="MS Mincho" w:hAnsi="Times New Roman"/>
          <w:sz w:val="23"/>
          <w:szCs w:val="23"/>
          <w:lang w:val="tr-TR"/>
        </w:rPr>
        <w:t xml:space="preserve"> Dünya Bankası Grubu’nun özellikle sınır bölgelerinde ve yetersiz hizmet alan bölgelerde yer alan şehirler olmak üzere ikinci kademe  şehirlere desteğini arttırmasını sağlayacak</w:t>
      </w:r>
      <w:r w:rsidR="00847124" w:rsidRPr="001A4B94">
        <w:rPr>
          <w:rFonts w:ascii="Times New Roman" w:hAnsi="Times New Roman"/>
          <w:color w:val="000000" w:themeColor="text1"/>
          <w:sz w:val="23"/>
          <w:szCs w:val="23"/>
          <w:lang w:val="tr-TR"/>
        </w:rPr>
        <w:t>,</w:t>
      </w:r>
      <w:r w:rsidR="00BC5E0D" w:rsidRPr="001A4B94">
        <w:rPr>
          <w:rFonts w:ascii="Times New Roman" w:hAnsi="Times New Roman"/>
          <w:color w:val="000000" w:themeColor="text1"/>
          <w:sz w:val="23"/>
          <w:szCs w:val="23"/>
          <w:lang w:val="tr-TR"/>
        </w:rPr>
        <w:t xml:space="preserve"> </w:t>
      </w:r>
      <w:r w:rsidR="008E0DFA" w:rsidRPr="001A4B94">
        <w:rPr>
          <w:rFonts w:ascii="Times New Roman" w:hAnsi="Times New Roman"/>
          <w:color w:val="000000" w:themeColor="text1"/>
          <w:sz w:val="23"/>
          <w:szCs w:val="23"/>
          <w:lang w:val="tr-TR"/>
        </w:rPr>
        <w:t>böylelikle hayati altyapı ihtiyaçları için doğrudan sermaye piyasalarından finansman temin edebilmelerini öngören nihai hedefe ulaşmalarına katkıda bulunacaktır</w:t>
      </w:r>
      <w:r w:rsidR="00BC5E0D" w:rsidRPr="001A4B94">
        <w:rPr>
          <w:rFonts w:ascii="Times New Roman" w:hAnsi="Times New Roman"/>
          <w:color w:val="000000" w:themeColor="text1"/>
          <w:sz w:val="23"/>
          <w:szCs w:val="23"/>
          <w:lang w:val="tr-TR"/>
        </w:rPr>
        <w:t xml:space="preserve">. </w:t>
      </w:r>
      <w:r w:rsidR="008E0DFA" w:rsidRPr="001A4B94">
        <w:rPr>
          <w:rFonts w:ascii="Times New Roman" w:hAnsi="Times New Roman"/>
          <w:color w:val="000000" w:themeColor="text1"/>
          <w:sz w:val="23"/>
          <w:szCs w:val="23"/>
          <w:lang w:val="tr-TR"/>
        </w:rPr>
        <w:t xml:space="preserve">Belediye finansman seçeneklerinin arttırılması </w:t>
      </w:r>
      <w:r w:rsidR="00BC5E0D" w:rsidRPr="001A4B94">
        <w:rPr>
          <w:rFonts w:ascii="Times New Roman" w:hAnsi="Times New Roman"/>
          <w:color w:val="000000" w:themeColor="text1"/>
          <w:sz w:val="23"/>
          <w:szCs w:val="23"/>
          <w:lang w:val="tr-TR"/>
        </w:rPr>
        <w:t>(</w:t>
      </w:r>
      <w:r w:rsidR="008E0DFA" w:rsidRPr="001A4B94">
        <w:rPr>
          <w:rFonts w:ascii="Times New Roman" w:hAnsi="Times New Roman"/>
          <w:color w:val="000000" w:themeColor="text1"/>
          <w:sz w:val="23"/>
          <w:szCs w:val="23"/>
          <w:lang w:val="tr-TR"/>
        </w:rPr>
        <w:t>tahvil piyasası ve döviz riskinden korunma araçları dahil olmak üzere</w:t>
      </w:r>
      <w:r w:rsidR="00BC5E0D" w:rsidRPr="001A4B94">
        <w:rPr>
          <w:rFonts w:ascii="Times New Roman" w:hAnsi="Times New Roman"/>
          <w:color w:val="000000" w:themeColor="text1"/>
          <w:sz w:val="23"/>
          <w:szCs w:val="23"/>
          <w:lang w:val="tr-TR"/>
        </w:rPr>
        <w:t xml:space="preserve">) </w:t>
      </w:r>
      <w:r w:rsidR="008E0DFA" w:rsidRPr="001A4B94">
        <w:rPr>
          <w:rFonts w:ascii="Times New Roman" w:hAnsi="Times New Roman"/>
          <w:color w:val="000000" w:themeColor="text1"/>
          <w:sz w:val="23"/>
          <w:szCs w:val="23"/>
          <w:lang w:val="tr-TR"/>
        </w:rPr>
        <w:t>ve etkili bir belediye KÖİ çerçevesi DBG işbirliğinin devam ettirilmesi gereken alanlardır</w:t>
      </w:r>
      <w:r w:rsidR="00847124" w:rsidRPr="001A4B94">
        <w:rPr>
          <w:rFonts w:ascii="Times New Roman" w:hAnsi="Times New Roman"/>
          <w:color w:val="000000" w:themeColor="text1"/>
          <w:sz w:val="23"/>
          <w:szCs w:val="23"/>
          <w:lang w:val="tr-TR"/>
        </w:rPr>
        <w:t xml:space="preserve">.  </w:t>
      </w:r>
      <w:r w:rsidR="008E0DFA" w:rsidRPr="001A4B94">
        <w:rPr>
          <w:rFonts w:ascii="Times New Roman" w:hAnsi="Times New Roman"/>
          <w:color w:val="000000" w:themeColor="text1"/>
          <w:sz w:val="23"/>
          <w:szCs w:val="23"/>
          <w:lang w:val="tr-TR"/>
        </w:rPr>
        <w:t>Son olarak</w:t>
      </w:r>
      <w:r w:rsidR="00847124" w:rsidRPr="001A4B94">
        <w:rPr>
          <w:rFonts w:ascii="Times New Roman" w:hAnsi="Times New Roman"/>
          <w:color w:val="000000" w:themeColor="text1"/>
          <w:sz w:val="23"/>
          <w:szCs w:val="23"/>
          <w:lang w:val="tr-TR"/>
        </w:rPr>
        <w:t xml:space="preserve">, </w:t>
      </w:r>
      <w:r w:rsidR="006E5C1D" w:rsidRPr="001A4B94">
        <w:rPr>
          <w:rFonts w:ascii="Times New Roman" w:hAnsi="Times New Roman"/>
          <w:color w:val="000000" w:themeColor="text1"/>
          <w:sz w:val="23"/>
          <w:szCs w:val="23"/>
          <w:lang w:val="tr-TR"/>
        </w:rPr>
        <w:t xml:space="preserve">küresel en iyi uygulamaların paylaşılabilmesi amacıyla, düşük karbonlu kentsel yönetim desteği ve büyük kent merkezlerinde </w:t>
      </w:r>
      <w:r w:rsidR="00BC5E0D" w:rsidRPr="001A4B94">
        <w:rPr>
          <w:rFonts w:ascii="Times New Roman" w:hAnsi="Times New Roman"/>
          <w:color w:val="000000" w:themeColor="text1"/>
          <w:sz w:val="23"/>
          <w:szCs w:val="23"/>
          <w:lang w:val="tr-TR"/>
        </w:rPr>
        <w:t xml:space="preserve"> </w:t>
      </w:r>
      <w:r w:rsidR="006E5C1D" w:rsidRPr="001A4B94">
        <w:rPr>
          <w:rFonts w:ascii="Times New Roman" w:hAnsi="Times New Roman"/>
          <w:color w:val="000000" w:themeColor="text1"/>
          <w:sz w:val="23"/>
          <w:szCs w:val="23"/>
          <w:lang w:val="tr-TR"/>
        </w:rPr>
        <w:t>ilgili yatırımların tespiti ile ilgili çalışma imkanları araştırılacaktır</w:t>
      </w:r>
      <w:r w:rsidR="00BC5E0D" w:rsidRPr="001A4B94">
        <w:rPr>
          <w:rFonts w:ascii="Times New Roman" w:hAnsi="Times New Roman"/>
          <w:color w:val="000000" w:themeColor="text1"/>
          <w:sz w:val="23"/>
          <w:szCs w:val="23"/>
          <w:lang w:val="tr-TR"/>
        </w:rPr>
        <w:t xml:space="preserve">. </w:t>
      </w:r>
    </w:p>
    <w:p w14:paraId="1CAC621C" w14:textId="77777777" w:rsidR="00101C8C" w:rsidRPr="001A4B94" w:rsidRDefault="00101C8C" w:rsidP="00101C8C">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2885612D" w14:textId="7855708B" w:rsidR="00BC5E0D" w:rsidRPr="001A4B94" w:rsidRDefault="006E5C1D" w:rsidP="00BC5E0D">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eastAsia="MS Mincho" w:hAnsi="Times New Roman"/>
          <w:b/>
          <w:sz w:val="23"/>
          <w:szCs w:val="23"/>
          <w:lang w:val="tr-TR"/>
        </w:rPr>
        <w:t>IBRD’nin</w:t>
      </w:r>
      <w:r w:rsidR="00BC5E0D" w:rsidRPr="001A4B94">
        <w:rPr>
          <w:rFonts w:ascii="Times New Roman" w:eastAsia="MS Mincho" w:hAnsi="Times New Roman"/>
          <w:b/>
          <w:sz w:val="23"/>
          <w:szCs w:val="23"/>
          <w:lang w:val="tr-TR"/>
        </w:rPr>
        <w:t xml:space="preserve"> </w:t>
      </w:r>
      <w:r w:rsidRPr="001A4B94">
        <w:rPr>
          <w:rFonts w:ascii="Times New Roman" w:eastAsia="MS Mincho" w:hAnsi="Times New Roman"/>
          <w:b/>
          <w:sz w:val="23"/>
          <w:szCs w:val="23"/>
          <w:lang w:val="tr-TR"/>
        </w:rPr>
        <w:t>kredi portföyü</w:t>
      </w:r>
      <w:r w:rsidR="0011144B" w:rsidRPr="001A4B94">
        <w:rPr>
          <w:rFonts w:ascii="Times New Roman" w:eastAsia="MS Mincho" w:hAnsi="Times New Roman"/>
          <w:b/>
          <w:sz w:val="23"/>
          <w:szCs w:val="23"/>
          <w:lang w:val="tr-TR"/>
        </w:rPr>
        <w:t xml:space="preserve">, karşılaştırmalı avantaja sahip olduğu bilinen </w:t>
      </w:r>
      <w:r w:rsidR="008B6CEF" w:rsidRPr="001A4B94">
        <w:rPr>
          <w:rFonts w:ascii="Times New Roman" w:eastAsia="MS Mincho" w:hAnsi="Times New Roman"/>
          <w:b/>
          <w:sz w:val="23"/>
          <w:szCs w:val="23"/>
          <w:lang w:val="tr-TR"/>
        </w:rPr>
        <w:t>alanlara dayalı olarak strateji</w:t>
      </w:r>
      <w:r w:rsidR="0011144B" w:rsidRPr="001A4B94">
        <w:rPr>
          <w:rFonts w:ascii="Times New Roman" w:eastAsia="MS Mincho" w:hAnsi="Times New Roman"/>
          <w:b/>
          <w:sz w:val="23"/>
          <w:szCs w:val="23"/>
          <w:lang w:val="tr-TR"/>
        </w:rPr>
        <w:t>k y</w:t>
      </w:r>
      <w:r w:rsidR="008B6CEF" w:rsidRPr="001A4B94">
        <w:rPr>
          <w:rFonts w:ascii="Times New Roman" w:eastAsia="MS Mincho" w:hAnsi="Times New Roman"/>
          <w:b/>
          <w:sz w:val="23"/>
          <w:szCs w:val="23"/>
          <w:lang w:val="tr-TR"/>
        </w:rPr>
        <w:t>a</w:t>
      </w:r>
      <w:r w:rsidR="0011144B" w:rsidRPr="001A4B94">
        <w:rPr>
          <w:rFonts w:ascii="Times New Roman" w:eastAsia="MS Mincho" w:hAnsi="Times New Roman"/>
          <w:b/>
          <w:sz w:val="23"/>
          <w:szCs w:val="23"/>
          <w:lang w:val="tr-TR"/>
        </w:rPr>
        <w:t>tırıml</w:t>
      </w:r>
      <w:r w:rsidR="008B6CEF" w:rsidRPr="001A4B94">
        <w:rPr>
          <w:rFonts w:ascii="Times New Roman" w:eastAsia="MS Mincho" w:hAnsi="Times New Roman"/>
          <w:b/>
          <w:sz w:val="23"/>
          <w:szCs w:val="23"/>
          <w:lang w:val="tr-TR"/>
        </w:rPr>
        <w:t>a</w:t>
      </w:r>
      <w:r w:rsidR="0011144B" w:rsidRPr="001A4B94">
        <w:rPr>
          <w:rFonts w:ascii="Times New Roman" w:eastAsia="MS Mincho" w:hAnsi="Times New Roman"/>
          <w:b/>
          <w:sz w:val="23"/>
          <w:szCs w:val="23"/>
          <w:lang w:val="tr-TR"/>
        </w:rPr>
        <w:t>rı hedeflemeye devam edecektir.</w:t>
      </w:r>
      <w:r w:rsidR="00BC5E0D" w:rsidRPr="001A4B94">
        <w:rPr>
          <w:rFonts w:ascii="Times New Roman" w:eastAsia="MS Mincho" w:hAnsi="Times New Roman"/>
          <w:sz w:val="23"/>
          <w:szCs w:val="23"/>
          <w:lang w:val="tr-TR"/>
        </w:rPr>
        <w:t xml:space="preserve">  </w:t>
      </w:r>
      <w:r w:rsidR="0011144B" w:rsidRPr="001A4B94">
        <w:rPr>
          <w:rFonts w:ascii="Times New Roman" w:eastAsia="MS Mincho" w:hAnsi="Times New Roman"/>
          <w:sz w:val="23"/>
          <w:szCs w:val="23"/>
          <w:lang w:val="tr-TR"/>
        </w:rPr>
        <w:t>2016 yılının sonlarında onaylanan Sürdürüleb</w:t>
      </w:r>
      <w:r w:rsidR="008B6CEF" w:rsidRPr="001A4B94">
        <w:rPr>
          <w:rFonts w:ascii="Times New Roman" w:eastAsia="MS Mincho" w:hAnsi="Times New Roman"/>
          <w:sz w:val="23"/>
          <w:szCs w:val="23"/>
          <w:lang w:val="tr-TR"/>
        </w:rPr>
        <w:t>i</w:t>
      </w:r>
      <w:r w:rsidR="0011144B" w:rsidRPr="001A4B94">
        <w:rPr>
          <w:rFonts w:ascii="Times New Roman" w:eastAsia="MS Mincho" w:hAnsi="Times New Roman"/>
          <w:sz w:val="23"/>
          <w:szCs w:val="23"/>
          <w:lang w:val="tr-TR"/>
        </w:rPr>
        <w:t>lir Şehirler Programı</w:t>
      </w:r>
      <w:r w:rsidR="006C4F0F" w:rsidRPr="001A4B94">
        <w:rPr>
          <w:rFonts w:ascii="Times New Roman" w:eastAsia="MS Mincho" w:hAnsi="Times New Roman"/>
          <w:sz w:val="23"/>
          <w:szCs w:val="23"/>
          <w:lang w:val="tr-TR"/>
        </w:rPr>
        <w:t xml:space="preserve"> bir projeler dizisi olarak öngörülmüştür ve </w:t>
      </w:r>
      <w:r w:rsidR="00BC5E0D" w:rsidRPr="001A4B94">
        <w:rPr>
          <w:rFonts w:ascii="Times New Roman" w:eastAsia="MS Mincho" w:hAnsi="Times New Roman"/>
          <w:sz w:val="23"/>
          <w:szCs w:val="23"/>
          <w:lang w:val="tr-TR"/>
        </w:rPr>
        <w:t xml:space="preserve"> </w:t>
      </w:r>
      <w:r w:rsidR="00941EFF" w:rsidRPr="001A4B94">
        <w:rPr>
          <w:rFonts w:ascii="Times New Roman" w:eastAsia="MS Mincho" w:hAnsi="Times New Roman"/>
          <w:sz w:val="23"/>
          <w:szCs w:val="23"/>
          <w:lang w:val="tr-TR"/>
        </w:rPr>
        <w:t>belirli şehirlerin hazırlık duruml</w:t>
      </w:r>
      <w:r w:rsidR="008B6CEF" w:rsidRPr="001A4B94">
        <w:rPr>
          <w:rFonts w:ascii="Times New Roman" w:eastAsia="MS Mincho" w:hAnsi="Times New Roman"/>
          <w:sz w:val="23"/>
          <w:szCs w:val="23"/>
          <w:lang w:val="tr-TR"/>
        </w:rPr>
        <w:t>a</w:t>
      </w:r>
      <w:r w:rsidR="00941EFF" w:rsidRPr="001A4B94">
        <w:rPr>
          <w:rFonts w:ascii="Times New Roman" w:eastAsia="MS Mincho" w:hAnsi="Times New Roman"/>
          <w:sz w:val="23"/>
          <w:szCs w:val="23"/>
          <w:lang w:val="tr-TR"/>
        </w:rPr>
        <w:t>rına ve yatırım planlarına bağlı olarak yeni projeler programa dahil olmaktadır. Program, şehirlerin çevresel, sosyal ve finansal sürdürül</w:t>
      </w:r>
      <w:r w:rsidR="008B6CEF" w:rsidRPr="001A4B94">
        <w:rPr>
          <w:rFonts w:ascii="Times New Roman" w:eastAsia="MS Mincho" w:hAnsi="Times New Roman"/>
          <w:sz w:val="23"/>
          <w:szCs w:val="23"/>
          <w:lang w:val="tr-TR"/>
        </w:rPr>
        <w:t>e</w:t>
      </w:r>
      <w:r w:rsidR="00941EFF" w:rsidRPr="001A4B94">
        <w:rPr>
          <w:rFonts w:ascii="Times New Roman" w:eastAsia="MS Mincho" w:hAnsi="Times New Roman"/>
          <w:sz w:val="23"/>
          <w:szCs w:val="23"/>
          <w:lang w:val="tr-TR"/>
        </w:rPr>
        <w:t>b</w:t>
      </w:r>
      <w:r w:rsidR="008B6CEF" w:rsidRPr="001A4B94">
        <w:rPr>
          <w:rFonts w:ascii="Times New Roman" w:eastAsia="MS Mincho" w:hAnsi="Times New Roman"/>
          <w:sz w:val="23"/>
          <w:szCs w:val="23"/>
          <w:lang w:val="tr-TR"/>
        </w:rPr>
        <w:t>i</w:t>
      </w:r>
      <w:r w:rsidR="00941EFF" w:rsidRPr="001A4B94">
        <w:rPr>
          <w:rFonts w:ascii="Times New Roman" w:eastAsia="MS Mincho" w:hAnsi="Times New Roman"/>
          <w:sz w:val="23"/>
          <w:szCs w:val="23"/>
          <w:lang w:val="tr-TR"/>
        </w:rPr>
        <w:t xml:space="preserve">lirlik zorluklarını aşmalarına yardımcı olacak </w:t>
      </w:r>
      <w:r w:rsidR="00D37105" w:rsidRPr="001A4B94">
        <w:rPr>
          <w:rFonts w:ascii="Times New Roman" w:eastAsia="MS Mincho" w:hAnsi="Times New Roman"/>
          <w:sz w:val="23"/>
          <w:szCs w:val="23"/>
          <w:lang w:val="tr-TR"/>
        </w:rPr>
        <w:t>planlama ve politika analiz çalı</w:t>
      </w:r>
      <w:r w:rsidR="008B6CEF" w:rsidRPr="001A4B94">
        <w:rPr>
          <w:rFonts w:ascii="Times New Roman" w:eastAsia="MS Mincho" w:hAnsi="Times New Roman"/>
          <w:sz w:val="23"/>
          <w:szCs w:val="23"/>
          <w:lang w:val="tr-TR"/>
        </w:rPr>
        <w:t>ş</w:t>
      </w:r>
      <w:r w:rsidR="00D37105" w:rsidRPr="001A4B94">
        <w:rPr>
          <w:rFonts w:ascii="Times New Roman" w:eastAsia="MS Mincho" w:hAnsi="Times New Roman"/>
          <w:sz w:val="23"/>
          <w:szCs w:val="23"/>
          <w:lang w:val="tr-TR"/>
        </w:rPr>
        <w:t>maları için AB finansmanlı bir teknik yardım çalışması da içerecektir.</w:t>
      </w:r>
      <w:r w:rsidR="00B75776" w:rsidRPr="001A4B94">
        <w:rPr>
          <w:rFonts w:ascii="Times New Roman" w:eastAsia="MS Mincho" w:hAnsi="Times New Roman"/>
          <w:sz w:val="23"/>
          <w:szCs w:val="23"/>
          <w:lang w:val="tr-TR"/>
        </w:rPr>
        <w:t xml:space="preserve">  </w:t>
      </w:r>
      <w:r w:rsidR="00D37105" w:rsidRPr="001A4B94">
        <w:rPr>
          <w:rFonts w:ascii="Times New Roman" w:eastAsia="MS Mincho" w:hAnsi="Times New Roman"/>
          <w:sz w:val="23"/>
          <w:szCs w:val="23"/>
          <w:lang w:val="tr-TR"/>
        </w:rPr>
        <w:t xml:space="preserve">Yeni projelerin tasarımında </w:t>
      </w:r>
      <w:r w:rsidR="000E2074" w:rsidRPr="001A4B94">
        <w:rPr>
          <w:rFonts w:ascii="Times New Roman" w:eastAsia="MS Mincho" w:hAnsi="Times New Roman"/>
          <w:sz w:val="23"/>
          <w:szCs w:val="23"/>
          <w:lang w:val="tr-TR"/>
        </w:rPr>
        <w:t>yakın zamanda gerçekleştirilen veya devam etmekte olan ASA çalışmalarından yararlanılacaktır. Bunlar arasında aşağıdakiler yer almakt</w:t>
      </w:r>
      <w:r w:rsidR="008B6CEF" w:rsidRPr="001A4B94">
        <w:rPr>
          <w:rFonts w:ascii="Times New Roman" w:eastAsia="MS Mincho" w:hAnsi="Times New Roman"/>
          <w:sz w:val="23"/>
          <w:szCs w:val="23"/>
          <w:lang w:val="tr-TR"/>
        </w:rPr>
        <w:t>a</w:t>
      </w:r>
      <w:r w:rsidR="000E2074" w:rsidRPr="001A4B94">
        <w:rPr>
          <w:rFonts w:ascii="Times New Roman" w:eastAsia="MS Mincho" w:hAnsi="Times New Roman"/>
          <w:sz w:val="23"/>
          <w:szCs w:val="23"/>
          <w:lang w:val="tr-TR"/>
        </w:rPr>
        <w:t>dır</w:t>
      </w:r>
      <w:r w:rsidR="00243368" w:rsidRPr="001A4B94">
        <w:rPr>
          <w:rFonts w:ascii="Times New Roman" w:eastAsia="MS Mincho" w:hAnsi="Times New Roman"/>
          <w:sz w:val="23"/>
          <w:szCs w:val="23"/>
          <w:lang w:val="tr-TR"/>
        </w:rPr>
        <w:t>:</w:t>
      </w:r>
      <w:r w:rsidR="000E2074" w:rsidRPr="001A4B94">
        <w:rPr>
          <w:rFonts w:ascii="Times New Roman" w:eastAsia="MS Mincho" w:hAnsi="Times New Roman"/>
          <w:sz w:val="23"/>
          <w:szCs w:val="23"/>
          <w:lang w:val="tr-TR"/>
        </w:rPr>
        <w:t xml:space="preserve"> </w:t>
      </w:r>
      <w:r w:rsidR="001419CA" w:rsidRPr="001A4B94">
        <w:rPr>
          <w:rFonts w:ascii="Times New Roman" w:eastAsia="MS Mincho" w:hAnsi="Times New Roman"/>
          <w:sz w:val="23"/>
          <w:szCs w:val="23"/>
          <w:lang w:val="tr-TR"/>
        </w:rPr>
        <w:t xml:space="preserve">(i) </w:t>
      </w:r>
      <w:r w:rsidR="002C45C6" w:rsidRPr="001A4B94">
        <w:rPr>
          <w:rFonts w:ascii="Times New Roman" w:eastAsia="MS Mincho" w:hAnsi="Times New Roman"/>
          <w:sz w:val="23"/>
          <w:szCs w:val="23"/>
          <w:lang w:val="tr-TR"/>
        </w:rPr>
        <w:t xml:space="preserve">kentsel alanlarda sürdürülebilir </w:t>
      </w:r>
      <w:r w:rsidR="007E48FD" w:rsidRPr="001A4B94">
        <w:rPr>
          <w:rFonts w:ascii="Times New Roman" w:eastAsia="MS Mincho" w:hAnsi="Times New Roman"/>
          <w:sz w:val="23"/>
          <w:szCs w:val="23"/>
          <w:lang w:val="tr-TR"/>
        </w:rPr>
        <w:t xml:space="preserve">su temini ve sanitasyon hizmetlerinin sunulması hakkında kısa süre önce yapılan ve AB standartlarına ulaşabilmek için gerekli ilave çabalar ile iklim açısından akıllı yaklaşımlar için operasyonların performansını iyileştirme fırsatlarının (su kayıplarının azaltılması, </w:t>
      </w:r>
      <w:r w:rsidR="00E4021A" w:rsidRPr="001A4B94">
        <w:rPr>
          <w:rFonts w:ascii="Times New Roman" w:eastAsia="MS Mincho" w:hAnsi="Times New Roman"/>
          <w:sz w:val="23"/>
          <w:szCs w:val="23"/>
          <w:lang w:val="tr-TR"/>
        </w:rPr>
        <w:t>atıksu çamuru yönetiminin optimize edilmesi ve arıtılmış atık suların yeniden kullanımı</w:t>
      </w:r>
      <w:r w:rsidR="007E48FD" w:rsidRPr="001A4B94">
        <w:rPr>
          <w:rFonts w:ascii="Times New Roman" w:eastAsia="MS Mincho" w:hAnsi="Times New Roman"/>
          <w:sz w:val="23"/>
          <w:szCs w:val="23"/>
          <w:lang w:val="tr-TR"/>
        </w:rPr>
        <w:t xml:space="preserve">);  analiz edildiği ve nicelleştirildiği bir </w:t>
      </w:r>
      <w:r w:rsidR="00B75776" w:rsidRPr="001A4B94">
        <w:rPr>
          <w:rFonts w:ascii="Times New Roman" w:eastAsia="MS Mincho" w:hAnsi="Times New Roman"/>
          <w:sz w:val="23"/>
          <w:szCs w:val="23"/>
          <w:lang w:val="tr-TR"/>
        </w:rPr>
        <w:t xml:space="preserve">ASA </w:t>
      </w:r>
      <w:r w:rsidR="007E48FD" w:rsidRPr="001A4B94">
        <w:rPr>
          <w:rFonts w:ascii="Times New Roman" w:eastAsia="MS Mincho" w:hAnsi="Times New Roman"/>
          <w:sz w:val="23"/>
          <w:szCs w:val="23"/>
          <w:lang w:val="tr-TR"/>
        </w:rPr>
        <w:t>çalışması;</w:t>
      </w:r>
      <w:r w:rsidR="003101FD" w:rsidRPr="001A4B94">
        <w:rPr>
          <w:rFonts w:ascii="Times New Roman" w:eastAsia="MS Mincho" w:hAnsi="Times New Roman"/>
          <w:sz w:val="23"/>
          <w:szCs w:val="23"/>
          <w:lang w:val="tr-TR"/>
        </w:rPr>
        <w:t xml:space="preserve"> </w:t>
      </w:r>
      <w:r w:rsidR="001419CA" w:rsidRPr="001A4B94">
        <w:rPr>
          <w:rFonts w:ascii="Times New Roman" w:eastAsia="MS Mincho" w:hAnsi="Times New Roman"/>
          <w:sz w:val="23"/>
          <w:szCs w:val="23"/>
          <w:lang w:val="tr-TR"/>
        </w:rPr>
        <w:t xml:space="preserve">(ii) </w:t>
      </w:r>
      <w:r w:rsidR="00E4021A" w:rsidRPr="001A4B94">
        <w:rPr>
          <w:rFonts w:ascii="Times New Roman" w:eastAsia="MS Mincho" w:hAnsi="Times New Roman"/>
          <w:sz w:val="23"/>
          <w:szCs w:val="23"/>
          <w:lang w:val="tr-TR"/>
        </w:rPr>
        <w:t>nüfusun en alt yüzde 40’lık kesiminin konut ihtiyaçlarının karşılanmasına ilişkin bir çalışma</w:t>
      </w:r>
      <w:r w:rsidR="001419CA" w:rsidRPr="001A4B94">
        <w:rPr>
          <w:rFonts w:ascii="Times New Roman" w:eastAsia="MS Mincho" w:hAnsi="Times New Roman"/>
          <w:sz w:val="23"/>
          <w:szCs w:val="23"/>
          <w:lang w:val="tr-TR"/>
        </w:rPr>
        <w:t xml:space="preserve">; </w:t>
      </w:r>
      <w:r w:rsidR="00483F67" w:rsidRPr="001A4B94">
        <w:rPr>
          <w:rFonts w:ascii="Times New Roman" w:eastAsia="MS Mincho" w:hAnsi="Times New Roman"/>
          <w:sz w:val="23"/>
          <w:szCs w:val="23"/>
          <w:lang w:val="tr-TR"/>
        </w:rPr>
        <w:t xml:space="preserve">(iii) </w:t>
      </w:r>
      <w:r w:rsidR="00E4021A" w:rsidRPr="001A4B94">
        <w:rPr>
          <w:rFonts w:ascii="Times New Roman" w:eastAsia="MS Mincho" w:hAnsi="Times New Roman"/>
          <w:sz w:val="23"/>
          <w:szCs w:val="23"/>
          <w:lang w:val="tr-TR"/>
        </w:rPr>
        <w:t xml:space="preserve">AB Ulaşım IPA ve Sürdürülebilir Şehirler IPA  programları yoluyla kentsel ulaşım gibi belediye hizmetlerinin iyileştirilmesi </w:t>
      </w:r>
      <w:r w:rsidR="00671198" w:rsidRPr="001A4B94">
        <w:rPr>
          <w:rFonts w:ascii="Times New Roman" w:eastAsia="MS Mincho" w:hAnsi="Times New Roman"/>
          <w:sz w:val="23"/>
          <w:szCs w:val="23"/>
          <w:lang w:val="tr-TR"/>
        </w:rPr>
        <w:t>IPA</w:t>
      </w:r>
      <w:r w:rsidR="00483F67" w:rsidRPr="001A4B94">
        <w:rPr>
          <w:rFonts w:ascii="Times New Roman" w:eastAsia="MS Mincho" w:hAnsi="Times New Roman"/>
          <w:sz w:val="23"/>
          <w:szCs w:val="23"/>
          <w:lang w:val="tr-TR"/>
        </w:rPr>
        <w:t xml:space="preserve">; </w:t>
      </w:r>
      <w:r w:rsidR="00E4021A" w:rsidRPr="001A4B94">
        <w:rPr>
          <w:rFonts w:ascii="Times New Roman" w:eastAsia="MS Mincho" w:hAnsi="Times New Roman"/>
          <w:sz w:val="23"/>
          <w:szCs w:val="23"/>
          <w:lang w:val="tr-TR"/>
        </w:rPr>
        <w:t xml:space="preserve">ve </w:t>
      </w:r>
      <w:r w:rsidR="001419CA" w:rsidRPr="001A4B94">
        <w:rPr>
          <w:rFonts w:ascii="Times New Roman" w:eastAsia="MS Mincho" w:hAnsi="Times New Roman"/>
          <w:sz w:val="23"/>
          <w:szCs w:val="23"/>
          <w:lang w:val="tr-TR"/>
        </w:rPr>
        <w:t>(i</w:t>
      </w:r>
      <w:r w:rsidR="00483F67" w:rsidRPr="001A4B94">
        <w:rPr>
          <w:rFonts w:ascii="Times New Roman" w:eastAsia="MS Mincho" w:hAnsi="Times New Roman"/>
          <w:sz w:val="23"/>
          <w:szCs w:val="23"/>
          <w:lang w:val="tr-TR"/>
        </w:rPr>
        <w:t>v</w:t>
      </w:r>
      <w:r w:rsidR="001419CA" w:rsidRPr="001A4B94">
        <w:rPr>
          <w:rFonts w:ascii="Times New Roman" w:eastAsia="MS Mincho" w:hAnsi="Times New Roman"/>
          <w:sz w:val="23"/>
          <w:szCs w:val="23"/>
          <w:lang w:val="tr-TR"/>
        </w:rPr>
        <w:t xml:space="preserve">) </w:t>
      </w:r>
      <w:r w:rsidR="00E4021A" w:rsidRPr="001A4B94">
        <w:rPr>
          <w:rFonts w:ascii="Times New Roman" w:eastAsia="MS Mincho" w:hAnsi="Times New Roman"/>
          <w:sz w:val="23"/>
          <w:szCs w:val="23"/>
          <w:lang w:val="tr-TR"/>
        </w:rPr>
        <w:t xml:space="preserve">Küresel Afet Azaltma ve İyileştirme Fonu </w:t>
      </w:r>
      <w:r w:rsidR="0085782C" w:rsidRPr="001A4B94">
        <w:rPr>
          <w:rFonts w:ascii="Times New Roman" w:eastAsia="MS Mincho" w:hAnsi="Times New Roman"/>
          <w:sz w:val="23"/>
          <w:szCs w:val="23"/>
          <w:lang w:val="tr-TR"/>
        </w:rPr>
        <w:t xml:space="preserve">(GFDRR) </w:t>
      </w:r>
      <w:r w:rsidR="00E4021A" w:rsidRPr="001A4B94">
        <w:rPr>
          <w:rFonts w:ascii="Times New Roman" w:eastAsia="MS Mincho" w:hAnsi="Times New Roman"/>
          <w:sz w:val="23"/>
          <w:szCs w:val="23"/>
          <w:lang w:val="tr-TR"/>
        </w:rPr>
        <w:t xml:space="preserve">tarafından finanse edilen, </w:t>
      </w:r>
      <w:r w:rsidR="00F763D2" w:rsidRPr="001A4B94">
        <w:rPr>
          <w:rFonts w:ascii="Times New Roman" w:eastAsia="MS Mincho" w:hAnsi="Times New Roman"/>
          <w:sz w:val="23"/>
          <w:szCs w:val="23"/>
          <w:lang w:val="tr-TR"/>
        </w:rPr>
        <w:t>afet riski yönetimi ve şehirlerin afete karşı dayanıklılığı hakkındaki teknik yardım</w:t>
      </w:r>
      <w:r w:rsidR="00483F67" w:rsidRPr="001A4B94">
        <w:rPr>
          <w:rFonts w:ascii="Times New Roman" w:eastAsia="MS Mincho" w:hAnsi="Times New Roman"/>
          <w:sz w:val="23"/>
          <w:szCs w:val="23"/>
          <w:lang w:val="tr-TR"/>
        </w:rPr>
        <w:t xml:space="preserve">. </w:t>
      </w:r>
      <w:r w:rsidR="00F763D2" w:rsidRPr="001A4B94">
        <w:rPr>
          <w:rFonts w:ascii="Times New Roman" w:eastAsia="MS Mincho" w:hAnsi="Times New Roman"/>
          <w:sz w:val="23"/>
          <w:szCs w:val="23"/>
          <w:lang w:val="tr-TR"/>
        </w:rPr>
        <w:t xml:space="preserve">Devam etmekte olan Tapu ve Kadastro Modernizasyon Projesi de </w:t>
      </w:r>
      <w:r w:rsidR="008449FD" w:rsidRPr="001A4B94">
        <w:rPr>
          <w:rFonts w:ascii="Times New Roman" w:eastAsia="MS Mincho" w:hAnsi="Times New Roman"/>
          <w:sz w:val="23"/>
          <w:szCs w:val="23"/>
          <w:lang w:val="tr-TR"/>
        </w:rPr>
        <w:t>gayrımenkul piyasası bilgilerine erişimin arttırılması yoluyla vatandaşlara hizmet sunumunun geliştirilmesi ve arazi değerlemesinin iyileştirilmesi yoluyla yerel yönetim finansmanını geliştirilmesine katkıda bulunmaktadır</w:t>
      </w:r>
      <w:r w:rsidR="00BC5E0D" w:rsidRPr="001A4B94">
        <w:rPr>
          <w:rFonts w:ascii="Times New Roman" w:eastAsia="MS Mincho" w:hAnsi="Times New Roman"/>
          <w:sz w:val="23"/>
          <w:szCs w:val="23"/>
          <w:lang w:val="tr-TR"/>
        </w:rPr>
        <w:t xml:space="preserve">.  </w:t>
      </w:r>
      <w:r w:rsidR="008449FD" w:rsidRPr="001A4B94">
        <w:rPr>
          <w:rFonts w:ascii="Times New Roman" w:eastAsia="MS Mincho" w:hAnsi="Times New Roman"/>
          <w:sz w:val="23"/>
          <w:szCs w:val="23"/>
          <w:lang w:val="tr-TR"/>
        </w:rPr>
        <w:t xml:space="preserve">Şehirlerin afetlere karşı dayanıklılıklarını arttırmak amacıyla, program kritik kamu tesislerinin depreme karşı güçlendirilmesini </w:t>
      </w:r>
      <w:r w:rsidR="008B762B" w:rsidRPr="001A4B94">
        <w:rPr>
          <w:rFonts w:ascii="Times New Roman" w:eastAsia="MS Mincho" w:hAnsi="Times New Roman"/>
          <w:sz w:val="23"/>
          <w:szCs w:val="23"/>
          <w:lang w:val="tr-TR"/>
        </w:rPr>
        <w:t>ve yapı yönetmelikleri ile arazi kullanım planlarının daha iyi uygulanmasını öngören bir yatırım projesi önermektedir.</w:t>
      </w:r>
      <w:r w:rsidR="00BC5E0D" w:rsidRPr="001A4B94">
        <w:rPr>
          <w:rFonts w:ascii="Times New Roman" w:eastAsia="MS Mincho" w:hAnsi="Times New Roman"/>
          <w:sz w:val="23"/>
          <w:szCs w:val="23"/>
          <w:lang w:val="tr-TR"/>
        </w:rPr>
        <w:t xml:space="preserve">  </w:t>
      </w:r>
    </w:p>
    <w:p w14:paraId="620A1BF7" w14:textId="2CA0C993" w:rsidR="008A1EE0" w:rsidRPr="001A4B94" w:rsidRDefault="00B96286" w:rsidP="003F4B13">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color w:val="000000" w:themeColor="text1"/>
          <w:sz w:val="23"/>
          <w:szCs w:val="23"/>
          <w:lang w:val="tr-TR"/>
        </w:rPr>
        <w:lastRenderedPageBreak/>
        <w:t xml:space="preserve">IFC </w:t>
      </w:r>
      <w:r w:rsidR="008B762B" w:rsidRPr="001A4B94">
        <w:rPr>
          <w:rFonts w:ascii="Times New Roman" w:hAnsi="Times New Roman"/>
          <w:b/>
          <w:color w:val="000000" w:themeColor="text1"/>
          <w:sz w:val="23"/>
          <w:szCs w:val="23"/>
          <w:lang w:val="tr-TR"/>
        </w:rPr>
        <w:t xml:space="preserve">ve </w:t>
      </w:r>
      <w:r w:rsidR="0059680F" w:rsidRPr="001A4B94">
        <w:rPr>
          <w:rFonts w:ascii="Times New Roman" w:hAnsi="Times New Roman"/>
          <w:b/>
          <w:color w:val="000000" w:themeColor="text1"/>
          <w:sz w:val="23"/>
          <w:szCs w:val="23"/>
          <w:lang w:val="tr-TR"/>
        </w:rPr>
        <w:t>MIGA</w:t>
      </w:r>
      <w:r w:rsidR="008B762B" w:rsidRPr="001A4B94">
        <w:rPr>
          <w:rFonts w:ascii="Times New Roman" w:hAnsi="Times New Roman"/>
          <w:b/>
          <w:color w:val="000000" w:themeColor="text1"/>
          <w:sz w:val="23"/>
          <w:szCs w:val="23"/>
          <w:lang w:val="tr-TR"/>
        </w:rPr>
        <w:t xml:space="preserve">’nın odak alanları arasında, </w:t>
      </w:r>
      <w:r w:rsidR="00187C7B" w:rsidRPr="001A4B94">
        <w:rPr>
          <w:rFonts w:ascii="Times New Roman" w:hAnsi="Times New Roman"/>
          <w:b/>
          <w:color w:val="000000" w:themeColor="text1"/>
          <w:sz w:val="23"/>
          <w:szCs w:val="23"/>
          <w:lang w:val="tr-TR"/>
        </w:rPr>
        <w:t xml:space="preserve">finansal yönetim kapasiteleri ile </w:t>
      </w:r>
      <w:r w:rsidR="008B762B" w:rsidRPr="001A4B94">
        <w:rPr>
          <w:rFonts w:ascii="Times New Roman" w:hAnsi="Times New Roman"/>
          <w:b/>
          <w:color w:val="000000" w:themeColor="text1"/>
          <w:sz w:val="23"/>
          <w:szCs w:val="23"/>
          <w:lang w:val="tr-TR"/>
        </w:rPr>
        <w:t xml:space="preserve"> </w:t>
      </w:r>
      <w:r w:rsidR="0059680F" w:rsidRPr="001A4B94">
        <w:rPr>
          <w:rFonts w:ascii="Times New Roman" w:hAnsi="Times New Roman"/>
          <w:b/>
          <w:color w:val="000000" w:themeColor="text1"/>
          <w:sz w:val="23"/>
          <w:szCs w:val="23"/>
          <w:lang w:val="tr-TR"/>
        </w:rPr>
        <w:t xml:space="preserve"> </w:t>
      </w:r>
      <w:r w:rsidR="00187C7B" w:rsidRPr="001A4B94">
        <w:rPr>
          <w:rFonts w:ascii="Times New Roman" w:hAnsi="Times New Roman"/>
          <w:b/>
          <w:color w:val="000000" w:themeColor="text1"/>
          <w:sz w:val="23"/>
          <w:szCs w:val="23"/>
          <w:lang w:val="tr-TR"/>
        </w:rPr>
        <w:t>altyapı projelerini tasarlama, hazırlama ve uygulama kapasitelerini güçlendirmek için belediyeler ile doğrudan b</w:t>
      </w:r>
      <w:r w:rsidR="00882316" w:rsidRPr="001A4B94">
        <w:rPr>
          <w:rFonts w:ascii="Times New Roman" w:hAnsi="Times New Roman"/>
          <w:b/>
          <w:color w:val="000000" w:themeColor="text1"/>
          <w:sz w:val="23"/>
          <w:szCs w:val="23"/>
          <w:lang w:val="tr-TR"/>
        </w:rPr>
        <w:t>i</w:t>
      </w:r>
      <w:r w:rsidR="00187C7B" w:rsidRPr="001A4B94">
        <w:rPr>
          <w:rFonts w:ascii="Times New Roman" w:hAnsi="Times New Roman"/>
          <w:b/>
          <w:color w:val="000000" w:themeColor="text1"/>
          <w:sz w:val="23"/>
          <w:szCs w:val="23"/>
          <w:lang w:val="tr-TR"/>
        </w:rPr>
        <w:t>rlikte çal</w:t>
      </w:r>
      <w:r w:rsidR="00882316" w:rsidRPr="001A4B94">
        <w:rPr>
          <w:rFonts w:ascii="Times New Roman" w:hAnsi="Times New Roman"/>
          <w:b/>
          <w:color w:val="000000" w:themeColor="text1"/>
          <w:sz w:val="23"/>
          <w:szCs w:val="23"/>
          <w:lang w:val="tr-TR"/>
        </w:rPr>
        <w:t>ı</w:t>
      </w:r>
      <w:r w:rsidR="00187C7B" w:rsidRPr="001A4B94">
        <w:rPr>
          <w:rFonts w:ascii="Times New Roman" w:hAnsi="Times New Roman"/>
          <w:b/>
          <w:color w:val="000000" w:themeColor="text1"/>
          <w:sz w:val="23"/>
          <w:szCs w:val="23"/>
          <w:lang w:val="tr-TR"/>
        </w:rPr>
        <w:t>şmak yer almaktadır</w:t>
      </w:r>
      <w:r w:rsidRPr="001A4B94">
        <w:rPr>
          <w:rFonts w:ascii="Times New Roman" w:hAnsi="Times New Roman"/>
          <w:color w:val="000000" w:themeColor="text1"/>
          <w:sz w:val="23"/>
          <w:szCs w:val="23"/>
          <w:lang w:val="tr-TR"/>
        </w:rPr>
        <w:t>.</w:t>
      </w:r>
      <w:r w:rsidR="000F35BB" w:rsidRPr="001A4B94">
        <w:rPr>
          <w:rFonts w:ascii="Times New Roman" w:hAnsi="Times New Roman"/>
          <w:sz w:val="23"/>
          <w:szCs w:val="23"/>
          <w:lang w:val="tr-TR"/>
        </w:rPr>
        <w:t xml:space="preserve"> </w:t>
      </w:r>
      <w:r w:rsidR="00187C7B" w:rsidRPr="001A4B94">
        <w:rPr>
          <w:rFonts w:ascii="Times New Roman" w:hAnsi="Times New Roman"/>
          <w:sz w:val="23"/>
          <w:szCs w:val="23"/>
          <w:lang w:val="tr-TR"/>
        </w:rPr>
        <w:t>IFC’nin</w:t>
      </w:r>
      <w:r w:rsidR="003F4B13" w:rsidRPr="001A4B94">
        <w:rPr>
          <w:rFonts w:ascii="Times New Roman" w:hAnsi="Times New Roman"/>
          <w:sz w:val="23"/>
          <w:szCs w:val="23"/>
          <w:lang w:val="tr-TR"/>
        </w:rPr>
        <w:t xml:space="preserve"> </w:t>
      </w:r>
      <w:r w:rsidR="00187C7B" w:rsidRPr="001A4B94">
        <w:rPr>
          <w:rFonts w:ascii="Times New Roman" w:hAnsi="Times New Roman"/>
          <w:sz w:val="23"/>
          <w:szCs w:val="23"/>
          <w:lang w:val="tr-TR"/>
        </w:rPr>
        <w:t xml:space="preserve">Şehirler </w:t>
      </w:r>
      <w:r w:rsidR="003F4B13" w:rsidRPr="001A4B94">
        <w:rPr>
          <w:rFonts w:ascii="Times New Roman" w:hAnsi="Times New Roman"/>
          <w:sz w:val="23"/>
          <w:szCs w:val="23"/>
          <w:lang w:val="tr-TR"/>
        </w:rPr>
        <w:t>Platform</w:t>
      </w:r>
      <w:r w:rsidR="00187C7B" w:rsidRPr="001A4B94">
        <w:rPr>
          <w:rFonts w:ascii="Times New Roman" w:hAnsi="Times New Roman"/>
          <w:sz w:val="23"/>
          <w:szCs w:val="23"/>
          <w:lang w:val="tr-TR"/>
        </w:rPr>
        <w:t xml:space="preserve">u, </w:t>
      </w:r>
      <w:r w:rsidR="00960C33" w:rsidRPr="001A4B94">
        <w:rPr>
          <w:rFonts w:ascii="Times New Roman" w:hAnsi="Times New Roman"/>
          <w:sz w:val="23"/>
          <w:szCs w:val="23"/>
          <w:lang w:val="tr-TR"/>
        </w:rPr>
        <w:t>kentsel ulaşım, sokak aydınlatması, atık</w:t>
      </w:r>
      <w:r w:rsidR="00882316" w:rsidRPr="001A4B94">
        <w:rPr>
          <w:rFonts w:ascii="Times New Roman" w:hAnsi="Times New Roman"/>
          <w:sz w:val="23"/>
          <w:szCs w:val="23"/>
          <w:lang w:val="tr-TR"/>
        </w:rPr>
        <w:t>t</w:t>
      </w:r>
      <w:r w:rsidR="00960C33" w:rsidRPr="001A4B94">
        <w:rPr>
          <w:rFonts w:ascii="Times New Roman" w:hAnsi="Times New Roman"/>
          <w:sz w:val="23"/>
          <w:szCs w:val="23"/>
          <w:lang w:val="tr-TR"/>
        </w:rPr>
        <w:t>an enerji üretme, atık su ve s</w:t>
      </w:r>
      <w:r w:rsidR="00882316" w:rsidRPr="001A4B94">
        <w:rPr>
          <w:rFonts w:ascii="Times New Roman" w:hAnsi="Times New Roman"/>
          <w:sz w:val="23"/>
          <w:szCs w:val="23"/>
          <w:lang w:val="tr-TR"/>
        </w:rPr>
        <w:t>u</w:t>
      </w:r>
      <w:r w:rsidR="00960C33" w:rsidRPr="001A4B94">
        <w:rPr>
          <w:rFonts w:ascii="Times New Roman" w:hAnsi="Times New Roman"/>
          <w:sz w:val="23"/>
          <w:szCs w:val="23"/>
          <w:lang w:val="tr-TR"/>
        </w:rPr>
        <w:t xml:space="preserve"> yönetimi projelerini d</w:t>
      </w:r>
      <w:r w:rsidR="00882316" w:rsidRPr="001A4B94">
        <w:rPr>
          <w:rFonts w:ascii="Times New Roman" w:hAnsi="Times New Roman"/>
          <w:sz w:val="23"/>
          <w:szCs w:val="23"/>
          <w:lang w:val="tr-TR"/>
        </w:rPr>
        <w:t>e</w:t>
      </w:r>
      <w:r w:rsidR="00960C33" w:rsidRPr="001A4B94">
        <w:rPr>
          <w:rFonts w:ascii="Times New Roman" w:hAnsi="Times New Roman"/>
          <w:sz w:val="23"/>
          <w:szCs w:val="23"/>
          <w:lang w:val="tr-TR"/>
        </w:rPr>
        <w:t xml:space="preserve">steklemek için </w:t>
      </w:r>
      <w:r w:rsidR="00882316" w:rsidRPr="001A4B94">
        <w:rPr>
          <w:rFonts w:ascii="Times New Roman" w:hAnsi="Times New Roman"/>
          <w:sz w:val="23"/>
          <w:szCs w:val="23"/>
          <w:lang w:val="tr-TR"/>
        </w:rPr>
        <w:t>kredi değerlik durumlarına göre tasarlanmış uzun vadeli belediye finansmanı imkanları içermektedir.</w:t>
      </w:r>
      <w:r w:rsidR="003F4B13" w:rsidRPr="001A4B94">
        <w:rPr>
          <w:rFonts w:ascii="Times New Roman" w:hAnsi="Times New Roman"/>
          <w:sz w:val="23"/>
          <w:szCs w:val="23"/>
          <w:lang w:val="tr-TR"/>
        </w:rPr>
        <w:t xml:space="preserve"> IFC</w:t>
      </w:r>
      <w:r w:rsidR="00882316" w:rsidRPr="001A4B94">
        <w:rPr>
          <w:rFonts w:ascii="Times New Roman" w:hAnsi="Times New Roman"/>
          <w:sz w:val="23"/>
          <w:szCs w:val="23"/>
          <w:lang w:val="tr-TR"/>
        </w:rPr>
        <w:t>, belediyelerin döviz cinsinden kredilerini yönetmelerine yardımcı olacak riskten korunma araçları ile uzun vadeli krediler (hem avro hem de lira cinsinden) ve beled</w:t>
      </w:r>
      <w:r w:rsidR="003A5F3C" w:rsidRPr="001A4B94">
        <w:rPr>
          <w:rFonts w:ascii="Times New Roman" w:hAnsi="Times New Roman"/>
          <w:sz w:val="23"/>
          <w:szCs w:val="23"/>
          <w:lang w:val="tr-TR"/>
        </w:rPr>
        <w:t>i</w:t>
      </w:r>
      <w:r w:rsidR="00882316" w:rsidRPr="001A4B94">
        <w:rPr>
          <w:rFonts w:ascii="Times New Roman" w:hAnsi="Times New Roman"/>
          <w:sz w:val="23"/>
          <w:szCs w:val="23"/>
          <w:lang w:val="tr-TR"/>
        </w:rPr>
        <w:t>ye tahvilleri dahil olmak üzere çok çeşitli ürünler için kaldıraç etkisi yaratabilmekt</w:t>
      </w:r>
      <w:r w:rsidR="003A5F3C" w:rsidRPr="001A4B94">
        <w:rPr>
          <w:rFonts w:ascii="Times New Roman" w:hAnsi="Times New Roman"/>
          <w:sz w:val="23"/>
          <w:szCs w:val="23"/>
          <w:lang w:val="tr-TR"/>
        </w:rPr>
        <w:t>e</w:t>
      </w:r>
      <w:r w:rsidR="00882316" w:rsidRPr="001A4B94">
        <w:rPr>
          <w:rFonts w:ascii="Times New Roman" w:hAnsi="Times New Roman"/>
          <w:sz w:val="23"/>
          <w:szCs w:val="23"/>
          <w:lang w:val="tr-TR"/>
        </w:rPr>
        <w:t>dir.</w:t>
      </w:r>
      <w:r w:rsidR="003F4B13" w:rsidRPr="001A4B94">
        <w:rPr>
          <w:rFonts w:ascii="Times New Roman" w:hAnsi="Times New Roman"/>
          <w:sz w:val="23"/>
          <w:szCs w:val="23"/>
          <w:lang w:val="tr-TR"/>
        </w:rPr>
        <w:t xml:space="preserve"> </w:t>
      </w:r>
      <w:r w:rsidR="00132A94" w:rsidRPr="001A4B94">
        <w:rPr>
          <w:rFonts w:ascii="Times New Roman" w:hAnsi="Times New Roman"/>
          <w:sz w:val="23"/>
          <w:szCs w:val="23"/>
          <w:lang w:val="tr-TR"/>
        </w:rPr>
        <w:t>Belediye tahvil piyasasının geliştirilmesi</w:t>
      </w:r>
      <w:r w:rsidR="003F4B13" w:rsidRPr="001A4B94">
        <w:rPr>
          <w:rFonts w:ascii="Times New Roman" w:hAnsi="Times New Roman"/>
          <w:sz w:val="23"/>
          <w:szCs w:val="23"/>
          <w:lang w:val="tr-TR"/>
        </w:rPr>
        <w:t xml:space="preserve">, </w:t>
      </w:r>
      <w:r w:rsidR="0021590D" w:rsidRPr="001A4B94">
        <w:rPr>
          <w:rFonts w:ascii="Times New Roman" w:hAnsi="Times New Roman"/>
          <w:sz w:val="23"/>
          <w:szCs w:val="23"/>
          <w:lang w:val="tr-TR"/>
        </w:rPr>
        <w:t>belediyeler için döviz riskinden korunma araçlarının uygulamaya konulması ve belediyeler için KÖİ çerçevesinin iyileştirilmesi, belediye düzeyinde yeni fırsatlar açmak için DBG işbirliğinin devam ettirilmesini gerektiren alanlardır</w:t>
      </w:r>
      <w:r w:rsidR="003F4B13" w:rsidRPr="001A4B94">
        <w:rPr>
          <w:rFonts w:ascii="Times New Roman" w:hAnsi="Times New Roman"/>
          <w:sz w:val="23"/>
          <w:szCs w:val="23"/>
          <w:lang w:val="tr-TR"/>
        </w:rPr>
        <w:t xml:space="preserve">. </w:t>
      </w:r>
      <w:r w:rsidR="0021590D" w:rsidRPr="001A4B94">
        <w:rPr>
          <w:rFonts w:ascii="Times New Roman" w:hAnsi="Times New Roman"/>
          <w:sz w:val="23"/>
          <w:szCs w:val="23"/>
          <w:lang w:val="tr-TR"/>
        </w:rPr>
        <w:t xml:space="preserve">IFC, İstanbul ve İzmir’deki başarıları esas alarak, </w:t>
      </w:r>
      <w:r w:rsidR="00AA2480" w:rsidRPr="001A4B94">
        <w:rPr>
          <w:rFonts w:ascii="Times New Roman" w:hAnsi="Times New Roman"/>
          <w:sz w:val="23"/>
          <w:szCs w:val="23"/>
          <w:lang w:val="tr-TR"/>
        </w:rPr>
        <w:t xml:space="preserve">doğrudan imtiyazlı krediler (avro veya lira cinsinden) veya kaynakları yerel bankalar aracılığıyla şehirlere </w:t>
      </w:r>
      <w:r w:rsidR="003F4B13" w:rsidRPr="001A4B94">
        <w:rPr>
          <w:rFonts w:ascii="Times New Roman" w:hAnsi="Times New Roman"/>
          <w:color w:val="000000" w:themeColor="text1"/>
          <w:sz w:val="23"/>
          <w:szCs w:val="23"/>
          <w:lang w:val="tr-TR"/>
        </w:rPr>
        <w:t xml:space="preserve"> </w:t>
      </w:r>
      <w:r w:rsidR="00AA2480" w:rsidRPr="001A4B94">
        <w:rPr>
          <w:rFonts w:ascii="Times New Roman" w:hAnsi="Times New Roman"/>
          <w:color w:val="000000" w:themeColor="text1"/>
          <w:sz w:val="23"/>
          <w:szCs w:val="23"/>
          <w:lang w:val="tr-TR"/>
        </w:rPr>
        <w:t xml:space="preserve">yönlendirmek yoluyla bir portföy yaklaşımından yararlanarak, </w:t>
      </w:r>
      <w:r w:rsidR="0021590D" w:rsidRPr="001A4B94">
        <w:rPr>
          <w:rFonts w:ascii="Times New Roman" w:hAnsi="Times New Roman"/>
          <w:color w:val="000000" w:themeColor="text1"/>
          <w:sz w:val="23"/>
          <w:szCs w:val="23"/>
          <w:lang w:val="tr-TR"/>
        </w:rPr>
        <w:t>diğer h</w:t>
      </w:r>
      <w:r w:rsidR="00AA2480" w:rsidRPr="001A4B94">
        <w:rPr>
          <w:rFonts w:ascii="Times New Roman" w:hAnsi="Times New Roman"/>
          <w:color w:val="000000" w:themeColor="text1"/>
          <w:sz w:val="23"/>
          <w:szCs w:val="23"/>
          <w:lang w:val="tr-TR"/>
        </w:rPr>
        <w:t>ı</w:t>
      </w:r>
      <w:r w:rsidR="0021590D" w:rsidRPr="001A4B94">
        <w:rPr>
          <w:rFonts w:ascii="Times New Roman" w:hAnsi="Times New Roman"/>
          <w:color w:val="000000" w:themeColor="text1"/>
          <w:sz w:val="23"/>
          <w:szCs w:val="23"/>
          <w:lang w:val="tr-TR"/>
        </w:rPr>
        <w:t>zlı büyüyen ve kredi değerliğe sahip şehirlerin bankalarca kabul edilebilir projeler dizisi oluşturmalarına yardımcı olmayı amaçlamaktadır</w:t>
      </w:r>
      <w:r w:rsidR="003F4B13" w:rsidRPr="001A4B94">
        <w:rPr>
          <w:rFonts w:ascii="Times New Roman" w:hAnsi="Times New Roman"/>
          <w:color w:val="000000" w:themeColor="text1"/>
          <w:sz w:val="23"/>
          <w:szCs w:val="23"/>
          <w:lang w:val="tr-TR"/>
        </w:rPr>
        <w:t xml:space="preserve">. </w:t>
      </w:r>
    </w:p>
    <w:p w14:paraId="581D26E4" w14:textId="77777777" w:rsidR="00330236" w:rsidRPr="001A4B94" w:rsidRDefault="00330236" w:rsidP="00330236">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52AC9355" w14:textId="0146F64F" w:rsidR="00330236" w:rsidRPr="001A4B94" w:rsidRDefault="00542475" w:rsidP="00681B54">
      <w:pPr>
        <w:ind w:left="142"/>
        <w:rPr>
          <w:b/>
          <w:bCs/>
          <w:sz w:val="23"/>
          <w:szCs w:val="23"/>
          <w:u w:val="single"/>
          <w:lang w:val="tr-TR"/>
        </w:rPr>
      </w:pPr>
      <w:r w:rsidRPr="001A4B94">
        <w:rPr>
          <w:b/>
          <w:bCs/>
          <w:sz w:val="23"/>
          <w:szCs w:val="23"/>
          <w:u w:val="single"/>
          <w:lang w:val="tr-TR"/>
        </w:rPr>
        <w:t xml:space="preserve">CPF </w:t>
      </w:r>
      <w:r w:rsidR="00AA2480" w:rsidRPr="001A4B94">
        <w:rPr>
          <w:b/>
          <w:bCs/>
          <w:sz w:val="23"/>
          <w:szCs w:val="23"/>
          <w:u w:val="single"/>
          <w:lang w:val="tr-TR"/>
        </w:rPr>
        <w:t xml:space="preserve">Amacı </w:t>
      </w:r>
      <w:r w:rsidRPr="001A4B94">
        <w:rPr>
          <w:b/>
          <w:bCs/>
          <w:sz w:val="23"/>
          <w:szCs w:val="23"/>
          <w:u w:val="single"/>
          <w:lang w:val="tr-TR"/>
        </w:rPr>
        <w:t>9</w:t>
      </w:r>
      <w:r w:rsidR="00330236" w:rsidRPr="001A4B94">
        <w:rPr>
          <w:b/>
          <w:bCs/>
          <w:sz w:val="23"/>
          <w:szCs w:val="23"/>
          <w:u w:val="single"/>
          <w:lang w:val="tr-TR"/>
        </w:rPr>
        <w:t xml:space="preserve">: </w:t>
      </w:r>
      <w:r w:rsidR="00681B54" w:rsidRPr="001A4B94">
        <w:rPr>
          <w:b/>
          <w:bCs/>
          <w:sz w:val="23"/>
          <w:szCs w:val="23"/>
          <w:u w:val="single"/>
          <w:lang w:val="tr-TR"/>
        </w:rPr>
        <w:t xml:space="preserve">Altyapı Varlıklarının ve Doğal Sermayenin Sürdürülebilirliğinin Arttırılması  </w:t>
      </w:r>
    </w:p>
    <w:p w14:paraId="62B86C3C" w14:textId="77777777" w:rsidR="00330236" w:rsidRPr="001A4B94" w:rsidRDefault="00330236" w:rsidP="00681B54">
      <w:pPr>
        <w:ind w:left="142"/>
        <w:rPr>
          <w:b/>
          <w:bCs/>
          <w:sz w:val="12"/>
          <w:szCs w:val="12"/>
          <w:u w:val="single"/>
          <w:lang w:val="tr-TR"/>
        </w:rPr>
      </w:pPr>
    </w:p>
    <w:tbl>
      <w:tblPr>
        <w:tblW w:w="0" w:type="auto"/>
        <w:tblCellMar>
          <w:left w:w="0" w:type="dxa"/>
          <w:right w:w="0" w:type="dxa"/>
        </w:tblCellMar>
        <w:tblLook w:val="04A0" w:firstRow="1" w:lastRow="0" w:firstColumn="1" w:lastColumn="0" w:noHBand="0" w:noVBand="1"/>
      </w:tblPr>
      <w:tblGrid>
        <w:gridCol w:w="9340"/>
      </w:tblGrid>
      <w:tr w:rsidR="00330236" w:rsidRPr="001A4B94" w14:paraId="3D6B1CC7" w14:textId="77777777" w:rsidTr="00121A74">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CF4E0" w14:textId="1F6668FA" w:rsidR="00330236" w:rsidRPr="001A4B94" w:rsidRDefault="00681B54" w:rsidP="00121A74">
            <w:pPr>
              <w:jc w:val="both"/>
              <w:rPr>
                <w:b/>
                <w:sz w:val="22"/>
                <w:lang w:val="tr-TR"/>
              </w:rPr>
            </w:pPr>
            <w:r w:rsidRPr="001A4B94">
              <w:rPr>
                <w:b/>
                <w:sz w:val="22"/>
                <w:lang w:val="tr-TR"/>
              </w:rPr>
              <w:t>Amaç 9 içi</w:t>
            </w:r>
            <w:r w:rsidR="008B715F" w:rsidRPr="001A4B94">
              <w:rPr>
                <w:b/>
                <w:sz w:val="22"/>
                <w:lang w:val="tr-TR"/>
              </w:rPr>
              <w:t>n</w:t>
            </w:r>
            <w:r w:rsidRPr="001A4B94">
              <w:rPr>
                <w:b/>
                <w:sz w:val="22"/>
                <w:lang w:val="tr-TR"/>
              </w:rPr>
              <w:t xml:space="preserve"> Sonuç Göstergeleri </w:t>
            </w:r>
          </w:p>
        </w:tc>
      </w:tr>
      <w:tr w:rsidR="00330236" w:rsidRPr="001A4B94" w14:paraId="57579CDC" w14:textId="77777777" w:rsidTr="00987009">
        <w:trPr>
          <w:trHeight w:val="556"/>
        </w:trPr>
        <w:tc>
          <w:tcPr>
            <w:tcW w:w="93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13BCB3E" w14:textId="1BF7B9EE" w:rsidR="00330236" w:rsidRPr="001A4B94" w:rsidRDefault="00681B54" w:rsidP="00121A74">
            <w:pPr>
              <w:tabs>
                <w:tab w:val="left" w:pos="1142"/>
              </w:tabs>
              <w:ind w:left="-28"/>
              <w:rPr>
                <w:i/>
                <w:sz w:val="22"/>
                <w:lang w:val="tr-TR"/>
              </w:rPr>
            </w:pPr>
            <w:r w:rsidRPr="001A4B94">
              <w:rPr>
                <w:i/>
                <w:sz w:val="22"/>
                <w:lang w:val="tr-TR"/>
              </w:rPr>
              <w:t>DBG tarafından finanse edilen enerji</w:t>
            </w:r>
            <w:r w:rsidR="00243368" w:rsidRPr="001A4B94">
              <w:rPr>
                <w:i/>
                <w:sz w:val="22"/>
                <w:lang w:val="tr-TR"/>
              </w:rPr>
              <w:t xml:space="preserve"> </w:t>
            </w:r>
            <w:r w:rsidRPr="001A4B94">
              <w:rPr>
                <w:i/>
                <w:sz w:val="22"/>
                <w:lang w:val="tr-TR"/>
              </w:rPr>
              <w:t xml:space="preserve">sektörü projeleri yoluyla sağlanan kümülatif enerji tasarrufu </w:t>
            </w:r>
          </w:p>
          <w:p w14:paraId="31F32177" w14:textId="4F50F434" w:rsidR="00510222" w:rsidRPr="001A4B94" w:rsidRDefault="00681B54" w:rsidP="00ED625B">
            <w:pPr>
              <w:tabs>
                <w:tab w:val="left" w:pos="1142"/>
              </w:tabs>
              <w:ind w:left="-28"/>
              <w:rPr>
                <w:i/>
                <w:sz w:val="22"/>
                <w:lang w:val="tr-TR"/>
              </w:rPr>
            </w:pPr>
            <w:r w:rsidRPr="001A4B94">
              <w:rPr>
                <w:i/>
                <w:sz w:val="22"/>
                <w:lang w:val="tr-TR"/>
              </w:rPr>
              <w:t xml:space="preserve">Yıllık sera gazı emisyonu azaltımı </w:t>
            </w:r>
          </w:p>
        </w:tc>
      </w:tr>
    </w:tbl>
    <w:p w14:paraId="78E36396" w14:textId="2095920A" w:rsidR="008A1EE0" w:rsidRPr="001A4B94" w:rsidRDefault="008A1EE0" w:rsidP="008A1EE0">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4"/>
          <w:szCs w:val="24"/>
          <w:lang w:val="tr-TR"/>
        </w:rPr>
      </w:pPr>
    </w:p>
    <w:p w14:paraId="366CB156" w14:textId="09A4B0D6" w:rsidR="006C7BE4" w:rsidRPr="001A4B94" w:rsidRDefault="003D6E20" w:rsidP="00806533">
      <w:pPr>
        <w:pStyle w:val="ListeParagraf"/>
        <w:numPr>
          <w:ilvl w:val="0"/>
          <w:numId w:val="2"/>
        </w:numPr>
        <w:tabs>
          <w:tab w:val="left" w:pos="426"/>
          <w:tab w:val="left" w:pos="2970"/>
        </w:tabs>
        <w:autoSpaceDE w:val="0"/>
        <w:autoSpaceDN w:val="0"/>
        <w:adjustRightInd w:val="0"/>
        <w:spacing w:before="240" w:after="0" w:line="240" w:lineRule="auto"/>
        <w:ind w:left="0" w:firstLine="0"/>
        <w:jc w:val="both"/>
        <w:rPr>
          <w:rFonts w:ascii="Times New Roman" w:hAnsi="Times New Roman"/>
          <w:sz w:val="23"/>
          <w:szCs w:val="23"/>
          <w:lang w:val="tr-TR"/>
        </w:rPr>
      </w:pPr>
      <w:r w:rsidRPr="001A4B94">
        <w:rPr>
          <w:rFonts w:asciiTheme="majorBidi" w:hAnsiTheme="majorBidi" w:cstheme="majorBidi"/>
          <w:b/>
          <w:sz w:val="23"/>
          <w:szCs w:val="23"/>
          <w:lang w:val="tr-TR"/>
        </w:rPr>
        <w:t>Kamu varlıklarının ve doğal sermay</w:t>
      </w:r>
      <w:r w:rsidR="00494682" w:rsidRPr="001A4B94">
        <w:rPr>
          <w:rFonts w:asciiTheme="majorBidi" w:hAnsiTheme="majorBidi" w:cstheme="majorBidi"/>
          <w:b/>
          <w:sz w:val="23"/>
          <w:szCs w:val="23"/>
          <w:lang w:val="tr-TR"/>
        </w:rPr>
        <w:t>eni</w:t>
      </w:r>
      <w:r w:rsidRPr="001A4B94">
        <w:rPr>
          <w:rFonts w:asciiTheme="majorBidi" w:hAnsiTheme="majorBidi" w:cstheme="majorBidi"/>
          <w:b/>
          <w:sz w:val="23"/>
          <w:szCs w:val="23"/>
          <w:lang w:val="tr-TR"/>
        </w:rPr>
        <w:t>n kullanılm</w:t>
      </w:r>
      <w:r w:rsidR="00494682" w:rsidRPr="001A4B94">
        <w:rPr>
          <w:rFonts w:asciiTheme="majorBidi" w:hAnsiTheme="majorBidi" w:cstheme="majorBidi"/>
          <w:b/>
          <w:sz w:val="23"/>
          <w:szCs w:val="23"/>
          <w:lang w:val="tr-TR"/>
        </w:rPr>
        <w:t>a</w:t>
      </w:r>
      <w:r w:rsidRPr="001A4B94">
        <w:rPr>
          <w:rFonts w:asciiTheme="majorBidi" w:hAnsiTheme="majorBidi" w:cstheme="majorBidi"/>
          <w:b/>
          <w:sz w:val="23"/>
          <w:szCs w:val="23"/>
          <w:lang w:val="tr-TR"/>
        </w:rPr>
        <w:t xml:space="preserve">sında verimliliğin arttırılması, </w:t>
      </w:r>
      <w:r w:rsidR="00184C12" w:rsidRPr="001A4B94">
        <w:rPr>
          <w:rFonts w:asciiTheme="majorBidi" w:hAnsiTheme="majorBidi" w:cstheme="majorBidi"/>
          <w:b/>
          <w:sz w:val="23"/>
          <w:szCs w:val="23"/>
          <w:lang w:val="tr-TR"/>
        </w:rPr>
        <w:t>Sistematik Ülke Değerlendirmesinde iklim değişikliği üzerinde olumlu etkileri olacak kilit bir kalkınma zorluğu olarak vurgulanmıştır</w:t>
      </w:r>
      <w:r w:rsidR="002E2B78" w:rsidRPr="001A4B94">
        <w:rPr>
          <w:rFonts w:asciiTheme="majorBidi" w:hAnsiTheme="majorBidi" w:cstheme="majorBidi"/>
          <w:b/>
          <w:sz w:val="23"/>
          <w:szCs w:val="23"/>
          <w:lang w:val="tr-TR"/>
        </w:rPr>
        <w:t>.</w:t>
      </w:r>
      <w:r w:rsidR="002E2B78" w:rsidRPr="001A4B94">
        <w:rPr>
          <w:rFonts w:asciiTheme="majorBidi" w:hAnsiTheme="majorBidi" w:cstheme="majorBidi"/>
          <w:sz w:val="23"/>
          <w:szCs w:val="23"/>
          <w:lang w:val="tr-TR"/>
        </w:rPr>
        <w:t xml:space="preserve">  </w:t>
      </w:r>
      <w:r w:rsidR="00184C12" w:rsidRPr="001A4B94">
        <w:rPr>
          <w:rFonts w:asciiTheme="majorBidi" w:hAnsiTheme="majorBidi" w:cstheme="majorBidi"/>
          <w:sz w:val="23"/>
          <w:szCs w:val="23"/>
          <w:lang w:val="tr-TR"/>
        </w:rPr>
        <w:t>Sistematik Ülke Değerlendirmesi, enerji tüketiminde verimliliği arttırmanın Türkiye’nin rekabet gücü ve sürdürülebilir ekonomik büyümesi için kilit öneme sahip olduğunu ortaya koymuştur (ve bu aynı zamanda 7 no’lu CPF Amacı kaps</w:t>
      </w:r>
      <w:r w:rsidR="00494682" w:rsidRPr="001A4B94">
        <w:rPr>
          <w:rFonts w:asciiTheme="majorBidi" w:hAnsiTheme="majorBidi" w:cstheme="majorBidi"/>
          <w:sz w:val="23"/>
          <w:szCs w:val="23"/>
          <w:lang w:val="tr-TR"/>
        </w:rPr>
        <w:t>amında enerji güvenliği gündemi</w:t>
      </w:r>
      <w:r w:rsidR="00184C12" w:rsidRPr="001A4B94">
        <w:rPr>
          <w:rFonts w:asciiTheme="majorBidi" w:hAnsiTheme="majorBidi" w:cstheme="majorBidi"/>
          <w:sz w:val="23"/>
          <w:szCs w:val="23"/>
          <w:lang w:val="tr-TR"/>
        </w:rPr>
        <w:t>ni de desteklemektedir)</w:t>
      </w:r>
      <w:r w:rsidR="002E2B78" w:rsidRPr="001A4B94">
        <w:rPr>
          <w:rFonts w:asciiTheme="majorBidi" w:hAnsiTheme="majorBidi" w:cstheme="majorBidi"/>
          <w:sz w:val="23"/>
          <w:szCs w:val="23"/>
          <w:lang w:val="tr-TR"/>
        </w:rPr>
        <w:t xml:space="preserve">.  </w:t>
      </w:r>
      <w:r w:rsidR="00184C12" w:rsidRPr="001A4B94">
        <w:rPr>
          <w:rFonts w:asciiTheme="majorBidi" w:hAnsiTheme="majorBidi" w:cstheme="majorBidi"/>
          <w:sz w:val="23"/>
          <w:szCs w:val="23"/>
          <w:lang w:val="tr-TR"/>
        </w:rPr>
        <w:t xml:space="preserve">Dünya Bankası Grubu’nun </w:t>
      </w:r>
      <w:r w:rsidR="00F53145" w:rsidRPr="001A4B94">
        <w:rPr>
          <w:rFonts w:asciiTheme="majorBidi" w:hAnsiTheme="majorBidi" w:cstheme="majorBidi"/>
          <w:sz w:val="23"/>
          <w:szCs w:val="23"/>
          <w:lang w:val="tr-TR"/>
        </w:rPr>
        <w:t xml:space="preserve">enerji verimliliği </w:t>
      </w:r>
      <w:r w:rsidR="00706A8D" w:rsidRPr="001A4B94">
        <w:rPr>
          <w:rFonts w:asciiTheme="majorBidi" w:hAnsiTheme="majorBidi" w:cstheme="majorBidi"/>
          <w:sz w:val="23"/>
          <w:szCs w:val="23"/>
          <w:lang w:val="tr-TR"/>
        </w:rPr>
        <w:t xml:space="preserve">alanındaki programı iyi </w:t>
      </w:r>
      <w:r w:rsidR="00F53145" w:rsidRPr="001A4B94">
        <w:rPr>
          <w:rFonts w:asciiTheme="majorBidi" w:hAnsiTheme="majorBidi" w:cstheme="majorBidi"/>
          <w:sz w:val="23"/>
          <w:szCs w:val="23"/>
          <w:lang w:val="tr-TR"/>
        </w:rPr>
        <w:t>bir şekilde geliştirilmiştir ve KO</w:t>
      </w:r>
      <w:r w:rsidR="00756BD1" w:rsidRPr="001A4B94">
        <w:rPr>
          <w:rFonts w:asciiTheme="majorBidi" w:hAnsiTheme="majorBidi" w:cstheme="majorBidi"/>
          <w:sz w:val="23"/>
          <w:szCs w:val="23"/>
          <w:lang w:val="tr-TR"/>
        </w:rPr>
        <w:t>Bİ</w:t>
      </w:r>
      <w:r w:rsidR="00F53145" w:rsidRPr="001A4B94">
        <w:rPr>
          <w:rFonts w:asciiTheme="majorBidi" w:hAnsiTheme="majorBidi" w:cstheme="majorBidi"/>
          <w:sz w:val="23"/>
          <w:szCs w:val="23"/>
          <w:lang w:val="tr-TR"/>
        </w:rPr>
        <w:t xml:space="preserve"> Enerji Verimliliği Projesi, Özel Sektör Yenileneb</w:t>
      </w:r>
      <w:r w:rsidR="00494682" w:rsidRPr="001A4B94">
        <w:rPr>
          <w:rFonts w:asciiTheme="majorBidi" w:hAnsiTheme="majorBidi" w:cstheme="majorBidi"/>
          <w:sz w:val="23"/>
          <w:szCs w:val="23"/>
          <w:lang w:val="tr-TR"/>
        </w:rPr>
        <w:t>i</w:t>
      </w:r>
      <w:r w:rsidR="00F53145" w:rsidRPr="001A4B94">
        <w:rPr>
          <w:rFonts w:asciiTheme="majorBidi" w:hAnsiTheme="majorBidi" w:cstheme="majorBidi"/>
          <w:sz w:val="23"/>
          <w:szCs w:val="23"/>
          <w:lang w:val="tr-TR"/>
        </w:rPr>
        <w:t xml:space="preserve">lir Enerji ve Enerji Verimliliği Projesi yoluyla </w:t>
      </w:r>
      <w:r w:rsidR="002E2B78" w:rsidRPr="001A4B94">
        <w:rPr>
          <w:rFonts w:asciiTheme="majorBidi" w:hAnsiTheme="majorBidi" w:cstheme="majorBidi"/>
          <w:sz w:val="23"/>
          <w:szCs w:val="23"/>
          <w:lang w:val="tr-TR"/>
        </w:rPr>
        <w:t xml:space="preserve">IBRD </w:t>
      </w:r>
      <w:r w:rsidR="00F53145" w:rsidRPr="001A4B94">
        <w:rPr>
          <w:rFonts w:asciiTheme="majorBidi" w:hAnsiTheme="majorBidi" w:cstheme="majorBidi"/>
          <w:sz w:val="23"/>
          <w:szCs w:val="23"/>
          <w:lang w:val="tr-TR"/>
        </w:rPr>
        <w:t>yatırımları devam etmektedir. Aynı zamanda  sürdürüleb</w:t>
      </w:r>
      <w:r w:rsidR="00494682" w:rsidRPr="001A4B94">
        <w:rPr>
          <w:rFonts w:asciiTheme="majorBidi" w:hAnsiTheme="majorBidi" w:cstheme="majorBidi"/>
          <w:sz w:val="23"/>
          <w:szCs w:val="23"/>
          <w:lang w:val="tr-TR"/>
        </w:rPr>
        <w:t>i</w:t>
      </w:r>
      <w:r w:rsidR="00F53145" w:rsidRPr="001A4B94">
        <w:rPr>
          <w:rFonts w:asciiTheme="majorBidi" w:hAnsiTheme="majorBidi" w:cstheme="majorBidi"/>
          <w:sz w:val="23"/>
          <w:szCs w:val="23"/>
          <w:lang w:val="tr-TR"/>
        </w:rPr>
        <w:t>lir ve yenileneb</w:t>
      </w:r>
      <w:r w:rsidR="00494682" w:rsidRPr="001A4B94">
        <w:rPr>
          <w:rFonts w:asciiTheme="majorBidi" w:hAnsiTheme="majorBidi" w:cstheme="majorBidi"/>
          <w:sz w:val="23"/>
          <w:szCs w:val="23"/>
          <w:lang w:val="tr-TR"/>
        </w:rPr>
        <w:t>i</w:t>
      </w:r>
      <w:r w:rsidR="00F53145" w:rsidRPr="001A4B94">
        <w:rPr>
          <w:rFonts w:asciiTheme="majorBidi" w:hAnsiTheme="majorBidi" w:cstheme="majorBidi"/>
          <w:sz w:val="23"/>
          <w:szCs w:val="23"/>
          <w:lang w:val="tr-TR"/>
        </w:rPr>
        <w:t xml:space="preserve">lir enerji </w:t>
      </w:r>
      <w:r w:rsidR="00243368" w:rsidRPr="001A4B94">
        <w:rPr>
          <w:rFonts w:asciiTheme="majorBidi" w:hAnsiTheme="majorBidi" w:cstheme="majorBidi"/>
          <w:sz w:val="23"/>
          <w:szCs w:val="23"/>
          <w:lang w:val="tr-TR"/>
        </w:rPr>
        <w:t xml:space="preserve">ile ilgili </w:t>
      </w:r>
      <w:r w:rsidR="00F53145" w:rsidRPr="001A4B94">
        <w:rPr>
          <w:rFonts w:asciiTheme="majorBidi" w:hAnsiTheme="majorBidi" w:cstheme="majorBidi"/>
          <w:sz w:val="23"/>
          <w:szCs w:val="23"/>
          <w:lang w:val="tr-TR"/>
        </w:rPr>
        <w:t>geniş kapsamlı bir IFC finansman programı da mevcuttur</w:t>
      </w:r>
      <w:r w:rsidR="002E2B78" w:rsidRPr="001A4B94">
        <w:rPr>
          <w:rFonts w:asciiTheme="majorBidi" w:hAnsiTheme="majorBidi" w:cstheme="majorBidi"/>
          <w:sz w:val="23"/>
          <w:szCs w:val="23"/>
          <w:lang w:val="tr-TR"/>
        </w:rPr>
        <w:t xml:space="preserve">.  </w:t>
      </w:r>
      <w:r w:rsidR="004921AF" w:rsidRPr="001A4B94">
        <w:rPr>
          <w:rFonts w:asciiTheme="majorBidi" w:hAnsiTheme="majorBidi" w:cstheme="majorBidi"/>
          <w:sz w:val="23"/>
          <w:szCs w:val="23"/>
          <w:lang w:val="tr-TR"/>
        </w:rPr>
        <w:t>Bu projeler müşteri talebine bağlı olarak devam niteliğinde</w:t>
      </w:r>
      <w:r w:rsidR="002E2B78" w:rsidRPr="001A4B94">
        <w:rPr>
          <w:rFonts w:asciiTheme="majorBidi" w:hAnsiTheme="majorBidi" w:cstheme="majorBidi"/>
          <w:sz w:val="23"/>
          <w:szCs w:val="23"/>
          <w:lang w:val="tr-TR"/>
        </w:rPr>
        <w:t xml:space="preserve"> </w:t>
      </w:r>
      <w:r w:rsidR="004921AF" w:rsidRPr="001A4B94">
        <w:rPr>
          <w:rFonts w:asciiTheme="majorBidi" w:hAnsiTheme="majorBidi" w:cstheme="majorBidi"/>
          <w:sz w:val="23"/>
          <w:szCs w:val="23"/>
          <w:lang w:val="tr-TR"/>
        </w:rPr>
        <w:t xml:space="preserve">veya tevsi niteliğinde </w:t>
      </w:r>
      <w:r w:rsidR="00F1414F" w:rsidRPr="001A4B94">
        <w:rPr>
          <w:rFonts w:asciiTheme="majorBidi" w:hAnsiTheme="majorBidi" w:cstheme="majorBidi"/>
          <w:sz w:val="23"/>
          <w:szCs w:val="23"/>
          <w:lang w:val="tr-TR"/>
        </w:rPr>
        <w:t>projeler ile uygulanmaya devam edecektir.</w:t>
      </w:r>
      <w:r w:rsidR="002E2B78" w:rsidRPr="001A4B94">
        <w:rPr>
          <w:rFonts w:ascii="Times New Roman" w:hAnsi="Times New Roman"/>
          <w:sz w:val="23"/>
          <w:szCs w:val="23"/>
          <w:lang w:val="tr-TR"/>
        </w:rPr>
        <w:t xml:space="preserve">  </w:t>
      </w:r>
      <w:r w:rsidR="00F1414F" w:rsidRPr="001A4B94">
        <w:rPr>
          <w:rFonts w:ascii="Times New Roman" w:hAnsi="Times New Roman"/>
          <w:sz w:val="23"/>
          <w:szCs w:val="23"/>
          <w:lang w:val="tr-TR"/>
        </w:rPr>
        <w:t>Ayrıca</w:t>
      </w:r>
      <w:r w:rsidR="00C152B8" w:rsidRPr="001A4B94">
        <w:rPr>
          <w:rFonts w:ascii="Times New Roman" w:hAnsi="Times New Roman"/>
          <w:sz w:val="23"/>
          <w:szCs w:val="23"/>
          <w:lang w:val="tr-TR"/>
        </w:rPr>
        <w:t>, IBRD</w:t>
      </w:r>
      <w:r w:rsidR="00F1414F" w:rsidRPr="001A4B94">
        <w:rPr>
          <w:rFonts w:ascii="Times New Roman" w:hAnsi="Times New Roman"/>
          <w:sz w:val="23"/>
          <w:szCs w:val="23"/>
          <w:lang w:val="tr-TR"/>
        </w:rPr>
        <w:t>, h</w:t>
      </w:r>
      <w:r w:rsidR="00494682" w:rsidRPr="001A4B94">
        <w:rPr>
          <w:rFonts w:ascii="Times New Roman" w:hAnsi="Times New Roman"/>
          <w:sz w:val="23"/>
          <w:szCs w:val="23"/>
          <w:lang w:val="tr-TR"/>
        </w:rPr>
        <w:t>i</w:t>
      </w:r>
      <w:r w:rsidR="00F1414F" w:rsidRPr="001A4B94">
        <w:rPr>
          <w:rFonts w:ascii="Times New Roman" w:hAnsi="Times New Roman"/>
          <w:sz w:val="23"/>
          <w:szCs w:val="23"/>
          <w:lang w:val="tr-TR"/>
        </w:rPr>
        <w:t>be finan</w:t>
      </w:r>
      <w:r w:rsidR="00756BD1" w:rsidRPr="001A4B94">
        <w:rPr>
          <w:rFonts w:ascii="Times New Roman" w:hAnsi="Times New Roman"/>
          <w:sz w:val="23"/>
          <w:szCs w:val="23"/>
          <w:lang w:val="tr-TR"/>
        </w:rPr>
        <w:t>smanlı bir Piyasa Hazırlık  O</w:t>
      </w:r>
      <w:r w:rsidR="00F1414F" w:rsidRPr="001A4B94">
        <w:rPr>
          <w:rFonts w:ascii="Times New Roman" w:hAnsi="Times New Roman"/>
          <w:sz w:val="23"/>
          <w:szCs w:val="23"/>
          <w:lang w:val="tr-TR"/>
        </w:rPr>
        <w:t>rtaklığı Projesi (PMR) yoluyla karbon fiyatlandırması araçlarının ve piyasalarının geliştirilmesini desteklemektedir</w:t>
      </w:r>
      <w:r w:rsidR="004E2A88" w:rsidRPr="001A4B94">
        <w:rPr>
          <w:rFonts w:ascii="Times New Roman" w:hAnsi="Times New Roman"/>
          <w:sz w:val="23"/>
          <w:szCs w:val="23"/>
          <w:lang w:val="tr-TR"/>
        </w:rPr>
        <w:t>.</w:t>
      </w:r>
      <w:r w:rsidR="00C152B8" w:rsidRPr="001A4B94">
        <w:rPr>
          <w:rFonts w:ascii="Times New Roman" w:hAnsi="Times New Roman"/>
          <w:sz w:val="23"/>
          <w:szCs w:val="23"/>
          <w:lang w:val="tr-TR"/>
        </w:rPr>
        <w:t xml:space="preserve"> </w:t>
      </w:r>
      <w:r w:rsidR="00BF58DB" w:rsidRPr="001A4B94">
        <w:rPr>
          <w:rFonts w:ascii="Times New Roman" w:hAnsi="Times New Roman"/>
          <w:sz w:val="23"/>
          <w:szCs w:val="23"/>
          <w:lang w:val="tr-TR"/>
        </w:rPr>
        <w:t xml:space="preserve"> </w:t>
      </w:r>
      <w:r w:rsidR="00C152B8" w:rsidRPr="001A4B94">
        <w:rPr>
          <w:rFonts w:ascii="Times New Roman" w:hAnsi="Times New Roman"/>
          <w:sz w:val="23"/>
          <w:szCs w:val="23"/>
          <w:lang w:val="tr-TR"/>
        </w:rPr>
        <w:t xml:space="preserve">IBRD </w:t>
      </w:r>
      <w:r w:rsidR="00F1414F" w:rsidRPr="001A4B94">
        <w:rPr>
          <w:rFonts w:ascii="Times New Roman" w:hAnsi="Times New Roman"/>
          <w:sz w:val="23"/>
          <w:szCs w:val="23"/>
          <w:lang w:val="tr-TR"/>
        </w:rPr>
        <w:t>kamu binalarında enerj</w:t>
      </w:r>
      <w:r w:rsidR="00494682" w:rsidRPr="001A4B94">
        <w:rPr>
          <w:rFonts w:ascii="Times New Roman" w:hAnsi="Times New Roman"/>
          <w:sz w:val="23"/>
          <w:szCs w:val="23"/>
          <w:lang w:val="tr-TR"/>
        </w:rPr>
        <w:t>i</w:t>
      </w:r>
      <w:r w:rsidR="00F1414F" w:rsidRPr="001A4B94">
        <w:rPr>
          <w:rFonts w:ascii="Times New Roman" w:hAnsi="Times New Roman"/>
          <w:sz w:val="23"/>
          <w:szCs w:val="23"/>
          <w:lang w:val="tr-TR"/>
        </w:rPr>
        <w:t xml:space="preserve"> verimliliğini desteklemek amacıyla sürdürüleb</w:t>
      </w:r>
      <w:r w:rsidR="00494682" w:rsidRPr="001A4B94">
        <w:rPr>
          <w:rFonts w:ascii="Times New Roman" w:hAnsi="Times New Roman"/>
          <w:sz w:val="23"/>
          <w:szCs w:val="23"/>
          <w:lang w:val="tr-TR"/>
        </w:rPr>
        <w:t>i</w:t>
      </w:r>
      <w:r w:rsidR="00F1414F" w:rsidRPr="001A4B94">
        <w:rPr>
          <w:rFonts w:ascii="Times New Roman" w:hAnsi="Times New Roman"/>
          <w:sz w:val="23"/>
          <w:szCs w:val="23"/>
          <w:lang w:val="tr-TR"/>
        </w:rPr>
        <w:t>lir finansman mekanizmaları ve uygulama modelleri geliştirmeyi amaçlamaktadır ve enerji verimliliği finansmanı alanında yeni pa</w:t>
      </w:r>
      <w:r w:rsidR="00494682" w:rsidRPr="001A4B94">
        <w:rPr>
          <w:rFonts w:ascii="Times New Roman" w:hAnsi="Times New Roman"/>
          <w:sz w:val="23"/>
          <w:szCs w:val="23"/>
          <w:lang w:val="tr-TR"/>
        </w:rPr>
        <w:t>z</w:t>
      </w:r>
      <w:r w:rsidR="00F1414F" w:rsidRPr="001A4B94">
        <w:rPr>
          <w:rFonts w:ascii="Times New Roman" w:hAnsi="Times New Roman"/>
          <w:sz w:val="23"/>
          <w:szCs w:val="23"/>
          <w:lang w:val="tr-TR"/>
        </w:rPr>
        <w:t>arl</w:t>
      </w:r>
      <w:r w:rsidR="00494682" w:rsidRPr="001A4B94">
        <w:rPr>
          <w:rFonts w:ascii="Times New Roman" w:hAnsi="Times New Roman"/>
          <w:sz w:val="23"/>
          <w:szCs w:val="23"/>
          <w:lang w:val="tr-TR"/>
        </w:rPr>
        <w:t>a</w:t>
      </w:r>
      <w:r w:rsidR="00F1414F" w:rsidRPr="001A4B94">
        <w:rPr>
          <w:rFonts w:ascii="Times New Roman" w:hAnsi="Times New Roman"/>
          <w:sz w:val="23"/>
          <w:szCs w:val="23"/>
          <w:lang w:val="tr-TR"/>
        </w:rPr>
        <w:t>rın geliştirilmesi için ilave projeleri düşünebilir</w:t>
      </w:r>
      <w:r w:rsidR="00C152B8" w:rsidRPr="001A4B94">
        <w:rPr>
          <w:rFonts w:ascii="Times New Roman" w:hAnsi="Times New Roman"/>
          <w:sz w:val="23"/>
          <w:szCs w:val="23"/>
          <w:lang w:val="tr-TR"/>
        </w:rPr>
        <w:t>.</w:t>
      </w:r>
      <w:r w:rsidR="00420992" w:rsidRPr="001A4B94">
        <w:rPr>
          <w:rFonts w:ascii="Times New Roman" w:hAnsi="Times New Roman"/>
          <w:sz w:val="23"/>
          <w:szCs w:val="23"/>
          <w:lang w:val="tr-TR"/>
        </w:rPr>
        <w:t xml:space="preserve"> </w:t>
      </w:r>
      <w:r w:rsidR="00BF58DB" w:rsidRPr="001A4B94">
        <w:rPr>
          <w:rFonts w:ascii="Times New Roman" w:hAnsi="Times New Roman"/>
          <w:sz w:val="23"/>
          <w:szCs w:val="23"/>
          <w:lang w:val="tr-TR"/>
        </w:rPr>
        <w:t>ASA program</w:t>
      </w:r>
      <w:r w:rsidR="00F1414F" w:rsidRPr="001A4B94">
        <w:rPr>
          <w:rFonts w:ascii="Times New Roman" w:hAnsi="Times New Roman"/>
          <w:sz w:val="23"/>
          <w:szCs w:val="23"/>
          <w:lang w:val="tr-TR"/>
        </w:rPr>
        <w:t>ı</w:t>
      </w:r>
      <w:r w:rsidR="00BF58DB" w:rsidRPr="001A4B94">
        <w:rPr>
          <w:rFonts w:ascii="Times New Roman" w:hAnsi="Times New Roman"/>
          <w:sz w:val="23"/>
          <w:szCs w:val="23"/>
          <w:lang w:val="tr-TR"/>
        </w:rPr>
        <w:t xml:space="preserve"> </w:t>
      </w:r>
      <w:r w:rsidR="00494682" w:rsidRPr="001A4B94">
        <w:rPr>
          <w:rFonts w:ascii="Times New Roman" w:hAnsi="Times New Roman"/>
          <w:sz w:val="23"/>
          <w:szCs w:val="23"/>
          <w:lang w:val="tr-TR"/>
        </w:rPr>
        <w:t xml:space="preserve">kapsamında bir </w:t>
      </w:r>
      <w:r w:rsidR="004107D8" w:rsidRPr="001A4B94">
        <w:rPr>
          <w:rFonts w:ascii="Times New Roman" w:hAnsi="Times New Roman"/>
          <w:sz w:val="23"/>
          <w:szCs w:val="23"/>
          <w:lang w:val="tr-TR"/>
        </w:rPr>
        <w:t>O</w:t>
      </w:r>
      <w:r w:rsidR="00494682" w:rsidRPr="001A4B94">
        <w:rPr>
          <w:rFonts w:ascii="Times New Roman" w:hAnsi="Times New Roman"/>
          <w:sz w:val="23"/>
          <w:szCs w:val="23"/>
          <w:lang w:val="tr-TR"/>
        </w:rPr>
        <w:t xml:space="preserve">rmancılık Notu ve Orman Toplulukları Sosyoekonomik Araştırması yer almaktadır </w:t>
      </w:r>
      <w:r w:rsidR="00671198" w:rsidRPr="001A4B94">
        <w:rPr>
          <w:rFonts w:ascii="Times New Roman" w:hAnsi="Times New Roman"/>
          <w:sz w:val="23"/>
          <w:szCs w:val="23"/>
          <w:lang w:val="tr-TR"/>
        </w:rPr>
        <w:t>(</w:t>
      </w:r>
      <w:r w:rsidR="00494682" w:rsidRPr="001A4B94">
        <w:rPr>
          <w:rFonts w:ascii="Times New Roman" w:hAnsi="Times New Roman"/>
          <w:sz w:val="23"/>
          <w:szCs w:val="23"/>
          <w:lang w:val="tr-TR"/>
        </w:rPr>
        <w:t>her ikisi de kısa süre önce tamamlanmıştır</w:t>
      </w:r>
      <w:r w:rsidR="00671198" w:rsidRPr="001A4B94">
        <w:rPr>
          <w:rFonts w:ascii="Times New Roman" w:hAnsi="Times New Roman"/>
          <w:sz w:val="23"/>
          <w:szCs w:val="23"/>
          <w:lang w:val="tr-TR"/>
        </w:rPr>
        <w:t xml:space="preserve">) </w:t>
      </w:r>
      <w:r w:rsidR="00494682" w:rsidRPr="001A4B94">
        <w:rPr>
          <w:rFonts w:ascii="Times New Roman" w:hAnsi="Times New Roman"/>
          <w:sz w:val="23"/>
          <w:szCs w:val="23"/>
          <w:lang w:val="tr-TR"/>
        </w:rPr>
        <w:t>ve gelecekte bu alanda ilave çalışmalar düşünülebilir.</w:t>
      </w:r>
      <w:r w:rsidR="00BF58DB" w:rsidRPr="001A4B94">
        <w:rPr>
          <w:rFonts w:ascii="Times New Roman" w:hAnsi="Times New Roman"/>
          <w:sz w:val="23"/>
          <w:szCs w:val="23"/>
          <w:lang w:val="tr-TR"/>
        </w:rPr>
        <w:t xml:space="preserve">  </w:t>
      </w:r>
      <w:r w:rsidR="00494682" w:rsidRPr="001A4B94">
        <w:rPr>
          <w:rFonts w:ascii="Times New Roman" w:hAnsi="Times New Roman"/>
          <w:sz w:val="23"/>
          <w:szCs w:val="23"/>
          <w:lang w:val="tr-TR"/>
        </w:rPr>
        <w:t>Kalkınma Bakanlığı ile işbirliği içerisinde, 12 numaralı Sürdürülebilir Kalkınma Hedefinin (SKH) nasıl başarılacağı ile ilgili olarak sürdürülebilir üretim ve tüketim üzerinde odaklanan bir çalışma yürütülmektedir.</w:t>
      </w:r>
      <w:r w:rsidR="00BF58DB" w:rsidRPr="001A4B94">
        <w:rPr>
          <w:rFonts w:ascii="Times New Roman" w:hAnsi="Times New Roman"/>
          <w:sz w:val="23"/>
          <w:szCs w:val="23"/>
          <w:lang w:val="tr-TR"/>
        </w:rPr>
        <w:t xml:space="preserve">  </w:t>
      </w:r>
      <w:r w:rsidR="00494682" w:rsidRPr="001A4B94">
        <w:rPr>
          <w:rFonts w:ascii="Times New Roman" w:hAnsi="Times New Roman"/>
          <w:sz w:val="23"/>
          <w:szCs w:val="23"/>
          <w:lang w:val="tr-TR"/>
        </w:rPr>
        <w:t>Son olarak, IBRD’nin yeni sosyal ve çevresel çerçevesi,  sosyal ve çevresel sürdürülebilirlik politikaları ve analitik çalışmaları hakkında diyalogun geliştirilmesi ve ülke içi kapasitenin oluşturulması için sağlam bir temel sunacaktır</w:t>
      </w:r>
      <w:r w:rsidR="00A80D2D" w:rsidRPr="001A4B94">
        <w:rPr>
          <w:rFonts w:ascii="Times New Roman" w:hAnsi="Times New Roman"/>
          <w:sz w:val="23"/>
          <w:szCs w:val="23"/>
          <w:lang w:val="tr-TR"/>
        </w:rPr>
        <w:t>.</w:t>
      </w:r>
    </w:p>
    <w:p w14:paraId="1AF914B1" w14:textId="7CD9BA93" w:rsidR="0094287D" w:rsidRPr="001A4B94" w:rsidRDefault="0094287D" w:rsidP="009D42E0">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2CA48C92" w14:textId="3D5347A2" w:rsidR="006C7BE4" w:rsidRPr="001A4B94" w:rsidRDefault="006C7BE4" w:rsidP="006C7BE4">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color w:val="000000" w:themeColor="text1"/>
          <w:sz w:val="23"/>
          <w:szCs w:val="23"/>
          <w:lang w:val="tr-TR"/>
        </w:rPr>
        <w:t>IFC</w:t>
      </w:r>
      <w:r w:rsidR="001012A7" w:rsidRPr="001A4B94">
        <w:rPr>
          <w:rFonts w:ascii="Times New Roman" w:hAnsi="Times New Roman"/>
          <w:b/>
          <w:color w:val="000000" w:themeColor="text1"/>
          <w:sz w:val="23"/>
          <w:szCs w:val="23"/>
          <w:lang w:val="tr-TR"/>
        </w:rPr>
        <w:t xml:space="preserve">, </w:t>
      </w:r>
      <w:r w:rsidR="00D00995" w:rsidRPr="001A4B94">
        <w:rPr>
          <w:rFonts w:ascii="Times New Roman" w:hAnsi="Times New Roman"/>
          <w:b/>
          <w:color w:val="000000" w:themeColor="text1"/>
          <w:sz w:val="23"/>
          <w:szCs w:val="23"/>
          <w:lang w:val="tr-TR"/>
        </w:rPr>
        <w:t>enerji verimliliğini arttırmak ve sera g</w:t>
      </w:r>
      <w:r w:rsidR="0027042D" w:rsidRPr="001A4B94">
        <w:rPr>
          <w:rFonts w:ascii="Times New Roman" w:hAnsi="Times New Roman"/>
          <w:b/>
          <w:color w:val="000000" w:themeColor="text1"/>
          <w:sz w:val="23"/>
          <w:szCs w:val="23"/>
          <w:lang w:val="tr-TR"/>
        </w:rPr>
        <w:t>a</w:t>
      </w:r>
      <w:r w:rsidR="00D00995" w:rsidRPr="001A4B94">
        <w:rPr>
          <w:rFonts w:ascii="Times New Roman" w:hAnsi="Times New Roman"/>
          <w:b/>
          <w:color w:val="000000" w:themeColor="text1"/>
          <w:sz w:val="23"/>
          <w:szCs w:val="23"/>
          <w:lang w:val="tr-TR"/>
        </w:rPr>
        <w:t xml:space="preserve">zı emisyonlarını azaltmak amacıyla, </w:t>
      </w:r>
      <w:r w:rsidR="00717291" w:rsidRPr="001A4B94">
        <w:rPr>
          <w:rFonts w:ascii="Times New Roman" w:hAnsi="Times New Roman"/>
          <w:b/>
          <w:color w:val="000000" w:themeColor="text1"/>
          <w:sz w:val="23"/>
          <w:szCs w:val="23"/>
          <w:lang w:val="tr-TR"/>
        </w:rPr>
        <w:t xml:space="preserve">imalat, </w:t>
      </w:r>
      <w:r w:rsidR="001012A7" w:rsidRPr="001A4B94">
        <w:rPr>
          <w:rFonts w:ascii="Times New Roman" w:hAnsi="Times New Roman"/>
          <w:b/>
          <w:color w:val="000000" w:themeColor="text1"/>
          <w:sz w:val="23"/>
          <w:szCs w:val="23"/>
          <w:lang w:val="tr-TR"/>
        </w:rPr>
        <w:t>KOBİ, belediye ve ulaştırma altyapısı alan</w:t>
      </w:r>
      <w:r w:rsidR="00D00995" w:rsidRPr="001A4B94">
        <w:rPr>
          <w:rFonts w:ascii="Times New Roman" w:hAnsi="Times New Roman"/>
          <w:b/>
          <w:color w:val="000000" w:themeColor="text1"/>
          <w:sz w:val="23"/>
          <w:szCs w:val="23"/>
          <w:lang w:val="tr-TR"/>
        </w:rPr>
        <w:t>l</w:t>
      </w:r>
      <w:r w:rsidR="001012A7" w:rsidRPr="001A4B94">
        <w:rPr>
          <w:rFonts w:ascii="Times New Roman" w:hAnsi="Times New Roman"/>
          <w:b/>
          <w:color w:val="000000" w:themeColor="text1"/>
          <w:sz w:val="23"/>
          <w:szCs w:val="23"/>
          <w:lang w:val="tr-TR"/>
        </w:rPr>
        <w:t>arında özel sektör yatırıml</w:t>
      </w:r>
      <w:r w:rsidR="00D00995" w:rsidRPr="001A4B94">
        <w:rPr>
          <w:rFonts w:ascii="Times New Roman" w:hAnsi="Times New Roman"/>
          <w:b/>
          <w:color w:val="000000" w:themeColor="text1"/>
          <w:sz w:val="23"/>
          <w:szCs w:val="23"/>
          <w:lang w:val="tr-TR"/>
        </w:rPr>
        <w:t>a</w:t>
      </w:r>
      <w:r w:rsidR="001012A7" w:rsidRPr="001A4B94">
        <w:rPr>
          <w:rFonts w:ascii="Times New Roman" w:hAnsi="Times New Roman"/>
          <w:b/>
          <w:color w:val="000000" w:themeColor="text1"/>
          <w:sz w:val="23"/>
          <w:szCs w:val="23"/>
          <w:lang w:val="tr-TR"/>
        </w:rPr>
        <w:t>rını d</w:t>
      </w:r>
      <w:r w:rsidR="00D00995" w:rsidRPr="001A4B94">
        <w:rPr>
          <w:rFonts w:ascii="Times New Roman" w:hAnsi="Times New Roman"/>
          <w:b/>
          <w:color w:val="000000" w:themeColor="text1"/>
          <w:sz w:val="23"/>
          <w:szCs w:val="23"/>
          <w:lang w:val="tr-TR"/>
        </w:rPr>
        <w:t>e</w:t>
      </w:r>
      <w:r w:rsidR="001012A7" w:rsidRPr="001A4B94">
        <w:rPr>
          <w:rFonts w:ascii="Times New Roman" w:hAnsi="Times New Roman"/>
          <w:b/>
          <w:color w:val="000000" w:themeColor="text1"/>
          <w:sz w:val="23"/>
          <w:szCs w:val="23"/>
          <w:lang w:val="tr-TR"/>
        </w:rPr>
        <w:t>steklemeye devam edecektir.</w:t>
      </w:r>
      <w:r w:rsidRPr="001A4B94">
        <w:rPr>
          <w:rFonts w:ascii="Times New Roman" w:hAnsi="Times New Roman"/>
          <w:b/>
          <w:color w:val="000000" w:themeColor="text1"/>
          <w:sz w:val="23"/>
          <w:szCs w:val="23"/>
          <w:lang w:val="tr-TR"/>
        </w:rPr>
        <w:t xml:space="preserve"> </w:t>
      </w:r>
      <w:r w:rsidRPr="001A4B94">
        <w:rPr>
          <w:rFonts w:ascii="Times New Roman" w:hAnsi="Times New Roman"/>
          <w:color w:val="000000" w:themeColor="text1"/>
          <w:sz w:val="23"/>
          <w:szCs w:val="23"/>
          <w:lang w:val="tr-TR"/>
        </w:rPr>
        <w:t xml:space="preserve">IFC </w:t>
      </w:r>
      <w:r w:rsidR="00D00995" w:rsidRPr="001A4B94">
        <w:rPr>
          <w:rFonts w:ascii="Times New Roman" w:hAnsi="Times New Roman"/>
          <w:color w:val="000000" w:themeColor="text1"/>
          <w:sz w:val="23"/>
          <w:szCs w:val="23"/>
          <w:lang w:val="tr-TR"/>
        </w:rPr>
        <w:t>portföyü enerji verimliliği alanında odaklanan aracı kuruluşlara uzun vadeli f</w:t>
      </w:r>
      <w:r w:rsidR="0027042D" w:rsidRPr="001A4B94">
        <w:rPr>
          <w:rFonts w:ascii="Times New Roman" w:hAnsi="Times New Roman"/>
          <w:color w:val="000000" w:themeColor="text1"/>
          <w:sz w:val="23"/>
          <w:szCs w:val="23"/>
          <w:lang w:val="tr-TR"/>
        </w:rPr>
        <w:t>i</w:t>
      </w:r>
      <w:r w:rsidR="00D00995" w:rsidRPr="001A4B94">
        <w:rPr>
          <w:rFonts w:ascii="Times New Roman" w:hAnsi="Times New Roman"/>
          <w:color w:val="000000" w:themeColor="text1"/>
          <w:sz w:val="23"/>
          <w:szCs w:val="23"/>
          <w:lang w:val="tr-TR"/>
        </w:rPr>
        <w:t>nansman sağlayacaktır</w:t>
      </w:r>
      <w:r w:rsidRPr="001A4B94">
        <w:rPr>
          <w:rFonts w:ascii="Times New Roman" w:hAnsi="Times New Roman"/>
          <w:color w:val="000000" w:themeColor="text1"/>
          <w:sz w:val="23"/>
          <w:szCs w:val="23"/>
          <w:lang w:val="tr-TR"/>
        </w:rPr>
        <w:t xml:space="preserve">. </w:t>
      </w:r>
      <w:r w:rsidR="0027042D" w:rsidRPr="001A4B94">
        <w:rPr>
          <w:rFonts w:ascii="Times New Roman" w:hAnsi="Times New Roman"/>
          <w:color w:val="000000" w:themeColor="text1"/>
          <w:sz w:val="23"/>
          <w:szCs w:val="23"/>
          <w:lang w:val="tr-TR"/>
        </w:rPr>
        <w:t xml:space="preserve">Krediler, sermaye ve yeşil tahviller gibi bir dizi ürün ile enerji yoğunluğunu ve kirliliği azaltmak ve bu amaçlar için başka finansal ortaklardan kaynakların harekete geçirilmesini sağlamak </w:t>
      </w:r>
      <w:r w:rsidR="0027042D" w:rsidRPr="001A4B94">
        <w:rPr>
          <w:rFonts w:ascii="Times New Roman" w:hAnsi="Times New Roman"/>
          <w:color w:val="000000" w:themeColor="text1"/>
          <w:sz w:val="23"/>
          <w:szCs w:val="23"/>
          <w:lang w:val="tr-TR"/>
        </w:rPr>
        <w:lastRenderedPageBreak/>
        <w:t xml:space="preserve">için, </w:t>
      </w:r>
      <w:r w:rsidR="008A50CD" w:rsidRPr="001A4B94">
        <w:rPr>
          <w:rFonts w:ascii="Times New Roman" w:hAnsi="Times New Roman"/>
          <w:color w:val="000000" w:themeColor="text1"/>
          <w:sz w:val="23"/>
          <w:szCs w:val="23"/>
          <w:lang w:val="tr-TR"/>
        </w:rPr>
        <w:t xml:space="preserve">sektör düzeyinde doğrudan ortak çalışmalar </w:t>
      </w:r>
      <w:r w:rsidR="0053738D" w:rsidRPr="001A4B94">
        <w:rPr>
          <w:rFonts w:ascii="Times New Roman" w:hAnsi="Times New Roman"/>
          <w:color w:val="000000" w:themeColor="text1"/>
          <w:sz w:val="23"/>
          <w:szCs w:val="23"/>
          <w:lang w:val="tr-TR"/>
        </w:rPr>
        <w:t xml:space="preserve">yapmanın yollarını </w:t>
      </w:r>
      <w:r w:rsidR="008A50CD" w:rsidRPr="001A4B94">
        <w:rPr>
          <w:rFonts w:ascii="Times New Roman" w:hAnsi="Times New Roman"/>
          <w:color w:val="000000" w:themeColor="text1"/>
          <w:sz w:val="23"/>
          <w:szCs w:val="23"/>
          <w:lang w:val="tr-TR"/>
        </w:rPr>
        <w:t>araştıracaktır</w:t>
      </w:r>
      <w:r w:rsidRPr="001A4B94">
        <w:rPr>
          <w:rFonts w:ascii="Times New Roman" w:hAnsi="Times New Roman"/>
          <w:color w:val="000000" w:themeColor="text1"/>
          <w:sz w:val="23"/>
          <w:szCs w:val="23"/>
          <w:lang w:val="tr-TR"/>
        </w:rPr>
        <w:t xml:space="preserve">. IFC </w:t>
      </w:r>
      <w:r w:rsidR="008A50CD" w:rsidRPr="001A4B94">
        <w:rPr>
          <w:rFonts w:ascii="Times New Roman" w:hAnsi="Times New Roman"/>
          <w:color w:val="000000" w:themeColor="text1"/>
          <w:sz w:val="23"/>
          <w:szCs w:val="23"/>
          <w:lang w:val="tr-TR"/>
        </w:rPr>
        <w:t>yeşil tahviller ve ipotek teminatlı tahviller gibi yenilikçi araçlar yoluyla yeşil binalar için sağlanan finansmanı arttırmak amacıyla finansal kuruluşlar ile birlikte çalışmalar yapacaktır</w:t>
      </w:r>
      <w:r w:rsidRPr="001A4B94">
        <w:rPr>
          <w:rFonts w:ascii="Times New Roman" w:hAnsi="Times New Roman"/>
          <w:color w:val="000000" w:themeColor="text1"/>
          <w:sz w:val="23"/>
          <w:szCs w:val="23"/>
          <w:lang w:val="tr-TR"/>
        </w:rPr>
        <w:t xml:space="preserve">.  </w:t>
      </w:r>
      <w:r w:rsidR="008A50CD" w:rsidRPr="001A4B94">
        <w:rPr>
          <w:rFonts w:ascii="Times New Roman" w:hAnsi="Times New Roman"/>
          <w:color w:val="000000" w:themeColor="text1"/>
          <w:sz w:val="23"/>
          <w:szCs w:val="23"/>
          <w:lang w:val="tr-TR"/>
        </w:rPr>
        <w:t>Belediye düzeyinde</w:t>
      </w:r>
      <w:r w:rsidRPr="001A4B94">
        <w:rPr>
          <w:rFonts w:ascii="Times New Roman" w:hAnsi="Times New Roman"/>
          <w:color w:val="000000" w:themeColor="text1"/>
          <w:sz w:val="23"/>
          <w:szCs w:val="23"/>
          <w:lang w:val="tr-TR"/>
        </w:rPr>
        <w:t xml:space="preserve">, </w:t>
      </w:r>
      <w:r w:rsidR="008A50CD" w:rsidRPr="001A4B94">
        <w:rPr>
          <w:rFonts w:ascii="Times New Roman" w:hAnsi="Times New Roman"/>
          <w:color w:val="000000" w:themeColor="text1"/>
          <w:sz w:val="23"/>
          <w:szCs w:val="23"/>
          <w:lang w:val="tr-TR"/>
        </w:rPr>
        <w:t>enerji açısından verimli toplu taşıma, belediye binaları, atık yönetimi, atıktan enerji üretimi ve sokak aydınlatması projelerini destekle</w:t>
      </w:r>
      <w:r w:rsidR="007E4897" w:rsidRPr="001A4B94">
        <w:rPr>
          <w:rFonts w:ascii="Times New Roman" w:hAnsi="Times New Roman"/>
          <w:color w:val="000000" w:themeColor="text1"/>
          <w:sz w:val="23"/>
          <w:szCs w:val="23"/>
          <w:lang w:val="tr-TR"/>
        </w:rPr>
        <w:t>me</w:t>
      </w:r>
      <w:r w:rsidR="008A50CD" w:rsidRPr="001A4B94">
        <w:rPr>
          <w:rFonts w:ascii="Times New Roman" w:hAnsi="Times New Roman"/>
          <w:color w:val="000000" w:themeColor="text1"/>
          <w:sz w:val="23"/>
          <w:szCs w:val="23"/>
          <w:lang w:val="tr-TR"/>
        </w:rPr>
        <w:t xml:space="preserve"> fırsatlarını araştıracaktır</w:t>
      </w:r>
      <w:r w:rsidRPr="001A4B94">
        <w:rPr>
          <w:rFonts w:ascii="Times New Roman" w:hAnsi="Times New Roman"/>
          <w:color w:val="000000" w:themeColor="text1"/>
          <w:sz w:val="23"/>
          <w:szCs w:val="23"/>
          <w:lang w:val="tr-TR"/>
        </w:rPr>
        <w:t xml:space="preserve">.  </w:t>
      </w:r>
      <w:r w:rsidR="00CD140D" w:rsidRPr="001A4B94">
        <w:rPr>
          <w:rFonts w:ascii="Times New Roman" w:hAnsi="Times New Roman"/>
          <w:color w:val="000000" w:themeColor="text1"/>
          <w:sz w:val="23"/>
          <w:szCs w:val="23"/>
          <w:lang w:val="tr-TR"/>
        </w:rPr>
        <w:t>IFC finansmana ek olarak Türkiye’nin evsel konut ve sanayi sektörlerinde yeni enerji verimliliği uygulamaları getirmek için kilit kurumlara ve şirketlere danışmanlık desteği ve eğitim sağlayacaktır</w:t>
      </w:r>
      <w:r w:rsidRPr="001A4B94">
        <w:rPr>
          <w:rFonts w:ascii="Times New Roman" w:hAnsi="Times New Roman"/>
          <w:color w:val="000000" w:themeColor="text1"/>
          <w:sz w:val="23"/>
          <w:szCs w:val="23"/>
          <w:lang w:val="tr-TR"/>
        </w:rPr>
        <w:t>.</w:t>
      </w:r>
    </w:p>
    <w:p w14:paraId="52FEEF4A" w14:textId="77777777" w:rsidR="00DD5F22" w:rsidRPr="001A4B94" w:rsidRDefault="00DD5F22" w:rsidP="00DD5F22">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008F0A17" w14:textId="22F99AA5" w:rsidR="00DD5F22" w:rsidRPr="001A4B94" w:rsidRDefault="00DD5F22" w:rsidP="006C7BE4">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color w:val="000000" w:themeColor="text1"/>
          <w:sz w:val="23"/>
          <w:szCs w:val="23"/>
          <w:lang w:val="tr-TR"/>
        </w:rPr>
        <w:t xml:space="preserve">MIGA </w:t>
      </w:r>
      <w:r w:rsidR="00CD140D" w:rsidRPr="001A4B94">
        <w:rPr>
          <w:rFonts w:ascii="Times New Roman" w:hAnsi="Times New Roman"/>
          <w:b/>
          <w:color w:val="000000" w:themeColor="text1"/>
          <w:sz w:val="23"/>
          <w:szCs w:val="23"/>
          <w:lang w:val="tr-TR"/>
        </w:rPr>
        <w:t xml:space="preserve">enerji </w:t>
      </w:r>
      <w:r w:rsidR="00F81DB3" w:rsidRPr="001A4B94">
        <w:rPr>
          <w:rFonts w:ascii="Times New Roman" w:hAnsi="Times New Roman"/>
          <w:b/>
          <w:color w:val="000000" w:themeColor="text1"/>
          <w:sz w:val="23"/>
          <w:szCs w:val="23"/>
          <w:lang w:val="tr-TR"/>
        </w:rPr>
        <w:t>verimliliğini</w:t>
      </w:r>
      <w:r w:rsidR="00CD140D" w:rsidRPr="001A4B94">
        <w:rPr>
          <w:rFonts w:ascii="Times New Roman" w:hAnsi="Times New Roman"/>
          <w:b/>
          <w:color w:val="000000" w:themeColor="text1"/>
          <w:sz w:val="23"/>
          <w:szCs w:val="23"/>
          <w:lang w:val="tr-TR"/>
        </w:rPr>
        <w:t xml:space="preserve"> arttırmak ve genel emisyon seviyelerini düşürmek için belediye altyapısı için sağladığı desteği arttırmaya hazırdır</w:t>
      </w:r>
      <w:r w:rsidRPr="001A4B94">
        <w:rPr>
          <w:rFonts w:ascii="Times New Roman" w:hAnsi="Times New Roman"/>
          <w:color w:val="000000" w:themeColor="text1"/>
          <w:sz w:val="23"/>
          <w:szCs w:val="23"/>
          <w:lang w:val="tr-TR"/>
        </w:rPr>
        <w:t xml:space="preserve">. </w:t>
      </w:r>
      <w:r w:rsidR="00CD140D" w:rsidRPr="001A4B94">
        <w:rPr>
          <w:rFonts w:ascii="Times New Roman" w:hAnsi="Times New Roman"/>
          <w:color w:val="000000" w:themeColor="text1"/>
          <w:sz w:val="23"/>
          <w:szCs w:val="23"/>
          <w:lang w:val="tr-TR"/>
        </w:rPr>
        <w:t>Bu bağlamda</w:t>
      </w:r>
      <w:r w:rsidRPr="001A4B94">
        <w:rPr>
          <w:rFonts w:ascii="Times New Roman" w:hAnsi="Times New Roman"/>
          <w:color w:val="000000" w:themeColor="text1"/>
          <w:sz w:val="23"/>
          <w:szCs w:val="23"/>
          <w:lang w:val="tr-TR"/>
        </w:rPr>
        <w:t xml:space="preserve">, MIGA </w:t>
      </w:r>
      <w:r w:rsidR="00F81DB3" w:rsidRPr="001A4B94">
        <w:rPr>
          <w:rFonts w:ascii="Times New Roman" w:hAnsi="Times New Roman"/>
          <w:color w:val="000000" w:themeColor="text1"/>
          <w:sz w:val="23"/>
          <w:szCs w:val="23"/>
          <w:lang w:val="tr-TR"/>
        </w:rPr>
        <w:t>geçmişte</w:t>
      </w:r>
      <w:r w:rsidR="00CD140D" w:rsidRPr="001A4B94">
        <w:rPr>
          <w:rFonts w:ascii="Times New Roman" w:hAnsi="Times New Roman"/>
          <w:color w:val="000000" w:themeColor="text1"/>
          <w:sz w:val="23"/>
          <w:szCs w:val="23"/>
          <w:lang w:val="tr-TR"/>
        </w:rPr>
        <w:t xml:space="preserve"> İstanbul ve İzmir’e sağlanan </w:t>
      </w:r>
      <w:r w:rsidR="00F81DB3" w:rsidRPr="001A4B94">
        <w:rPr>
          <w:rFonts w:ascii="Times New Roman" w:hAnsi="Times New Roman"/>
          <w:color w:val="000000" w:themeColor="text1"/>
          <w:sz w:val="23"/>
          <w:szCs w:val="23"/>
          <w:lang w:val="tr-TR"/>
        </w:rPr>
        <w:t>desteğe</w:t>
      </w:r>
      <w:r w:rsidR="00CD140D" w:rsidRPr="001A4B94">
        <w:rPr>
          <w:rFonts w:ascii="Times New Roman" w:hAnsi="Times New Roman"/>
          <w:color w:val="000000" w:themeColor="text1"/>
          <w:sz w:val="23"/>
          <w:szCs w:val="23"/>
          <w:lang w:val="tr-TR"/>
        </w:rPr>
        <w:t xml:space="preserve"> benzer şekilde önemli belediye altyapı projeleri için kredi </w:t>
      </w:r>
      <w:r w:rsidR="00F81DB3" w:rsidRPr="001A4B94">
        <w:rPr>
          <w:rFonts w:ascii="Times New Roman" w:hAnsi="Times New Roman"/>
          <w:color w:val="000000" w:themeColor="text1"/>
          <w:sz w:val="23"/>
          <w:szCs w:val="23"/>
          <w:lang w:val="tr-TR"/>
        </w:rPr>
        <w:t>garantileri</w:t>
      </w:r>
      <w:r w:rsidR="00CD140D" w:rsidRPr="001A4B94">
        <w:rPr>
          <w:rFonts w:ascii="Times New Roman" w:hAnsi="Times New Roman"/>
          <w:color w:val="000000" w:themeColor="text1"/>
          <w:sz w:val="23"/>
          <w:szCs w:val="23"/>
          <w:lang w:val="tr-TR"/>
        </w:rPr>
        <w:t xml:space="preserve"> </w:t>
      </w:r>
      <w:r w:rsidR="00F81DB3" w:rsidRPr="001A4B94">
        <w:rPr>
          <w:rFonts w:ascii="Times New Roman" w:hAnsi="Times New Roman"/>
          <w:color w:val="000000" w:themeColor="text1"/>
          <w:sz w:val="23"/>
          <w:szCs w:val="23"/>
          <w:lang w:val="tr-TR"/>
        </w:rPr>
        <w:t>sağlayabilir</w:t>
      </w:r>
      <w:r w:rsidR="00CD140D" w:rsidRPr="001A4B94">
        <w:rPr>
          <w:rFonts w:ascii="Times New Roman" w:hAnsi="Times New Roman"/>
          <w:color w:val="000000" w:themeColor="text1"/>
          <w:sz w:val="23"/>
          <w:szCs w:val="23"/>
          <w:lang w:val="tr-TR"/>
        </w:rPr>
        <w:t>.</w:t>
      </w:r>
      <w:r w:rsidRPr="001A4B94">
        <w:rPr>
          <w:rFonts w:ascii="Times New Roman" w:hAnsi="Times New Roman"/>
          <w:color w:val="000000" w:themeColor="text1"/>
          <w:sz w:val="23"/>
          <w:szCs w:val="23"/>
          <w:lang w:val="tr-TR"/>
        </w:rPr>
        <w:t xml:space="preserve">  </w:t>
      </w:r>
    </w:p>
    <w:p w14:paraId="762CB83A" w14:textId="77777777" w:rsidR="006C7BE4" w:rsidRPr="001A4B94" w:rsidRDefault="006C7BE4" w:rsidP="006C7BE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2"/>
          <w:szCs w:val="12"/>
          <w:lang w:val="tr-TR"/>
        </w:rPr>
      </w:pPr>
    </w:p>
    <w:p w14:paraId="77C17CE3" w14:textId="1B0F61D6" w:rsidR="00BA6BF4" w:rsidRPr="001A4B94" w:rsidRDefault="00F410F7" w:rsidP="00BA6BF4">
      <w:pPr>
        <w:pStyle w:val="ListeParagraf"/>
        <w:numPr>
          <w:ilvl w:val="0"/>
          <w:numId w:val="2"/>
        </w:numPr>
        <w:tabs>
          <w:tab w:val="left" w:pos="426"/>
          <w:tab w:val="left" w:pos="2970"/>
        </w:tabs>
        <w:autoSpaceDE w:val="0"/>
        <w:autoSpaceDN w:val="0"/>
        <w:adjustRightInd w:val="0"/>
        <w:spacing w:after="0" w:line="240" w:lineRule="auto"/>
        <w:ind w:left="0" w:firstLine="0"/>
        <w:jc w:val="both"/>
        <w:rPr>
          <w:sz w:val="23"/>
          <w:szCs w:val="23"/>
          <w:lang w:val="tr-TR"/>
        </w:rPr>
      </w:pPr>
      <w:r w:rsidRPr="001A4B94">
        <w:rPr>
          <w:rFonts w:ascii="Times New Roman" w:hAnsi="Times New Roman"/>
          <w:b/>
          <w:sz w:val="23"/>
          <w:szCs w:val="23"/>
          <w:lang w:val="tr-TR"/>
        </w:rPr>
        <w:t>Dünya Bankası G</w:t>
      </w:r>
      <w:r w:rsidR="00DE49B9" w:rsidRPr="001A4B94">
        <w:rPr>
          <w:rFonts w:ascii="Times New Roman" w:hAnsi="Times New Roman"/>
          <w:b/>
          <w:sz w:val="23"/>
          <w:szCs w:val="23"/>
          <w:lang w:val="tr-TR"/>
        </w:rPr>
        <w:t>r</w:t>
      </w:r>
      <w:r w:rsidRPr="001A4B94">
        <w:rPr>
          <w:rFonts w:ascii="Times New Roman" w:hAnsi="Times New Roman"/>
          <w:b/>
          <w:sz w:val="23"/>
          <w:szCs w:val="23"/>
          <w:lang w:val="tr-TR"/>
        </w:rPr>
        <w:t>ubu ayrıca su v</w:t>
      </w:r>
      <w:r w:rsidR="00D10328" w:rsidRPr="001A4B94">
        <w:rPr>
          <w:rFonts w:ascii="Times New Roman" w:hAnsi="Times New Roman"/>
          <w:b/>
          <w:sz w:val="23"/>
          <w:szCs w:val="23"/>
          <w:lang w:val="tr-TR"/>
        </w:rPr>
        <w:t>e orman kaynaklarının sürdürüle</w:t>
      </w:r>
      <w:r w:rsidRPr="001A4B94">
        <w:rPr>
          <w:rFonts w:ascii="Times New Roman" w:hAnsi="Times New Roman"/>
          <w:b/>
          <w:sz w:val="23"/>
          <w:szCs w:val="23"/>
          <w:lang w:val="tr-TR"/>
        </w:rPr>
        <w:t>b</w:t>
      </w:r>
      <w:r w:rsidR="00D10328" w:rsidRPr="001A4B94">
        <w:rPr>
          <w:rFonts w:ascii="Times New Roman" w:hAnsi="Times New Roman"/>
          <w:b/>
          <w:sz w:val="23"/>
          <w:szCs w:val="23"/>
          <w:lang w:val="tr-TR"/>
        </w:rPr>
        <w:t>i</w:t>
      </w:r>
      <w:r w:rsidRPr="001A4B94">
        <w:rPr>
          <w:rFonts w:ascii="Times New Roman" w:hAnsi="Times New Roman"/>
          <w:b/>
          <w:sz w:val="23"/>
          <w:szCs w:val="23"/>
          <w:lang w:val="tr-TR"/>
        </w:rPr>
        <w:t>lir</w:t>
      </w:r>
      <w:r w:rsidR="00D10328" w:rsidRPr="001A4B94">
        <w:rPr>
          <w:rFonts w:ascii="Times New Roman" w:hAnsi="Times New Roman"/>
          <w:b/>
          <w:sz w:val="23"/>
          <w:szCs w:val="23"/>
          <w:lang w:val="tr-TR"/>
        </w:rPr>
        <w:t xml:space="preserve"> k</w:t>
      </w:r>
      <w:r w:rsidRPr="001A4B94">
        <w:rPr>
          <w:rFonts w:ascii="Times New Roman" w:hAnsi="Times New Roman"/>
          <w:b/>
          <w:sz w:val="23"/>
          <w:szCs w:val="23"/>
          <w:lang w:val="tr-TR"/>
        </w:rPr>
        <w:t>ullanımı gibi Sistematik Ülke Değerlendirmesinde önemli olarak tespit edilen alanlarda genişletilmiş bir program uygulamasını savunacaktır</w:t>
      </w:r>
      <w:r w:rsidR="00C5542D" w:rsidRPr="001A4B94">
        <w:rPr>
          <w:rFonts w:asciiTheme="majorBidi" w:hAnsiTheme="majorBidi" w:cstheme="majorBidi"/>
          <w:b/>
          <w:sz w:val="23"/>
          <w:szCs w:val="23"/>
          <w:lang w:val="tr-TR"/>
        </w:rPr>
        <w:t>.</w:t>
      </w:r>
      <w:r w:rsidR="002E2B78" w:rsidRPr="001A4B94">
        <w:rPr>
          <w:rFonts w:asciiTheme="majorBidi" w:hAnsiTheme="majorBidi" w:cstheme="majorBidi"/>
          <w:sz w:val="23"/>
          <w:szCs w:val="23"/>
          <w:lang w:val="tr-TR"/>
        </w:rPr>
        <w:t xml:space="preserve"> </w:t>
      </w:r>
      <w:r w:rsidRPr="001A4B94">
        <w:rPr>
          <w:rFonts w:asciiTheme="majorBidi" w:hAnsiTheme="majorBidi" w:cstheme="majorBidi"/>
          <w:sz w:val="23"/>
          <w:szCs w:val="23"/>
          <w:lang w:val="tr-TR"/>
        </w:rPr>
        <w:t xml:space="preserve">Bu program </w:t>
      </w:r>
      <w:r w:rsidR="00231C18" w:rsidRPr="001A4B94">
        <w:rPr>
          <w:rFonts w:asciiTheme="majorBidi" w:hAnsiTheme="majorBidi" w:cstheme="majorBidi"/>
          <w:sz w:val="23"/>
          <w:szCs w:val="23"/>
          <w:lang w:val="tr-TR"/>
        </w:rPr>
        <w:t>T</w:t>
      </w:r>
      <w:r w:rsidR="00D10328" w:rsidRPr="001A4B94">
        <w:rPr>
          <w:rFonts w:asciiTheme="majorBidi" w:hAnsiTheme="majorBidi" w:cstheme="majorBidi"/>
          <w:sz w:val="23"/>
          <w:szCs w:val="23"/>
          <w:lang w:val="tr-TR"/>
        </w:rPr>
        <w:t>ü</w:t>
      </w:r>
      <w:r w:rsidR="00231C18" w:rsidRPr="001A4B94">
        <w:rPr>
          <w:rFonts w:asciiTheme="majorBidi" w:hAnsiTheme="majorBidi" w:cstheme="majorBidi"/>
          <w:sz w:val="23"/>
          <w:szCs w:val="23"/>
          <w:lang w:val="tr-TR"/>
        </w:rPr>
        <w:t>rkiye’deki en kırılgan kesimler arasında sayılan küçük ölçekli çiftçil</w:t>
      </w:r>
      <w:r w:rsidR="00DE49B9" w:rsidRPr="001A4B94">
        <w:rPr>
          <w:rFonts w:asciiTheme="majorBidi" w:hAnsiTheme="majorBidi" w:cstheme="majorBidi"/>
          <w:sz w:val="23"/>
          <w:szCs w:val="23"/>
          <w:lang w:val="tr-TR"/>
        </w:rPr>
        <w:t>e</w:t>
      </w:r>
      <w:r w:rsidR="00231C18" w:rsidRPr="001A4B94">
        <w:rPr>
          <w:rFonts w:asciiTheme="majorBidi" w:hAnsiTheme="majorBidi" w:cstheme="majorBidi"/>
          <w:sz w:val="23"/>
          <w:szCs w:val="23"/>
          <w:lang w:val="tr-TR"/>
        </w:rPr>
        <w:t>ri ve orman topluluklarını destekleyecektir</w:t>
      </w:r>
      <w:r w:rsidR="002E2B78" w:rsidRPr="001A4B94">
        <w:rPr>
          <w:rFonts w:asciiTheme="majorBidi" w:hAnsiTheme="majorBidi" w:cstheme="majorBidi"/>
          <w:sz w:val="23"/>
          <w:szCs w:val="23"/>
          <w:lang w:val="tr-TR"/>
        </w:rPr>
        <w:t xml:space="preserve">. </w:t>
      </w:r>
      <w:r w:rsidR="00231C18" w:rsidRPr="001A4B94">
        <w:rPr>
          <w:rFonts w:asciiTheme="majorBidi" w:hAnsiTheme="majorBidi" w:cstheme="majorBidi"/>
          <w:sz w:val="23"/>
          <w:szCs w:val="23"/>
          <w:lang w:val="tr-TR"/>
        </w:rPr>
        <w:t>Su sektöründe</w:t>
      </w:r>
      <w:r w:rsidR="009B54F9" w:rsidRPr="001A4B94">
        <w:rPr>
          <w:rFonts w:asciiTheme="majorBidi" w:hAnsiTheme="majorBidi" w:cstheme="majorBidi"/>
          <w:sz w:val="23"/>
          <w:szCs w:val="23"/>
          <w:lang w:val="tr-TR"/>
        </w:rPr>
        <w:t xml:space="preserve">, </w:t>
      </w:r>
      <w:r w:rsidR="00B77295" w:rsidRPr="001A4B94">
        <w:rPr>
          <w:rFonts w:asciiTheme="majorBidi" w:hAnsiTheme="majorBidi" w:cstheme="majorBidi"/>
          <w:sz w:val="23"/>
          <w:szCs w:val="23"/>
          <w:lang w:val="tr-TR"/>
        </w:rPr>
        <w:t xml:space="preserve">olası bir </w:t>
      </w:r>
      <w:r w:rsidR="009B54F9" w:rsidRPr="001A4B94">
        <w:rPr>
          <w:rFonts w:asciiTheme="majorBidi" w:hAnsiTheme="majorBidi" w:cstheme="majorBidi"/>
          <w:sz w:val="23"/>
          <w:szCs w:val="23"/>
          <w:lang w:val="tr-TR"/>
        </w:rPr>
        <w:t xml:space="preserve">IBRD </w:t>
      </w:r>
      <w:r w:rsidR="00B77295" w:rsidRPr="001A4B94">
        <w:rPr>
          <w:rFonts w:asciiTheme="majorBidi" w:hAnsiTheme="majorBidi" w:cstheme="majorBidi"/>
          <w:sz w:val="23"/>
          <w:szCs w:val="23"/>
          <w:lang w:val="tr-TR"/>
        </w:rPr>
        <w:t>sulama projesi görüşülmekt</w:t>
      </w:r>
      <w:r w:rsidR="00DE49B9" w:rsidRPr="001A4B94">
        <w:rPr>
          <w:rFonts w:asciiTheme="majorBidi" w:hAnsiTheme="majorBidi" w:cstheme="majorBidi"/>
          <w:sz w:val="23"/>
          <w:szCs w:val="23"/>
          <w:lang w:val="tr-TR"/>
        </w:rPr>
        <w:t>e</w:t>
      </w:r>
      <w:r w:rsidR="00B77295" w:rsidRPr="001A4B94">
        <w:rPr>
          <w:rFonts w:asciiTheme="majorBidi" w:hAnsiTheme="majorBidi" w:cstheme="majorBidi"/>
          <w:sz w:val="23"/>
          <w:szCs w:val="23"/>
          <w:lang w:val="tr-TR"/>
        </w:rPr>
        <w:t>dir. Söz</w:t>
      </w:r>
      <w:r w:rsidR="00DE49B9" w:rsidRPr="001A4B94">
        <w:rPr>
          <w:rFonts w:asciiTheme="majorBidi" w:hAnsiTheme="majorBidi" w:cstheme="majorBidi"/>
          <w:sz w:val="23"/>
          <w:szCs w:val="23"/>
          <w:lang w:val="tr-TR"/>
        </w:rPr>
        <w:t xml:space="preserve"> k</w:t>
      </w:r>
      <w:r w:rsidR="00B77295" w:rsidRPr="001A4B94">
        <w:rPr>
          <w:rFonts w:asciiTheme="majorBidi" w:hAnsiTheme="majorBidi" w:cstheme="majorBidi"/>
          <w:sz w:val="23"/>
          <w:szCs w:val="23"/>
          <w:lang w:val="tr-TR"/>
        </w:rPr>
        <w:t>onusu projenin muhtemel bileşenleri arasında  sektörün modernizasyonu</w:t>
      </w:r>
      <w:r w:rsidR="00420992" w:rsidRPr="001A4B94">
        <w:rPr>
          <w:rFonts w:asciiTheme="majorBidi" w:hAnsiTheme="majorBidi" w:cstheme="majorBidi"/>
          <w:sz w:val="23"/>
          <w:szCs w:val="23"/>
          <w:lang w:val="tr-TR"/>
        </w:rPr>
        <w:t xml:space="preserve">, </w:t>
      </w:r>
      <w:r w:rsidR="00B77295" w:rsidRPr="001A4B94">
        <w:rPr>
          <w:rFonts w:asciiTheme="majorBidi" w:hAnsiTheme="majorBidi" w:cstheme="majorBidi"/>
          <w:sz w:val="23"/>
          <w:szCs w:val="23"/>
          <w:lang w:val="tr-TR"/>
        </w:rPr>
        <w:t>tarımda su verimliliğinin arttırılması, su kullanıcı birliklerinin kapasitelerinin güçlendirilmesi ve sulama sektörüne özel sektör katılımı için seçeneklerin araştırılması yer alabilir.</w:t>
      </w:r>
      <w:r w:rsidR="009B54F9" w:rsidRPr="001A4B94">
        <w:rPr>
          <w:rFonts w:asciiTheme="majorBidi" w:hAnsiTheme="majorBidi" w:cstheme="majorBidi"/>
          <w:sz w:val="23"/>
          <w:szCs w:val="23"/>
          <w:lang w:val="tr-TR"/>
        </w:rPr>
        <w:t xml:space="preserve"> </w:t>
      </w:r>
      <w:r w:rsidR="006C7BE4" w:rsidRPr="001A4B94">
        <w:rPr>
          <w:rFonts w:asciiTheme="majorBidi" w:hAnsiTheme="majorBidi" w:cstheme="majorBidi"/>
          <w:sz w:val="23"/>
          <w:szCs w:val="23"/>
          <w:lang w:val="tr-TR"/>
        </w:rPr>
        <w:t xml:space="preserve"> </w:t>
      </w:r>
      <w:r w:rsidR="00B77295" w:rsidRPr="001A4B94">
        <w:rPr>
          <w:rFonts w:asciiTheme="majorBidi" w:hAnsiTheme="majorBidi" w:cstheme="majorBidi"/>
          <w:sz w:val="23"/>
          <w:szCs w:val="23"/>
          <w:lang w:val="tr-TR"/>
        </w:rPr>
        <w:t>Ormancılık sektöründe</w:t>
      </w:r>
      <w:r w:rsidR="009B54F9" w:rsidRPr="001A4B94">
        <w:rPr>
          <w:rFonts w:asciiTheme="majorBidi" w:hAnsiTheme="majorBidi" w:cstheme="majorBidi"/>
          <w:sz w:val="23"/>
          <w:szCs w:val="23"/>
          <w:lang w:val="tr-TR"/>
        </w:rPr>
        <w:t xml:space="preserve">, </w:t>
      </w:r>
      <w:r w:rsidR="00B77295" w:rsidRPr="001A4B94">
        <w:rPr>
          <w:rFonts w:asciiTheme="majorBidi" w:hAnsiTheme="majorBidi" w:cstheme="majorBidi"/>
          <w:sz w:val="23"/>
          <w:szCs w:val="23"/>
          <w:lang w:val="tr-TR"/>
        </w:rPr>
        <w:t>son Ormancılık Polit</w:t>
      </w:r>
      <w:r w:rsidR="00380A9D" w:rsidRPr="001A4B94">
        <w:rPr>
          <w:rFonts w:asciiTheme="majorBidi" w:hAnsiTheme="majorBidi" w:cstheme="majorBidi"/>
          <w:sz w:val="23"/>
          <w:szCs w:val="23"/>
          <w:lang w:val="tr-TR"/>
        </w:rPr>
        <w:t>ika Notunda yer alan tavsiyeler</w:t>
      </w:r>
      <w:r w:rsidR="00B77295" w:rsidRPr="001A4B94">
        <w:rPr>
          <w:rFonts w:asciiTheme="majorBidi" w:hAnsiTheme="majorBidi" w:cstheme="majorBidi"/>
          <w:sz w:val="23"/>
          <w:szCs w:val="23"/>
          <w:lang w:val="tr-TR"/>
        </w:rPr>
        <w:t>, orman sektöründe KOBİ’lerin büyümesinin hızlandırılm</w:t>
      </w:r>
      <w:r w:rsidR="00DE49B9" w:rsidRPr="001A4B94">
        <w:rPr>
          <w:rFonts w:asciiTheme="majorBidi" w:hAnsiTheme="majorBidi" w:cstheme="majorBidi"/>
          <w:sz w:val="23"/>
          <w:szCs w:val="23"/>
          <w:lang w:val="tr-TR"/>
        </w:rPr>
        <w:t>a</w:t>
      </w:r>
      <w:r w:rsidR="00B77295" w:rsidRPr="001A4B94">
        <w:rPr>
          <w:rFonts w:asciiTheme="majorBidi" w:hAnsiTheme="majorBidi" w:cstheme="majorBidi"/>
          <w:sz w:val="23"/>
          <w:szCs w:val="23"/>
          <w:lang w:val="tr-TR"/>
        </w:rPr>
        <w:t xml:space="preserve">sı </w:t>
      </w:r>
      <w:r w:rsidR="004B0C1B" w:rsidRPr="001A4B94">
        <w:rPr>
          <w:rFonts w:asciiTheme="majorBidi" w:hAnsiTheme="majorBidi" w:cstheme="majorBidi"/>
          <w:sz w:val="23"/>
          <w:szCs w:val="23"/>
          <w:lang w:val="tr-TR"/>
        </w:rPr>
        <w:t>üzerinde odaklanacak potansiyel bir projeye ilişkin görüşmeler başlatılmasını sağlamıştır. Söz konusu projenin amaçl</w:t>
      </w:r>
      <w:r w:rsidR="00DE49B9" w:rsidRPr="001A4B94">
        <w:rPr>
          <w:rFonts w:asciiTheme="majorBidi" w:hAnsiTheme="majorBidi" w:cstheme="majorBidi"/>
          <w:sz w:val="23"/>
          <w:szCs w:val="23"/>
          <w:lang w:val="tr-TR"/>
        </w:rPr>
        <w:t>a</w:t>
      </w:r>
      <w:r w:rsidR="004B0C1B" w:rsidRPr="001A4B94">
        <w:rPr>
          <w:rFonts w:asciiTheme="majorBidi" w:hAnsiTheme="majorBidi" w:cstheme="majorBidi"/>
          <w:sz w:val="23"/>
          <w:szCs w:val="23"/>
          <w:lang w:val="tr-TR"/>
        </w:rPr>
        <w:t>rı arasında orman değer zincirinin  geliştirilmesi</w:t>
      </w:r>
      <w:r w:rsidR="00420992" w:rsidRPr="001A4B94">
        <w:rPr>
          <w:rFonts w:asciiTheme="majorBidi" w:hAnsiTheme="majorBidi" w:cstheme="majorBidi"/>
          <w:sz w:val="23"/>
          <w:szCs w:val="23"/>
          <w:lang w:val="tr-TR"/>
        </w:rPr>
        <w:t>,</w:t>
      </w:r>
      <w:r w:rsidR="00055CF8" w:rsidRPr="001A4B94">
        <w:rPr>
          <w:rFonts w:asciiTheme="majorBidi" w:hAnsiTheme="majorBidi" w:cstheme="majorBidi"/>
          <w:sz w:val="23"/>
          <w:szCs w:val="23"/>
          <w:lang w:val="tr-TR"/>
        </w:rPr>
        <w:t xml:space="preserve"> </w:t>
      </w:r>
      <w:r w:rsidR="004B0C1B" w:rsidRPr="001A4B94">
        <w:rPr>
          <w:rFonts w:asciiTheme="majorBidi" w:hAnsiTheme="majorBidi" w:cstheme="majorBidi"/>
          <w:sz w:val="23"/>
          <w:szCs w:val="23"/>
          <w:lang w:val="tr-TR"/>
        </w:rPr>
        <w:t>bölgeler arası yakınsamanın sağlanması</w:t>
      </w:r>
      <w:r w:rsidR="00420992" w:rsidRPr="001A4B94">
        <w:rPr>
          <w:rFonts w:asciiTheme="majorBidi" w:hAnsiTheme="majorBidi" w:cstheme="majorBidi"/>
          <w:sz w:val="23"/>
          <w:szCs w:val="23"/>
          <w:lang w:val="tr-TR"/>
        </w:rPr>
        <w:t xml:space="preserve">, </w:t>
      </w:r>
      <w:r w:rsidR="004B0C1B" w:rsidRPr="001A4B94">
        <w:rPr>
          <w:rFonts w:asciiTheme="majorBidi" w:hAnsiTheme="majorBidi" w:cstheme="majorBidi"/>
          <w:sz w:val="23"/>
          <w:szCs w:val="23"/>
          <w:lang w:val="tr-TR"/>
        </w:rPr>
        <w:t>dışarıya verilen göçün azaltılması ve inşaat ve enerji piyasaları için kaliteli orman ürünlerinin sürdürülebilir bir şekilde üretilmesi yer almaktadır</w:t>
      </w:r>
      <w:r w:rsidR="007A30F7" w:rsidRPr="001A4B94">
        <w:rPr>
          <w:rFonts w:asciiTheme="majorBidi" w:hAnsiTheme="majorBidi" w:cstheme="majorBidi"/>
          <w:sz w:val="23"/>
          <w:szCs w:val="23"/>
          <w:lang w:val="tr-TR"/>
        </w:rPr>
        <w:t xml:space="preserve">.  </w:t>
      </w:r>
      <w:r w:rsidR="00D10328" w:rsidRPr="001A4B94">
        <w:rPr>
          <w:rFonts w:asciiTheme="majorBidi" w:hAnsiTheme="majorBidi" w:cstheme="majorBidi"/>
          <w:sz w:val="23"/>
          <w:szCs w:val="23"/>
          <w:lang w:val="tr-TR"/>
        </w:rPr>
        <w:t>Tarımda da ortak çalışmalar yapılması mümkündür</w:t>
      </w:r>
      <w:r w:rsidR="00A80D2D" w:rsidRPr="001A4B94">
        <w:rPr>
          <w:rFonts w:asciiTheme="majorBidi" w:hAnsiTheme="majorBidi" w:cstheme="majorBidi"/>
          <w:sz w:val="23"/>
          <w:szCs w:val="23"/>
          <w:lang w:val="tr-TR"/>
        </w:rPr>
        <w:t xml:space="preserve">: </w:t>
      </w:r>
      <w:r w:rsidR="00D10328" w:rsidRPr="001A4B94">
        <w:rPr>
          <w:rFonts w:asciiTheme="majorBidi" w:hAnsiTheme="majorBidi" w:cstheme="majorBidi"/>
          <w:sz w:val="23"/>
          <w:szCs w:val="23"/>
          <w:lang w:val="tr-TR"/>
        </w:rPr>
        <w:t xml:space="preserve">örneğin </w:t>
      </w:r>
      <w:r w:rsidR="00322BE9" w:rsidRPr="001A4B94">
        <w:rPr>
          <w:rFonts w:asciiTheme="majorBidi" w:hAnsiTheme="majorBidi" w:cstheme="majorBidi"/>
          <w:sz w:val="23"/>
          <w:szCs w:val="23"/>
          <w:lang w:val="tr-TR"/>
        </w:rPr>
        <w:t xml:space="preserve">üretkenlik ve rekabet gücü ile ilgili analitik çalışma </w:t>
      </w:r>
      <w:r w:rsidR="00A80D2D" w:rsidRPr="001A4B94">
        <w:rPr>
          <w:rFonts w:asciiTheme="majorBidi" w:hAnsiTheme="majorBidi" w:cstheme="majorBidi"/>
          <w:sz w:val="23"/>
          <w:szCs w:val="23"/>
          <w:lang w:val="tr-TR"/>
        </w:rPr>
        <w:t>(</w:t>
      </w:r>
      <w:r w:rsidR="00322BE9" w:rsidRPr="001A4B94">
        <w:rPr>
          <w:rFonts w:asciiTheme="majorBidi" w:hAnsiTheme="majorBidi" w:cstheme="majorBidi"/>
          <w:sz w:val="23"/>
          <w:szCs w:val="23"/>
          <w:lang w:val="tr-TR"/>
        </w:rPr>
        <w:t>CPF Amaç 3 kapsamında önerilmektedir</w:t>
      </w:r>
      <w:r w:rsidR="00A80D2D" w:rsidRPr="001A4B94">
        <w:rPr>
          <w:rFonts w:asciiTheme="majorBidi" w:hAnsiTheme="majorBidi" w:cstheme="majorBidi"/>
          <w:sz w:val="23"/>
          <w:szCs w:val="23"/>
          <w:lang w:val="tr-TR"/>
        </w:rPr>
        <w:t xml:space="preserve">) </w:t>
      </w:r>
      <w:r w:rsidR="00322BE9" w:rsidRPr="001A4B94">
        <w:rPr>
          <w:rFonts w:asciiTheme="majorBidi" w:hAnsiTheme="majorBidi" w:cstheme="majorBidi"/>
          <w:sz w:val="23"/>
          <w:szCs w:val="23"/>
          <w:lang w:val="tr-TR"/>
        </w:rPr>
        <w:t>tarımsal gıda değer zincirlerinin verimliliğinin arttırılması ve ticarileştirme fırsatlarını araştırabilir</w:t>
      </w:r>
      <w:r w:rsidR="00A80D2D" w:rsidRPr="001A4B94">
        <w:rPr>
          <w:rFonts w:asciiTheme="majorBidi" w:hAnsiTheme="majorBidi" w:cstheme="majorBidi"/>
          <w:sz w:val="23"/>
          <w:szCs w:val="23"/>
          <w:lang w:val="tr-TR"/>
        </w:rPr>
        <w:t xml:space="preserve">. </w:t>
      </w:r>
      <w:r w:rsidR="00322BE9" w:rsidRPr="001A4B94">
        <w:rPr>
          <w:rFonts w:asciiTheme="majorBidi" w:hAnsiTheme="majorBidi" w:cstheme="majorBidi"/>
          <w:sz w:val="23"/>
          <w:szCs w:val="23"/>
          <w:lang w:val="tr-TR"/>
        </w:rPr>
        <w:t>Son olarak</w:t>
      </w:r>
      <w:r w:rsidR="00A80D2D" w:rsidRPr="001A4B94">
        <w:rPr>
          <w:rFonts w:asciiTheme="majorBidi" w:hAnsiTheme="majorBidi" w:cstheme="majorBidi"/>
          <w:sz w:val="23"/>
          <w:szCs w:val="23"/>
          <w:lang w:val="tr-TR"/>
        </w:rPr>
        <w:t xml:space="preserve">, </w:t>
      </w:r>
      <w:r w:rsidR="00322BE9" w:rsidRPr="001A4B94">
        <w:rPr>
          <w:rFonts w:asciiTheme="majorBidi" w:hAnsiTheme="majorBidi" w:cstheme="majorBidi"/>
          <w:sz w:val="23"/>
          <w:szCs w:val="23"/>
          <w:lang w:val="tr-TR"/>
        </w:rPr>
        <w:t xml:space="preserve">Dünya Bankası </w:t>
      </w:r>
      <w:r w:rsidR="004107D8" w:rsidRPr="001A4B94">
        <w:rPr>
          <w:rFonts w:asciiTheme="majorBidi" w:hAnsiTheme="majorBidi" w:cstheme="majorBidi"/>
          <w:sz w:val="23"/>
          <w:szCs w:val="23"/>
          <w:lang w:val="tr-TR"/>
        </w:rPr>
        <w:t>Grubu ulaştırma ile ilgili konu</w:t>
      </w:r>
      <w:r w:rsidR="00322BE9" w:rsidRPr="001A4B94">
        <w:rPr>
          <w:rFonts w:asciiTheme="majorBidi" w:hAnsiTheme="majorBidi" w:cstheme="majorBidi"/>
          <w:sz w:val="23"/>
          <w:szCs w:val="23"/>
          <w:lang w:val="tr-TR"/>
        </w:rPr>
        <w:t>larda AB tarafından finanse edilen teknik yardım sağlamaktadır; örneğin çok modlu ulaşım stratejisi</w:t>
      </w:r>
      <w:r w:rsidR="00A80D2D" w:rsidRPr="001A4B94">
        <w:rPr>
          <w:rFonts w:asciiTheme="majorBidi" w:hAnsiTheme="majorBidi" w:cstheme="majorBidi"/>
          <w:sz w:val="23"/>
          <w:szCs w:val="23"/>
          <w:lang w:val="tr-TR"/>
        </w:rPr>
        <w:t xml:space="preserve">, </w:t>
      </w:r>
      <w:r w:rsidR="00322BE9" w:rsidRPr="001A4B94">
        <w:rPr>
          <w:rFonts w:asciiTheme="majorBidi" w:hAnsiTheme="majorBidi" w:cstheme="majorBidi"/>
          <w:sz w:val="23"/>
          <w:szCs w:val="23"/>
          <w:lang w:val="tr-TR"/>
        </w:rPr>
        <w:t>kentsel ulaşım</w:t>
      </w:r>
      <w:r w:rsidR="00A80D2D" w:rsidRPr="001A4B94">
        <w:rPr>
          <w:rFonts w:asciiTheme="majorBidi" w:hAnsiTheme="majorBidi" w:cstheme="majorBidi"/>
          <w:sz w:val="23"/>
          <w:szCs w:val="23"/>
          <w:lang w:val="tr-TR"/>
        </w:rPr>
        <w:t xml:space="preserve"> </w:t>
      </w:r>
      <w:r w:rsidR="00BB0858" w:rsidRPr="001A4B94">
        <w:rPr>
          <w:rFonts w:asciiTheme="majorBidi" w:hAnsiTheme="majorBidi" w:cstheme="majorBidi"/>
          <w:sz w:val="23"/>
          <w:szCs w:val="23"/>
          <w:lang w:val="tr-TR"/>
        </w:rPr>
        <w:t xml:space="preserve">ve öncelikli demiryolu yatırımları gibi. Bu çalışmalardan bazıları CPF dönemi içerisinde finansman fırsatları ortaya koyabilir. </w:t>
      </w:r>
    </w:p>
    <w:p w14:paraId="42214F00" w14:textId="77777777" w:rsidR="000F2728" w:rsidRPr="001A4B94" w:rsidRDefault="000F2728" w:rsidP="000F2728">
      <w:pPr>
        <w:pStyle w:val="ListeParagraf"/>
        <w:tabs>
          <w:tab w:val="left" w:pos="426"/>
          <w:tab w:val="left" w:pos="2970"/>
        </w:tabs>
        <w:autoSpaceDE w:val="0"/>
        <w:autoSpaceDN w:val="0"/>
        <w:adjustRightInd w:val="0"/>
        <w:spacing w:after="0" w:line="240" w:lineRule="auto"/>
        <w:ind w:left="0"/>
        <w:jc w:val="both"/>
        <w:rPr>
          <w:lang w:val="tr-TR"/>
        </w:rPr>
      </w:pPr>
    </w:p>
    <w:p w14:paraId="04AA4564" w14:textId="1EF0E57F" w:rsidR="00BA6BF4" w:rsidRPr="001A4B94" w:rsidRDefault="009E383B" w:rsidP="00BA6BF4">
      <w:pPr>
        <w:pStyle w:val="Balk2"/>
        <w:rPr>
          <w:rFonts w:ascii="Times New Roman" w:hAnsi="Times New Roman" w:cs="Times New Roman"/>
          <w:b/>
          <w:color w:val="000000" w:themeColor="text1"/>
          <w:lang w:val="tr-TR"/>
        </w:rPr>
      </w:pPr>
      <w:bookmarkStart w:id="13" w:name="_Toc494977329"/>
      <w:r w:rsidRPr="001A4B94">
        <w:rPr>
          <w:rFonts w:ascii="Times New Roman" w:hAnsi="Times New Roman" w:cs="Times New Roman"/>
          <w:b/>
          <w:color w:val="000000" w:themeColor="text1"/>
          <w:lang w:val="tr-TR"/>
        </w:rPr>
        <w:t>III</w:t>
      </w:r>
      <w:r w:rsidR="00BA6BF4" w:rsidRPr="001A4B94">
        <w:rPr>
          <w:rFonts w:ascii="Times New Roman" w:hAnsi="Times New Roman" w:cs="Times New Roman"/>
          <w:b/>
          <w:color w:val="000000" w:themeColor="text1"/>
          <w:lang w:val="tr-TR"/>
        </w:rPr>
        <w:t xml:space="preserve">.4 </w:t>
      </w:r>
      <w:r w:rsidR="00BB0858" w:rsidRPr="001A4B94">
        <w:rPr>
          <w:rFonts w:ascii="Times New Roman" w:hAnsi="Times New Roman" w:cs="Times New Roman"/>
          <w:b/>
          <w:color w:val="000000" w:themeColor="text1"/>
          <w:lang w:val="tr-TR"/>
        </w:rPr>
        <w:t xml:space="preserve">2018-21 MY </w:t>
      </w:r>
      <w:r w:rsidR="00D96C4D" w:rsidRPr="001A4B94">
        <w:rPr>
          <w:rFonts w:ascii="Times New Roman" w:hAnsi="Times New Roman" w:cs="Times New Roman"/>
          <w:b/>
          <w:color w:val="000000" w:themeColor="text1"/>
          <w:lang w:val="tr-TR"/>
        </w:rPr>
        <w:t>Ü</w:t>
      </w:r>
      <w:r w:rsidR="00BB0858" w:rsidRPr="001A4B94">
        <w:rPr>
          <w:rFonts w:ascii="Times New Roman" w:hAnsi="Times New Roman" w:cs="Times New Roman"/>
          <w:b/>
          <w:color w:val="000000" w:themeColor="text1"/>
          <w:lang w:val="tr-TR"/>
        </w:rPr>
        <w:t xml:space="preserve">lke İşbirliği Çerçevesinin </w:t>
      </w:r>
      <w:r w:rsidR="00D96C4D" w:rsidRPr="001A4B94">
        <w:rPr>
          <w:rFonts w:ascii="Times New Roman" w:hAnsi="Times New Roman" w:cs="Times New Roman"/>
          <w:b/>
          <w:color w:val="000000" w:themeColor="text1"/>
          <w:lang w:val="tr-TR"/>
        </w:rPr>
        <w:t>Uygulanması</w:t>
      </w:r>
      <w:bookmarkEnd w:id="13"/>
      <w:r w:rsidR="00D96C4D" w:rsidRPr="001A4B94">
        <w:rPr>
          <w:rFonts w:ascii="Times New Roman" w:hAnsi="Times New Roman" w:cs="Times New Roman"/>
          <w:b/>
          <w:color w:val="000000" w:themeColor="text1"/>
          <w:lang w:val="tr-TR"/>
        </w:rPr>
        <w:t xml:space="preserve"> </w:t>
      </w:r>
    </w:p>
    <w:p w14:paraId="211A2FD8" w14:textId="77777777" w:rsidR="00BA6BF4" w:rsidRPr="001A4B94" w:rsidRDefault="00BA6BF4" w:rsidP="00BA6BF4">
      <w:pPr>
        <w:pStyle w:val="ListeParagraf"/>
        <w:tabs>
          <w:tab w:val="left" w:pos="426"/>
          <w:tab w:val="left" w:pos="2970"/>
        </w:tabs>
        <w:autoSpaceDE w:val="0"/>
        <w:autoSpaceDN w:val="0"/>
        <w:adjustRightInd w:val="0"/>
        <w:spacing w:after="0" w:line="240" w:lineRule="auto"/>
        <w:ind w:left="0"/>
        <w:jc w:val="both"/>
        <w:rPr>
          <w:sz w:val="12"/>
          <w:szCs w:val="12"/>
          <w:lang w:val="tr-TR"/>
        </w:rPr>
      </w:pPr>
    </w:p>
    <w:p w14:paraId="3CF8C57D" w14:textId="6FC3CC33" w:rsidR="00B54923" w:rsidRPr="001A4B94" w:rsidRDefault="00F51D6D" w:rsidP="00BA6BF4">
      <w:pPr>
        <w:pStyle w:val="ListeParagraf"/>
        <w:numPr>
          <w:ilvl w:val="0"/>
          <w:numId w:val="2"/>
        </w:numPr>
        <w:tabs>
          <w:tab w:val="left" w:pos="426"/>
          <w:tab w:val="left" w:pos="2970"/>
        </w:tabs>
        <w:autoSpaceDE w:val="0"/>
        <w:autoSpaceDN w:val="0"/>
        <w:adjustRightInd w:val="0"/>
        <w:spacing w:after="0" w:line="240" w:lineRule="auto"/>
        <w:ind w:left="0" w:firstLine="0"/>
        <w:jc w:val="both"/>
        <w:rPr>
          <w:sz w:val="23"/>
          <w:szCs w:val="23"/>
          <w:lang w:val="tr-TR"/>
        </w:rPr>
      </w:pPr>
      <w:r w:rsidRPr="001A4B94">
        <w:rPr>
          <w:rFonts w:ascii="Times New Roman" w:hAnsi="Times New Roman"/>
          <w:b/>
          <w:iCs/>
          <w:sz w:val="23"/>
          <w:szCs w:val="23"/>
          <w:lang w:val="tr-TR"/>
        </w:rPr>
        <w:t>Ülke İşbirliği çerçevesi, IBRD, IFC ve MI</w:t>
      </w:r>
      <w:r w:rsidR="0067774D" w:rsidRPr="001A4B94">
        <w:rPr>
          <w:rFonts w:ascii="Times New Roman" w:hAnsi="Times New Roman"/>
          <w:b/>
          <w:iCs/>
          <w:sz w:val="23"/>
          <w:szCs w:val="23"/>
          <w:lang w:val="tr-TR"/>
        </w:rPr>
        <w:t>GA’nın güç</w:t>
      </w:r>
      <w:r w:rsidR="0090655C" w:rsidRPr="001A4B94">
        <w:rPr>
          <w:rFonts w:ascii="Times New Roman" w:hAnsi="Times New Roman"/>
          <w:b/>
          <w:iCs/>
          <w:sz w:val="23"/>
          <w:szCs w:val="23"/>
          <w:lang w:val="tr-TR"/>
        </w:rPr>
        <w:t>l</w:t>
      </w:r>
      <w:r w:rsidR="0067774D" w:rsidRPr="001A4B94">
        <w:rPr>
          <w:rFonts w:ascii="Times New Roman" w:hAnsi="Times New Roman"/>
          <w:b/>
          <w:iCs/>
          <w:sz w:val="23"/>
          <w:szCs w:val="23"/>
          <w:lang w:val="tr-TR"/>
        </w:rPr>
        <w:t>ü yönlerini esas alan bir araçlar bileşiminden yararlanacaktır.</w:t>
      </w:r>
      <w:r w:rsidR="00B54923" w:rsidRPr="001A4B94">
        <w:rPr>
          <w:rFonts w:ascii="Times New Roman" w:hAnsi="Times New Roman"/>
          <w:iCs/>
          <w:sz w:val="23"/>
          <w:szCs w:val="23"/>
          <w:lang w:val="tr-TR"/>
        </w:rPr>
        <w:t xml:space="preserve">  </w:t>
      </w:r>
      <w:r w:rsidR="0067774D" w:rsidRPr="001A4B94">
        <w:rPr>
          <w:rFonts w:ascii="Times New Roman" w:hAnsi="Times New Roman"/>
          <w:iCs/>
          <w:sz w:val="23"/>
          <w:szCs w:val="23"/>
          <w:lang w:val="tr-TR"/>
        </w:rPr>
        <w:t xml:space="preserve">2017-21 MY dönemine ilişkin </w:t>
      </w:r>
      <w:r w:rsidR="00B54923" w:rsidRPr="001A4B94">
        <w:rPr>
          <w:rFonts w:ascii="Times New Roman" w:eastAsiaTheme="minorEastAsia" w:hAnsi="Times New Roman"/>
          <w:sz w:val="23"/>
          <w:szCs w:val="23"/>
          <w:lang w:val="tr-TR"/>
        </w:rPr>
        <w:t>IBRD</w:t>
      </w:r>
      <w:r w:rsidR="00B54923" w:rsidRPr="001A4B94">
        <w:rPr>
          <w:rFonts w:ascii="Times New Roman" w:hAnsi="Times New Roman"/>
          <w:iCs/>
          <w:sz w:val="23"/>
          <w:szCs w:val="23"/>
          <w:lang w:val="tr-TR"/>
        </w:rPr>
        <w:t xml:space="preserve"> </w:t>
      </w:r>
      <w:r w:rsidR="0067774D" w:rsidRPr="001A4B94">
        <w:rPr>
          <w:rFonts w:ascii="Times New Roman" w:hAnsi="Times New Roman"/>
          <w:iCs/>
          <w:sz w:val="23"/>
          <w:szCs w:val="23"/>
          <w:lang w:val="tr-TR"/>
        </w:rPr>
        <w:t>finansmanının 5 ila 7,5 milyar ABD$ arasında olacağı tahmin edilmektedir. Ancak gerçekleşen kredi hacimleri müşteri tale</w:t>
      </w:r>
      <w:r w:rsidR="0090655C" w:rsidRPr="001A4B94">
        <w:rPr>
          <w:rFonts w:ascii="Times New Roman" w:hAnsi="Times New Roman"/>
          <w:iCs/>
          <w:sz w:val="23"/>
          <w:szCs w:val="23"/>
          <w:lang w:val="tr-TR"/>
        </w:rPr>
        <w:t>b</w:t>
      </w:r>
      <w:r w:rsidR="0067774D" w:rsidRPr="001A4B94">
        <w:rPr>
          <w:rFonts w:ascii="Times New Roman" w:hAnsi="Times New Roman"/>
          <w:iCs/>
          <w:sz w:val="23"/>
          <w:szCs w:val="23"/>
          <w:lang w:val="tr-TR"/>
        </w:rPr>
        <w:t>ine, finansman aracı tercihine</w:t>
      </w:r>
      <w:r w:rsidR="00B54923" w:rsidRPr="001A4B94">
        <w:rPr>
          <w:rFonts w:ascii="Times New Roman" w:hAnsi="Times New Roman"/>
          <w:iCs/>
          <w:sz w:val="23"/>
          <w:szCs w:val="23"/>
          <w:lang w:val="tr-TR"/>
        </w:rPr>
        <w:t xml:space="preserve">, </w:t>
      </w:r>
      <w:r w:rsidR="0067774D" w:rsidRPr="001A4B94">
        <w:rPr>
          <w:rFonts w:ascii="Times New Roman" w:hAnsi="Times New Roman"/>
          <w:iCs/>
          <w:sz w:val="23"/>
          <w:szCs w:val="23"/>
          <w:lang w:val="tr-TR"/>
        </w:rPr>
        <w:t>CPF dönemindeki genel performansa, IBRD’nin finansal kapasite</w:t>
      </w:r>
      <w:r w:rsidR="0090655C" w:rsidRPr="001A4B94">
        <w:rPr>
          <w:rFonts w:ascii="Times New Roman" w:hAnsi="Times New Roman"/>
          <w:iCs/>
          <w:sz w:val="23"/>
          <w:szCs w:val="23"/>
          <w:lang w:val="tr-TR"/>
        </w:rPr>
        <w:t>sine ve IBRD’nin diğer borçlu ül</w:t>
      </w:r>
      <w:r w:rsidR="0067774D" w:rsidRPr="001A4B94">
        <w:rPr>
          <w:rFonts w:ascii="Times New Roman" w:hAnsi="Times New Roman"/>
          <w:iCs/>
          <w:sz w:val="23"/>
          <w:szCs w:val="23"/>
          <w:lang w:val="tr-TR"/>
        </w:rPr>
        <w:t>kelerinin taleplerine ba</w:t>
      </w:r>
      <w:r w:rsidR="0090655C" w:rsidRPr="001A4B94">
        <w:rPr>
          <w:rFonts w:ascii="Times New Roman" w:hAnsi="Times New Roman"/>
          <w:iCs/>
          <w:sz w:val="23"/>
          <w:szCs w:val="23"/>
          <w:lang w:val="tr-TR"/>
        </w:rPr>
        <w:t>ğ</w:t>
      </w:r>
      <w:r w:rsidR="0067774D" w:rsidRPr="001A4B94">
        <w:rPr>
          <w:rFonts w:ascii="Times New Roman" w:hAnsi="Times New Roman"/>
          <w:iCs/>
          <w:sz w:val="23"/>
          <w:szCs w:val="23"/>
          <w:lang w:val="tr-TR"/>
        </w:rPr>
        <w:t>lı olacaktır</w:t>
      </w:r>
      <w:r w:rsidR="00B54923" w:rsidRPr="001A4B94">
        <w:rPr>
          <w:rFonts w:ascii="Times New Roman" w:hAnsi="Times New Roman"/>
          <w:iCs/>
          <w:sz w:val="23"/>
          <w:szCs w:val="23"/>
          <w:lang w:val="tr-TR"/>
        </w:rPr>
        <w:t xml:space="preserve">. </w:t>
      </w:r>
      <w:r w:rsidR="0029491A" w:rsidRPr="001A4B94">
        <w:rPr>
          <w:rFonts w:ascii="Times New Roman" w:hAnsi="Times New Roman"/>
          <w:iCs/>
          <w:sz w:val="23"/>
          <w:szCs w:val="23"/>
          <w:lang w:val="tr-TR"/>
        </w:rPr>
        <w:t xml:space="preserve"> IFC’nin mevcut toplam risk seviyesi (küresel olarak ikinci en büyük toplam risk), Türkiye’deki yükselen ekonomik ve siyasi riskl</w:t>
      </w:r>
      <w:r w:rsidR="0090655C" w:rsidRPr="001A4B94">
        <w:rPr>
          <w:rFonts w:ascii="Times New Roman" w:hAnsi="Times New Roman"/>
          <w:iCs/>
          <w:sz w:val="23"/>
          <w:szCs w:val="23"/>
          <w:lang w:val="tr-TR"/>
        </w:rPr>
        <w:t>e</w:t>
      </w:r>
      <w:r w:rsidR="0029491A" w:rsidRPr="001A4B94">
        <w:rPr>
          <w:rFonts w:ascii="Times New Roman" w:hAnsi="Times New Roman"/>
          <w:iCs/>
          <w:sz w:val="23"/>
          <w:szCs w:val="23"/>
          <w:lang w:val="tr-TR"/>
        </w:rPr>
        <w:t>r ve kürese</w:t>
      </w:r>
      <w:r w:rsidR="00B56898" w:rsidRPr="001A4B94">
        <w:rPr>
          <w:rFonts w:ascii="Times New Roman" w:hAnsi="Times New Roman"/>
          <w:iCs/>
          <w:sz w:val="23"/>
          <w:szCs w:val="23"/>
          <w:lang w:val="tr-TR"/>
        </w:rPr>
        <w:t>l</w:t>
      </w:r>
      <w:r w:rsidR="0029491A" w:rsidRPr="001A4B94">
        <w:rPr>
          <w:rFonts w:ascii="Times New Roman" w:hAnsi="Times New Roman"/>
          <w:iCs/>
          <w:sz w:val="23"/>
          <w:szCs w:val="23"/>
          <w:lang w:val="tr-TR"/>
        </w:rPr>
        <w:t xml:space="preserve"> olarak gözle</w:t>
      </w:r>
      <w:r w:rsidR="0090655C" w:rsidRPr="001A4B94">
        <w:rPr>
          <w:rFonts w:ascii="Times New Roman" w:hAnsi="Times New Roman"/>
          <w:iCs/>
          <w:sz w:val="23"/>
          <w:szCs w:val="23"/>
          <w:lang w:val="tr-TR"/>
        </w:rPr>
        <w:t>n</w:t>
      </w:r>
      <w:r w:rsidR="0029491A" w:rsidRPr="001A4B94">
        <w:rPr>
          <w:rFonts w:ascii="Times New Roman" w:hAnsi="Times New Roman"/>
          <w:iCs/>
          <w:sz w:val="23"/>
          <w:szCs w:val="23"/>
          <w:lang w:val="tr-TR"/>
        </w:rPr>
        <w:t>en riskte</w:t>
      </w:r>
      <w:r w:rsidR="0090655C" w:rsidRPr="001A4B94">
        <w:rPr>
          <w:rFonts w:ascii="Times New Roman" w:hAnsi="Times New Roman"/>
          <w:iCs/>
          <w:sz w:val="23"/>
          <w:szCs w:val="23"/>
          <w:lang w:val="tr-TR"/>
        </w:rPr>
        <w:t>n</w:t>
      </w:r>
      <w:r w:rsidR="0029491A" w:rsidRPr="001A4B94">
        <w:rPr>
          <w:rFonts w:ascii="Times New Roman" w:hAnsi="Times New Roman"/>
          <w:iCs/>
          <w:sz w:val="23"/>
          <w:szCs w:val="23"/>
          <w:lang w:val="tr-TR"/>
        </w:rPr>
        <w:t xml:space="preserve"> ka</w:t>
      </w:r>
      <w:r w:rsidR="0090655C" w:rsidRPr="001A4B94">
        <w:rPr>
          <w:rFonts w:ascii="Times New Roman" w:hAnsi="Times New Roman"/>
          <w:iCs/>
          <w:sz w:val="23"/>
          <w:szCs w:val="23"/>
          <w:lang w:val="tr-TR"/>
        </w:rPr>
        <w:t>ç</w:t>
      </w:r>
      <w:r w:rsidR="0029491A" w:rsidRPr="001A4B94">
        <w:rPr>
          <w:rFonts w:ascii="Times New Roman" w:hAnsi="Times New Roman"/>
          <w:iCs/>
          <w:sz w:val="23"/>
          <w:szCs w:val="23"/>
          <w:lang w:val="tr-TR"/>
        </w:rPr>
        <w:t>ınma tutumunu yans</w:t>
      </w:r>
      <w:r w:rsidR="0090655C" w:rsidRPr="001A4B94">
        <w:rPr>
          <w:rFonts w:ascii="Times New Roman" w:hAnsi="Times New Roman"/>
          <w:iCs/>
          <w:sz w:val="23"/>
          <w:szCs w:val="23"/>
          <w:lang w:val="tr-TR"/>
        </w:rPr>
        <w:t>ı</w:t>
      </w:r>
      <w:r w:rsidR="0029491A" w:rsidRPr="001A4B94">
        <w:rPr>
          <w:rFonts w:ascii="Times New Roman" w:hAnsi="Times New Roman"/>
          <w:iCs/>
          <w:sz w:val="23"/>
          <w:szCs w:val="23"/>
          <w:lang w:val="tr-TR"/>
        </w:rPr>
        <w:t>tan bir şekilde, IFC’nin kendi hesabına gerçekleştireceği yatırım programının büyüklüğünün yıllık 600-800 milyon ABD$ düzeyinde olması beklenmektedir. IFC’nin program tutarı, Türkiye’nin yapısal reformlarda kaydedeceği ilerlemeye, ekonomik temellerdeki iyileşmelere ve CPF uygulama dönemindeki siyasi risklere bağlı olarak daha da arttırılabilir.</w:t>
      </w:r>
      <w:r w:rsidR="00C1381A" w:rsidRPr="001A4B94">
        <w:rPr>
          <w:rFonts w:ascii="Times New Roman" w:hAnsi="Times New Roman"/>
          <w:iCs/>
          <w:sz w:val="23"/>
          <w:szCs w:val="23"/>
          <w:lang w:val="tr-TR"/>
        </w:rPr>
        <w:t xml:space="preserve">  </w:t>
      </w:r>
      <w:r w:rsidR="00401737" w:rsidRPr="001A4B94">
        <w:rPr>
          <w:rFonts w:ascii="Times New Roman" w:hAnsi="Times New Roman"/>
          <w:iCs/>
          <w:sz w:val="23"/>
          <w:szCs w:val="23"/>
          <w:lang w:val="tr-TR"/>
        </w:rPr>
        <w:t xml:space="preserve">IFC </w:t>
      </w:r>
      <w:r w:rsidR="0090655C" w:rsidRPr="001A4B94">
        <w:rPr>
          <w:rFonts w:ascii="Times New Roman" w:hAnsi="Times New Roman"/>
          <w:iCs/>
          <w:sz w:val="23"/>
          <w:szCs w:val="23"/>
          <w:lang w:val="tr-TR"/>
        </w:rPr>
        <w:t>yüksek büyüme ve yüksek katma değerli yatırımlar ile KÖİ proje tahvilleri ve belediye KÖİ proje</w:t>
      </w:r>
      <w:r w:rsidR="00EC0CB7" w:rsidRPr="001A4B94">
        <w:rPr>
          <w:rFonts w:ascii="Times New Roman" w:hAnsi="Times New Roman"/>
          <w:iCs/>
          <w:sz w:val="23"/>
          <w:szCs w:val="23"/>
          <w:lang w:val="tr-TR"/>
        </w:rPr>
        <w:t>le</w:t>
      </w:r>
      <w:r w:rsidR="0090655C" w:rsidRPr="001A4B94">
        <w:rPr>
          <w:rFonts w:ascii="Times New Roman" w:hAnsi="Times New Roman"/>
          <w:iCs/>
          <w:sz w:val="23"/>
          <w:szCs w:val="23"/>
          <w:lang w:val="tr-TR"/>
        </w:rPr>
        <w:t>ri gibi alanlar üzerin</w:t>
      </w:r>
      <w:r w:rsidR="00EC0CB7" w:rsidRPr="001A4B94">
        <w:rPr>
          <w:rFonts w:ascii="Times New Roman" w:hAnsi="Times New Roman"/>
          <w:iCs/>
          <w:sz w:val="23"/>
          <w:szCs w:val="23"/>
          <w:lang w:val="tr-TR"/>
        </w:rPr>
        <w:t>d</w:t>
      </w:r>
      <w:r w:rsidR="0090655C" w:rsidRPr="001A4B94">
        <w:rPr>
          <w:rFonts w:ascii="Times New Roman" w:hAnsi="Times New Roman"/>
          <w:iCs/>
          <w:sz w:val="23"/>
          <w:szCs w:val="23"/>
          <w:lang w:val="tr-TR"/>
        </w:rPr>
        <w:t>e odaklanarak çok çeşitli yenilikçi ve yük</w:t>
      </w:r>
      <w:r w:rsidR="00EC0CB7" w:rsidRPr="001A4B94">
        <w:rPr>
          <w:rFonts w:ascii="Times New Roman" w:hAnsi="Times New Roman"/>
          <w:iCs/>
          <w:sz w:val="23"/>
          <w:szCs w:val="23"/>
          <w:lang w:val="tr-TR"/>
        </w:rPr>
        <w:t>s</w:t>
      </w:r>
      <w:r w:rsidR="0090655C" w:rsidRPr="001A4B94">
        <w:rPr>
          <w:rFonts w:ascii="Times New Roman" w:hAnsi="Times New Roman"/>
          <w:iCs/>
          <w:sz w:val="23"/>
          <w:szCs w:val="23"/>
          <w:lang w:val="tr-TR"/>
        </w:rPr>
        <w:t>ek etkili ürünler ve finansal araçlar sunmaya devam edecektir.</w:t>
      </w:r>
    </w:p>
    <w:p w14:paraId="2577EB68" w14:textId="77777777" w:rsidR="00BA6BF4" w:rsidRPr="001A4B94" w:rsidRDefault="00BA6BF4" w:rsidP="00BA6BF4">
      <w:pPr>
        <w:pStyle w:val="ListeParagraf"/>
        <w:tabs>
          <w:tab w:val="left" w:pos="426"/>
          <w:tab w:val="left" w:pos="2970"/>
        </w:tabs>
        <w:autoSpaceDE w:val="0"/>
        <w:autoSpaceDN w:val="0"/>
        <w:adjustRightInd w:val="0"/>
        <w:spacing w:after="0" w:line="240" w:lineRule="auto"/>
        <w:ind w:left="0"/>
        <w:jc w:val="both"/>
        <w:rPr>
          <w:sz w:val="23"/>
          <w:szCs w:val="23"/>
          <w:lang w:val="tr-TR"/>
        </w:rPr>
      </w:pPr>
    </w:p>
    <w:p w14:paraId="39E6AC20" w14:textId="0309CAAD" w:rsidR="00BA6BF4" w:rsidRPr="001A4B94" w:rsidRDefault="0044651F" w:rsidP="00BF25F4">
      <w:pPr>
        <w:pStyle w:val="ListeParagraf"/>
        <w:numPr>
          <w:ilvl w:val="0"/>
          <w:numId w:val="2"/>
        </w:numPr>
        <w:tabs>
          <w:tab w:val="left" w:pos="426"/>
          <w:tab w:val="left" w:pos="2970"/>
        </w:tabs>
        <w:autoSpaceDE w:val="0"/>
        <w:autoSpaceDN w:val="0"/>
        <w:adjustRightInd w:val="0"/>
        <w:spacing w:after="0" w:line="240" w:lineRule="auto"/>
        <w:ind w:left="0" w:firstLine="0"/>
        <w:jc w:val="both"/>
        <w:rPr>
          <w:sz w:val="23"/>
          <w:szCs w:val="23"/>
          <w:lang w:val="tr-TR"/>
        </w:rPr>
      </w:pPr>
      <w:r w:rsidRPr="001A4B94">
        <w:rPr>
          <w:rFonts w:ascii="Times New Roman" w:hAnsi="Times New Roman"/>
          <w:b/>
          <w:iCs/>
          <w:sz w:val="23"/>
          <w:szCs w:val="23"/>
          <w:lang w:val="tr-TR"/>
        </w:rPr>
        <w:lastRenderedPageBreak/>
        <w:t xml:space="preserve">IBRD </w:t>
      </w:r>
      <w:r w:rsidR="00EC0CB7" w:rsidRPr="001A4B94">
        <w:rPr>
          <w:rFonts w:ascii="Times New Roman" w:hAnsi="Times New Roman"/>
          <w:b/>
          <w:iCs/>
          <w:sz w:val="23"/>
          <w:szCs w:val="23"/>
          <w:lang w:val="tr-TR"/>
        </w:rPr>
        <w:t xml:space="preserve">finansman programı </w:t>
      </w:r>
      <w:r w:rsidR="00B15B85" w:rsidRPr="001A4B94">
        <w:rPr>
          <w:rFonts w:ascii="Times New Roman" w:hAnsi="Times New Roman"/>
          <w:b/>
          <w:iCs/>
          <w:sz w:val="23"/>
          <w:szCs w:val="23"/>
          <w:lang w:val="tr-TR"/>
        </w:rPr>
        <w:t xml:space="preserve">tek bir Kalkınma Politikası Kredisi (DPL) dizisi önermekte,  </w:t>
      </w:r>
      <w:r w:rsidR="00146581" w:rsidRPr="001A4B94">
        <w:rPr>
          <w:rFonts w:ascii="Times New Roman" w:hAnsi="Times New Roman"/>
          <w:b/>
          <w:iCs/>
          <w:sz w:val="23"/>
          <w:szCs w:val="23"/>
          <w:lang w:val="tr-TR"/>
        </w:rPr>
        <w:t>de</w:t>
      </w:r>
      <w:r w:rsidR="00DE719E" w:rsidRPr="001A4B94">
        <w:rPr>
          <w:rFonts w:ascii="Times New Roman" w:hAnsi="Times New Roman"/>
          <w:b/>
          <w:iCs/>
          <w:sz w:val="23"/>
          <w:szCs w:val="23"/>
          <w:lang w:val="tr-TR"/>
        </w:rPr>
        <w:t>v</w:t>
      </w:r>
      <w:r w:rsidR="00146581" w:rsidRPr="001A4B94">
        <w:rPr>
          <w:rFonts w:ascii="Times New Roman" w:hAnsi="Times New Roman"/>
          <w:b/>
          <w:iCs/>
          <w:sz w:val="23"/>
          <w:szCs w:val="23"/>
          <w:lang w:val="tr-TR"/>
        </w:rPr>
        <w:t>am etmekte olan ve üzer</w:t>
      </w:r>
      <w:r w:rsidR="00DE719E" w:rsidRPr="001A4B94">
        <w:rPr>
          <w:rFonts w:ascii="Times New Roman" w:hAnsi="Times New Roman"/>
          <w:b/>
          <w:iCs/>
          <w:sz w:val="23"/>
          <w:szCs w:val="23"/>
          <w:lang w:val="tr-TR"/>
        </w:rPr>
        <w:t>i</w:t>
      </w:r>
      <w:r w:rsidR="00146581" w:rsidRPr="001A4B94">
        <w:rPr>
          <w:rFonts w:ascii="Times New Roman" w:hAnsi="Times New Roman"/>
          <w:b/>
          <w:iCs/>
          <w:sz w:val="23"/>
          <w:szCs w:val="23"/>
          <w:lang w:val="tr-TR"/>
        </w:rPr>
        <w:t xml:space="preserve">nde anlaşılan alanlardaki finansmanı birleştirmekte  ve diğer yatırım operasyonları için esnek bir yaklaşım benimsemektedir </w:t>
      </w:r>
      <w:r w:rsidR="00146581" w:rsidRPr="001A4B94">
        <w:rPr>
          <w:rFonts w:ascii="Times New Roman" w:hAnsi="Times New Roman"/>
          <w:iCs/>
          <w:sz w:val="23"/>
          <w:szCs w:val="23"/>
          <w:lang w:val="tr-TR"/>
        </w:rPr>
        <w:t>(Tablo</w:t>
      </w:r>
      <w:r w:rsidR="004766FE" w:rsidRPr="001A4B94">
        <w:rPr>
          <w:rFonts w:ascii="Times New Roman" w:hAnsi="Times New Roman"/>
          <w:iCs/>
          <w:sz w:val="23"/>
          <w:szCs w:val="23"/>
          <w:lang w:val="tr-TR"/>
        </w:rPr>
        <w:t xml:space="preserve"> 2)</w:t>
      </w:r>
      <w:r w:rsidRPr="001A4B94">
        <w:rPr>
          <w:rFonts w:ascii="Times New Roman" w:hAnsi="Times New Roman"/>
          <w:b/>
          <w:iCs/>
          <w:sz w:val="23"/>
          <w:szCs w:val="23"/>
          <w:lang w:val="tr-TR"/>
        </w:rPr>
        <w:t xml:space="preserve">. </w:t>
      </w:r>
      <w:r w:rsidR="00146581" w:rsidRPr="001A4B94">
        <w:rPr>
          <w:rFonts w:ascii="Times New Roman" w:hAnsi="Times New Roman"/>
          <w:iCs/>
          <w:sz w:val="23"/>
          <w:szCs w:val="23"/>
          <w:lang w:val="tr-TR"/>
        </w:rPr>
        <w:t>P</w:t>
      </w:r>
      <w:r w:rsidRPr="001A4B94">
        <w:rPr>
          <w:rFonts w:ascii="Times New Roman" w:hAnsi="Times New Roman"/>
          <w:iCs/>
          <w:sz w:val="23"/>
          <w:szCs w:val="23"/>
          <w:lang w:val="tr-TR"/>
        </w:rPr>
        <w:t xml:space="preserve">rogram </w:t>
      </w:r>
      <w:r w:rsidR="00146581" w:rsidRPr="001A4B94">
        <w:rPr>
          <w:rFonts w:ascii="Times New Roman" w:hAnsi="Times New Roman"/>
          <w:iCs/>
          <w:sz w:val="23"/>
          <w:szCs w:val="23"/>
          <w:lang w:val="tr-TR"/>
        </w:rPr>
        <w:t xml:space="preserve">tek bir çok sektörlü </w:t>
      </w:r>
      <w:r w:rsidRPr="001A4B94">
        <w:rPr>
          <w:rFonts w:ascii="Times New Roman" w:hAnsi="Times New Roman"/>
          <w:iCs/>
          <w:sz w:val="23"/>
          <w:szCs w:val="23"/>
          <w:lang w:val="tr-TR"/>
        </w:rPr>
        <w:t xml:space="preserve">DPL </w:t>
      </w:r>
      <w:r w:rsidR="00146581" w:rsidRPr="001A4B94">
        <w:rPr>
          <w:rFonts w:ascii="Times New Roman" w:hAnsi="Times New Roman"/>
          <w:iCs/>
          <w:sz w:val="23"/>
          <w:szCs w:val="23"/>
          <w:lang w:val="tr-TR"/>
        </w:rPr>
        <w:t>dizisi içerecektir ve CPF amaçlarına yönelik sağlayacağı spesifik destekler tasarımı sır</w:t>
      </w:r>
      <w:r w:rsidR="00DE719E" w:rsidRPr="001A4B94">
        <w:rPr>
          <w:rFonts w:ascii="Times New Roman" w:hAnsi="Times New Roman"/>
          <w:iCs/>
          <w:sz w:val="23"/>
          <w:szCs w:val="23"/>
          <w:lang w:val="tr-TR"/>
        </w:rPr>
        <w:t>a</w:t>
      </w:r>
      <w:r w:rsidR="00146581" w:rsidRPr="001A4B94">
        <w:rPr>
          <w:rFonts w:ascii="Times New Roman" w:hAnsi="Times New Roman"/>
          <w:iCs/>
          <w:sz w:val="23"/>
          <w:szCs w:val="23"/>
          <w:lang w:val="tr-TR"/>
        </w:rPr>
        <w:t>sında kararlaştırılacaktır</w:t>
      </w:r>
      <w:r w:rsidR="00FC0A7C" w:rsidRPr="001A4B94">
        <w:rPr>
          <w:rFonts w:ascii="Times New Roman" w:hAnsi="Times New Roman"/>
          <w:iCs/>
          <w:sz w:val="23"/>
          <w:szCs w:val="23"/>
          <w:lang w:val="tr-TR"/>
        </w:rPr>
        <w:t xml:space="preserve">. </w:t>
      </w:r>
      <w:r w:rsidR="007F5810" w:rsidRPr="001A4B94">
        <w:rPr>
          <w:rFonts w:ascii="Times New Roman" w:hAnsi="Times New Roman"/>
          <w:iCs/>
          <w:sz w:val="23"/>
          <w:szCs w:val="23"/>
          <w:lang w:val="tr-TR"/>
        </w:rPr>
        <w:t>Hükümet</w:t>
      </w:r>
      <w:r w:rsidR="005B3379" w:rsidRPr="001A4B94">
        <w:rPr>
          <w:rFonts w:ascii="Times New Roman" w:hAnsi="Times New Roman"/>
          <w:iCs/>
          <w:sz w:val="23"/>
          <w:szCs w:val="23"/>
          <w:lang w:val="tr-TR"/>
        </w:rPr>
        <w:t>, hem çok boyutlu reform planı için sağl</w:t>
      </w:r>
      <w:r w:rsidR="00B56898" w:rsidRPr="001A4B94">
        <w:rPr>
          <w:rFonts w:ascii="Times New Roman" w:hAnsi="Times New Roman"/>
          <w:iCs/>
          <w:sz w:val="23"/>
          <w:szCs w:val="23"/>
          <w:lang w:val="tr-TR"/>
        </w:rPr>
        <w:t>a</w:t>
      </w:r>
      <w:r w:rsidR="005B3379" w:rsidRPr="001A4B94">
        <w:rPr>
          <w:rFonts w:ascii="Times New Roman" w:hAnsi="Times New Roman"/>
          <w:iCs/>
          <w:sz w:val="23"/>
          <w:szCs w:val="23"/>
          <w:lang w:val="tr-TR"/>
        </w:rPr>
        <w:t xml:space="preserve">dığı destek hem de ortaklara ve uluslararası piyasalara verdiği sinyal sebebiyle, </w:t>
      </w:r>
      <w:r w:rsidR="00C31AEE" w:rsidRPr="001A4B94">
        <w:rPr>
          <w:rFonts w:ascii="Times New Roman" w:hAnsi="Times New Roman"/>
          <w:iCs/>
          <w:sz w:val="23"/>
          <w:szCs w:val="23"/>
          <w:lang w:val="tr-TR"/>
        </w:rPr>
        <w:t>Dünya Bankası Grubu ile olan programında Kalkınma Pol</w:t>
      </w:r>
      <w:r w:rsidR="005B3379" w:rsidRPr="001A4B94">
        <w:rPr>
          <w:rFonts w:ascii="Times New Roman" w:hAnsi="Times New Roman"/>
          <w:iCs/>
          <w:sz w:val="23"/>
          <w:szCs w:val="23"/>
          <w:lang w:val="tr-TR"/>
        </w:rPr>
        <w:t>i</w:t>
      </w:r>
      <w:r w:rsidR="00C31AEE" w:rsidRPr="001A4B94">
        <w:rPr>
          <w:rFonts w:ascii="Times New Roman" w:hAnsi="Times New Roman"/>
          <w:iCs/>
          <w:sz w:val="23"/>
          <w:szCs w:val="23"/>
          <w:lang w:val="tr-TR"/>
        </w:rPr>
        <w:t>tik</w:t>
      </w:r>
      <w:r w:rsidR="005B3379" w:rsidRPr="001A4B94">
        <w:rPr>
          <w:rFonts w:ascii="Times New Roman" w:hAnsi="Times New Roman"/>
          <w:iCs/>
          <w:sz w:val="23"/>
          <w:szCs w:val="23"/>
          <w:lang w:val="tr-TR"/>
        </w:rPr>
        <w:t>a</w:t>
      </w:r>
      <w:r w:rsidR="00C31AEE" w:rsidRPr="001A4B94">
        <w:rPr>
          <w:rFonts w:ascii="Times New Roman" w:hAnsi="Times New Roman"/>
          <w:iCs/>
          <w:sz w:val="23"/>
          <w:szCs w:val="23"/>
          <w:lang w:val="tr-TR"/>
        </w:rPr>
        <w:t>sı Kredil</w:t>
      </w:r>
      <w:r w:rsidR="005B3379" w:rsidRPr="001A4B94">
        <w:rPr>
          <w:rFonts w:ascii="Times New Roman" w:hAnsi="Times New Roman"/>
          <w:iCs/>
          <w:sz w:val="23"/>
          <w:szCs w:val="23"/>
          <w:lang w:val="tr-TR"/>
        </w:rPr>
        <w:t>e</w:t>
      </w:r>
      <w:r w:rsidR="00C31AEE" w:rsidRPr="001A4B94">
        <w:rPr>
          <w:rFonts w:ascii="Times New Roman" w:hAnsi="Times New Roman"/>
          <w:iCs/>
          <w:sz w:val="23"/>
          <w:szCs w:val="23"/>
          <w:lang w:val="tr-TR"/>
        </w:rPr>
        <w:t xml:space="preserve">rinin (DPL) </w:t>
      </w:r>
      <w:r w:rsidR="005B3379" w:rsidRPr="001A4B94">
        <w:rPr>
          <w:rFonts w:ascii="Times New Roman" w:hAnsi="Times New Roman"/>
          <w:iCs/>
          <w:sz w:val="23"/>
          <w:szCs w:val="23"/>
          <w:lang w:val="tr-TR"/>
        </w:rPr>
        <w:t>önemini vurgulamaya devam etmektedir.</w:t>
      </w:r>
      <w:r w:rsidR="00E359B8" w:rsidRPr="001A4B94">
        <w:rPr>
          <w:rFonts w:ascii="Times New Roman" w:hAnsi="Times New Roman"/>
          <w:iCs/>
          <w:sz w:val="23"/>
          <w:szCs w:val="23"/>
          <w:lang w:val="tr-TR"/>
        </w:rPr>
        <w:t xml:space="preserve"> </w:t>
      </w:r>
      <w:r w:rsidR="005B3379" w:rsidRPr="001A4B94">
        <w:rPr>
          <w:rFonts w:ascii="Times New Roman" w:hAnsi="Times New Roman"/>
          <w:iCs/>
          <w:sz w:val="23"/>
          <w:szCs w:val="23"/>
          <w:lang w:val="tr-TR"/>
        </w:rPr>
        <w:t xml:space="preserve">Tamamlama ve Öğrenme Raporunda ayrıntılı olarak açıklandığı gibi, Türkiye programın farklı unsurlarını bir araya getirebilecek, </w:t>
      </w:r>
      <w:r w:rsidR="00CD3F7A" w:rsidRPr="001A4B94">
        <w:rPr>
          <w:rFonts w:ascii="Times New Roman" w:hAnsi="Times New Roman"/>
          <w:iCs/>
          <w:sz w:val="23"/>
          <w:szCs w:val="23"/>
          <w:lang w:val="tr-TR"/>
        </w:rPr>
        <w:t>ASA tavsiyeleri yoluyla daha derin bir ortak çalışmaya ve takibe olanak tanıyan ve değişe</w:t>
      </w:r>
      <w:r w:rsidR="00B56898" w:rsidRPr="001A4B94">
        <w:rPr>
          <w:rFonts w:ascii="Times New Roman" w:hAnsi="Times New Roman"/>
          <w:iCs/>
          <w:sz w:val="23"/>
          <w:szCs w:val="23"/>
          <w:lang w:val="tr-TR"/>
        </w:rPr>
        <w:t>n</w:t>
      </w:r>
      <w:r w:rsidR="00CD3F7A" w:rsidRPr="001A4B94">
        <w:rPr>
          <w:rFonts w:ascii="Times New Roman" w:hAnsi="Times New Roman"/>
          <w:iCs/>
          <w:sz w:val="23"/>
          <w:szCs w:val="23"/>
          <w:lang w:val="tr-TR"/>
        </w:rPr>
        <w:t xml:space="preserve"> ülke bağlamına cevap verebilmek için esnekliğe sahip bağlayıcı bir araç olarak DPL’lerin kullanılmasında iyi bir ba</w:t>
      </w:r>
      <w:r w:rsidR="00B56898" w:rsidRPr="001A4B94">
        <w:rPr>
          <w:rFonts w:ascii="Times New Roman" w:hAnsi="Times New Roman"/>
          <w:iCs/>
          <w:sz w:val="23"/>
          <w:szCs w:val="23"/>
          <w:lang w:val="tr-TR"/>
        </w:rPr>
        <w:t>ş</w:t>
      </w:r>
      <w:r w:rsidR="00CD3F7A" w:rsidRPr="001A4B94">
        <w:rPr>
          <w:rFonts w:ascii="Times New Roman" w:hAnsi="Times New Roman"/>
          <w:iCs/>
          <w:sz w:val="23"/>
          <w:szCs w:val="23"/>
          <w:lang w:val="tr-TR"/>
        </w:rPr>
        <w:t>arı yakalamıştır</w:t>
      </w:r>
      <w:r w:rsidR="008E3CF6" w:rsidRPr="001A4B94">
        <w:rPr>
          <w:rFonts w:ascii="Times New Roman" w:hAnsi="Times New Roman"/>
          <w:iCs/>
          <w:sz w:val="23"/>
          <w:szCs w:val="23"/>
          <w:lang w:val="tr-TR"/>
        </w:rPr>
        <w:t>.</w:t>
      </w:r>
      <w:r w:rsidR="00E359B8" w:rsidRPr="001A4B94">
        <w:rPr>
          <w:rFonts w:ascii="Times New Roman" w:hAnsi="Times New Roman"/>
          <w:iCs/>
          <w:sz w:val="23"/>
          <w:szCs w:val="23"/>
          <w:lang w:val="tr-TR"/>
        </w:rPr>
        <w:t xml:space="preserve"> </w:t>
      </w:r>
      <w:r w:rsidRPr="001A4B94">
        <w:rPr>
          <w:rFonts w:ascii="Times New Roman" w:hAnsi="Times New Roman"/>
          <w:iCs/>
          <w:sz w:val="23"/>
          <w:szCs w:val="23"/>
          <w:lang w:val="tr-TR"/>
        </w:rPr>
        <w:t xml:space="preserve"> </w:t>
      </w:r>
      <w:r w:rsidR="00CD3F7A" w:rsidRPr="001A4B94">
        <w:rPr>
          <w:rFonts w:ascii="Times New Roman" w:hAnsi="Times New Roman"/>
          <w:iCs/>
          <w:sz w:val="23"/>
          <w:szCs w:val="23"/>
          <w:lang w:val="tr-TR"/>
        </w:rPr>
        <w:t xml:space="preserve">2018 MY için önerilen finansman, bir yandan mevcut ve üzerinde anlaşılan alanlarda destek sağlarken </w:t>
      </w:r>
      <w:r w:rsidR="00993981" w:rsidRPr="001A4B94">
        <w:rPr>
          <w:rFonts w:ascii="Times New Roman" w:hAnsi="Times New Roman"/>
          <w:iCs/>
          <w:sz w:val="23"/>
          <w:szCs w:val="23"/>
          <w:lang w:val="tr-TR"/>
        </w:rPr>
        <w:t xml:space="preserve"> </w:t>
      </w:r>
      <w:r w:rsidR="00CD3F7A" w:rsidRPr="001A4B94">
        <w:rPr>
          <w:rFonts w:ascii="Times New Roman" w:hAnsi="Times New Roman"/>
          <w:iCs/>
          <w:sz w:val="23"/>
          <w:szCs w:val="23"/>
          <w:lang w:val="tr-TR"/>
        </w:rPr>
        <w:t>aynı zamanda geçmiş CPS döneminde elde edilen kazanımların konsolide edilmesini sağlayacaktır</w:t>
      </w:r>
      <w:r w:rsidR="00993981" w:rsidRPr="001A4B94">
        <w:rPr>
          <w:rFonts w:ascii="Times New Roman" w:hAnsi="Times New Roman"/>
          <w:iCs/>
          <w:sz w:val="23"/>
          <w:szCs w:val="23"/>
          <w:lang w:val="tr-TR"/>
        </w:rPr>
        <w:t xml:space="preserve">.  </w:t>
      </w:r>
      <w:r w:rsidR="00CD3F7A" w:rsidRPr="001A4B94">
        <w:rPr>
          <w:rFonts w:ascii="Times New Roman" w:hAnsi="Times New Roman"/>
          <w:iCs/>
          <w:sz w:val="23"/>
          <w:szCs w:val="23"/>
          <w:lang w:val="tr-TR"/>
        </w:rPr>
        <w:t xml:space="preserve">CPF döneminin geri kalan yılları için </w:t>
      </w:r>
      <w:r w:rsidR="004861D0" w:rsidRPr="001A4B94">
        <w:rPr>
          <w:rFonts w:ascii="Times New Roman" w:hAnsi="Times New Roman"/>
          <w:iCs/>
          <w:sz w:val="23"/>
          <w:szCs w:val="23"/>
          <w:lang w:val="tr-TR"/>
        </w:rPr>
        <w:t>(</w:t>
      </w:r>
      <w:r w:rsidR="00CD3F7A" w:rsidRPr="001A4B94">
        <w:rPr>
          <w:rFonts w:ascii="Times New Roman" w:hAnsi="Times New Roman"/>
          <w:iCs/>
          <w:sz w:val="23"/>
          <w:szCs w:val="23"/>
          <w:lang w:val="tr-TR"/>
        </w:rPr>
        <w:t>20</w:t>
      </w:r>
      <w:r w:rsidR="004861D0" w:rsidRPr="001A4B94">
        <w:rPr>
          <w:rFonts w:ascii="Times New Roman" w:hAnsi="Times New Roman"/>
          <w:iCs/>
          <w:sz w:val="23"/>
          <w:szCs w:val="23"/>
          <w:lang w:val="tr-TR"/>
        </w:rPr>
        <w:t>19-21</w:t>
      </w:r>
      <w:r w:rsidR="00CD3F7A" w:rsidRPr="001A4B94">
        <w:rPr>
          <w:rFonts w:ascii="Times New Roman" w:hAnsi="Times New Roman"/>
          <w:iCs/>
          <w:sz w:val="23"/>
          <w:szCs w:val="23"/>
          <w:lang w:val="tr-TR"/>
        </w:rPr>
        <w:t xml:space="preserve"> MY</w:t>
      </w:r>
      <w:r w:rsidR="004861D0" w:rsidRPr="001A4B94">
        <w:rPr>
          <w:rFonts w:ascii="Times New Roman" w:hAnsi="Times New Roman"/>
          <w:iCs/>
          <w:sz w:val="23"/>
          <w:szCs w:val="23"/>
          <w:lang w:val="tr-TR"/>
        </w:rPr>
        <w:t>)</w:t>
      </w:r>
      <w:r w:rsidR="00993981" w:rsidRPr="001A4B94">
        <w:rPr>
          <w:rFonts w:ascii="Times New Roman" w:hAnsi="Times New Roman"/>
          <w:iCs/>
          <w:sz w:val="23"/>
          <w:szCs w:val="23"/>
          <w:lang w:val="tr-TR"/>
        </w:rPr>
        <w:t xml:space="preserve">, </w:t>
      </w:r>
      <w:r w:rsidR="005B5DC2" w:rsidRPr="001A4B94">
        <w:rPr>
          <w:rFonts w:ascii="Times New Roman" w:hAnsi="Times New Roman"/>
          <w:iCs/>
          <w:sz w:val="23"/>
          <w:szCs w:val="23"/>
          <w:lang w:val="tr-TR"/>
        </w:rPr>
        <w:t>program</w:t>
      </w:r>
      <w:r w:rsidR="00B56898" w:rsidRPr="001A4B94">
        <w:rPr>
          <w:rFonts w:ascii="Times New Roman" w:hAnsi="Times New Roman"/>
          <w:iCs/>
          <w:sz w:val="23"/>
          <w:szCs w:val="23"/>
          <w:lang w:val="tr-TR"/>
        </w:rPr>
        <w:t>,</w:t>
      </w:r>
      <w:r w:rsidR="005B5DC2" w:rsidRPr="001A4B94">
        <w:rPr>
          <w:rFonts w:ascii="Times New Roman" w:hAnsi="Times New Roman"/>
          <w:iCs/>
          <w:sz w:val="23"/>
          <w:szCs w:val="23"/>
          <w:lang w:val="tr-TR"/>
        </w:rPr>
        <w:t xml:space="preserve"> işbirliğinin diyalogun devam ettiği ancak ortak çalışma şeklinin henüz kararlaştırılmadığı alanlara evrilmesine olanak tanıyacak şekilde esneklik sunmaktadır</w:t>
      </w:r>
      <w:r w:rsidR="00A341DF" w:rsidRPr="001A4B94">
        <w:rPr>
          <w:rFonts w:ascii="Times New Roman" w:hAnsi="Times New Roman"/>
          <w:iCs/>
          <w:sz w:val="23"/>
          <w:szCs w:val="23"/>
          <w:lang w:val="tr-TR"/>
        </w:rPr>
        <w:t xml:space="preserve">. </w:t>
      </w:r>
      <w:r w:rsidR="005B5DC2" w:rsidRPr="001A4B94">
        <w:rPr>
          <w:rFonts w:ascii="Times New Roman" w:hAnsi="Times New Roman"/>
          <w:iCs/>
          <w:sz w:val="23"/>
          <w:szCs w:val="23"/>
          <w:lang w:val="tr-TR"/>
        </w:rPr>
        <w:t>Bu esneklik programın değişen ülke bağlamına uyarlanabileceği ve aynı zamanda gelecekteki 11</w:t>
      </w:r>
      <w:r w:rsidR="004C4F78" w:rsidRPr="001A4B94">
        <w:rPr>
          <w:rFonts w:ascii="Times New Roman" w:hAnsi="Times New Roman"/>
          <w:iCs/>
          <w:sz w:val="23"/>
          <w:szCs w:val="23"/>
          <w:lang w:val="tr-TR"/>
        </w:rPr>
        <w:t xml:space="preserve">. </w:t>
      </w:r>
      <w:r w:rsidR="005B5DC2" w:rsidRPr="001A4B94">
        <w:rPr>
          <w:rFonts w:ascii="Times New Roman" w:hAnsi="Times New Roman"/>
          <w:iCs/>
          <w:sz w:val="23"/>
          <w:szCs w:val="23"/>
          <w:lang w:val="tr-TR"/>
        </w:rPr>
        <w:t xml:space="preserve">Kalkınma Planının amaçları ve somut uygulama ile uyumlu olacağı anlamına gelmektedir </w:t>
      </w:r>
      <w:r w:rsidR="002F0A19" w:rsidRPr="001A4B94">
        <w:rPr>
          <w:rFonts w:ascii="Times New Roman" w:hAnsi="Times New Roman"/>
          <w:iCs/>
          <w:sz w:val="23"/>
          <w:szCs w:val="23"/>
          <w:lang w:val="tr-TR"/>
        </w:rPr>
        <w:t xml:space="preserve">(2018 </w:t>
      </w:r>
      <w:r w:rsidR="005B5DC2" w:rsidRPr="001A4B94">
        <w:rPr>
          <w:rFonts w:ascii="Times New Roman" w:hAnsi="Times New Roman"/>
          <w:iCs/>
          <w:sz w:val="23"/>
          <w:szCs w:val="23"/>
          <w:lang w:val="tr-TR"/>
        </w:rPr>
        <w:t>sonrası için</w:t>
      </w:r>
      <w:r w:rsidR="002F0A19" w:rsidRPr="001A4B94">
        <w:rPr>
          <w:rFonts w:ascii="Times New Roman" w:hAnsi="Times New Roman"/>
          <w:iCs/>
          <w:sz w:val="23"/>
          <w:szCs w:val="23"/>
          <w:lang w:val="tr-TR"/>
        </w:rPr>
        <w:t>)</w:t>
      </w:r>
      <w:r w:rsidRPr="001A4B94">
        <w:rPr>
          <w:rFonts w:ascii="Times New Roman" w:hAnsi="Times New Roman"/>
          <w:iCs/>
          <w:sz w:val="23"/>
          <w:szCs w:val="23"/>
          <w:lang w:val="tr-TR"/>
        </w:rPr>
        <w:t>.</w:t>
      </w:r>
    </w:p>
    <w:p w14:paraId="18049B1A" w14:textId="77777777" w:rsidR="00A341DF" w:rsidRPr="001A4B94" w:rsidRDefault="00A341DF" w:rsidP="00BF25F4">
      <w:pPr>
        <w:pStyle w:val="ListeParagraf"/>
        <w:tabs>
          <w:tab w:val="left" w:pos="426"/>
          <w:tab w:val="left" w:pos="2970"/>
        </w:tabs>
        <w:autoSpaceDE w:val="0"/>
        <w:autoSpaceDN w:val="0"/>
        <w:adjustRightInd w:val="0"/>
        <w:spacing w:after="0" w:line="240" w:lineRule="auto"/>
        <w:ind w:left="0"/>
        <w:jc w:val="both"/>
        <w:rPr>
          <w:lang w:val="tr-TR"/>
        </w:rPr>
      </w:pPr>
    </w:p>
    <w:p w14:paraId="3F855CDC" w14:textId="31E7711B" w:rsidR="0030747A" w:rsidRPr="001A4B94" w:rsidRDefault="0030747A" w:rsidP="00BF25F4">
      <w:pPr>
        <w:pStyle w:val="ResimYazs"/>
        <w:keepNext/>
        <w:tabs>
          <w:tab w:val="left" w:pos="426"/>
        </w:tabs>
        <w:jc w:val="center"/>
        <w:rPr>
          <w:sz w:val="24"/>
          <w:lang w:val="tr-TR"/>
        </w:rPr>
      </w:pPr>
      <w:bookmarkStart w:id="14" w:name="_Ref430693437"/>
      <w:r w:rsidRPr="001A4B94">
        <w:rPr>
          <w:sz w:val="24"/>
          <w:lang w:val="tr-TR"/>
        </w:rPr>
        <w:t>Tabl</w:t>
      </w:r>
      <w:bookmarkEnd w:id="14"/>
      <w:r w:rsidR="005B5DC2" w:rsidRPr="001A4B94">
        <w:rPr>
          <w:sz w:val="24"/>
          <w:lang w:val="tr-TR"/>
        </w:rPr>
        <w:t>o</w:t>
      </w:r>
      <w:r w:rsidR="008042E9" w:rsidRPr="001A4B94">
        <w:rPr>
          <w:sz w:val="24"/>
          <w:lang w:val="tr-TR"/>
        </w:rPr>
        <w:t xml:space="preserve"> 2</w:t>
      </w:r>
      <w:r w:rsidR="00C8442F" w:rsidRPr="001A4B94">
        <w:rPr>
          <w:sz w:val="24"/>
          <w:lang w:val="tr-TR"/>
        </w:rPr>
        <w:t>:</w:t>
      </w:r>
      <w:r w:rsidRPr="001A4B94">
        <w:rPr>
          <w:sz w:val="24"/>
          <w:lang w:val="tr-TR"/>
        </w:rPr>
        <w:t xml:space="preserve"> </w:t>
      </w:r>
      <w:r w:rsidR="005B5DC2" w:rsidRPr="001A4B94">
        <w:rPr>
          <w:sz w:val="24"/>
          <w:lang w:val="tr-TR"/>
        </w:rPr>
        <w:t xml:space="preserve">2017-21 MY </w:t>
      </w:r>
      <w:r w:rsidR="00BF25F4" w:rsidRPr="001A4B94">
        <w:rPr>
          <w:sz w:val="24"/>
          <w:lang w:val="tr-TR"/>
        </w:rPr>
        <w:t xml:space="preserve">Dönemi için Gösterge Niteliğindeki Finansman </w:t>
      </w:r>
      <w:r w:rsidR="004861D0" w:rsidRPr="001A4B94">
        <w:rPr>
          <w:sz w:val="24"/>
          <w:lang w:val="tr-TR"/>
        </w:rPr>
        <w:t>(</w:t>
      </w:r>
      <w:r w:rsidR="00BF25F4" w:rsidRPr="001A4B94">
        <w:rPr>
          <w:sz w:val="24"/>
          <w:lang w:val="tr-TR"/>
        </w:rPr>
        <w:t>kaynaklar bazında</w:t>
      </w:r>
      <w:r w:rsidR="004861D0" w:rsidRPr="001A4B94">
        <w:rPr>
          <w:sz w:val="24"/>
          <w:lang w:val="tr-TR"/>
        </w:rPr>
        <w:t>)</w:t>
      </w:r>
    </w:p>
    <w:tbl>
      <w:tblPr>
        <w:tblW w:w="9450" w:type="dxa"/>
        <w:tblInd w:w="-15" w:type="dxa"/>
        <w:tblCellMar>
          <w:left w:w="0" w:type="dxa"/>
          <w:right w:w="0" w:type="dxa"/>
        </w:tblCellMar>
        <w:tblLook w:val="0420" w:firstRow="1" w:lastRow="0" w:firstColumn="0" w:lastColumn="0" w:noHBand="0" w:noVBand="1"/>
      </w:tblPr>
      <w:tblGrid>
        <w:gridCol w:w="2430"/>
        <w:gridCol w:w="3510"/>
        <w:gridCol w:w="3510"/>
      </w:tblGrid>
      <w:tr w:rsidR="008E3CF6" w:rsidRPr="001A4B94" w14:paraId="76D79324" w14:textId="77777777" w:rsidTr="0058519C">
        <w:trPr>
          <w:trHeight w:val="231"/>
        </w:trPr>
        <w:tc>
          <w:tcPr>
            <w:tcW w:w="2430" w:type="dxa"/>
            <w:tcBorders>
              <w:top w:val="single" w:sz="12" w:space="0" w:color="auto"/>
              <w:left w:val="single" w:sz="12" w:space="0" w:color="auto"/>
              <w:bottom w:val="single" w:sz="24" w:space="0" w:color="FFFFFF"/>
              <w:right w:val="single" w:sz="8" w:space="0" w:color="FFFFFF"/>
            </w:tcBorders>
            <w:shd w:val="clear" w:color="auto" w:fill="5B9BD5"/>
            <w:tcMar>
              <w:top w:w="72" w:type="dxa"/>
              <w:left w:w="144" w:type="dxa"/>
              <w:bottom w:w="72" w:type="dxa"/>
              <w:right w:w="144" w:type="dxa"/>
            </w:tcMar>
            <w:hideMark/>
          </w:tcPr>
          <w:p w14:paraId="2EF003F1" w14:textId="722CF909" w:rsidR="008E3CF6" w:rsidRPr="001A4B94" w:rsidRDefault="00BF25F4" w:rsidP="00574EE2">
            <w:pPr>
              <w:jc w:val="center"/>
              <w:rPr>
                <w:sz w:val="18"/>
                <w:szCs w:val="18"/>
                <w:lang w:val="tr-TR"/>
              </w:rPr>
            </w:pPr>
            <w:r w:rsidRPr="001A4B94">
              <w:rPr>
                <w:b/>
                <w:bCs/>
                <w:color w:val="FFFFFF"/>
                <w:kern w:val="24"/>
                <w:sz w:val="18"/>
                <w:szCs w:val="18"/>
                <w:lang w:val="tr-TR"/>
              </w:rPr>
              <w:t xml:space="preserve">BÜYÜME </w:t>
            </w:r>
          </w:p>
        </w:tc>
        <w:tc>
          <w:tcPr>
            <w:tcW w:w="3510" w:type="dxa"/>
            <w:tcBorders>
              <w:top w:val="single" w:sz="12" w:space="0" w:color="auto"/>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8D3F777" w14:textId="5D6E1D07" w:rsidR="008E3CF6" w:rsidRPr="001A4B94" w:rsidRDefault="00BF25F4" w:rsidP="00574EE2">
            <w:pPr>
              <w:jc w:val="center"/>
              <w:rPr>
                <w:sz w:val="18"/>
                <w:szCs w:val="18"/>
                <w:lang w:val="tr-TR"/>
              </w:rPr>
            </w:pPr>
            <w:r w:rsidRPr="001A4B94">
              <w:rPr>
                <w:b/>
                <w:bCs/>
                <w:color w:val="FFFFFF"/>
                <w:kern w:val="24"/>
                <w:sz w:val="18"/>
                <w:szCs w:val="18"/>
                <w:lang w:val="tr-TR"/>
              </w:rPr>
              <w:t>KAPSAMA</w:t>
            </w:r>
          </w:p>
        </w:tc>
        <w:tc>
          <w:tcPr>
            <w:tcW w:w="3510" w:type="dxa"/>
            <w:tcBorders>
              <w:top w:val="single" w:sz="12" w:space="0" w:color="auto"/>
              <w:left w:val="single" w:sz="8" w:space="0" w:color="FFFFFF"/>
              <w:bottom w:val="single" w:sz="24" w:space="0" w:color="FFFFFF"/>
              <w:right w:val="single" w:sz="12" w:space="0" w:color="auto"/>
            </w:tcBorders>
            <w:shd w:val="clear" w:color="auto" w:fill="5B9BD5"/>
            <w:tcMar>
              <w:top w:w="72" w:type="dxa"/>
              <w:left w:w="144" w:type="dxa"/>
              <w:bottom w:w="72" w:type="dxa"/>
              <w:right w:w="144" w:type="dxa"/>
            </w:tcMar>
            <w:hideMark/>
          </w:tcPr>
          <w:p w14:paraId="06C96295" w14:textId="4D099C64" w:rsidR="008E3CF6" w:rsidRPr="001A4B94" w:rsidRDefault="00BF25F4" w:rsidP="00574EE2">
            <w:pPr>
              <w:jc w:val="center"/>
              <w:rPr>
                <w:sz w:val="18"/>
                <w:szCs w:val="18"/>
                <w:lang w:val="tr-TR"/>
              </w:rPr>
            </w:pPr>
            <w:r w:rsidRPr="001A4B94">
              <w:rPr>
                <w:b/>
                <w:bCs/>
                <w:color w:val="FFFFFF"/>
                <w:kern w:val="24"/>
                <w:sz w:val="18"/>
                <w:szCs w:val="18"/>
                <w:lang w:val="tr-TR"/>
              </w:rPr>
              <w:t xml:space="preserve">SÜRDÜRÜLEBİLİRLİK </w:t>
            </w:r>
          </w:p>
        </w:tc>
      </w:tr>
      <w:tr w:rsidR="008E3CF6" w:rsidRPr="001A4B94" w14:paraId="4E0109C0" w14:textId="77777777" w:rsidTr="0058519C">
        <w:trPr>
          <w:trHeight w:val="246"/>
        </w:trPr>
        <w:tc>
          <w:tcPr>
            <w:tcW w:w="9450" w:type="dxa"/>
            <w:gridSpan w:val="3"/>
            <w:tcBorders>
              <w:top w:val="single" w:sz="24" w:space="0" w:color="FFFFFF"/>
              <w:left w:val="single" w:sz="12" w:space="0" w:color="auto"/>
              <w:bottom w:val="single" w:sz="8" w:space="0" w:color="FFFFFF"/>
              <w:right w:val="single" w:sz="12" w:space="0" w:color="auto"/>
            </w:tcBorders>
            <w:shd w:val="clear" w:color="auto" w:fill="D2DEEF"/>
            <w:tcMar>
              <w:top w:w="72" w:type="dxa"/>
              <w:left w:w="144" w:type="dxa"/>
              <w:bottom w:w="72" w:type="dxa"/>
              <w:right w:w="144" w:type="dxa"/>
            </w:tcMar>
            <w:hideMark/>
          </w:tcPr>
          <w:p w14:paraId="4734C1F1" w14:textId="6F988ADD" w:rsidR="008E3CF6" w:rsidRPr="001A4B94" w:rsidRDefault="008E3CF6" w:rsidP="00574EE2">
            <w:pPr>
              <w:jc w:val="center"/>
              <w:rPr>
                <w:sz w:val="18"/>
                <w:szCs w:val="18"/>
                <w:lang w:val="tr-TR"/>
              </w:rPr>
            </w:pPr>
            <w:r w:rsidRPr="001A4B94">
              <w:rPr>
                <w:color w:val="000000"/>
                <w:kern w:val="24"/>
                <w:sz w:val="18"/>
                <w:szCs w:val="18"/>
                <w:lang w:val="tr-TR"/>
              </w:rPr>
              <w:t xml:space="preserve">DPL </w:t>
            </w:r>
            <w:r w:rsidR="004861D0" w:rsidRPr="001A4B94">
              <w:rPr>
                <w:color w:val="000000"/>
                <w:kern w:val="24"/>
                <w:sz w:val="18"/>
                <w:szCs w:val="18"/>
                <w:lang w:val="tr-TR"/>
              </w:rPr>
              <w:t xml:space="preserve">(IBRD, </w:t>
            </w:r>
            <w:r w:rsidR="00BF25F4" w:rsidRPr="001A4B94">
              <w:rPr>
                <w:color w:val="000000"/>
                <w:kern w:val="24"/>
                <w:sz w:val="18"/>
                <w:szCs w:val="18"/>
                <w:lang w:val="tr-TR"/>
              </w:rPr>
              <w:t>2018 MY</w:t>
            </w:r>
            <w:r w:rsidR="004861D0" w:rsidRPr="001A4B94">
              <w:rPr>
                <w:color w:val="000000"/>
                <w:kern w:val="24"/>
                <w:sz w:val="18"/>
                <w:szCs w:val="18"/>
                <w:lang w:val="tr-TR"/>
              </w:rPr>
              <w:t>)</w:t>
            </w:r>
          </w:p>
        </w:tc>
      </w:tr>
      <w:tr w:rsidR="008E3CF6" w:rsidRPr="001A4B94" w14:paraId="152C5FE6" w14:textId="77777777" w:rsidTr="0058519C">
        <w:trPr>
          <w:trHeight w:val="466"/>
        </w:trPr>
        <w:tc>
          <w:tcPr>
            <w:tcW w:w="2430" w:type="dxa"/>
            <w:tcBorders>
              <w:top w:val="single" w:sz="8" w:space="0" w:color="FFFFFF"/>
              <w:left w:val="single" w:sz="12" w:space="0" w:color="auto"/>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769428DD" w14:textId="3B87791B" w:rsidR="008E3CF6" w:rsidRPr="001A4B94" w:rsidRDefault="00BF25F4" w:rsidP="004C4F78">
            <w:pPr>
              <w:ind w:right="-130"/>
              <w:rPr>
                <w:sz w:val="18"/>
                <w:szCs w:val="18"/>
                <w:lang w:val="tr-TR"/>
              </w:rPr>
            </w:pPr>
            <w:r w:rsidRPr="001A4B94">
              <w:rPr>
                <w:color w:val="000000"/>
                <w:kern w:val="24"/>
                <w:sz w:val="18"/>
                <w:szCs w:val="18"/>
                <w:lang w:val="tr-TR"/>
              </w:rPr>
              <w:t xml:space="preserve">Uzun Vadeli Finansman </w:t>
            </w:r>
            <w:r w:rsidR="008E3CF6" w:rsidRPr="001A4B94">
              <w:rPr>
                <w:color w:val="000000"/>
                <w:kern w:val="24"/>
                <w:sz w:val="18"/>
                <w:szCs w:val="18"/>
                <w:lang w:val="tr-TR"/>
              </w:rPr>
              <w:t>(</w:t>
            </w:r>
            <w:r w:rsidR="004861D0" w:rsidRPr="001A4B94">
              <w:rPr>
                <w:color w:val="000000"/>
                <w:kern w:val="24"/>
                <w:sz w:val="18"/>
                <w:szCs w:val="18"/>
                <w:lang w:val="tr-TR"/>
              </w:rPr>
              <w:t xml:space="preserve">IBRD, </w:t>
            </w:r>
            <w:r w:rsidRPr="001A4B94">
              <w:rPr>
                <w:color w:val="000000"/>
                <w:kern w:val="24"/>
                <w:sz w:val="18"/>
                <w:szCs w:val="18"/>
                <w:lang w:val="tr-TR"/>
              </w:rPr>
              <w:t>2017 MY</w:t>
            </w:r>
            <w:r w:rsidR="008E3CF6" w:rsidRPr="001A4B94">
              <w:rPr>
                <w:color w:val="000000"/>
                <w:kern w:val="24"/>
                <w:sz w:val="18"/>
                <w:szCs w:val="18"/>
                <w:lang w:val="tr-TR"/>
              </w:rPr>
              <w:t>)</w:t>
            </w:r>
          </w:p>
        </w:tc>
        <w:tc>
          <w:tcPr>
            <w:tcW w:w="3510" w:type="dxa"/>
            <w:tcBorders>
              <w:top w:val="single" w:sz="8" w:space="0" w:color="FFFFFF"/>
              <w:left w:val="double" w:sz="4" w:space="0" w:color="5B9BD5" w:themeColor="accent1"/>
              <w:bottom w:val="single" w:sz="8" w:space="0" w:color="FFFFFF"/>
              <w:right w:val="double" w:sz="4" w:space="0" w:color="5B9BD5" w:themeColor="accent1"/>
            </w:tcBorders>
            <w:shd w:val="clear" w:color="auto" w:fill="EAEFF7"/>
            <w:tcMar>
              <w:top w:w="72" w:type="dxa"/>
              <w:left w:w="144" w:type="dxa"/>
              <w:bottom w:w="72" w:type="dxa"/>
              <w:right w:w="144" w:type="dxa"/>
            </w:tcMar>
          </w:tcPr>
          <w:p w14:paraId="2CF0B014" w14:textId="77401310" w:rsidR="008E3CF6" w:rsidRPr="001A4B94" w:rsidRDefault="00BF25F4" w:rsidP="004C4F78">
            <w:pPr>
              <w:ind w:right="-164"/>
              <w:rPr>
                <w:sz w:val="18"/>
                <w:szCs w:val="18"/>
                <w:lang w:val="tr-TR"/>
              </w:rPr>
            </w:pPr>
            <w:r w:rsidRPr="001A4B94">
              <w:rPr>
                <w:sz w:val="18"/>
                <w:szCs w:val="18"/>
                <w:lang w:val="tr-TR"/>
              </w:rPr>
              <w:t xml:space="preserve">Eğitim </w:t>
            </w:r>
            <w:r w:rsidR="00672868" w:rsidRPr="001A4B94">
              <w:rPr>
                <w:sz w:val="18"/>
                <w:szCs w:val="18"/>
                <w:lang w:val="tr-TR"/>
              </w:rPr>
              <w:t xml:space="preserve"> </w:t>
            </w:r>
            <w:r w:rsidRPr="001A4B94">
              <w:rPr>
                <w:sz w:val="18"/>
                <w:szCs w:val="18"/>
                <w:lang w:val="tr-TR"/>
              </w:rPr>
              <w:t>(AB</w:t>
            </w:r>
            <w:r w:rsidR="00672868" w:rsidRPr="001A4B94">
              <w:rPr>
                <w:sz w:val="18"/>
                <w:szCs w:val="18"/>
                <w:lang w:val="tr-TR"/>
              </w:rPr>
              <w:t xml:space="preserve"> FRiT, </w:t>
            </w:r>
            <w:r w:rsidRPr="001A4B94">
              <w:rPr>
                <w:sz w:val="18"/>
                <w:szCs w:val="18"/>
                <w:lang w:val="tr-TR"/>
              </w:rPr>
              <w:t>2017 MY</w:t>
            </w:r>
            <w:r w:rsidR="004861D0"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single" w:sz="12" w:space="0" w:color="auto"/>
            </w:tcBorders>
            <w:shd w:val="clear" w:color="auto" w:fill="EAEFF7"/>
            <w:tcMar>
              <w:top w:w="72" w:type="dxa"/>
              <w:left w:w="144" w:type="dxa"/>
              <w:bottom w:w="72" w:type="dxa"/>
              <w:right w:w="144" w:type="dxa"/>
            </w:tcMar>
            <w:hideMark/>
          </w:tcPr>
          <w:p w14:paraId="289FCA9B" w14:textId="296744E6" w:rsidR="008E3CF6" w:rsidRPr="001A4B94" w:rsidRDefault="00BF25F4" w:rsidP="004C4F78">
            <w:pPr>
              <w:ind w:right="-56"/>
              <w:rPr>
                <w:sz w:val="18"/>
                <w:szCs w:val="18"/>
                <w:lang w:val="tr-TR"/>
              </w:rPr>
            </w:pPr>
            <w:r w:rsidRPr="001A4B94">
              <w:rPr>
                <w:color w:val="000000"/>
                <w:kern w:val="24"/>
                <w:sz w:val="18"/>
                <w:szCs w:val="18"/>
                <w:lang w:val="tr-TR"/>
              </w:rPr>
              <w:t xml:space="preserve">Jeotermal Geliştirme </w:t>
            </w:r>
            <w:r w:rsidR="008E3CF6" w:rsidRPr="001A4B94">
              <w:rPr>
                <w:color w:val="000000"/>
                <w:kern w:val="24"/>
                <w:sz w:val="18"/>
                <w:szCs w:val="18"/>
                <w:lang w:val="tr-TR"/>
              </w:rPr>
              <w:t>(</w:t>
            </w:r>
            <w:r w:rsidR="004861D0" w:rsidRPr="001A4B94">
              <w:rPr>
                <w:color w:val="000000"/>
                <w:kern w:val="24"/>
                <w:sz w:val="18"/>
                <w:szCs w:val="18"/>
                <w:lang w:val="tr-TR"/>
              </w:rPr>
              <w:t xml:space="preserve">IBRD </w:t>
            </w:r>
            <w:r w:rsidRPr="001A4B94">
              <w:rPr>
                <w:color w:val="000000"/>
                <w:kern w:val="24"/>
                <w:sz w:val="18"/>
                <w:szCs w:val="18"/>
                <w:lang w:val="tr-TR"/>
              </w:rPr>
              <w:t xml:space="preserve">ve </w:t>
            </w:r>
            <w:r w:rsidR="004861D0" w:rsidRPr="001A4B94">
              <w:rPr>
                <w:color w:val="000000"/>
                <w:kern w:val="24"/>
                <w:sz w:val="18"/>
                <w:szCs w:val="18"/>
                <w:lang w:val="tr-TR"/>
              </w:rPr>
              <w:t xml:space="preserve">CTF, </w:t>
            </w:r>
            <w:r w:rsidRPr="001A4B94">
              <w:rPr>
                <w:sz w:val="18"/>
                <w:szCs w:val="18"/>
                <w:lang w:val="tr-TR"/>
              </w:rPr>
              <w:t>2017 MY</w:t>
            </w:r>
            <w:r w:rsidR="008E3CF6" w:rsidRPr="001A4B94">
              <w:rPr>
                <w:color w:val="000000"/>
                <w:kern w:val="24"/>
                <w:sz w:val="18"/>
                <w:szCs w:val="18"/>
                <w:lang w:val="tr-TR"/>
              </w:rPr>
              <w:t>)</w:t>
            </w:r>
          </w:p>
        </w:tc>
      </w:tr>
      <w:tr w:rsidR="008E3CF6" w:rsidRPr="001A4B94" w14:paraId="04503122" w14:textId="77777777" w:rsidTr="0058519C">
        <w:trPr>
          <w:trHeight w:val="376"/>
        </w:trPr>
        <w:tc>
          <w:tcPr>
            <w:tcW w:w="2430" w:type="dxa"/>
            <w:tcBorders>
              <w:top w:val="single" w:sz="8" w:space="0" w:color="FFFFFF"/>
              <w:left w:val="single" w:sz="12" w:space="0" w:color="auto"/>
              <w:bottom w:val="single" w:sz="8" w:space="0" w:color="FFFFFF"/>
              <w:right w:val="double" w:sz="4" w:space="0" w:color="5B9BD5" w:themeColor="accent1"/>
            </w:tcBorders>
            <w:shd w:val="clear" w:color="auto" w:fill="D2DEEF"/>
            <w:tcMar>
              <w:top w:w="72" w:type="dxa"/>
              <w:left w:w="144" w:type="dxa"/>
              <w:bottom w:w="72" w:type="dxa"/>
              <w:right w:w="144" w:type="dxa"/>
            </w:tcMar>
          </w:tcPr>
          <w:p w14:paraId="6267A7E2" w14:textId="7522B292" w:rsidR="008E3CF6" w:rsidRPr="001A4B94" w:rsidRDefault="000C6C3C" w:rsidP="004C4F78">
            <w:pPr>
              <w:ind w:right="-130"/>
              <w:rPr>
                <w:sz w:val="18"/>
                <w:szCs w:val="18"/>
                <w:lang w:val="tr-TR"/>
              </w:rPr>
            </w:pPr>
            <w:r w:rsidRPr="001A4B94">
              <w:rPr>
                <w:sz w:val="18"/>
                <w:szCs w:val="18"/>
                <w:lang w:val="tr-TR"/>
              </w:rPr>
              <w:t>Finan</w:t>
            </w:r>
            <w:r w:rsidR="00BF25F4" w:rsidRPr="001A4B94">
              <w:rPr>
                <w:sz w:val="18"/>
                <w:szCs w:val="18"/>
                <w:lang w:val="tr-TR"/>
              </w:rPr>
              <w:t xml:space="preserve">sal Sektör </w:t>
            </w:r>
            <w:r w:rsidRPr="001A4B94">
              <w:rPr>
                <w:sz w:val="18"/>
                <w:szCs w:val="18"/>
                <w:lang w:val="tr-TR"/>
              </w:rPr>
              <w:t>(</w:t>
            </w:r>
            <w:r w:rsidR="004861D0" w:rsidRPr="001A4B94">
              <w:rPr>
                <w:sz w:val="18"/>
                <w:szCs w:val="18"/>
                <w:lang w:val="tr-TR"/>
              </w:rPr>
              <w:t xml:space="preserve">IBRD, </w:t>
            </w:r>
            <w:r w:rsidR="00BF25F4" w:rsidRPr="001A4B94">
              <w:rPr>
                <w:sz w:val="18"/>
                <w:szCs w:val="18"/>
                <w:lang w:val="tr-TR"/>
              </w:rPr>
              <w:t>2019 MY</w:t>
            </w:r>
            <w:r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double" w:sz="4" w:space="0" w:color="5B9BD5" w:themeColor="accent1"/>
            </w:tcBorders>
            <w:shd w:val="clear" w:color="auto" w:fill="D2DEEF"/>
            <w:tcMar>
              <w:top w:w="72" w:type="dxa"/>
              <w:left w:w="144" w:type="dxa"/>
              <w:bottom w:w="72" w:type="dxa"/>
              <w:right w:w="144" w:type="dxa"/>
            </w:tcMar>
          </w:tcPr>
          <w:p w14:paraId="3DA0852F" w14:textId="5F027575" w:rsidR="008E3CF6" w:rsidRPr="001A4B94" w:rsidRDefault="00BF25F4" w:rsidP="004C4F78">
            <w:pPr>
              <w:ind w:right="-164"/>
              <w:rPr>
                <w:sz w:val="18"/>
                <w:szCs w:val="18"/>
                <w:lang w:val="tr-TR"/>
              </w:rPr>
            </w:pPr>
            <w:r w:rsidRPr="001A4B94">
              <w:rPr>
                <w:sz w:val="18"/>
                <w:szCs w:val="18"/>
                <w:lang w:val="tr-TR"/>
              </w:rPr>
              <w:t xml:space="preserve">İşgücü Piyasasına Entegrasyon </w:t>
            </w:r>
            <w:r w:rsidR="004861D0" w:rsidRPr="001A4B94">
              <w:rPr>
                <w:sz w:val="18"/>
                <w:szCs w:val="18"/>
                <w:lang w:val="tr-TR"/>
              </w:rPr>
              <w:t>(</w:t>
            </w:r>
            <w:r w:rsidRPr="001A4B94">
              <w:rPr>
                <w:sz w:val="18"/>
                <w:szCs w:val="18"/>
                <w:lang w:val="tr-TR"/>
              </w:rPr>
              <w:t xml:space="preserve">AB </w:t>
            </w:r>
            <w:r w:rsidR="004861D0" w:rsidRPr="001A4B94">
              <w:rPr>
                <w:sz w:val="18"/>
                <w:szCs w:val="18"/>
                <w:lang w:val="tr-TR"/>
              </w:rPr>
              <w:t xml:space="preserve">FRiT, </w:t>
            </w:r>
            <w:r w:rsidRPr="001A4B94">
              <w:rPr>
                <w:sz w:val="18"/>
                <w:szCs w:val="18"/>
                <w:lang w:val="tr-TR"/>
              </w:rPr>
              <w:t>2017 MY</w:t>
            </w:r>
            <w:r w:rsidR="004861D0"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single" w:sz="12" w:space="0" w:color="auto"/>
            </w:tcBorders>
            <w:shd w:val="clear" w:color="auto" w:fill="D2DEEF"/>
            <w:tcMar>
              <w:top w:w="72" w:type="dxa"/>
              <w:left w:w="144" w:type="dxa"/>
              <w:bottom w:w="72" w:type="dxa"/>
              <w:right w:w="144" w:type="dxa"/>
            </w:tcMar>
            <w:hideMark/>
          </w:tcPr>
          <w:p w14:paraId="52222E1F" w14:textId="7E2C8CA4" w:rsidR="008E3CF6" w:rsidRPr="001A4B94" w:rsidRDefault="008E3CF6" w:rsidP="004C4F78">
            <w:pPr>
              <w:ind w:right="-56"/>
              <w:rPr>
                <w:sz w:val="18"/>
                <w:szCs w:val="18"/>
                <w:lang w:val="tr-TR"/>
              </w:rPr>
            </w:pPr>
            <w:r w:rsidRPr="001A4B94">
              <w:rPr>
                <w:color w:val="000000"/>
                <w:kern w:val="24"/>
                <w:sz w:val="18"/>
                <w:szCs w:val="18"/>
                <w:lang w:val="tr-TR"/>
              </w:rPr>
              <w:t>Trans</w:t>
            </w:r>
            <w:r w:rsidR="00BF25F4" w:rsidRPr="001A4B94">
              <w:rPr>
                <w:color w:val="000000"/>
                <w:kern w:val="24"/>
                <w:sz w:val="18"/>
                <w:szCs w:val="18"/>
                <w:lang w:val="tr-TR"/>
              </w:rPr>
              <w:t xml:space="preserve"> Anadolu Boru Hattı </w:t>
            </w:r>
            <w:r w:rsidRPr="001A4B94">
              <w:rPr>
                <w:color w:val="000000"/>
                <w:kern w:val="24"/>
                <w:sz w:val="18"/>
                <w:szCs w:val="18"/>
                <w:lang w:val="tr-TR"/>
              </w:rPr>
              <w:t>(</w:t>
            </w:r>
            <w:r w:rsidR="00FC0A7C" w:rsidRPr="001A4B94">
              <w:rPr>
                <w:color w:val="000000"/>
                <w:kern w:val="24"/>
                <w:sz w:val="18"/>
                <w:szCs w:val="18"/>
                <w:lang w:val="tr-TR"/>
              </w:rPr>
              <w:t xml:space="preserve">IBRD, </w:t>
            </w:r>
            <w:r w:rsidR="00BF25F4" w:rsidRPr="001A4B94">
              <w:rPr>
                <w:sz w:val="18"/>
                <w:szCs w:val="18"/>
                <w:lang w:val="tr-TR"/>
              </w:rPr>
              <w:t>2017 MY</w:t>
            </w:r>
            <w:r w:rsidRPr="001A4B94">
              <w:rPr>
                <w:color w:val="000000"/>
                <w:kern w:val="24"/>
                <w:sz w:val="18"/>
                <w:szCs w:val="18"/>
                <w:lang w:val="tr-TR"/>
              </w:rPr>
              <w:t>)</w:t>
            </w:r>
          </w:p>
        </w:tc>
      </w:tr>
      <w:tr w:rsidR="008E3CF6" w:rsidRPr="001A4B94" w14:paraId="2C20885F" w14:textId="77777777" w:rsidTr="0058519C">
        <w:trPr>
          <w:trHeight w:val="46"/>
        </w:trPr>
        <w:tc>
          <w:tcPr>
            <w:tcW w:w="2430" w:type="dxa"/>
            <w:tcBorders>
              <w:top w:val="single" w:sz="8" w:space="0" w:color="FFFFFF"/>
              <w:left w:val="single" w:sz="12" w:space="0" w:color="auto"/>
              <w:bottom w:val="single" w:sz="8" w:space="0" w:color="FFFFFF"/>
              <w:right w:val="double" w:sz="4" w:space="0" w:color="5B9BD5" w:themeColor="accent1"/>
            </w:tcBorders>
            <w:shd w:val="clear" w:color="auto" w:fill="EAEFF7"/>
            <w:tcMar>
              <w:top w:w="72" w:type="dxa"/>
              <w:left w:w="144" w:type="dxa"/>
              <w:bottom w:w="72" w:type="dxa"/>
              <w:right w:w="144" w:type="dxa"/>
            </w:tcMar>
          </w:tcPr>
          <w:p w14:paraId="13799EF9" w14:textId="3231B06A" w:rsidR="008E3CF6" w:rsidRPr="001A4B94" w:rsidRDefault="00BF25F4" w:rsidP="004C4F78">
            <w:pPr>
              <w:ind w:right="-130"/>
              <w:rPr>
                <w:sz w:val="18"/>
                <w:szCs w:val="18"/>
                <w:lang w:val="tr-TR"/>
              </w:rPr>
            </w:pPr>
            <w:r w:rsidRPr="001A4B94">
              <w:rPr>
                <w:sz w:val="18"/>
                <w:szCs w:val="18"/>
                <w:lang w:val="tr-TR"/>
              </w:rPr>
              <w:t xml:space="preserve">Yenilikçilik </w:t>
            </w:r>
            <w:r w:rsidR="000C6C3C" w:rsidRPr="001A4B94">
              <w:rPr>
                <w:sz w:val="18"/>
                <w:szCs w:val="18"/>
                <w:lang w:val="tr-TR"/>
              </w:rPr>
              <w:t>(</w:t>
            </w:r>
            <w:r w:rsidR="004861D0" w:rsidRPr="001A4B94">
              <w:rPr>
                <w:sz w:val="18"/>
                <w:szCs w:val="18"/>
                <w:lang w:val="tr-TR"/>
              </w:rPr>
              <w:t xml:space="preserve">IBRD, </w:t>
            </w:r>
            <w:r w:rsidRPr="001A4B94">
              <w:rPr>
                <w:sz w:val="18"/>
                <w:szCs w:val="18"/>
                <w:lang w:val="tr-TR"/>
              </w:rPr>
              <w:t>2020 MY</w:t>
            </w:r>
            <w:r w:rsidR="000C6C3C"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double" w:sz="4" w:space="0" w:color="5B9BD5" w:themeColor="accent1"/>
            </w:tcBorders>
            <w:shd w:val="clear" w:color="auto" w:fill="EAEFF7"/>
            <w:tcMar>
              <w:top w:w="72" w:type="dxa"/>
              <w:left w:w="144" w:type="dxa"/>
              <w:bottom w:w="72" w:type="dxa"/>
              <w:right w:w="144" w:type="dxa"/>
            </w:tcMar>
          </w:tcPr>
          <w:p w14:paraId="3BD48415" w14:textId="0DB8735E" w:rsidR="008E3CF6" w:rsidRPr="001A4B94" w:rsidRDefault="00BF25F4" w:rsidP="004C4F78">
            <w:pPr>
              <w:ind w:right="-164"/>
              <w:rPr>
                <w:sz w:val="18"/>
                <w:szCs w:val="18"/>
                <w:lang w:val="tr-TR"/>
              </w:rPr>
            </w:pPr>
            <w:r w:rsidRPr="001A4B94">
              <w:rPr>
                <w:sz w:val="18"/>
                <w:szCs w:val="18"/>
                <w:lang w:val="tr-TR"/>
              </w:rPr>
              <w:t xml:space="preserve">GKSS İstihdam Desteği ve Girişimcilik </w:t>
            </w:r>
            <w:r w:rsidR="004E5CB2" w:rsidRPr="001A4B94">
              <w:rPr>
                <w:sz w:val="18"/>
                <w:szCs w:val="18"/>
                <w:lang w:val="tr-TR"/>
              </w:rPr>
              <w:t>(</w:t>
            </w:r>
            <w:r w:rsidRPr="001A4B94">
              <w:rPr>
                <w:sz w:val="18"/>
                <w:szCs w:val="18"/>
                <w:lang w:val="tr-TR"/>
              </w:rPr>
              <w:t xml:space="preserve">AB </w:t>
            </w:r>
            <w:r w:rsidR="004E5CB2" w:rsidRPr="001A4B94">
              <w:rPr>
                <w:sz w:val="18"/>
                <w:szCs w:val="18"/>
                <w:lang w:val="tr-TR"/>
              </w:rPr>
              <w:t xml:space="preserve">FRIT, </w:t>
            </w:r>
            <w:r w:rsidRPr="001A4B94">
              <w:rPr>
                <w:sz w:val="18"/>
                <w:szCs w:val="18"/>
                <w:lang w:val="tr-TR"/>
              </w:rPr>
              <w:t>2018 MY</w:t>
            </w:r>
            <w:r w:rsidR="00306D96"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single" w:sz="12" w:space="0" w:color="auto"/>
            </w:tcBorders>
            <w:shd w:val="clear" w:color="auto" w:fill="EAEFF7"/>
            <w:tcMar>
              <w:top w:w="72" w:type="dxa"/>
              <w:left w:w="144" w:type="dxa"/>
              <w:bottom w:w="72" w:type="dxa"/>
              <w:right w:w="144" w:type="dxa"/>
            </w:tcMar>
            <w:hideMark/>
          </w:tcPr>
          <w:p w14:paraId="62DBFA5C" w14:textId="7ED0743B" w:rsidR="008E3CF6" w:rsidRPr="001A4B94" w:rsidRDefault="00380A9D" w:rsidP="004C4F78">
            <w:pPr>
              <w:ind w:right="-56"/>
              <w:rPr>
                <w:sz w:val="18"/>
                <w:szCs w:val="18"/>
                <w:lang w:val="tr-TR"/>
              </w:rPr>
            </w:pPr>
            <w:r w:rsidRPr="001A4B94">
              <w:rPr>
                <w:color w:val="000000"/>
                <w:kern w:val="24"/>
                <w:sz w:val="18"/>
                <w:szCs w:val="18"/>
                <w:lang w:val="tr-TR"/>
              </w:rPr>
              <w:t xml:space="preserve">Sürdürülebilir Şehirler Projeler Dizisi </w:t>
            </w:r>
            <w:r w:rsidR="008E3CF6" w:rsidRPr="001A4B94">
              <w:rPr>
                <w:color w:val="000000"/>
                <w:kern w:val="24"/>
                <w:sz w:val="18"/>
                <w:szCs w:val="18"/>
                <w:lang w:val="tr-TR"/>
              </w:rPr>
              <w:t>(</w:t>
            </w:r>
            <w:r w:rsidR="00FC0A7C" w:rsidRPr="001A4B94">
              <w:rPr>
                <w:color w:val="000000"/>
                <w:kern w:val="24"/>
                <w:sz w:val="18"/>
                <w:szCs w:val="18"/>
                <w:lang w:val="tr-TR"/>
              </w:rPr>
              <w:t>IBRD</w:t>
            </w:r>
            <w:r w:rsidR="00862D69" w:rsidRPr="001A4B94">
              <w:rPr>
                <w:color w:val="000000"/>
                <w:kern w:val="24"/>
                <w:sz w:val="18"/>
                <w:szCs w:val="18"/>
                <w:lang w:val="tr-TR"/>
              </w:rPr>
              <w:t xml:space="preserve"> </w:t>
            </w:r>
            <w:r w:rsidRPr="001A4B94">
              <w:rPr>
                <w:color w:val="000000"/>
                <w:kern w:val="24"/>
                <w:sz w:val="18"/>
                <w:szCs w:val="18"/>
                <w:lang w:val="tr-TR"/>
              </w:rPr>
              <w:t xml:space="preserve">ve </w:t>
            </w:r>
            <w:r w:rsidR="00862D69" w:rsidRPr="001A4B94">
              <w:rPr>
                <w:color w:val="000000"/>
                <w:kern w:val="24"/>
                <w:sz w:val="18"/>
                <w:szCs w:val="18"/>
                <w:lang w:val="tr-TR"/>
              </w:rPr>
              <w:t>IPA</w:t>
            </w:r>
            <w:r w:rsidR="00FC0A7C" w:rsidRPr="001A4B94">
              <w:rPr>
                <w:color w:val="000000"/>
                <w:kern w:val="24"/>
                <w:sz w:val="18"/>
                <w:szCs w:val="18"/>
                <w:lang w:val="tr-TR"/>
              </w:rPr>
              <w:t xml:space="preserve">, </w:t>
            </w:r>
            <w:r w:rsidR="00BF25F4" w:rsidRPr="001A4B94">
              <w:rPr>
                <w:sz w:val="18"/>
                <w:szCs w:val="18"/>
                <w:lang w:val="tr-TR"/>
              </w:rPr>
              <w:t>2017 MY</w:t>
            </w:r>
            <w:r w:rsidR="00483F67" w:rsidRPr="001A4B94">
              <w:rPr>
                <w:color w:val="000000"/>
                <w:kern w:val="24"/>
                <w:sz w:val="18"/>
                <w:szCs w:val="18"/>
                <w:lang w:val="tr-TR"/>
              </w:rPr>
              <w:t xml:space="preserve">; </w:t>
            </w:r>
            <w:r w:rsidR="00BF25F4" w:rsidRPr="001A4B94">
              <w:rPr>
                <w:sz w:val="18"/>
                <w:szCs w:val="18"/>
                <w:lang w:val="tr-TR"/>
              </w:rPr>
              <w:t>2018 MY</w:t>
            </w:r>
            <w:r w:rsidR="00BF25F4" w:rsidRPr="001A4B94">
              <w:rPr>
                <w:color w:val="000000"/>
                <w:kern w:val="24"/>
                <w:sz w:val="18"/>
                <w:szCs w:val="18"/>
                <w:lang w:val="tr-TR"/>
              </w:rPr>
              <w:t xml:space="preserve"> ve 2020 MY</w:t>
            </w:r>
            <w:r w:rsidR="008E3CF6" w:rsidRPr="001A4B94">
              <w:rPr>
                <w:color w:val="000000"/>
                <w:kern w:val="24"/>
                <w:sz w:val="18"/>
                <w:szCs w:val="18"/>
                <w:lang w:val="tr-TR"/>
              </w:rPr>
              <w:t>)</w:t>
            </w:r>
          </w:p>
        </w:tc>
      </w:tr>
      <w:tr w:rsidR="008E3CF6" w:rsidRPr="001A4B94" w14:paraId="6218867D" w14:textId="77777777" w:rsidTr="0058519C">
        <w:trPr>
          <w:trHeight w:val="37"/>
        </w:trPr>
        <w:tc>
          <w:tcPr>
            <w:tcW w:w="2430" w:type="dxa"/>
            <w:tcBorders>
              <w:top w:val="single" w:sz="8" w:space="0" w:color="FFFFFF"/>
              <w:left w:val="single" w:sz="12" w:space="0" w:color="auto"/>
              <w:bottom w:val="single" w:sz="8" w:space="0" w:color="FFFFFF"/>
              <w:right w:val="double" w:sz="4" w:space="0" w:color="5B9BD5" w:themeColor="accent1"/>
            </w:tcBorders>
            <w:shd w:val="clear" w:color="auto" w:fill="D2DEEF"/>
            <w:tcMar>
              <w:top w:w="72" w:type="dxa"/>
              <w:left w:w="144" w:type="dxa"/>
              <w:bottom w:w="72" w:type="dxa"/>
              <w:right w:w="144" w:type="dxa"/>
            </w:tcMar>
          </w:tcPr>
          <w:p w14:paraId="771C5C08" w14:textId="01D52B44" w:rsidR="008E3CF6" w:rsidRPr="001A4B94" w:rsidRDefault="008E3CF6" w:rsidP="00FC0A7C">
            <w:pPr>
              <w:rPr>
                <w:sz w:val="18"/>
                <w:szCs w:val="18"/>
                <w:lang w:val="tr-TR"/>
              </w:rPr>
            </w:pPr>
          </w:p>
        </w:tc>
        <w:tc>
          <w:tcPr>
            <w:tcW w:w="3510" w:type="dxa"/>
            <w:tcBorders>
              <w:top w:val="single" w:sz="8" w:space="0" w:color="FFFFFF"/>
              <w:left w:val="double" w:sz="4" w:space="0" w:color="5B9BD5" w:themeColor="accent1"/>
              <w:bottom w:val="single" w:sz="8" w:space="0" w:color="FFFFFF"/>
              <w:right w:val="double" w:sz="4" w:space="0" w:color="5B9BD5" w:themeColor="accent1"/>
            </w:tcBorders>
            <w:shd w:val="clear" w:color="auto" w:fill="D2DEEF"/>
            <w:tcMar>
              <w:top w:w="72" w:type="dxa"/>
              <w:left w:w="144" w:type="dxa"/>
              <w:bottom w:w="72" w:type="dxa"/>
              <w:right w:w="144" w:type="dxa"/>
            </w:tcMar>
          </w:tcPr>
          <w:p w14:paraId="16038F9A" w14:textId="6406F053" w:rsidR="008E3CF6" w:rsidRPr="001A4B94" w:rsidRDefault="00BF25F4" w:rsidP="004C4F78">
            <w:pPr>
              <w:ind w:right="-164"/>
              <w:rPr>
                <w:sz w:val="18"/>
                <w:szCs w:val="18"/>
                <w:lang w:val="tr-TR"/>
              </w:rPr>
            </w:pPr>
            <w:r w:rsidRPr="001A4B94">
              <w:rPr>
                <w:sz w:val="18"/>
                <w:szCs w:val="18"/>
                <w:lang w:val="tr-TR"/>
              </w:rPr>
              <w:t>Eğitim</w:t>
            </w:r>
            <w:r w:rsidR="00306D96" w:rsidRPr="001A4B94">
              <w:rPr>
                <w:sz w:val="18"/>
                <w:szCs w:val="18"/>
                <w:lang w:val="tr-TR"/>
              </w:rPr>
              <w:t xml:space="preserve">: </w:t>
            </w:r>
            <w:r w:rsidRPr="001A4B94">
              <w:rPr>
                <w:sz w:val="18"/>
                <w:szCs w:val="18"/>
                <w:lang w:val="tr-TR"/>
              </w:rPr>
              <w:t xml:space="preserve">Risk Altındaki Gençler </w:t>
            </w:r>
            <w:r w:rsidR="00306D96" w:rsidRPr="001A4B94">
              <w:rPr>
                <w:sz w:val="18"/>
                <w:szCs w:val="18"/>
                <w:lang w:val="tr-TR"/>
              </w:rPr>
              <w:t>(</w:t>
            </w:r>
            <w:r w:rsidRPr="001A4B94">
              <w:rPr>
                <w:sz w:val="18"/>
                <w:szCs w:val="18"/>
                <w:lang w:val="tr-TR"/>
              </w:rPr>
              <w:t>AB</w:t>
            </w:r>
            <w:r w:rsidR="00306D96" w:rsidRPr="001A4B94">
              <w:rPr>
                <w:sz w:val="18"/>
                <w:szCs w:val="18"/>
                <w:lang w:val="tr-TR"/>
              </w:rPr>
              <w:t xml:space="preserve">/ IPA, </w:t>
            </w:r>
            <w:r w:rsidRPr="001A4B94">
              <w:rPr>
                <w:sz w:val="18"/>
                <w:szCs w:val="18"/>
                <w:lang w:val="tr-TR"/>
              </w:rPr>
              <w:t>2018 MY</w:t>
            </w:r>
            <w:r w:rsidR="00306D96"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single" w:sz="12" w:space="0" w:color="auto"/>
            </w:tcBorders>
            <w:shd w:val="clear" w:color="auto" w:fill="D2DEEF"/>
            <w:tcMar>
              <w:top w:w="72" w:type="dxa"/>
              <w:left w:w="144" w:type="dxa"/>
              <w:bottom w:w="72" w:type="dxa"/>
              <w:right w:w="144" w:type="dxa"/>
            </w:tcMar>
          </w:tcPr>
          <w:p w14:paraId="21A8C19E" w14:textId="4B3FF664" w:rsidR="008E3CF6" w:rsidRPr="001A4B94" w:rsidRDefault="008E3CF6" w:rsidP="004C4F78">
            <w:pPr>
              <w:ind w:right="-56"/>
              <w:rPr>
                <w:sz w:val="18"/>
                <w:szCs w:val="18"/>
                <w:lang w:val="tr-TR"/>
              </w:rPr>
            </w:pPr>
            <w:r w:rsidRPr="001A4B94">
              <w:rPr>
                <w:sz w:val="18"/>
                <w:szCs w:val="18"/>
                <w:lang w:val="tr-TR"/>
              </w:rPr>
              <w:t>Ga</w:t>
            </w:r>
            <w:r w:rsidR="00380A9D" w:rsidRPr="001A4B94">
              <w:rPr>
                <w:sz w:val="18"/>
                <w:szCs w:val="18"/>
                <w:lang w:val="tr-TR"/>
              </w:rPr>
              <w:t>z</w:t>
            </w:r>
            <w:r w:rsidRPr="001A4B94">
              <w:rPr>
                <w:sz w:val="18"/>
                <w:szCs w:val="18"/>
                <w:lang w:val="tr-TR"/>
              </w:rPr>
              <w:t xml:space="preserve"> </w:t>
            </w:r>
            <w:r w:rsidR="00380A9D" w:rsidRPr="001A4B94">
              <w:rPr>
                <w:sz w:val="18"/>
                <w:szCs w:val="18"/>
                <w:lang w:val="tr-TR"/>
              </w:rPr>
              <w:t xml:space="preserve">Depolama Genişletme </w:t>
            </w:r>
            <w:r w:rsidRPr="001A4B94">
              <w:rPr>
                <w:sz w:val="18"/>
                <w:szCs w:val="18"/>
                <w:lang w:val="tr-TR"/>
              </w:rPr>
              <w:t>(</w:t>
            </w:r>
            <w:r w:rsidR="00FC0A7C" w:rsidRPr="001A4B94">
              <w:rPr>
                <w:sz w:val="18"/>
                <w:szCs w:val="18"/>
                <w:lang w:val="tr-TR"/>
              </w:rPr>
              <w:t xml:space="preserve">IBRD, </w:t>
            </w:r>
            <w:r w:rsidR="00BF25F4" w:rsidRPr="001A4B94">
              <w:rPr>
                <w:sz w:val="18"/>
                <w:szCs w:val="18"/>
                <w:lang w:val="tr-TR"/>
              </w:rPr>
              <w:t>2018 MY</w:t>
            </w:r>
            <w:r w:rsidRPr="001A4B94">
              <w:rPr>
                <w:sz w:val="18"/>
                <w:szCs w:val="18"/>
                <w:lang w:val="tr-TR"/>
              </w:rPr>
              <w:t>)</w:t>
            </w:r>
          </w:p>
        </w:tc>
      </w:tr>
      <w:tr w:rsidR="008E3CF6" w:rsidRPr="001A4B94" w14:paraId="3738F202" w14:textId="77777777" w:rsidTr="0058519C">
        <w:trPr>
          <w:trHeight w:val="37"/>
        </w:trPr>
        <w:tc>
          <w:tcPr>
            <w:tcW w:w="2430" w:type="dxa"/>
            <w:tcBorders>
              <w:top w:val="single" w:sz="8" w:space="0" w:color="FFFFFF"/>
              <w:left w:val="single" w:sz="12" w:space="0" w:color="auto"/>
              <w:bottom w:val="single" w:sz="8" w:space="0" w:color="FFFFFF"/>
              <w:right w:val="double" w:sz="4" w:space="0" w:color="5B9BD5" w:themeColor="accent1"/>
            </w:tcBorders>
            <w:shd w:val="clear" w:color="auto" w:fill="EAEFF7"/>
            <w:tcMar>
              <w:top w:w="72" w:type="dxa"/>
              <w:left w:w="144" w:type="dxa"/>
              <w:bottom w:w="72" w:type="dxa"/>
              <w:right w:w="144" w:type="dxa"/>
            </w:tcMar>
          </w:tcPr>
          <w:p w14:paraId="61EC5D2C" w14:textId="249EC7EC" w:rsidR="008E3CF6" w:rsidRPr="001A4B94" w:rsidRDefault="008E3CF6" w:rsidP="00574EE2">
            <w:pPr>
              <w:rPr>
                <w:sz w:val="18"/>
                <w:szCs w:val="18"/>
                <w:lang w:val="tr-TR"/>
              </w:rPr>
            </w:pPr>
          </w:p>
        </w:tc>
        <w:tc>
          <w:tcPr>
            <w:tcW w:w="3510" w:type="dxa"/>
            <w:tcBorders>
              <w:top w:val="single" w:sz="8" w:space="0" w:color="FFFFFF"/>
              <w:left w:val="double" w:sz="4" w:space="0" w:color="5B9BD5" w:themeColor="accent1"/>
              <w:bottom w:val="single" w:sz="8" w:space="0" w:color="FFFFFF"/>
              <w:right w:val="double" w:sz="4" w:space="0" w:color="5B9BD5" w:themeColor="accent1"/>
            </w:tcBorders>
            <w:shd w:val="clear" w:color="auto" w:fill="EAEFF7"/>
            <w:tcMar>
              <w:top w:w="72" w:type="dxa"/>
              <w:left w:w="144" w:type="dxa"/>
              <w:bottom w:w="72" w:type="dxa"/>
              <w:right w:w="144" w:type="dxa"/>
            </w:tcMar>
          </w:tcPr>
          <w:p w14:paraId="43BF532D" w14:textId="3CDB5A8B" w:rsidR="008E3CF6" w:rsidRPr="001A4B94" w:rsidRDefault="00BF25F4" w:rsidP="004C4F78">
            <w:pPr>
              <w:ind w:right="-164"/>
              <w:rPr>
                <w:sz w:val="18"/>
                <w:szCs w:val="18"/>
                <w:lang w:val="tr-TR"/>
              </w:rPr>
            </w:pPr>
            <w:r w:rsidRPr="001A4B94">
              <w:rPr>
                <w:sz w:val="18"/>
                <w:szCs w:val="18"/>
                <w:lang w:val="tr-TR"/>
              </w:rPr>
              <w:t xml:space="preserve">Sosyal Kapsama </w:t>
            </w:r>
            <w:r w:rsidR="00306D96" w:rsidRPr="001A4B94">
              <w:rPr>
                <w:sz w:val="18"/>
                <w:szCs w:val="18"/>
                <w:lang w:val="tr-TR"/>
              </w:rPr>
              <w:t xml:space="preserve">(IBRD, </w:t>
            </w:r>
            <w:r w:rsidRPr="001A4B94">
              <w:rPr>
                <w:sz w:val="18"/>
                <w:szCs w:val="18"/>
                <w:lang w:val="tr-TR"/>
              </w:rPr>
              <w:t>2019 MY</w:t>
            </w:r>
            <w:r w:rsidR="00306D96"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single" w:sz="12" w:space="0" w:color="auto"/>
            </w:tcBorders>
            <w:shd w:val="clear" w:color="auto" w:fill="EAEFF7"/>
            <w:tcMar>
              <w:top w:w="72" w:type="dxa"/>
              <w:left w:w="144" w:type="dxa"/>
              <w:bottom w:w="72" w:type="dxa"/>
              <w:right w:w="144" w:type="dxa"/>
            </w:tcMar>
          </w:tcPr>
          <w:p w14:paraId="1DE6B84C" w14:textId="18B928F3" w:rsidR="008E3CF6" w:rsidRPr="001A4B94" w:rsidRDefault="00B56898" w:rsidP="004C4F78">
            <w:pPr>
              <w:ind w:right="-56"/>
              <w:rPr>
                <w:sz w:val="18"/>
                <w:szCs w:val="18"/>
                <w:lang w:val="tr-TR"/>
              </w:rPr>
            </w:pPr>
            <w:r w:rsidRPr="001A4B94">
              <w:rPr>
                <w:sz w:val="18"/>
                <w:szCs w:val="18"/>
                <w:lang w:val="tr-TR"/>
              </w:rPr>
              <w:t>Afet</w:t>
            </w:r>
            <w:r w:rsidR="00380A9D" w:rsidRPr="001A4B94">
              <w:rPr>
                <w:sz w:val="18"/>
                <w:szCs w:val="18"/>
                <w:lang w:val="tr-TR"/>
              </w:rPr>
              <w:t xml:space="preserve"> Riski Yönetim </w:t>
            </w:r>
            <w:r w:rsidR="008E3CF6" w:rsidRPr="001A4B94">
              <w:rPr>
                <w:sz w:val="18"/>
                <w:szCs w:val="18"/>
                <w:lang w:val="tr-TR"/>
              </w:rPr>
              <w:t>(</w:t>
            </w:r>
            <w:r w:rsidR="00FC0A7C" w:rsidRPr="001A4B94">
              <w:rPr>
                <w:sz w:val="18"/>
                <w:szCs w:val="18"/>
                <w:lang w:val="tr-TR"/>
              </w:rPr>
              <w:t xml:space="preserve">IBRD, </w:t>
            </w:r>
            <w:r w:rsidR="00BF25F4" w:rsidRPr="001A4B94">
              <w:rPr>
                <w:sz w:val="18"/>
                <w:szCs w:val="18"/>
                <w:lang w:val="tr-TR"/>
              </w:rPr>
              <w:t>2019 MY</w:t>
            </w:r>
            <w:r w:rsidR="008E3CF6" w:rsidRPr="001A4B94">
              <w:rPr>
                <w:sz w:val="18"/>
                <w:szCs w:val="18"/>
                <w:lang w:val="tr-TR"/>
              </w:rPr>
              <w:t>)</w:t>
            </w:r>
          </w:p>
        </w:tc>
      </w:tr>
      <w:tr w:rsidR="00306D96" w:rsidRPr="001A4B94" w14:paraId="21070C58" w14:textId="77777777" w:rsidTr="0058519C">
        <w:trPr>
          <w:trHeight w:val="37"/>
        </w:trPr>
        <w:tc>
          <w:tcPr>
            <w:tcW w:w="2430" w:type="dxa"/>
            <w:tcBorders>
              <w:top w:val="single" w:sz="8" w:space="0" w:color="FFFFFF"/>
              <w:left w:val="single" w:sz="12" w:space="0" w:color="auto"/>
              <w:bottom w:val="single" w:sz="8" w:space="0" w:color="FFFFFF"/>
              <w:right w:val="double" w:sz="4" w:space="0" w:color="5B9BD5" w:themeColor="accent1"/>
            </w:tcBorders>
            <w:shd w:val="clear" w:color="auto" w:fill="D2DEEF"/>
            <w:tcMar>
              <w:top w:w="72" w:type="dxa"/>
              <w:left w:w="144" w:type="dxa"/>
              <w:bottom w:w="72" w:type="dxa"/>
              <w:right w:w="144" w:type="dxa"/>
            </w:tcMar>
          </w:tcPr>
          <w:p w14:paraId="4AB50D45" w14:textId="77777777" w:rsidR="00306D96" w:rsidRPr="001A4B94" w:rsidRDefault="00306D96" w:rsidP="00306D96">
            <w:pPr>
              <w:rPr>
                <w:sz w:val="18"/>
                <w:szCs w:val="18"/>
                <w:lang w:val="tr-TR"/>
              </w:rPr>
            </w:pPr>
          </w:p>
        </w:tc>
        <w:tc>
          <w:tcPr>
            <w:tcW w:w="3510" w:type="dxa"/>
            <w:tcBorders>
              <w:top w:val="single" w:sz="8" w:space="0" w:color="FFFFFF"/>
              <w:left w:val="double" w:sz="4" w:space="0" w:color="5B9BD5" w:themeColor="accent1"/>
              <w:bottom w:val="single" w:sz="8" w:space="0" w:color="FFFFFF"/>
              <w:right w:val="double" w:sz="4" w:space="0" w:color="5B9BD5" w:themeColor="accent1"/>
            </w:tcBorders>
            <w:shd w:val="clear" w:color="auto" w:fill="D2DEEF"/>
            <w:tcMar>
              <w:top w:w="72" w:type="dxa"/>
              <w:left w:w="144" w:type="dxa"/>
              <w:bottom w:w="72" w:type="dxa"/>
              <w:right w:w="144" w:type="dxa"/>
            </w:tcMar>
          </w:tcPr>
          <w:p w14:paraId="1ECAE437" w14:textId="017459C8" w:rsidR="00306D96" w:rsidRPr="001A4B94" w:rsidRDefault="00BF25F4" w:rsidP="004C4F78">
            <w:pPr>
              <w:ind w:right="-164"/>
              <w:rPr>
                <w:sz w:val="18"/>
                <w:szCs w:val="18"/>
                <w:lang w:val="tr-TR"/>
              </w:rPr>
            </w:pPr>
            <w:r w:rsidRPr="001A4B94">
              <w:rPr>
                <w:sz w:val="18"/>
                <w:szCs w:val="18"/>
                <w:lang w:val="tr-TR"/>
              </w:rPr>
              <w:t xml:space="preserve">Eğitim </w:t>
            </w:r>
            <w:r w:rsidR="00306D96" w:rsidRPr="001A4B94">
              <w:rPr>
                <w:sz w:val="18"/>
                <w:szCs w:val="18"/>
                <w:lang w:val="tr-TR"/>
              </w:rPr>
              <w:t>Reform</w:t>
            </w:r>
            <w:r w:rsidRPr="001A4B94">
              <w:rPr>
                <w:sz w:val="18"/>
                <w:szCs w:val="18"/>
                <w:lang w:val="tr-TR"/>
              </w:rPr>
              <w:t>u</w:t>
            </w:r>
            <w:r w:rsidR="00306D96" w:rsidRPr="001A4B94">
              <w:rPr>
                <w:sz w:val="18"/>
                <w:szCs w:val="18"/>
                <w:lang w:val="tr-TR"/>
              </w:rPr>
              <w:t xml:space="preserve"> (IBRD, </w:t>
            </w:r>
            <w:r w:rsidRPr="001A4B94">
              <w:rPr>
                <w:sz w:val="18"/>
                <w:szCs w:val="18"/>
                <w:lang w:val="tr-TR"/>
              </w:rPr>
              <w:t>2020 MY</w:t>
            </w:r>
            <w:r w:rsidR="00306D96" w:rsidRPr="001A4B94">
              <w:rPr>
                <w:sz w:val="18"/>
                <w:szCs w:val="18"/>
                <w:lang w:val="tr-TR"/>
              </w:rPr>
              <w:t>)</w:t>
            </w:r>
          </w:p>
        </w:tc>
        <w:tc>
          <w:tcPr>
            <w:tcW w:w="3510" w:type="dxa"/>
            <w:tcBorders>
              <w:top w:val="single" w:sz="8" w:space="0" w:color="FFFFFF"/>
              <w:left w:val="double" w:sz="4" w:space="0" w:color="5B9BD5" w:themeColor="accent1"/>
              <w:bottom w:val="single" w:sz="8" w:space="0" w:color="FFFFFF"/>
              <w:right w:val="single" w:sz="12" w:space="0" w:color="auto"/>
            </w:tcBorders>
            <w:shd w:val="clear" w:color="auto" w:fill="D2DEEF"/>
            <w:tcMar>
              <w:top w:w="72" w:type="dxa"/>
              <w:left w:w="144" w:type="dxa"/>
              <w:bottom w:w="72" w:type="dxa"/>
              <w:right w:w="144" w:type="dxa"/>
            </w:tcMar>
          </w:tcPr>
          <w:p w14:paraId="68A1C4C8" w14:textId="3BCC530D" w:rsidR="00306D96" w:rsidRPr="001A4B94" w:rsidRDefault="00380A9D" w:rsidP="004C4F78">
            <w:pPr>
              <w:ind w:right="-56"/>
              <w:rPr>
                <w:sz w:val="18"/>
                <w:szCs w:val="18"/>
                <w:lang w:val="tr-TR"/>
              </w:rPr>
            </w:pPr>
            <w:r w:rsidRPr="001A4B94">
              <w:rPr>
                <w:sz w:val="18"/>
                <w:szCs w:val="18"/>
                <w:lang w:val="tr-TR"/>
              </w:rPr>
              <w:t xml:space="preserve">Sulama </w:t>
            </w:r>
            <w:r w:rsidR="00306D96" w:rsidRPr="001A4B94">
              <w:rPr>
                <w:sz w:val="18"/>
                <w:szCs w:val="18"/>
                <w:lang w:val="tr-TR"/>
              </w:rPr>
              <w:t xml:space="preserve">(IBRD, </w:t>
            </w:r>
            <w:r w:rsidR="00BF25F4" w:rsidRPr="001A4B94">
              <w:rPr>
                <w:sz w:val="18"/>
                <w:szCs w:val="18"/>
                <w:lang w:val="tr-TR"/>
              </w:rPr>
              <w:t>2019 MY</w:t>
            </w:r>
            <w:r w:rsidR="00306D96" w:rsidRPr="001A4B94">
              <w:rPr>
                <w:sz w:val="18"/>
                <w:szCs w:val="18"/>
                <w:lang w:val="tr-TR"/>
              </w:rPr>
              <w:t>)</w:t>
            </w:r>
          </w:p>
        </w:tc>
      </w:tr>
      <w:tr w:rsidR="00306D96" w:rsidRPr="001A4B94" w14:paraId="65985AA5" w14:textId="77777777" w:rsidTr="0058519C">
        <w:trPr>
          <w:trHeight w:val="151"/>
        </w:trPr>
        <w:tc>
          <w:tcPr>
            <w:tcW w:w="2430" w:type="dxa"/>
            <w:tcBorders>
              <w:top w:val="single" w:sz="8" w:space="0" w:color="FFFFFF"/>
              <w:left w:val="single" w:sz="12" w:space="0" w:color="auto"/>
              <w:bottom w:val="single" w:sz="12" w:space="0" w:color="auto"/>
              <w:right w:val="double" w:sz="4" w:space="0" w:color="5B9BD5" w:themeColor="accent1"/>
            </w:tcBorders>
            <w:shd w:val="clear" w:color="auto" w:fill="EAEFF7"/>
            <w:tcMar>
              <w:top w:w="72" w:type="dxa"/>
              <w:left w:w="144" w:type="dxa"/>
              <w:bottom w:w="72" w:type="dxa"/>
              <w:right w:w="144" w:type="dxa"/>
            </w:tcMar>
          </w:tcPr>
          <w:p w14:paraId="38A68D42" w14:textId="77777777" w:rsidR="00306D96" w:rsidRPr="001A4B94" w:rsidRDefault="00306D96" w:rsidP="00306D96">
            <w:pPr>
              <w:rPr>
                <w:sz w:val="18"/>
                <w:szCs w:val="18"/>
                <w:lang w:val="tr-TR"/>
              </w:rPr>
            </w:pPr>
          </w:p>
        </w:tc>
        <w:tc>
          <w:tcPr>
            <w:tcW w:w="3510" w:type="dxa"/>
            <w:tcBorders>
              <w:top w:val="single" w:sz="8" w:space="0" w:color="FFFFFF"/>
              <w:left w:val="double" w:sz="4" w:space="0" w:color="5B9BD5" w:themeColor="accent1"/>
              <w:bottom w:val="single" w:sz="12" w:space="0" w:color="auto"/>
              <w:right w:val="double" w:sz="4" w:space="0" w:color="5B9BD5" w:themeColor="accent1"/>
            </w:tcBorders>
            <w:shd w:val="clear" w:color="auto" w:fill="EAEFF7"/>
            <w:tcMar>
              <w:top w:w="72" w:type="dxa"/>
              <w:left w:w="144" w:type="dxa"/>
              <w:bottom w:w="72" w:type="dxa"/>
              <w:right w:w="144" w:type="dxa"/>
            </w:tcMar>
          </w:tcPr>
          <w:p w14:paraId="6885FBD5" w14:textId="77777777" w:rsidR="00306D96" w:rsidRPr="001A4B94" w:rsidRDefault="00306D96" w:rsidP="00306D96">
            <w:pPr>
              <w:rPr>
                <w:sz w:val="18"/>
                <w:szCs w:val="18"/>
                <w:lang w:val="tr-TR"/>
              </w:rPr>
            </w:pPr>
          </w:p>
        </w:tc>
        <w:tc>
          <w:tcPr>
            <w:tcW w:w="3510" w:type="dxa"/>
            <w:tcBorders>
              <w:top w:val="single" w:sz="8" w:space="0" w:color="FFFFFF"/>
              <w:left w:val="double" w:sz="4" w:space="0" w:color="5B9BD5" w:themeColor="accent1"/>
              <w:bottom w:val="single" w:sz="12" w:space="0" w:color="auto"/>
              <w:right w:val="single" w:sz="12" w:space="0" w:color="auto"/>
            </w:tcBorders>
            <w:shd w:val="clear" w:color="auto" w:fill="EAEFF7"/>
            <w:tcMar>
              <w:top w:w="72" w:type="dxa"/>
              <w:left w:w="144" w:type="dxa"/>
              <w:bottom w:w="72" w:type="dxa"/>
              <w:right w:w="144" w:type="dxa"/>
            </w:tcMar>
          </w:tcPr>
          <w:p w14:paraId="771B18EE" w14:textId="1DCD81B4" w:rsidR="00306D96" w:rsidRPr="001A4B94" w:rsidRDefault="00380A9D" w:rsidP="004C4F78">
            <w:pPr>
              <w:ind w:right="-56"/>
              <w:rPr>
                <w:sz w:val="18"/>
                <w:szCs w:val="18"/>
                <w:lang w:val="tr-TR"/>
              </w:rPr>
            </w:pPr>
            <w:r w:rsidRPr="001A4B94">
              <w:rPr>
                <w:sz w:val="18"/>
                <w:szCs w:val="18"/>
                <w:lang w:val="tr-TR"/>
              </w:rPr>
              <w:t xml:space="preserve">Enerji Verimliliği </w:t>
            </w:r>
            <w:r w:rsidR="00306D96" w:rsidRPr="001A4B94">
              <w:rPr>
                <w:sz w:val="18"/>
                <w:szCs w:val="18"/>
                <w:lang w:val="tr-TR"/>
              </w:rPr>
              <w:t xml:space="preserve">(IBRD, </w:t>
            </w:r>
            <w:r w:rsidR="00BF25F4" w:rsidRPr="001A4B94">
              <w:rPr>
                <w:sz w:val="18"/>
                <w:szCs w:val="18"/>
                <w:lang w:val="tr-TR"/>
              </w:rPr>
              <w:t>2019 MY</w:t>
            </w:r>
            <w:r w:rsidR="00306D96" w:rsidRPr="001A4B94">
              <w:rPr>
                <w:sz w:val="18"/>
                <w:szCs w:val="18"/>
                <w:lang w:val="tr-TR"/>
              </w:rPr>
              <w:t>)</w:t>
            </w:r>
          </w:p>
        </w:tc>
      </w:tr>
    </w:tbl>
    <w:p w14:paraId="6899FC45" w14:textId="77777777" w:rsidR="004E5CB2" w:rsidRPr="001A4B94" w:rsidRDefault="004E5CB2" w:rsidP="004E5CB2">
      <w:pPr>
        <w:pStyle w:val="ListeParagraf"/>
        <w:tabs>
          <w:tab w:val="left" w:pos="426"/>
          <w:tab w:val="left" w:pos="2970"/>
        </w:tabs>
        <w:autoSpaceDE w:val="0"/>
        <w:autoSpaceDN w:val="0"/>
        <w:adjustRightInd w:val="0"/>
        <w:spacing w:after="0" w:line="240" w:lineRule="auto"/>
        <w:ind w:left="0"/>
        <w:jc w:val="both"/>
        <w:rPr>
          <w:sz w:val="24"/>
          <w:lang w:val="tr-TR"/>
        </w:rPr>
      </w:pPr>
    </w:p>
    <w:p w14:paraId="525151C5" w14:textId="28C3A986" w:rsidR="0094631B" w:rsidRPr="001A4B94" w:rsidRDefault="00471AC0" w:rsidP="00380A9D">
      <w:pPr>
        <w:pStyle w:val="ListeParagraf"/>
        <w:numPr>
          <w:ilvl w:val="0"/>
          <w:numId w:val="2"/>
        </w:numPr>
        <w:tabs>
          <w:tab w:val="left" w:pos="426"/>
          <w:tab w:val="left" w:pos="2970"/>
        </w:tabs>
        <w:autoSpaceDE w:val="0"/>
        <w:autoSpaceDN w:val="0"/>
        <w:adjustRightInd w:val="0"/>
        <w:spacing w:after="0" w:line="240" w:lineRule="auto"/>
        <w:ind w:left="426" w:hanging="426"/>
        <w:jc w:val="both"/>
        <w:rPr>
          <w:sz w:val="23"/>
          <w:szCs w:val="23"/>
          <w:lang w:val="tr-TR"/>
        </w:rPr>
      </w:pPr>
      <w:r w:rsidRPr="001A4B94">
        <w:rPr>
          <w:rFonts w:ascii="Times New Roman" w:hAnsi="Times New Roman"/>
          <w:b/>
          <w:iCs/>
          <w:sz w:val="23"/>
          <w:szCs w:val="23"/>
          <w:lang w:val="tr-TR"/>
        </w:rPr>
        <w:t xml:space="preserve">ASA </w:t>
      </w:r>
      <w:r w:rsidR="00380A9D" w:rsidRPr="001A4B94">
        <w:rPr>
          <w:rFonts w:ascii="Times New Roman" w:hAnsi="Times New Roman"/>
          <w:b/>
          <w:iCs/>
          <w:sz w:val="23"/>
          <w:szCs w:val="23"/>
          <w:lang w:val="tr-TR"/>
        </w:rPr>
        <w:t xml:space="preserve">programı stratejik olarak Türkiye’nin Kalkınma Planlarının ve DBG’nin finansman faaliyetlerinin </w:t>
      </w:r>
      <w:r w:rsidR="00D32BC6" w:rsidRPr="001A4B94">
        <w:rPr>
          <w:rFonts w:ascii="Times New Roman" w:hAnsi="Times New Roman"/>
          <w:b/>
          <w:iCs/>
          <w:sz w:val="23"/>
          <w:szCs w:val="23"/>
          <w:lang w:val="tr-TR"/>
        </w:rPr>
        <w:t>p</w:t>
      </w:r>
      <w:r w:rsidR="00BC5E0D" w:rsidRPr="001A4B94">
        <w:rPr>
          <w:rFonts w:ascii="Times New Roman" w:hAnsi="Times New Roman"/>
          <w:b/>
          <w:iCs/>
          <w:sz w:val="23"/>
          <w:szCs w:val="23"/>
          <w:lang w:val="tr-TR"/>
        </w:rPr>
        <w:t xml:space="preserve">rogram </w:t>
      </w:r>
      <w:r w:rsidR="00380A9D" w:rsidRPr="001A4B94">
        <w:rPr>
          <w:rFonts w:ascii="Times New Roman" w:hAnsi="Times New Roman"/>
          <w:b/>
          <w:iCs/>
          <w:sz w:val="23"/>
          <w:szCs w:val="23"/>
          <w:lang w:val="tr-TR"/>
        </w:rPr>
        <w:t xml:space="preserve">temelini oluşturan alanlardaki açık müşteri taleplerine ve sahiplenmesine cevap verecektir </w:t>
      </w:r>
      <w:r w:rsidR="00380A9D" w:rsidRPr="001A4B94">
        <w:rPr>
          <w:rFonts w:ascii="Times New Roman" w:hAnsi="Times New Roman"/>
          <w:iCs/>
          <w:sz w:val="23"/>
          <w:szCs w:val="23"/>
          <w:lang w:val="tr-TR"/>
        </w:rPr>
        <w:t>(Tablo</w:t>
      </w:r>
      <w:r w:rsidR="004766FE" w:rsidRPr="001A4B94">
        <w:rPr>
          <w:rFonts w:ascii="Times New Roman" w:hAnsi="Times New Roman"/>
          <w:iCs/>
          <w:sz w:val="23"/>
          <w:szCs w:val="23"/>
          <w:lang w:val="tr-TR"/>
        </w:rPr>
        <w:t xml:space="preserve"> 3)</w:t>
      </w:r>
      <w:r w:rsidR="00380A9D" w:rsidRPr="001A4B94">
        <w:rPr>
          <w:rFonts w:ascii="Times New Roman" w:hAnsi="Times New Roman"/>
          <w:iCs/>
          <w:sz w:val="23"/>
          <w:szCs w:val="23"/>
          <w:lang w:val="tr-TR"/>
        </w:rPr>
        <w:t xml:space="preserve">. Genel amaç, </w:t>
      </w:r>
      <w:r w:rsidR="00D744D1" w:rsidRPr="001A4B94">
        <w:rPr>
          <w:rFonts w:ascii="Times New Roman" w:hAnsi="Times New Roman"/>
          <w:iCs/>
          <w:sz w:val="23"/>
          <w:szCs w:val="23"/>
          <w:lang w:val="tr-TR"/>
        </w:rPr>
        <w:t>karar vericilerin talebinin olduğu, politika ve kurumsal reform seçeneklerinin aktif olarak düşünüldüğü ve çalışmalara yön vermek ve sonuçlarının sahiplenilmesini sağlamak için hükümet tarafındaki muhataplar nezdinde yeterli bağlılığın olduğu alanlarda Dünya Bankası Grubu’nun uluslararası deneyim ve uzmanlık birikiminden kaynaklı bilgiler sunmaktır</w:t>
      </w:r>
      <w:r w:rsidR="00D32BC6" w:rsidRPr="001A4B94">
        <w:rPr>
          <w:rFonts w:ascii="Times New Roman" w:hAnsi="Times New Roman"/>
          <w:iCs/>
          <w:sz w:val="23"/>
          <w:szCs w:val="23"/>
          <w:lang w:val="tr-TR"/>
        </w:rPr>
        <w:t>.</w:t>
      </w:r>
      <w:r w:rsidRPr="001A4B94">
        <w:rPr>
          <w:rFonts w:ascii="Times New Roman" w:hAnsi="Times New Roman"/>
          <w:iCs/>
          <w:sz w:val="23"/>
          <w:szCs w:val="23"/>
          <w:lang w:val="tr-TR"/>
        </w:rPr>
        <w:t xml:space="preserve"> </w:t>
      </w:r>
      <w:r w:rsidR="00D744D1" w:rsidRPr="001A4B94">
        <w:rPr>
          <w:rFonts w:ascii="Times New Roman" w:hAnsi="Times New Roman"/>
          <w:iCs/>
          <w:sz w:val="23"/>
          <w:szCs w:val="23"/>
          <w:lang w:val="tr-TR"/>
        </w:rPr>
        <w:t xml:space="preserve">Stratejik olarak anlamlı olduğu ve gerekli durumlarda, </w:t>
      </w:r>
      <w:r w:rsidRPr="001A4B94">
        <w:rPr>
          <w:rFonts w:ascii="Times New Roman" w:hAnsi="Times New Roman"/>
          <w:iCs/>
          <w:sz w:val="23"/>
          <w:szCs w:val="23"/>
          <w:lang w:val="tr-TR"/>
        </w:rPr>
        <w:t xml:space="preserve"> </w:t>
      </w:r>
      <w:r w:rsidR="00B56898" w:rsidRPr="001A4B94">
        <w:rPr>
          <w:rFonts w:ascii="Times New Roman" w:hAnsi="Times New Roman"/>
          <w:iCs/>
          <w:sz w:val="23"/>
          <w:szCs w:val="23"/>
          <w:lang w:val="tr-TR"/>
        </w:rPr>
        <w:t xml:space="preserve">ASA </w:t>
      </w:r>
      <w:r w:rsidR="00D744D1" w:rsidRPr="001A4B94">
        <w:rPr>
          <w:rFonts w:ascii="Times New Roman" w:hAnsi="Times New Roman"/>
          <w:iCs/>
          <w:sz w:val="23"/>
          <w:szCs w:val="23"/>
          <w:lang w:val="tr-TR"/>
        </w:rPr>
        <w:t>faaliyetl</w:t>
      </w:r>
      <w:r w:rsidR="00ED5B2C" w:rsidRPr="001A4B94">
        <w:rPr>
          <w:rFonts w:ascii="Times New Roman" w:hAnsi="Times New Roman"/>
          <w:iCs/>
          <w:sz w:val="23"/>
          <w:szCs w:val="23"/>
          <w:lang w:val="tr-TR"/>
        </w:rPr>
        <w:t>e</w:t>
      </w:r>
      <w:r w:rsidR="00D744D1" w:rsidRPr="001A4B94">
        <w:rPr>
          <w:rFonts w:ascii="Times New Roman" w:hAnsi="Times New Roman"/>
          <w:iCs/>
          <w:sz w:val="23"/>
          <w:szCs w:val="23"/>
          <w:lang w:val="tr-TR"/>
        </w:rPr>
        <w:t>ri Kalkınma Planına da bilgi girdisi sağlayacak</w:t>
      </w:r>
      <w:r w:rsidR="00ED5B2C" w:rsidRPr="001A4B94">
        <w:rPr>
          <w:rFonts w:ascii="Times New Roman" w:hAnsi="Times New Roman"/>
          <w:iCs/>
          <w:sz w:val="23"/>
          <w:szCs w:val="23"/>
          <w:lang w:val="tr-TR"/>
        </w:rPr>
        <w:t>,</w:t>
      </w:r>
      <w:r w:rsidR="00D744D1" w:rsidRPr="001A4B94">
        <w:rPr>
          <w:rFonts w:ascii="Times New Roman" w:hAnsi="Times New Roman"/>
          <w:iCs/>
          <w:sz w:val="23"/>
          <w:szCs w:val="23"/>
          <w:lang w:val="tr-TR"/>
        </w:rPr>
        <w:t xml:space="preserve"> aynı zamanda</w:t>
      </w:r>
      <w:r w:rsidR="00ED5B2C" w:rsidRPr="001A4B94">
        <w:rPr>
          <w:rFonts w:ascii="Times New Roman" w:hAnsi="Times New Roman"/>
          <w:iCs/>
          <w:sz w:val="23"/>
          <w:szCs w:val="23"/>
          <w:lang w:val="tr-TR"/>
        </w:rPr>
        <w:t xml:space="preserve"> özellikle DPL’ler olmak üzere iyi tasarlanmış ve hedeflenmiş IBRD kredileri ile ilgili bilgiler sunacaktır</w:t>
      </w:r>
      <w:r w:rsidRPr="001A4B94">
        <w:rPr>
          <w:rFonts w:ascii="Times New Roman" w:hAnsi="Times New Roman"/>
          <w:iCs/>
          <w:sz w:val="23"/>
          <w:szCs w:val="23"/>
          <w:lang w:val="tr-TR"/>
        </w:rPr>
        <w:t xml:space="preserve">. </w:t>
      </w:r>
      <w:r w:rsidR="00ED5B2C" w:rsidRPr="001A4B94">
        <w:rPr>
          <w:rFonts w:ascii="Times New Roman" w:hAnsi="Times New Roman"/>
          <w:iCs/>
          <w:sz w:val="23"/>
          <w:szCs w:val="23"/>
          <w:lang w:val="tr-TR"/>
        </w:rPr>
        <w:t xml:space="preserve">Türkiye’nin karşı karşıya olduğu kalkınma zorluklarının çoğunun farklı alanlara yayıldığı göz önüne alındığında </w:t>
      </w:r>
      <w:r w:rsidR="002B1007" w:rsidRPr="001A4B94">
        <w:rPr>
          <w:rFonts w:ascii="Times New Roman" w:hAnsi="Times New Roman"/>
          <w:iCs/>
          <w:sz w:val="23"/>
          <w:szCs w:val="23"/>
          <w:lang w:val="tr-TR"/>
        </w:rPr>
        <w:t>(</w:t>
      </w:r>
      <w:r w:rsidR="00ED5B2C" w:rsidRPr="001A4B94">
        <w:rPr>
          <w:rFonts w:ascii="Times New Roman" w:hAnsi="Times New Roman"/>
          <w:iCs/>
          <w:sz w:val="23"/>
          <w:szCs w:val="23"/>
          <w:lang w:val="tr-TR"/>
        </w:rPr>
        <w:t>eşitlik</w:t>
      </w:r>
      <w:r w:rsidR="002B1007" w:rsidRPr="001A4B94">
        <w:rPr>
          <w:rFonts w:ascii="Times New Roman" w:hAnsi="Times New Roman"/>
          <w:iCs/>
          <w:sz w:val="23"/>
          <w:szCs w:val="23"/>
          <w:lang w:val="tr-TR"/>
        </w:rPr>
        <w:t xml:space="preserve">, </w:t>
      </w:r>
      <w:r w:rsidR="00ED5B2C" w:rsidRPr="001A4B94">
        <w:rPr>
          <w:rFonts w:ascii="Times New Roman" w:hAnsi="Times New Roman"/>
          <w:iCs/>
          <w:sz w:val="23"/>
          <w:szCs w:val="23"/>
          <w:lang w:val="tr-TR"/>
        </w:rPr>
        <w:t>toplumsal cinsiyet eşitliği</w:t>
      </w:r>
      <w:r w:rsidR="002B1007" w:rsidRPr="001A4B94">
        <w:rPr>
          <w:rFonts w:ascii="Times New Roman" w:hAnsi="Times New Roman"/>
          <w:iCs/>
          <w:sz w:val="23"/>
          <w:szCs w:val="23"/>
          <w:lang w:val="tr-TR"/>
        </w:rPr>
        <w:t xml:space="preserve">, </w:t>
      </w:r>
      <w:r w:rsidR="00ED5B2C" w:rsidRPr="001A4B94">
        <w:rPr>
          <w:rFonts w:ascii="Times New Roman" w:hAnsi="Times New Roman"/>
          <w:iCs/>
          <w:sz w:val="23"/>
          <w:szCs w:val="23"/>
          <w:lang w:val="tr-TR"/>
        </w:rPr>
        <w:t>kapsama</w:t>
      </w:r>
      <w:r w:rsidR="002B1007" w:rsidRPr="001A4B94">
        <w:rPr>
          <w:rFonts w:ascii="Times New Roman" w:hAnsi="Times New Roman"/>
          <w:iCs/>
          <w:sz w:val="23"/>
          <w:szCs w:val="23"/>
          <w:lang w:val="tr-TR"/>
        </w:rPr>
        <w:t xml:space="preserve">, </w:t>
      </w:r>
      <w:r w:rsidR="00ED5B2C" w:rsidRPr="001A4B94">
        <w:rPr>
          <w:rFonts w:ascii="Times New Roman" w:hAnsi="Times New Roman"/>
          <w:iCs/>
          <w:sz w:val="23"/>
          <w:szCs w:val="23"/>
          <w:lang w:val="tr-TR"/>
        </w:rPr>
        <w:t>üretkenlik</w:t>
      </w:r>
      <w:r w:rsidR="002B1007" w:rsidRPr="001A4B94">
        <w:rPr>
          <w:rFonts w:ascii="Times New Roman" w:hAnsi="Times New Roman"/>
          <w:iCs/>
          <w:sz w:val="23"/>
          <w:szCs w:val="23"/>
          <w:lang w:val="tr-TR"/>
        </w:rPr>
        <w:t xml:space="preserve">, </w:t>
      </w:r>
      <w:r w:rsidR="00ED5B2C" w:rsidRPr="001A4B94">
        <w:rPr>
          <w:rFonts w:ascii="Times New Roman" w:hAnsi="Times New Roman"/>
          <w:iCs/>
          <w:sz w:val="23"/>
          <w:szCs w:val="23"/>
          <w:lang w:val="tr-TR"/>
        </w:rPr>
        <w:t xml:space="preserve">büyüme modelinin </w:t>
      </w:r>
      <w:r w:rsidR="00ED5B2C" w:rsidRPr="001A4B94">
        <w:rPr>
          <w:rFonts w:ascii="Times New Roman" w:hAnsi="Times New Roman"/>
          <w:iCs/>
          <w:sz w:val="23"/>
          <w:szCs w:val="23"/>
          <w:lang w:val="tr-TR"/>
        </w:rPr>
        <w:lastRenderedPageBreak/>
        <w:t>daha yeşil hale getirilmesi, vs.) tanılama çalışmaları tipik olarak birkaç CPF odak alanında birden uygulanacaktır</w:t>
      </w:r>
      <w:r w:rsidR="002B1007" w:rsidRPr="001A4B94">
        <w:rPr>
          <w:rFonts w:ascii="Times New Roman" w:hAnsi="Times New Roman"/>
          <w:iCs/>
          <w:sz w:val="23"/>
          <w:szCs w:val="23"/>
          <w:lang w:val="tr-TR"/>
        </w:rPr>
        <w:t xml:space="preserve">.  </w:t>
      </w:r>
      <w:r w:rsidR="00965653" w:rsidRPr="001A4B94">
        <w:rPr>
          <w:rFonts w:ascii="Times New Roman" w:hAnsi="Times New Roman"/>
          <w:iCs/>
          <w:sz w:val="23"/>
          <w:szCs w:val="23"/>
          <w:lang w:val="tr-TR"/>
        </w:rPr>
        <w:t>Gerektiğinde ve müşteri talebi olduğunda, Geri Ödenebilir Danışmanlık Hizmetleri (RAS) programının geliştirilmesi için daha fazla çalışma yapılacaktır</w:t>
      </w:r>
      <w:r w:rsidR="001237B4" w:rsidRPr="001A4B94">
        <w:rPr>
          <w:rFonts w:ascii="Times New Roman" w:hAnsi="Times New Roman"/>
          <w:iCs/>
          <w:sz w:val="23"/>
          <w:szCs w:val="23"/>
          <w:lang w:val="tr-TR"/>
        </w:rPr>
        <w:t>.</w:t>
      </w:r>
      <w:r w:rsidR="002B1007" w:rsidRPr="001A4B94">
        <w:rPr>
          <w:rFonts w:ascii="Times New Roman" w:hAnsi="Times New Roman"/>
          <w:iCs/>
          <w:sz w:val="23"/>
          <w:szCs w:val="23"/>
          <w:lang w:val="tr-TR"/>
        </w:rPr>
        <w:t xml:space="preserve">  </w:t>
      </w:r>
      <w:r w:rsidR="00965653" w:rsidRPr="001A4B94">
        <w:rPr>
          <w:rFonts w:ascii="Times New Roman" w:hAnsi="Times New Roman"/>
          <w:iCs/>
          <w:sz w:val="23"/>
          <w:szCs w:val="23"/>
          <w:lang w:val="tr-TR"/>
        </w:rPr>
        <w:t>Son olarak</w:t>
      </w:r>
      <w:r w:rsidR="002B1007" w:rsidRPr="001A4B94">
        <w:rPr>
          <w:rFonts w:ascii="Times New Roman" w:hAnsi="Times New Roman"/>
          <w:iCs/>
          <w:sz w:val="23"/>
          <w:szCs w:val="23"/>
          <w:lang w:val="tr-TR"/>
        </w:rPr>
        <w:t xml:space="preserve">, </w:t>
      </w:r>
      <w:r w:rsidR="00965653" w:rsidRPr="001A4B94">
        <w:rPr>
          <w:rFonts w:ascii="Times New Roman" w:hAnsi="Times New Roman"/>
          <w:iCs/>
          <w:sz w:val="23"/>
          <w:szCs w:val="23"/>
          <w:lang w:val="tr-TR"/>
        </w:rPr>
        <w:t>D</w:t>
      </w:r>
      <w:r w:rsidR="002B1007" w:rsidRPr="001A4B94">
        <w:rPr>
          <w:rFonts w:ascii="Times New Roman" w:hAnsi="Times New Roman"/>
          <w:iCs/>
          <w:sz w:val="23"/>
          <w:szCs w:val="23"/>
          <w:lang w:val="tr-TR"/>
        </w:rPr>
        <w:t xml:space="preserve">BG </w:t>
      </w:r>
      <w:r w:rsidR="00965653" w:rsidRPr="001A4B94">
        <w:rPr>
          <w:rFonts w:ascii="Times New Roman" w:hAnsi="Times New Roman"/>
          <w:iCs/>
          <w:sz w:val="23"/>
          <w:szCs w:val="23"/>
          <w:lang w:val="tr-TR"/>
        </w:rPr>
        <w:t>Türkiye için de anlamlı olan önemli küresel sorunları takip edecektir; sığınmacılara ilişkin sorunlar</w:t>
      </w:r>
      <w:r w:rsidR="002B1007" w:rsidRPr="001A4B94">
        <w:rPr>
          <w:rFonts w:ascii="Times New Roman" w:hAnsi="Times New Roman"/>
          <w:iCs/>
          <w:sz w:val="23"/>
          <w:szCs w:val="23"/>
          <w:lang w:val="tr-TR"/>
        </w:rPr>
        <w:t xml:space="preserve">, </w:t>
      </w:r>
      <w:r w:rsidR="003E0BF1" w:rsidRPr="001A4B94">
        <w:rPr>
          <w:rFonts w:ascii="Times New Roman" w:hAnsi="Times New Roman"/>
          <w:iCs/>
          <w:sz w:val="23"/>
          <w:szCs w:val="23"/>
          <w:lang w:val="tr-TR"/>
        </w:rPr>
        <w:t>b</w:t>
      </w:r>
      <w:r w:rsidR="00E77766" w:rsidRPr="001A4B94">
        <w:rPr>
          <w:rFonts w:ascii="Times New Roman" w:hAnsi="Times New Roman"/>
          <w:iCs/>
          <w:sz w:val="23"/>
          <w:szCs w:val="23"/>
          <w:lang w:val="tr-TR"/>
        </w:rPr>
        <w:t xml:space="preserve">ulaşıcı olmayan hastalıklar </w:t>
      </w:r>
      <w:r w:rsidR="00FD748D" w:rsidRPr="001A4B94">
        <w:rPr>
          <w:rFonts w:ascii="Times New Roman" w:hAnsi="Times New Roman"/>
          <w:iCs/>
          <w:sz w:val="23"/>
          <w:szCs w:val="23"/>
          <w:lang w:val="tr-TR"/>
        </w:rPr>
        <w:t>ve iklim projelerinin finansmanı gibi</w:t>
      </w:r>
      <w:r w:rsidR="00F75022" w:rsidRPr="001A4B94">
        <w:rPr>
          <w:rFonts w:ascii="Times New Roman" w:hAnsi="Times New Roman"/>
          <w:sz w:val="23"/>
          <w:szCs w:val="23"/>
          <w:lang w:val="tr-TR"/>
        </w:rPr>
        <w:t>.</w:t>
      </w:r>
    </w:p>
    <w:p w14:paraId="0C75D5EF" w14:textId="1B1B8EAE" w:rsidR="006712FC" w:rsidRPr="001A4B94" w:rsidRDefault="00FD748D" w:rsidP="00476CF3">
      <w:pPr>
        <w:pStyle w:val="ResimYazs"/>
        <w:keepNext/>
        <w:tabs>
          <w:tab w:val="left" w:pos="426"/>
        </w:tabs>
        <w:spacing w:before="120" w:after="60"/>
        <w:jc w:val="center"/>
        <w:rPr>
          <w:sz w:val="24"/>
          <w:lang w:val="tr-TR"/>
        </w:rPr>
      </w:pPr>
      <w:r w:rsidRPr="001A4B94">
        <w:rPr>
          <w:sz w:val="24"/>
          <w:lang w:val="tr-TR"/>
        </w:rPr>
        <w:t>Tablo</w:t>
      </w:r>
      <w:r w:rsidR="00D32B82" w:rsidRPr="001A4B94">
        <w:rPr>
          <w:sz w:val="24"/>
          <w:lang w:val="tr-TR"/>
        </w:rPr>
        <w:t xml:space="preserve"> 3</w:t>
      </w:r>
      <w:r w:rsidR="006712FC" w:rsidRPr="001A4B94">
        <w:rPr>
          <w:sz w:val="24"/>
          <w:lang w:val="tr-TR"/>
        </w:rPr>
        <w:t xml:space="preserve">: </w:t>
      </w:r>
      <w:r w:rsidRPr="001A4B94">
        <w:rPr>
          <w:sz w:val="24"/>
          <w:lang w:val="tr-TR"/>
        </w:rPr>
        <w:t xml:space="preserve">Dünya Bankası </w:t>
      </w:r>
      <w:r w:rsidR="006712FC" w:rsidRPr="001A4B94">
        <w:rPr>
          <w:sz w:val="24"/>
          <w:lang w:val="tr-TR"/>
        </w:rPr>
        <w:t xml:space="preserve">ASA </w:t>
      </w:r>
      <w:r w:rsidRPr="001A4B94">
        <w:rPr>
          <w:sz w:val="24"/>
          <w:lang w:val="tr-TR"/>
        </w:rPr>
        <w:t xml:space="preserve">Programı </w:t>
      </w:r>
    </w:p>
    <w:tbl>
      <w:tblPr>
        <w:tblW w:w="9483" w:type="dxa"/>
        <w:tblCellMar>
          <w:left w:w="0" w:type="dxa"/>
          <w:right w:w="0" w:type="dxa"/>
        </w:tblCellMar>
        <w:tblLook w:val="0420" w:firstRow="1" w:lastRow="0" w:firstColumn="0" w:lastColumn="0" w:noHBand="0" w:noVBand="1"/>
      </w:tblPr>
      <w:tblGrid>
        <w:gridCol w:w="3077"/>
        <w:gridCol w:w="3854"/>
        <w:gridCol w:w="2552"/>
      </w:tblGrid>
      <w:tr w:rsidR="00FD748D" w:rsidRPr="001A4B94" w14:paraId="7E1C15D0" w14:textId="77777777" w:rsidTr="004C4F78">
        <w:trPr>
          <w:trHeight w:val="33"/>
        </w:trPr>
        <w:tc>
          <w:tcPr>
            <w:tcW w:w="3077" w:type="dxa"/>
            <w:tcBorders>
              <w:top w:val="single" w:sz="12" w:space="0" w:color="auto"/>
              <w:left w:val="single" w:sz="12" w:space="0" w:color="auto"/>
              <w:bottom w:val="single" w:sz="24" w:space="0" w:color="FFFFFF"/>
              <w:right w:val="single" w:sz="8" w:space="0" w:color="FFFFFF"/>
            </w:tcBorders>
            <w:shd w:val="clear" w:color="auto" w:fill="5B9BD5"/>
            <w:tcMar>
              <w:top w:w="72" w:type="dxa"/>
              <w:left w:w="144" w:type="dxa"/>
              <w:bottom w:w="72" w:type="dxa"/>
              <w:right w:w="144" w:type="dxa"/>
            </w:tcMar>
            <w:hideMark/>
          </w:tcPr>
          <w:p w14:paraId="0E0307C8" w14:textId="023BABDF" w:rsidR="00FD748D" w:rsidRPr="001A4B94" w:rsidRDefault="00FD748D" w:rsidP="00FD748D">
            <w:pPr>
              <w:jc w:val="center"/>
              <w:rPr>
                <w:rFonts w:ascii="Arial" w:hAnsi="Arial" w:cs="Arial"/>
                <w:sz w:val="18"/>
                <w:szCs w:val="18"/>
                <w:lang w:val="tr-TR"/>
              </w:rPr>
            </w:pPr>
            <w:r w:rsidRPr="001A4B94">
              <w:rPr>
                <w:b/>
                <w:bCs/>
                <w:color w:val="FFFFFF"/>
                <w:kern w:val="24"/>
                <w:sz w:val="18"/>
                <w:szCs w:val="18"/>
                <w:lang w:val="tr-TR"/>
              </w:rPr>
              <w:t xml:space="preserve">BÜYÜME </w:t>
            </w:r>
          </w:p>
        </w:tc>
        <w:tc>
          <w:tcPr>
            <w:tcW w:w="3854" w:type="dxa"/>
            <w:tcBorders>
              <w:top w:val="single" w:sz="12" w:space="0" w:color="auto"/>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54E338A" w14:textId="363BD849" w:rsidR="00FD748D" w:rsidRPr="001A4B94" w:rsidRDefault="00FD748D" w:rsidP="00FD748D">
            <w:pPr>
              <w:jc w:val="center"/>
              <w:rPr>
                <w:rFonts w:ascii="Arial" w:hAnsi="Arial" w:cs="Arial"/>
                <w:sz w:val="18"/>
                <w:szCs w:val="18"/>
                <w:lang w:val="tr-TR"/>
              </w:rPr>
            </w:pPr>
            <w:r w:rsidRPr="001A4B94">
              <w:rPr>
                <w:b/>
                <w:bCs/>
                <w:color w:val="FFFFFF"/>
                <w:kern w:val="24"/>
                <w:sz w:val="18"/>
                <w:szCs w:val="18"/>
                <w:lang w:val="tr-TR"/>
              </w:rPr>
              <w:t>KAPSAMA</w:t>
            </w:r>
          </w:p>
        </w:tc>
        <w:tc>
          <w:tcPr>
            <w:tcW w:w="2552" w:type="dxa"/>
            <w:tcBorders>
              <w:top w:val="single" w:sz="12" w:space="0" w:color="auto"/>
              <w:left w:val="single" w:sz="8" w:space="0" w:color="FFFFFF"/>
              <w:bottom w:val="single" w:sz="24" w:space="0" w:color="FFFFFF"/>
              <w:right w:val="single" w:sz="12" w:space="0" w:color="auto"/>
            </w:tcBorders>
            <w:shd w:val="clear" w:color="auto" w:fill="5B9BD5"/>
            <w:tcMar>
              <w:top w:w="72" w:type="dxa"/>
              <w:left w:w="144" w:type="dxa"/>
              <w:bottom w:w="72" w:type="dxa"/>
              <w:right w:w="144" w:type="dxa"/>
            </w:tcMar>
            <w:hideMark/>
          </w:tcPr>
          <w:p w14:paraId="441BEB3B" w14:textId="62D13BE4" w:rsidR="00FD748D" w:rsidRPr="001A4B94" w:rsidRDefault="00FD748D" w:rsidP="00FD748D">
            <w:pPr>
              <w:jc w:val="center"/>
              <w:rPr>
                <w:rFonts w:ascii="Arial" w:hAnsi="Arial" w:cs="Arial"/>
                <w:sz w:val="18"/>
                <w:szCs w:val="18"/>
                <w:lang w:val="tr-TR"/>
              </w:rPr>
            </w:pPr>
            <w:r w:rsidRPr="001A4B94">
              <w:rPr>
                <w:b/>
                <w:bCs/>
                <w:color w:val="FFFFFF"/>
                <w:kern w:val="24"/>
                <w:sz w:val="18"/>
                <w:szCs w:val="18"/>
                <w:lang w:val="tr-TR"/>
              </w:rPr>
              <w:t xml:space="preserve">SÜRDÜRÜLEBİLİRLİK </w:t>
            </w:r>
          </w:p>
        </w:tc>
      </w:tr>
      <w:tr w:rsidR="00476CF3" w:rsidRPr="001A4B94" w14:paraId="74759DBE" w14:textId="77777777" w:rsidTr="004C4F78">
        <w:trPr>
          <w:trHeight w:val="45"/>
        </w:trPr>
        <w:tc>
          <w:tcPr>
            <w:tcW w:w="9483" w:type="dxa"/>
            <w:gridSpan w:val="3"/>
            <w:tcBorders>
              <w:top w:val="single" w:sz="24" w:space="0" w:color="FFFFFF"/>
              <w:left w:val="single" w:sz="12" w:space="0" w:color="auto"/>
              <w:bottom w:val="single" w:sz="8" w:space="0" w:color="FFFFFF"/>
              <w:right w:val="single" w:sz="12" w:space="0" w:color="auto"/>
            </w:tcBorders>
            <w:shd w:val="clear" w:color="auto" w:fill="D2DEEF"/>
            <w:tcMar>
              <w:top w:w="72" w:type="dxa"/>
              <w:left w:w="144" w:type="dxa"/>
              <w:bottom w:w="72" w:type="dxa"/>
              <w:right w:w="144" w:type="dxa"/>
            </w:tcMar>
            <w:hideMark/>
          </w:tcPr>
          <w:p w14:paraId="167DD589" w14:textId="57B8C325" w:rsidR="00476CF3" w:rsidRPr="001A4B94" w:rsidRDefault="00FD748D" w:rsidP="00476CF3">
            <w:pPr>
              <w:jc w:val="center"/>
              <w:rPr>
                <w:rFonts w:ascii="Arial" w:hAnsi="Arial" w:cs="Arial"/>
                <w:sz w:val="18"/>
                <w:szCs w:val="18"/>
                <w:lang w:val="tr-TR"/>
              </w:rPr>
            </w:pPr>
            <w:r w:rsidRPr="001A4B94">
              <w:rPr>
                <w:color w:val="000000"/>
                <w:kern w:val="24"/>
                <w:sz w:val="18"/>
                <w:szCs w:val="18"/>
                <w:lang w:val="tr-TR"/>
              </w:rPr>
              <w:t xml:space="preserve">Ülke Ekonomik Memorandumu </w:t>
            </w:r>
            <w:r w:rsidR="00476CF3" w:rsidRPr="001A4B94">
              <w:rPr>
                <w:color w:val="000000"/>
                <w:kern w:val="24"/>
                <w:sz w:val="18"/>
                <w:szCs w:val="18"/>
                <w:lang w:val="tr-TR"/>
              </w:rPr>
              <w:t xml:space="preserve">2017 – </w:t>
            </w:r>
            <w:r w:rsidRPr="001A4B94">
              <w:rPr>
                <w:color w:val="000000"/>
                <w:kern w:val="24"/>
                <w:sz w:val="18"/>
                <w:szCs w:val="18"/>
                <w:lang w:val="tr-TR"/>
              </w:rPr>
              <w:t xml:space="preserve">Üretkenlik ve Rekabetçilik </w:t>
            </w:r>
          </w:p>
        </w:tc>
      </w:tr>
      <w:tr w:rsidR="00476CF3" w:rsidRPr="001A4B94" w14:paraId="0608034E" w14:textId="77777777" w:rsidTr="004C4F78">
        <w:trPr>
          <w:trHeight w:val="186"/>
        </w:trPr>
        <w:tc>
          <w:tcPr>
            <w:tcW w:w="9483" w:type="dxa"/>
            <w:gridSpan w:val="3"/>
            <w:tcBorders>
              <w:top w:val="single" w:sz="8" w:space="0" w:color="FFFFFF"/>
              <w:left w:val="single" w:sz="12" w:space="0" w:color="auto"/>
              <w:bottom w:val="single" w:sz="8" w:space="0" w:color="FFFFFF"/>
              <w:right w:val="single" w:sz="12" w:space="0" w:color="auto"/>
            </w:tcBorders>
            <w:shd w:val="clear" w:color="auto" w:fill="EAEFF7"/>
            <w:tcMar>
              <w:top w:w="72" w:type="dxa"/>
              <w:left w:w="144" w:type="dxa"/>
              <w:bottom w:w="72" w:type="dxa"/>
              <w:right w:w="144" w:type="dxa"/>
            </w:tcMar>
            <w:hideMark/>
          </w:tcPr>
          <w:p w14:paraId="5F316BF8" w14:textId="778A8ADF" w:rsidR="00476CF3" w:rsidRPr="001A4B94" w:rsidRDefault="00FD748D" w:rsidP="00476CF3">
            <w:pPr>
              <w:jc w:val="center"/>
              <w:rPr>
                <w:rFonts w:ascii="Arial" w:hAnsi="Arial" w:cs="Arial"/>
                <w:sz w:val="18"/>
                <w:szCs w:val="18"/>
                <w:lang w:val="tr-TR"/>
              </w:rPr>
            </w:pPr>
            <w:r w:rsidRPr="001A4B94">
              <w:rPr>
                <w:color w:val="000000"/>
                <w:kern w:val="24"/>
                <w:sz w:val="18"/>
                <w:szCs w:val="18"/>
                <w:lang w:val="tr-TR"/>
              </w:rPr>
              <w:t>Ülke Ekonomik Memorandumu</w:t>
            </w:r>
            <w:r w:rsidR="00476CF3" w:rsidRPr="001A4B94">
              <w:rPr>
                <w:color w:val="000000"/>
                <w:kern w:val="24"/>
                <w:sz w:val="18"/>
                <w:szCs w:val="18"/>
                <w:lang w:val="tr-TR"/>
              </w:rPr>
              <w:t xml:space="preserve"> 2018 – </w:t>
            </w:r>
            <w:r w:rsidRPr="001A4B94">
              <w:rPr>
                <w:color w:val="000000"/>
                <w:kern w:val="24"/>
                <w:sz w:val="18"/>
                <w:szCs w:val="18"/>
                <w:lang w:val="tr-TR"/>
              </w:rPr>
              <w:t xml:space="preserve">Eşitlik </w:t>
            </w:r>
          </w:p>
        </w:tc>
      </w:tr>
      <w:tr w:rsidR="00476CF3" w:rsidRPr="001A4B94" w14:paraId="76B3DE4A" w14:textId="77777777" w:rsidTr="004C4F78">
        <w:trPr>
          <w:trHeight w:val="45"/>
        </w:trPr>
        <w:tc>
          <w:tcPr>
            <w:tcW w:w="9483" w:type="dxa"/>
            <w:gridSpan w:val="3"/>
            <w:tcBorders>
              <w:top w:val="single" w:sz="8" w:space="0" w:color="FFFFFF"/>
              <w:left w:val="single" w:sz="12" w:space="0" w:color="auto"/>
              <w:bottom w:val="single" w:sz="8" w:space="0" w:color="FFFFFF"/>
              <w:right w:val="single" w:sz="12" w:space="0" w:color="auto"/>
            </w:tcBorders>
            <w:shd w:val="clear" w:color="auto" w:fill="D2DEEF"/>
            <w:tcMar>
              <w:top w:w="72" w:type="dxa"/>
              <w:left w:w="144" w:type="dxa"/>
              <w:bottom w:w="72" w:type="dxa"/>
              <w:right w:w="144" w:type="dxa"/>
            </w:tcMar>
            <w:hideMark/>
          </w:tcPr>
          <w:p w14:paraId="7C7384A0" w14:textId="1402C035" w:rsidR="00476CF3" w:rsidRPr="001A4B94" w:rsidRDefault="00FD748D" w:rsidP="00476CF3">
            <w:pPr>
              <w:jc w:val="center"/>
              <w:rPr>
                <w:rFonts w:ascii="Arial" w:hAnsi="Arial" w:cs="Arial"/>
                <w:sz w:val="18"/>
                <w:szCs w:val="18"/>
                <w:lang w:val="tr-TR"/>
              </w:rPr>
            </w:pPr>
            <w:r w:rsidRPr="001A4B94">
              <w:rPr>
                <w:color w:val="000000"/>
                <w:kern w:val="24"/>
                <w:sz w:val="18"/>
                <w:szCs w:val="18"/>
                <w:lang w:val="tr-TR"/>
              </w:rPr>
              <w:t xml:space="preserve">Yoksulluk Analizi </w:t>
            </w:r>
            <w:r w:rsidR="00476CF3" w:rsidRPr="001A4B94">
              <w:rPr>
                <w:color w:val="000000"/>
                <w:kern w:val="24"/>
                <w:sz w:val="18"/>
                <w:szCs w:val="18"/>
                <w:lang w:val="tr-TR"/>
              </w:rPr>
              <w:t>(</w:t>
            </w:r>
            <w:r w:rsidRPr="001A4B94">
              <w:rPr>
                <w:color w:val="000000"/>
                <w:kern w:val="24"/>
                <w:sz w:val="18"/>
                <w:szCs w:val="18"/>
                <w:lang w:val="tr-TR"/>
              </w:rPr>
              <w:t>Bölgeler Arası Eşitsizlikler dahil olmak üzere</w:t>
            </w:r>
            <w:r w:rsidR="00476CF3" w:rsidRPr="001A4B94">
              <w:rPr>
                <w:color w:val="000000"/>
                <w:kern w:val="24"/>
                <w:sz w:val="18"/>
                <w:szCs w:val="18"/>
                <w:lang w:val="tr-TR"/>
              </w:rPr>
              <w:t>)</w:t>
            </w:r>
          </w:p>
        </w:tc>
      </w:tr>
      <w:tr w:rsidR="00476CF3" w:rsidRPr="001A4B94" w14:paraId="29BF3E47" w14:textId="77777777" w:rsidTr="004C4F78">
        <w:trPr>
          <w:trHeight w:val="456"/>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6D63B9F0" w14:textId="2A80B095" w:rsidR="00476CF3" w:rsidRPr="001A4B94" w:rsidRDefault="00FD748D" w:rsidP="00476CF3">
            <w:pPr>
              <w:rPr>
                <w:rFonts w:ascii="Arial" w:hAnsi="Arial" w:cs="Arial"/>
                <w:sz w:val="18"/>
                <w:szCs w:val="18"/>
                <w:lang w:val="tr-TR"/>
              </w:rPr>
            </w:pPr>
            <w:r w:rsidRPr="001A4B94">
              <w:rPr>
                <w:color w:val="000000"/>
                <w:kern w:val="24"/>
                <w:sz w:val="18"/>
                <w:szCs w:val="18"/>
                <w:lang w:val="tr-TR"/>
              </w:rPr>
              <w:t>DBG-IMF Finansal</w:t>
            </w:r>
            <w:r w:rsidR="001D18B1" w:rsidRPr="001A4B94">
              <w:rPr>
                <w:color w:val="000000"/>
                <w:kern w:val="24"/>
                <w:sz w:val="18"/>
                <w:szCs w:val="18"/>
                <w:lang w:val="tr-TR"/>
              </w:rPr>
              <w:t xml:space="preserve"> S</w:t>
            </w:r>
            <w:r w:rsidRPr="001A4B94">
              <w:rPr>
                <w:color w:val="000000"/>
                <w:kern w:val="24"/>
                <w:sz w:val="18"/>
                <w:szCs w:val="18"/>
                <w:lang w:val="tr-TR"/>
              </w:rPr>
              <w:t>ektör Değerlendirmesini (FSAP), emekli</w:t>
            </w:r>
            <w:r w:rsidR="005F7630" w:rsidRPr="001A4B94">
              <w:rPr>
                <w:color w:val="000000"/>
                <w:kern w:val="24"/>
                <w:sz w:val="18"/>
                <w:szCs w:val="18"/>
                <w:lang w:val="tr-TR"/>
              </w:rPr>
              <w:t>lik</w:t>
            </w:r>
            <w:r w:rsidRPr="001A4B94">
              <w:rPr>
                <w:color w:val="000000"/>
                <w:kern w:val="24"/>
                <w:sz w:val="18"/>
                <w:szCs w:val="18"/>
                <w:lang w:val="tr-TR"/>
              </w:rPr>
              <w:t xml:space="preserve"> sistemini, ser</w:t>
            </w:r>
            <w:r w:rsidR="001D18B1" w:rsidRPr="001A4B94">
              <w:rPr>
                <w:color w:val="000000"/>
                <w:kern w:val="24"/>
                <w:sz w:val="18"/>
                <w:szCs w:val="18"/>
                <w:lang w:val="tr-TR"/>
              </w:rPr>
              <w:t>m</w:t>
            </w:r>
            <w:r w:rsidRPr="001A4B94">
              <w:rPr>
                <w:color w:val="000000"/>
                <w:kern w:val="24"/>
                <w:sz w:val="18"/>
                <w:szCs w:val="18"/>
                <w:lang w:val="tr-TR"/>
              </w:rPr>
              <w:t xml:space="preserve">aye piyasalarını içeren </w:t>
            </w:r>
            <w:r w:rsidR="00476CF3" w:rsidRPr="001A4B94">
              <w:rPr>
                <w:color w:val="000000"/>
                <w:kern w:val="24"/>
                <w:sz w:val="18"/>
                <w:szCs w:val="18"/>
                <w:lang w:val="tr-TR"/>
              </w:rPr>
              <w:t>Finan</w:t>
            </w:r>
            <w:r w:rsidRPr="001A4B94">
              <w:rPr>
                <w:color w:val="000000"/>
                <w:kern w:val="24"/>
                <w:sz w:val="18"/>
                <w:szCs w:val="18"/>
                <w:lang w:val="tr-TR"/>
              </w:rPr>
              <w:t xml:space="preserve">sal Sektör Program Odaklı </w:t>
            </w:r>
            <w:r w:rsidR="00476CF3" w:rsidRPr="001A4B94">
              <w:rPr>
                <w:color w:val="000000"/>
                <w:kern w:val="24"/>
                <w:sz w:val="18"/>
                <w:szCs w:val="18"/>
                <w:lang w:val="tr-TR"/>
              </w:rPr>
              <w:t>ASA</w:t>
            </w: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25E10C2C" w14:textId="0D2BB7D0" w:rsidR="00476CF3" w:rsidRPr="001A4B94" w:rsidRDefault="005F7630" w:rsidP="00913304">
            <w:pPr>
              <w:rPr>
                <w:rFonts w:ascii="Arial" w:hAnsi="Arial" w:cs="Arial"/>
                <w:sz w:val="18"/>
                <w:szCs w:val="18"/>
                <w:lang w:val="tr-TR"/>
              </w:rPr>
            </w:pPr>
            <w:r w:rsidRPr="001A4B94">
              <w:rPr>
                <w:color w:val="000000"/>
                <w:kern w:val="24"/>
                <w:sz w:val="18"/>
                <w:szCs w:val="18"/>
                <w:lang w:val="tr-TR"/>
              </w:rPr>
              <w:t>Eğitim</w:t>
            </w:r>
            <w:r w:rsidR="00476CF3" w:rsidRPr="001A4B94">
              <w:rPr>
                <w:color w:val="000000"/>
                <w:kern w:val="24"/>
                <w:sz w:val="18"/>
                <w:szCs w:val="18"/>
                <w:lang w:val="tr-TR"/>
              </w:rPr>
              <w:t xml:space="preserve">: (1) PISA </w:t>
            </w:r>
            <w:r w:rsidRPr="001A4B94">
              <w:rPr>
                <w:color w:val="000000"/>
                <w:kern w:val="24"/>
                <w:sz w:val="18"/>
                <w:szCs w:val="18"/>
                <w:lang w:val="tr-TR"/>
              </w:rPr>
              <w:t xml:space="preserve">ve </w:t>
            </w:r>
            <w:r w:rsidR="00476CF3" w:rsidRPr="001A4B94">
              <w:rPr>
                <w:color w:val="000000"/>
                <w:kern w:val="24"/>
                <w:sz w:val="18"/>
                <w:szCs w:val="18"/>
                <w:lang w:val="tr-TR"/>
              </w:rPr>
              <w:t xml:space="preserve">TIMS </w:t>
            </w:r>
            <w:r w:rsidRPr="001A4B94">
              <w:rPr>
                <w:color w:val="000000"/>
                <w:kern w:val="24"/>
                <w:sz w:val="18"/>
                <w:szCs w:val="18"/>
                <w:lang w:val="tr-TR"/>
              </w:rPr>
              <w:t>sonuçlarının analizi</w:t>
            </w:r>
            <w:r w:rsidR="00476CF3" w:rsidRPr="001A4B94">
              <w:rPr>
                <w:color w:val="000000"/>
                <w:kern w:val="24"/>
                <w:sz w:val="18"/>
                <w:szCs w:val="18"/>
                <w:lang w:val="tr-TR"/>
              </w:rPr>
              <w:t xml:space="preserve">; (2) </w:t>
            </w:r>
            <w:r w:rsidRPr="001A4B94">
              <w:rPr>
                <w:color w:val="000000"/>
                <w:kern w:val="24"/>
                <w:sz w:val="18"/>
                <w:szCs w:val="18"/>
                <w:lang w:val="tr-TR"/>
              </w:rPr>
              <w:t>öğretmen eğitimi ve ilköğretim reformu desteği</w:t>
            </w:r>
            <w:r w:rsidR="00476CF3" w:rsidRPr="001A4B94">
              <w:rPr>
                <w:sz w:val="18"/>
                <w:szCs w:val="18"/>
                <w:lang w:val="tr-TR"/>
              </w:rPr>
              <w:t xml:space="preserve">; (3) </w:t>
            </w:r>
            <w:r w:rsidRPr="001A4B94">
              <w:rPr>
                <w:sz w:val="18"/>
                <w:szCs w:val="18"/>
                <w:lang w:val="tr-TR"/>
              </w:rPr>
              <w:t xml:space="preserve">göç yönetimi </w:t>
            </w: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EAEFF7"/>
            <w:tcMar>
              <w:top w:w="72" w:type="dxa"/>
              <w:left w:w="144" w:type="dxa"/>
              <w:bottom w:w="72" w:type="dxa"/>
              <w:right w:w="144" w:type="dxa"/>
            </w:tcMar>
            <w:hideMark/>
          </w:tcPr>
          <w:p w14:paraId="459CC1AF" w14:textId="64BA5DBC" w:rsidR="00476CF3" w:rsidRPr="001A4B94" w:rsidRDefault="00255111" w:rsidP="00476CF3">
            <w:pPr>
              <w:rPr>
                <w:rFonts w:ascii="Arial" w:hAnsi="Arial" w:cs="Arial"/>
                <w:sz w:val="18"/>
                <w:szCs w:val="18"/>
                <w:lang w:val="tr-TR"/>
              </w:rPr>
            </w:pPr>
            <w:r w:rsidRPr="001A4B94">
              <w:rPr>
                <w:color w:val="000000"/>
                <w:kern w:val="24"/>
                <w:sz w:val="18"/>
                <w:szCs w:val="18"/>
                <w:lang w:val="tr-TR"/>
              </w:rPr>
              <w:t xml:space="preserve">AB finansmanlı IPA dahil olmak üzere, Program Odaklı Enerji </w:t>
            </w:r>
            <w:r w:rsidR="00476CF3" w:rsidRPr="001A4B94">
              <w:rPr>
                <w:color w:val="000000"/>
                <w:kern w:val="24"/>
                <w:sz w:val="18"/>
                <w:szCs w:val="18"/>
                <w:lang w:val="tr-TR"/>
              </w:rPr>
              <w:t>ASA</w:t>
            </w:r>
            <w:r w:rsidRPr="001A4B94">
              <w:rPr>
                <w:color w:val="000000"/>
                <w:kern w:val="24"/>
                <w:sz w:val="18"/>
                <w:szCs w:val="18"/>
                <w:lang w:val="tr-TR"/>
              </w:rPr>
              <w:t xml:space="preserve"> </w:t>
            </w:r>
          </w:p>
        </w:tc>
      </w:tr>
      <w:tr w:rsidR="00476CF3" w:rsidRPr="001A4B94" w14:paraId="1E611E81" w14:textId="77777777" w:rsidTr="004C4F78">
        <w:trPr>
          <w:trHeight w:val="33"/>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28C4EC42" w14:textId="688CEE5C" w:rsidR="00476CF3" w:rsidRPr="001A4B94" w:rsidRDefault="001D18B1" w:rsidP="00476CF3">
            <w:pPr>
              <w:rPr>
                <w:rFonts w:ascii="Arial" w:hAnsi="Arial" w:cs="Arial"/>
                <w:sz w:val="18"/>
                <w:szCs w:val="18"/>
                <w:lang w:val="tr-TR"/>
              </w:rPr>
            </w:pPr>
            <w:r w:rsidRPr="001A4B94">
              <w:rPr>
                <w:color w:val="000000"/>
                <w:kern w:val="24"/>
                <w:sz w:val="18"/>
                <w:szCs w:val="18"/>
                <w:lang w:val="tr-TR"/>
              </w:rPr>
              <w:t xml:space="preserve">Yönetişim ile ilgili Program Odaklı Teknik Yardım </w:t>
            </w: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25A857E0" w14:textId="094CF38B" w:rsidR="00476CF3" w:rsidRPr="001A4B94" w:rsidRDefault="00476CF3" w:rsidP="00476CF3">
            <w:pPr>
              <w:rPr>
                <w:rFonts w:ascii="Arial" w:hAnsi="Arial" w:cs="Arial"/>
                <w:sz w:val="18"/>
                <w:szCs w:val="18"/>
                <w:lang w:val="tr-TR"/>
              </w:rPr>
            </w:pPr>
            <w:r w:rsidRPr="001A4B94">
              <w:rPr>
                <w:color w:val="000000"/>
                <w:kern w:val="24"/>
                <w:sz w:val="18"/>
                <w:szCs w:val="18"/>
                <w:lang w:val="tr-TR"/>
              </w:rPr>
              <w:t xml:space="preserve"> </w:t>
            </w:r>
            <w:r w:rsidR="008B056C" w:rsidRPr="001A4B94">
              <w:rPr>
                <w:color w:val="000000"/>
                <w:kern w:val="24"/>
                <w:sz w:val="18"/>
                <w:szCs w:val="18"/>
                <w:lang w:val="tr-TR"/>
              </w:rPr>
              <w:t xml:space="preserve">İşgücü, eğitim ve beslenme </w:t>
            </w:r>
            <w:r w:rsidR="00E36C84" w:rsidRPr="001A4B94">
              <w:rPr>
                <w:color w:val="000000"/>
                <w:kern w:val="24"/>
                <w:sz w:val="18"/>
                <w:szCs w:val="18"/>
                <w:lang w:val="tr-TR"/>
              </w:rPr>
              <w:t xml:space="preserve">konularına yoksulluk ve eşitlik açısından bakış </w:t>
            </w: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D2DEEF"/>
            <w:tcMar>
              <w:top w:w="72" w:type="dxa"/>
              <w:left w:w="144" w:type="dxa"/>
              <w:bottom w:w="72" w:type="dxa"/>
              <w:right w:w="144" w:type="dxa"/>
            </w:tcMar>
            <w:hideMark/>
          </w:tcPr>
          <w:p w14:paraId="463FF32F" w14:textId="6DB6168E" w:rsidR="00476CF3" w:rsidRPr="001A4B94" w:rsidRDefault="00255111" w:rsidP="00476CF3">
            <w:pPr>
              <w:rPr>
                <w:rFonts w:ascii="Arial" w:hAnsi="Arial" w:cs="Arial"/>
                <w:sz w:val="18"/>
                <w:szCs w:val="18"/>
                <w:lang w:val="tr-TR"/>
              </w:rPr>
            </w:pPr>
            <w:r w:rsidRPr="001A4B94">
              <w:rPr>
                <w:color w:val="000000"/>
                <w:kern w:val="24"/>
                <w:sz w:val="18"/>
                <w:szCs w:val="18"/>
                <w:lang w:val="tr-TR"/>
              </w:rPr>
              <w:t xml:space="preserve">Sürdürülebilir Şehirler hakkında Teknik Yardım </w:t>
            </w:r>
          </w:p>
        </w:tc>
      </w:tr>
      <w:tr w:rsidR="00476CF3" w:rsidRPr="001A4B94" w14:paraId="461DB7B0" w14:textId="77777777" w:rsidTr="004C4F78">
        <w:trPr>
          <w:trHeight w:val="41"/>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0EDBF8D5" w14:textId="1264B5A4" w:rsidR="00476CF3" w:rsidRPr="001A4B94" w:rsidRDefault="001D18B1" w:rsidP="006C174C">
            <w:pPr>
              <w:rPr>
                <w:rFonts w:ascii="Arial" w:hAnsi="Arial" w:cs="Arial"/>
                <w:sz w:val="18"/>
                <w:szCs w:val="18"/>
                <w:lang w:val="tr-TR"/>
              </w:rPr>
            </w:pPr>
            <w:r w:rsidRPr="001A4B94">
              <w:rPr>
                <w:color w:val="000000"/>
                <w:kern w:val="24"/>
                <w:sz w:val="18"/>
                <w:szCs w:val="18"/>
                <w:lang w:val="tr-TR"/>
              </w:rPr>
              <w:t xml:space="preserve">İş </w:t>
            </w:r>
            <w:r w:rsidR="00B56898" w:rsidRPr="001A4B94">
              <w:rPr>
                <w:color w:val="000000"/>
                <w:kern w:val="24"/>
                <w:sz w:val="18"/>
                <w:szCs w:val="18"/>
                <w:lang w:val="tr-TR"/>
              </w:rPr>
              <w:t>O</w:t>
            </w:r>
            <w:r w:rsidRPr="001A4B94">
              <w:rPr>
                <w:color w:val="000000"/>
                <w:kern w:val="24"/>
                <w:sz w:val="18"/>
                <w:szCs w:val="18"/>
                <w:lang w:val="tr-TR"/>
              </w:rPr>
              <w:t xml:space="preserve">rtamı ve Yenilikçilik konulu </w:t>
            </w:r>
            <w:r w:rsidR="00476CF3" w:rsidRPr="001A4B94">
              <w:rPr>
                <w:color w:val="000000"/>
                <w:kern w:val="24"/>
                <w:sz w:val="18"/>
                <w:szCs w:val="18"/>
                <w:lang w:val="tr-TR"/>
              </w:rPr>
              <w:t xml:space="preserve">ASA </w:t>
            </w:r>
            <w:r w:rsidRPr="001A4B94">
              <w:rPr>
                <w:color w:val="000000"/>
                <w:kern w:val="24"/>
                <w:sz w:val="18"/>
                <w:szCs w:val="18"/>
                <w:lang w:val="tr-TR"/>
              </w:rPr>
              <w:t xml:space="preserve">ve Teknik Yardım </w:t>
            </w: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27E5BF2C" w14:textId="5788DF3A" w:rsidR="00476CF3" w:rsidRPr="001A4B94" w:rsidRDefault="00476CF3" w:rsidP="00E36C84">
            <w:pPr>
              <w:rPr>
                <w:rFonts w:ascii="Arial" w:hAnsi="Arial" w:cs="Arial"/>
                <w:sz w:val="18"/>
                <w:szCs w:val="18"/>
                <w:lang w:val="tr-TR"/>
              </w:rPr>
            </w:pPr>
            <w:r w:rsidRPr="001A4B94">
              <w:rPr>
                <w:color w:val="000000"/>
                <w:kern w:val="24"/>
                <w:sz w:val="18"/>
                <w:szCs w:val="18"/>
                <w:lang w:val="tr-TR"/>
              </w:rPr>
              <w:t xml:space="preserve"> </w:t>
            </w:r>
            <w:r w:rsidR="00E36C84" w:rsidRPr="001A4B94">
              <w:rPr>
                <w:color w:val="000000"/>
                <w:kern w:val="24"/>
                <w:sz w:val="18"/>
                <w:szCs w:val="18"/>
                <w:lang w:val="tr-TR"/>
              </w:rPr>
              <w:t>İşgücü piyasaları ve beceriler</w:t>
            </w:r>
            <w:r w:rsidRPr="001A4B94">
              <w:rPr>
                <w:color w:val="000000"/>
                <w:kern w:val="24"/>
                <w:sz w:val="18"/>
                <w:szCs w:val="18"/>
                <w:lang w:val="tr-TR"/>
              </w:rPr>
              <w:t xml:space="preserve">: (1) </w:t>
            </w:r>
            <w:r w:rsidR="00E36C84" w:rsidRPr="001A4B94">
              <w:rPr>
                <w:color w:val="000000"/>
                <w:kern w:val="24"/>
                <w:sz w:val="18"/>
                <w:szCs w:val="18"/>
                <w:lang w:val="tr-TR"/>
              </w:rPr>
              <w:t>işlerin kalitesi</w:t>
            </w:r>
            <w:r w:rsidRPr="001A4B94">
              <w:rPr>
                <w:color w:val="000000"/>
                <w:kern w:val="24"/>
                <w:sz w:val="18"/>
                <w:szCs w:val="18"/>
                <w:lang w:val="tr-TR"/>
              </w:rPr>
              <w:t xml:space="preserve">, </w:t>
            </w:r>
            <w:r w:rsidR="00E36C84" w:rsidRPr="001A4B94">
              <w:rPr>
                <w:color w:val="000000"/>
                <w:kern w:val="24"/>
                <w:sz w:val="18"/>
                <w:szCs w:val="18"/>
                <w:lang w:val="tr-TR"/>
              </w:rPr>
              <w:t>asgari ücret ve kayıt dışılık hakkında Teknik Yardım</w:t>
            </w:r>
            <w:r w:rsidRPr="001A4B94">
              <w:rPr>
                <w:color w:val="000000"/>
                <w:kern w:val="24"/>
                <w:sz w:val="18"/>
                <w:szCs w:val="18"/>
                <w:lang w:val="tr-TR"/>
              </w:rPr>
              <w:t xml:space="preserve">; (2) </w:t>
            </w:r>
            <w:r w:rsidR="00E36C84" w:rsidRPr="001A4B94">
              <w:rPr>
                <w:color w:val="000000"/>
                <w:kern w:val="24"/>
                <w:sz w:val="18"/>
                <w:szCs w:val="18"/>
                <w:lang w:val="tr-TR"/>
              </w:rPr>
              <w:t>Eğitim, istihdam veya Mesleki Eğitim Dışında Olma ile ilgili çalışma</w:t>
            </w:r>
            <w:r w:rsidRPr="001A4B94">
              <w:rPr>
                <w:color w:val="000000"/>
                <w:kern w:val="24"/>
                <w:sz w:val="18"/>
                <w:szCs w:val="18"/>
                <w:lang w:val="tr-TR"/>
              </w:rPr>
              <w:t xml:space="preserve">; (3) </w:t>
            </w:r>
            <w:r w:rsidR="00E36C84" w:rsidRPr="001A4B94">
              <w:rPr>
                <w:sz w:val="18"/>
                <w:szCs w:val="18"/>
                <w:lang w:val="tr-TR"/>
              </w:rPr>
              <w:t xml:space="preserve">Sosyo-Duygusal Beceriler </w:t>
            </w: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EAEFF7"/>
            <w:tcMar>
              <w:top w:w="72" w:type="dxa"/>
              <w:left w:w="144" w:type="dxa"/>
              <w:bottom w:w="72" w:type="dxa"/>
              <w:right w:w="144" w:type="dxa"/>
            </w:tcMar>
            <w:hideMark/>
          </w:tcPr>
          <w:p w14:paraId="33E3D2E0" w14:textId="56DF6DDF" w:rsidR="00476CF3" w:rsidRPr="001A4B94" w:rsidRDefault="0094525C" w:rsidP="00476CF3">
            <w:pPr>
              <w:rPr>
                <w:rFonts w:ascii="Arial" w:hAnsi="Arial" w:cs="Arial"/>
                <w:sz w:val="18"/>
                <w:szCs w:val="18"/>
                <w:lang w:val="tr-TR"/>
              </w:rPr>
            </w:pPr>
            <w:r w:rsidRPr="001A4B94">
              <w:rPr>
                <w:color w:val="000000"/>
                <w:kern w:val="24"/>
                <w:sz w:val="18"/>
                <w:szCs w:val="18"/>
                <w:lang w:val="tr-TR"/>
              </w:rPr>
              <w:t xml:space="preserve">SKH Uygulamasına Destek </w:t>
            </w:r>
          </w:p>
        </w:tc>
      </w:tr>
      <w:tr w:rsidR="00476CF3" w:rsidRPr="001A4B94" w14:paraId="179FE485" w14:textId="77777777" w:rsidTr="004C4F78">
        <w:trPr>
          <w:trHeight w:val="33"/>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7D1CAC62" w14:textId="0F32C98A" w:rsidR="00476CF3" w:rsidRPr="001A4B94" w:rsidRDefault="001D18B1" w:rsidP="00476CF3">
            <w:pPr>
              <w:rPr>
                <w:rFonts w:ascii="Arial" w:hAnsi="Arial" w:cs="Arial"/>
                <w:sz w:val="18"/>
                <w:szCs w:val="18"/>
                <w:lang w:val="tr-TR"/>
              </w:rPr>
            </w:pPr>
            <w:r w:rsidRPr="001A4B94">
              <w:rPr>
                <w:color w:val="000000"/>
                <w:kern w:val="24"/>
                <w:sz w:val="18"/>
                <w:szCs w:val="18"/>
                <w:lang w:val="tr-TR"/>
              </w:rPr>
              <w:t xml:space="preserve">Adalet Sektörü </w:t>
            </w:r>
            <w:r w:rsidR="00255111" w:rsidRPr="001A4B94">
              <w:rPr>
                <w:color w:val="000000"/>
                <w:kern w:val="24"/>
                <w:sz w:val="18"/>
                <w:szCs w:val="18"/>
                <w:lang w:val="tr-TR"/>
              </w:rPr>
              <w:t xml:space="preserve">hakkında </w:t>
            </w:r>
            <w:r w:rsidRPr="001A4B94">
              <w:rPr>
                <w:color w:val="000000"/>
                <w:kern w:val="24"/>
                <w:sz w:val="18"/>
                <w:szCs w:val="18"/>
                <w:lang w:val="tr-TR"/>
              </w:rPr>
              <w:t>Teknik Yardı</w:t>
            </w:r>
            <w:r w:rsidR="00255111" w:rsidRPr="001A4B94">
              <w:rPr>
                <w:color w:val="000000"/>
                <w:kern w:val="24"/>
                <w:sz w:val="18"/>
                <w:szCs w:val="18"/>
                <w:lang w:val="tr-TR"/>
              </w:rPr>
              <w:t>m</w:t>
            </w: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500E1673" w14:textId="76718BE4" w:rsidR="00476CF3" w:rsidRPr="001A4B94" w:rsidRDefault="00E36C84" w:rsidP="001237B4">
            <w:pPr>
              <w:rPr>
                <w:rFonts w:ascii="Arial" w:hAnsi="Arial" w:cs="Arial"/>
                <w:sz w:val="18"/>
                <w:szCs w:val="18"/>
                <w:lang w:val="tr-TR"/>
              </w:rPr>
            </w:pPr>
            <w:r w:rsidRPr="001A4B94">
              <w:rPr>
                <w:color w:val="000000"/>
                <w:kern w:val="24"/>
                <w:sz w:val="18"/>
                <w:szCs w:val="18"/>
                <w:lang w:val="tr-TR"/>
              </w:rPr>
              <w:t xml:space="preserve">Suriyeli Sığınmacı </w:t>
            </w:r>
            <w:r w:rsidR="00476CF3" w:rsidRPr="001A4B94">
              <w:rPr>
                <w:color w:val="000000"/>
                <w:kern w:val="24"/>
                <w:sz w:val="18"/>
                <w:szCs w:val="18"/>
                <w:lang w:val="tr-TR"/>
              </w:rPr>
              <w:t xml:space="preserve"> </w:t>
            </w:r>
            <w:r w:rsidRPr="001A4B94">
              <w:rPr>
                <w:color w:val="000000"/>
                <w:kern w:val="24"/>
                <w:sz w:val="18"/>
                <w:szCs w:val="18"/>
                <w:lang w:val="tr-TR"/>
              </w:rPr>
              <w:t>Krizine Müdahale</w:t>
            </w:r>
            <w:r w:rsidR="00476CF3" w:rsidRPr="001A4B94">
              <w:rPr>
                <w:color w:val="000000"/>
                <w:kern w:val="24"/>
                <w:sz w:val="18"/>
                <w:szCs w:val="18"/>
                <w:lang w:val="tr-TR"/>
              </w:rPr>
              <w:t xml:space="preserve">: </w:t>
            </w:r>
            <w:r w:rsidRPr="001A4B94">
              <w:rPr>
                <w:color w:val="000000"/>
                <w:kern w:val="24"/>
                <w:sz w:val="18"/>
                <w:szCs w:val="18"/>
                <w:lang w:val="tr-TR"/>
              </w:rPr>
              <w:t>uyumlaştırma stratejisi</w:t>
            </w:r>
            <w:r w:rsidR="00476CF3" w:rsidRPr="001A4B94">
              <w:rPr>
                <w:color w:val="000000"/>
                <w:kern w:val="24"/>
                <w:sz w:val="18"/>
                <w:szCs w:val="18"/>
                <w:lang w:val="tr-TR"/>
              </w:rPr>
              <w:t xml:space="preserve">, </w:t>
            </w:r>
            <w:r w:rsidRPr="001A4B94">
              <w:rPr>
                <w:color w:val="000000"/>
                <w:kern w:val="24"/>
                <w:sz w:val="18"/>
                <w:szCs w:val="18"/>
                <w:lang w:val="tr-TR"/>
              </w:rPr>
              <w:t>bilgi üretme</w:t>
            </w:r>
            <w:r w:rsidR="00913304" w:rsidRPr="001A4B94">
              <w:rPr>
                <w:color w:val="000000"/>
                <w:kern w:val="24"/>
                <w:sz w:val="18"/>
                <w:szCs w:val="18"/>
                <w:lang w:val="tr-TR"/>
              </w:rPr>
              <w:t xml:space="preserve">, </w:t>
            </w:r>
            <w:r w:rsidRPr="001A4B94">
              <w:rPr>
                <w:color w:val="000000"/>
                <w:kern w:val="24"/>
                <w:sz w:val="18"/>
                <w:szCs w:val="18"/>
                <w:lang w:val="tr-TR"/>
              </w:rPr>
              <w:t xml:space="preserve">etki çalışmaları </w:t>
            </w: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D2DEEF"/>
            <w:tcMar>
              <w:top w:w="72" w:type="dxa"/>
              <w:left w:w="144" w:type="dxa"/>
              <w:bottom w:w="72" w:type="dxa"/>
              <w:right w:w="144" w:type="dxa"/>
            </w:tcMar>
            <w:hideMark/>
          </w:tcPr>
          <w:p w14:paraId="47801484" w14:textId="53992360" w:rsidR="00476CF3" w:rsidRPr="001A4B94" w:rsidRDefault="0094525C" w:rsidP="00476CF3">
            <w:pPr>
              <w:rPr>
                <w:rFonts w:ascii="Arial" w:hAnsi="Arial" w:cs="Arial"/>
                <w:sz w:val="18"/>
                <w:szCs w:val="18"/>
                <w:lang w:val="tr-TR"/>
              </w:rPr>
            </w:pPr>
            <w:r w:rsidRPr="001A4B94">
              <w:rPr>
                <w:color w:val="000000"/>
                <w:kern w:val="24"/>
                <w:sz w:val="18"/>
                <w:szCs w:val="18"/>
                <w:lang w:val="tr-TR"/>
              </w:rPr>
              <w:t xml:space="preserve">Afet Riski Yönetimi hakkında </w:t>
            </w:r>
            <w:r w:rsidR="00476CF3" w:rsidRPr="001A4B94">
              <w:rPr>
                <w:color w:val="000000"/>
                <w:kern w:val="24"/>
                <w:sz w:val="18"/>
                <w:szCs w:val="18"/>
                <w:lang w:val="tr-TR"/>
              </w:rPr>
              <w:t xml:space="preserve"> </w:t>
            </w:r>
            <w:r w:rsidRPr="001A4B94">
              <w:rPr>
                <w:color w:val="000000"/>
                <w:kern w:val="24"/>
                <w:sz w:val="18"/>
                <w:szCs w:val="18"/>
                <w:lang w:val="tr-TR"/>
              </w:rPr>
              <w:t>Teknik Yardım</w:t>
            </w:r>
          </w:p>
        </w:tc>
      </w:tr>
      <w:tr w:rsidR="00476CF3" w:rsidRPr="001A4B94" w14:paraId="75854927" w14:textId="77777777" w:rsidTr="004C4F78">
        <w:trPr>
          <w:trHeight w:val="33"/>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6C0E909D" w14:textId="64E6201F" w:rsidR="00476CF3" w:rsidRPr="001A4B94" w:rsidRDefault="001D18B1" w:rsidP="00476CF3">
            <w:pPr>
              <w:rPr>
                <w:rFonts w:ascii="Arial" w:hAnsi="Arial" w:cs="Arial"/>
                <w:sz w:val="18"/>
                <w:szCs w:val="18"/>
                <w:lang w:val="tr-TR"/>
              </w:rPr>
            </w:pPr>
            <w:r w:rsidRPr="001A4B94">
              <w:rPr>
                <w:color w:val="000000"/>
                <w:kern w:val="24"/>
                <w:sz w:val="18"/>
                <w:szCs w:val="18"/>
                <w:lang w:val="tr-TR"/>
              </w:rPr>
              <w:t xml:space="preserve">Vergi Politikası Danışmanlığı </w:t>
            </w: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05CED020" w14:textId="1FDB9419" w:rsidR="00476CF3" w:rsidRPr="001A4B94" w:rsidRDefault="00E36C84" w:rsidP="00476CF3">
            <w:pPr>
              <w:rPr>
                <w:rFonts w:ascii="Arial" w:hAnsi="Arial" w:cs="Arial"/>
                <w:sz w:val="18"/>
                <w:szCs w:val="18"/>
                <w:lang w:val="tr-TR"/>
              </w:rPr>
            </w:pPr>
            <w:r w:rsidRPr="001A4B94">
              <w:rPr>
                <w:sz w:val="18"/>
                <w:szCs w:val="18"/>
                <w:lang w:val="tr-TR"/>
              </w:rPr>
              <w:t xml:space="preserve">Yoksulluğu Azaltma Stratejisi ve Sosyal Yardım </w:t>
            </w:r>
            <w:r w:rsidR="00255111" w:rsidRPr="001A4B94">
              <w:rPr>
                <w:sz w:val="18"/>
                <w:szCs w:val="18"/>
                <w:lang w:val="tr-TR"/>
              </w:rPr>
              <w:t xml:space="preserve">Reformu hakkında Teknik Yardım </w:t>
            </w: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EAEFF7"/>
            <w:tcMar>
              <w:top w:w="72" w:type="dxa"/>
              <w:left w:w="144" w:type="dxa"/>
              <w:bottom w:w="72" w:type="dxa"/>
              <w:right w:w="144" w:type="dxa"/>
            </w:tcMar>
            <w:hideMark/>
          </w:tcPr>
          <w:p w14:paraId="6A12FD1E" w14:textId="73753D20" w:rsidR="00476CF3" w:rsidRPr="001A4B94" w:rsidRDefault="0094525C" w:rsidP="00476CF3">
            <w:pPr>
              <w:rPr>
                <w:rFonts w:ascii="Arial" w:hAnsi="Arial" w:cs="Arial"/>
                <w:sz w:val="18"/>
                <w:szCs w:val="18"/>
                <w:lang w:val="tr-TR"/>
              </w:rPr>
            </w:pPr>
            <w:r w:rsidRPr="001A4B94">
              <w:rPr>
                <w:color w:val="000000"/>
                <w:kern w:val="24"/>
                <w:sz w:val="18"/>
                <w:szCs w:val="18"/>
                <w:lang w:val="tr-TR"/>
              </w:rPr>
              <w:t xml:space="preserve">Orman Sektörü İncelemesi </w:t>
            </w:r>
          </w:p>
        </w:tc>
      </w:tr>
      <w:tr w:rsidR="00476CF3" w:rsidRPr="001A4B94" w14:paraId="7C2BB86B" w14:textId="77777777" w:rsidTr="004C4F78">
        <w:trPr>
          <w:trHeight w:val="33"/>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15545488" w14:textId="2A84BFBB" w:rsidR="00476CF3" w:rsidRPr="001A4B94" w:rsidRDefault="001D18B1" w:rsidP="00476CF3">
            <w:pPr>
              <w:rPr>
                <w:rFonts w:ascii="Arial" w:hAnsi="Arial" w:cs="Arial"/>
                <w:sz w:val="18"/>
                <w:szCs w:val="18"/>
                <w:lang w:val="tr-TR"/>
              </w:rPr>
            </w:pPr>
            <w:r w:rsidRPr="001A4B94">
              <w:rPr>
                <w:color w:val="000000"/>
                <w:kern w:val="24"/>
                <w:sz w:val="18"/>
                <w:szCs w:val="18"/>
                <w:lang w:val="tr-TR"/>
              </w:rPr>
              <w:t xml:space="preserve">Mali Politikanın Dağılımsal Etkileri </w:t>
            </w: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5F3BA684" w14:textId="412D5BE0" w:rsidR="00476CF3" w:rsidRPr="001A4B94" w:rsidRDefault="00255111" w:rsidP="00913304">
            <w:pPr>
              <w:rPr>
                <w:rFonts w:ascii="Arial" w:hAnsi="Arial" w:cs="Arial"/>
                <w:sz w:val="18"/>
                <w:szCs w:val="18"/>
                <w:lang w:val="tr-TR"/>
              </w:rPr>
            </w:pPr>
            <w:r w:rsidRPr="001A4B94">
              <w:rPr>
                <w:color w:val="000000"/>
                <w:kern w:val="24"/>
                <w:sz w:val="18"/>
                <w:szCs w:val="18"/>
                <w:lang w:val="tr-TR"/>
              </w:rPr>
              <w:t>Sağlık</w:t>
            </w:r>
            <w:r w:rsidR="00476CF3" w:rsidRPr="001A4B94">
              <w:rPr>
                <w:color w:val="000000"/>
                <w:kern w:val="24"/>
                <w:sz w:val="18"/>
                <w:szCs w:val="18"/>
                <w:lang w:val="tr-TR"/>
              </w:rPr>
              <w:t xml:space="preserve">; (1) </w:t>
            </w:r>
            <w:r w:rsidRPr="001A4B94">
              <w:rPr>
                <w:color w:val="000000"/>
                <w:kern w:val="24"/>
                <w:sz w:val="18"/>
                <w:szCs w:val="18"/>
                <w:lang w:val="tr-TR"/>
              </w:rPr>
              <w:t>harcama projeksiyonu aktüerya modeli hakkında Teknik Yardım</w:t>
            </w:r>
            <w:r w:rsidR="00476CF3" w:rsidRPr="001A4B94">
              <w:rPr>
                <w:color w:val="000000"/>
                <w:kern w:val="24"/>
                <w:sz w:val="18"/>
                <w:szCs w:val="18"/>
                <w:lang w:val="tr-TR"/>
              </w:rPr>
              <w:t xml:space="preserve">; (2) </w:t>
            </w:r>
            <w:r w:rsidRPr="001A4B94">
              <w:rPr>
                <w:color w:val="000000"/>
                <w:kern w:val="24"/>
                <w:sz w:val="18"/>
                <w:szCs w:val="18"/>
                <w:lang w:val="tr-TR"/>
              </w:rPr>
              <w:t>sağlık reformu ve birinci basamak sağlık hizmetlerinden yararlanma değerlendirmesi</w:t>
            </w:r>
            <w:r w:rsidR="00476CF3" w:rsidRPr="001A4B94">
              <w:rPr>
                <w:color w:val="000000"/>
                <w:kern w:val="24"/>
                <w:sz w:val="18"/>
                <w:szCs w:val="18"/>
                <w:lang w:val="tr-TR"/>
              </w:rPr>
              <w:t xml:space="preserve">; (3) </w:t>
            </w:r>
            <w:r w:rsidRPr="001A4B94">
              <w:rPr>
                <w:color w:val="000000"/>
                <w:kern w:val="24"/>
                <w:sz w:val="18"/>
                <w:szCs w:val="18"/>
                <w:lang w:val="tr-TR"/>
              </w:rPr>
              <w:t xml:space="preserve">obezite çalışması </w:t>
            </w: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D2DEEF"/>
            <w:tcMar>
              <w:top w:w="72" w:type="dxa"/>
              <w:left w:w="144" w:type="dxa"/>
              <w:bottom w:w="72" w:type="dxa"/>
              <w:right w:w="144" w:type="dxa"/>
            </w:tcMar>
            <w:hideMark/>
          </w:tcPr>
          <w:p w14:paraId="0E70103D" w14:textId="4926590C" w:rsidR="00476CF3" w:rsidRPr="001A4B94" w:rsidRDefault="0094525C" w:rsidP="00476CF3">
            <w:pPr>
              <w:rPr>
                <w:rFonts w:ascii="Arial" w:hAnsi="Arial" w:cs="Arial"/>
                <w:sz w:val="18"/>
                <w:szCs w:val="18"/>
                <w:lang w:val="tr-TR"/>
              </w:rPr>
            </w:pPr>
            <w:r w:rsidRPr="001A4B94">
              <w:rPr>
                <w:color w:val="000000"/>
                <w:kern w:val="24"/>
                <w:sz w:val="18"/>
                <w:szCs w:val="18"/>
                <w:lang w:val="tr-TR"/>
              </w:rPr>
              <w:t>Sürdürülebilir</w:t>
            </w:r>
            <w:r w:rsidR="00476CF3" w:rsidRPr="001A4B94">
              <w:rPr>
                <w:color w:val="000000"/>
                <w:kern w:val="24"/>
                <w:sz w:val="18"/>
                <w:szCs w:val="18"/>
                <w:lang w:val="tr-TR"/>
              </w:rPr>
              <w:t xml:space="preserve">, </w:t>
            </w:r>
            <w:r w:rsidRPr="001A4B94">
              <w:rPr>
                <w:color w:val="000000"/>
                <w:kern w:val="24"/>
                <w:sz w:val="18"/>
                <w:szCs w:val="18"/>
                <w:lang w:val="tr-TR"/>
              </w:rPr>
              <w:t xml:space="preserve">Verimli ve Güvenli Ulaştırma </w:t>
            </w:r>
          </w:p>
        </w:tc>
      </w:tr>
      <w:tr w:rsidR="00476CF3" w:rsidRPr="001A4B94" w14:paraId="47940635" w14:textId="77777777" w:rsidTr="004C4F78">
        <w:trPr>
          <w:trHeight w:val="33"/>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344ECCEB" w14:textId="77777777" w:rsidR="00476CF3" w:rsidRPr="001A4B94" w:rsidRDefault="00476CF3" w:rsidP="00476CF3">
            <w:pPr>
              <w:rPr>
                <w:rFonts w:ascii="Arial" w:hAnsi="Arial" w:cs="Arial"/>
                <w:sz w:val="18"/>
                <w:szCs w:val="18"/>
                <w:lang w:val="tr-TR"/>
              </w:rPr>
            </w:pP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EAEFF7"/>
            <w:tcMar>
              <w:top w:w="72" w:type="dxa"/>
              <w:left w:w="144" w:type="dxa"/>
              <w:bottom w:w="72" w:type="dxa"/>
              <w:right w:w="144" w:type="dxa"/>
            </w:tcMar>
            <w:hideMark/>
          </w:tcPr>
          <w:p w14:paraId="4E182A83" w14:textId="14ACBEBA" w:rsidR="00476CF3" w:rsidRPr="001A4B94" w:rsidRDefault="00255111" w:rsidP="00476CF3">
            <w:pPr>
              <w:rPr>
                <w:sz w:val="18"/>
                <w:szCs w:val="18"/>
                <w:lang w:val="tr-TR"/>
              </w:rPr>
            </w:pPr>
            <w:r w:rsidRPr="001A4B94">
              <w:rPr>
                <w:sz w:val="18"/>
                <w:szCs w:val="18"/>
                <w:lang w:val="tr-TR"/>
              </w:rPr>
              <w:t xml:space="preserve">Engellilik ve Yaşlanma Çalışması </w:t>
            </w: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EAEFF7"/>
            <w:tcMar>
              <w:top w:w="72" w:type="dxa"/>
              <w:left w:w="144" w:type="dxa"/>
              <w:bottom w:w="72" w:type="dxa"/>
              <w:right w:w="144" w:type="dxa"/>
            </w:tcMar>
            <w:hideMark/>
          </w:tcPr>
          <w:p w14:paraId="1023C6F3" w14:textId="1F016A2B" w:rsidR="00476CF3" w:rsidRPr="001A4B94" w:rsidRDefault="0094525C" w:rsidP="00476CF3">
            <w:pPr>
              <w:rPr>
                <w:rFonts w:ascii="Arial" w:hAnsi="Arial" w:cs="Arial"/>
                <w:sz w:val="18"/>
                <w:szCs w:val="18"/>
                <w:lang w:val="tr-TR"/>
              </w:rPr>
            </w:pPr>
            <w:r w:rsidRPr="001A4B94">
              <w:rPr>
                <w:color w:val="000000"/>
                <w:kern w:val="24"/>
                <w:sz w:val="18"/>
                <w:szCs w:val="18"/>
                <w:lang w:val="tr-TR"/>
              </w:rPr>
              <w:t xml:space="preserve">Çatı Üstü Fotovoltaik Güneş Enerjisi Değerlendirmesi </w:t>
            </w:r>
          </w:p>
        </w:tc>
      </w:tr>
      <w:tr w:rsidR="00476CF3" w:rsidRPr="001A4B94" w14:paraId="270E4D1C" w14:textId="77777777" w:rsidTr="004C4F78">
        <w:trPr>
          <w:trHeight w:val="63"/>
        </w:trPr>
        <w:tc>
          <w:tcPr>
            <w:tcW w:w="3077" w:type="dxa"/>
            <w:tcBorders>
              <w:top w:val="single" w:sz="8" w:space="0" w:color="FFFFFF"/>
              <w:left w:val="single" w:sz="12" w:space="0" w:color="auto"/>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14BF065C" w14:textId="77777777" w:rsidR="00476CF3" w:rsidRPr="001A4B94" w:rsidRDefault="00476CF3" w:rsidP="00476CF3">
            <w:pPr>
              <w:rPr>
                <w:rFonts w:ascii="Arial" w:hAnsi="Arial" w:cs="Arial"/>
                <w:sz w:val="18"/>
                <w:szCs w:val="18"/>
                <w:lang w:val="tr-TR"/>
              </w:rPr>
            </w:pPr>
          </w:p>
        </w:tc>
        <w:tc>
          <w:tcPr>
            <w:tcW w:w="3854" w:type="dxa"/>
            <w:tcBorders>
              <w:top w:val="single" w:sz="8" w:space="0" w:color="FFFFFF"/>
              <w:left w:val="double" w:sz="4" w:space="0" w:color="5B9BD5" w:themeColor="accent1"/>
              <w:bottom w:val="single" w:sz="8" w:space="0" w:color="FFFFFF"/>
              <w:right w:val="double" w:sz="4" w:space="0" w:color="5B9BD5" w:themeColor="accent1"/>
            </w:tcBorders>
            <w:shd w:val="clear" w:color="auto" w:fill="D2DEEF"/>
            <w:tcMar>
              <w:top w:w="72" w:type="dxa"/>
              <w:left w:w="144" w:type="dxa"/>
              <w:bottom w:w="72" w:type="dxa"/>
              <w:right w:w="144" w:type="dxa"/>
            </w:tcMar>
            <w:hideMark/>
          </w:tcPr>
          <w:p w14:paraId="7F63A87F" w14:textId="77777777" w:rsidR="00476CF3" w:rsidRPr="001A4B94" w:rsidRDefault="00476CF3" w:rsidP="00476CF3">
            <w:pPr>
              <w:rPr>
                <w:sz w:val="18"/>
                <w:szCs w:val="18"/>
                <w:lang w:val="tr-TR"/>
              </w:rPr>
            </w:pPr>
          </w:p>
        </w:tc>
        <w:tc>
          <w:tcPr>
            <w:tcW w:w="2552" w:type="dxa"/>
            <w:tcBorders>
              <w:top w:val="single" w:sz="8" w:space="0" w:color="FFFFFF"/>
              <w:left w:val="double" w:sz="4" w:space="0" w:color="5B9BD5" w:themeColor="accent1"/>
              <w:bottom w:val="single" w:sz="8" w:space="0" w:color="FFFFFF"/>
              <w:right w:val="single" w:sz="12" w:space="0" w:color="auto"/>
            </w:tcBorders>
            <w:shd w:val="clear" w:color="auto" w:fill="D2DEEF"/>
            <w:tcMar>
              <w:top w:w="72" w:type="dxa"/>
              <w:left w:w="144" w:type="dxa"/>
              <w:bottom w:w="72" w:type="dxa"/>
              <w:right w:w="144" w:type="dxa"/>
            </w:tcMar>
            <w:hideMark/>
          </w:tcPr>
          <w:p w14:paraId="2D440F5E" w14:textId="7EA3B48F" w:rsidR="00476CF3" w:rsidRPr="001A4B94" w:rsidRDefault="0094525C" w:rsidP="00476CF3">
            <w:pPr>
              <w:rPr>
                <w:rFonts w:ascii="Arial" w:hAnsi="Arial" w:cs="Arial"/>
                <w:sz w:val="18"/>
                <w:szCs w:val="18"/>
                <w:lang w:val="tr-TR"/>
              </w:rPr>
            </w:pPr>
            <w:r w:rsidRPr="001A4B94">
              <w:rPr>
                <w:color w:val="000000"/>
                <w:kern w:val="24"/>
                <w:sz w:val="18"/>
                <w:szCs w:val="18"/>
                <w:lang w:val="tr-TR"/>
              </w:rPr>
              <w:t xml:space="preserve">KÖİ Danışmanlık ve KÖİ </w:t>
            </w:r>
            <w:r w:rsidR="00476CF3" w:rsidRPr="001A4B94">
              <w:rPr>
                <w:color w:val="000000"/>
                <w:kern w:val="24"/>
                <w:sz w:val="18"/>
                <w:szCs w:val="18"/>
                <w:lang w:val="tr-TR"/>
              </w:rPr>
              <w:t>RAS</w:t>
            </w:r>
            <w:r w:rsidRPr="001A4B94">
              <w:rPr>
                <w:color w:val="000000"/>
                <w:kern w:val="24"/>
                <w:sz w:val="18"/>
                <w:szCs w:val="18"/>
                <w:lang w:val="tr-TR"/>
              </w:rPr>
              <w:t xml:space="preserve"> Hizmetleri </w:t>
            </w:r>
          </w:p>
        </w:tc>
      </w:tr>
      <w:tr w:rsidR="00476CF3" w:rsidRPr="001A4B94" w14:paraId="53914280" w14:textId="77777777" w:rsidTr="004C4F78">
        <w:trPr>
          <w:trHeight w:val="33"/>
        </w:trPr>
        <w:tc>
          <w:tcPr>
            <w:tcW w:w="3077" w:type="dxa"/>
            <w:tcBorders>
              <w:top w:val="single" w:sz="8" w:space="0" w:color="FFFFFF"/>
              <w:left w:val="single" w:sz="12" w:space="0" w:color="auto"/>
              <w:bottom w:val="single" w:sz="12" w:space="0" w:color="auto"/>
              <w:right w:val="double" w:sz="4" w:space="0" w:color="5B9BD5" w:themeColor="accent1"/>
            </w:tcBorders>
            <w:shd w:val="clear" w:color="auto" w:fill="EAEFF7"/>
            <w:tcMar>
              <w:top w:w="72" w:type="dxa"/>
              <w:left w:w="144" w:type="dxa"/>
              <w:bottom w:w="72" w:type="dxa"/>
              <w:right w:w="144" w:type="dxa"/>
            </w:tcMar>
            <w:hideMark/>
          </w:tcPr>
          <w:p w14:paraId="6AB0FB58" w14:textId="77777777" w:rsidR="00476CF3" w:rsidRPr="001A4B94" w:rsidRDefault="00476CF3" w:rsidP="00476CF3">
            <w:pPr>
              <w:rPr>
                <w:rFonts w:ascii="Arial" w:hAnsi="Arial" w:cs="Arial"/>
                <w:sz w:val="18"/>
                <w:szCs w:val="18"/>
                <w:lang w:val="tr-TR"/>
              </w:rPr>
            </w:pPr>
          </w:p>
        </w:tc>
        <w:tc>
          <w:tcPr>
            <w:tcW w:w="3854" w:type="dxa"/>
            <w:tcBorders>
              <w:top w:val="single" w:sz="8" w:space="0" w:color="FFFFFF"/>
              <w:left w:val="double" w:sz="4" w:space="0" w:color="5B9BD5" w:themeColor="accent1"/>
              <w:bottom w:val="single" w:sz="12" w:space="0" w:color="auto"/>
              <w:right w:val="double" w:sz="4" w:space="0" w:color="5B9BD5" w:themeColor="accent1"/>
            </w:tcBorders>
            <w:shd w:val="clear" w:color="auto" w:fill="EAEFF7"/>
            <w:tcMar>
              <w:top w:w="72" w:type="dxa"/>
              <w:left w:w="144" w:type="dxa"/>
              <w:bottom w:w="72" w:type="dxa"/>
              <w:right w:w="144" w:type="dxa"/>
            </w:tcMar>
            <w:hideMark/>
          </w:tcPr>
          <w:p w14:paraId="22A74672" w14:textId="77777777" w:rsidR="00476CF3" w:rsidRPr="001A4B94" w:rsidRDefault="00476CF3" w:rsidP="00476CF3">
            <w:pPr>
              <w:rPr>
                <w:sz w:val="18"/>
                <w:szCs w:val="18"/>
                <w:lang w:val="tr-TR"/>
              </w:rPr>
            </w:pPr>
          </w:p>
        </w:tc>
        <w:tc>
          <w:tcPr>
            <w:tcW w:w="2552" w:type="dxa"/>
            <w:tcBorders>
              <w:top w:val="single" w:sz="8" w:space="0" w:color="FFFFFF"/>
              <w:left w:val="double" w:sz="4" w:space="0" w:color="5B9BD5" w:themeColor="accent1"/>
              <w:bottom w:val="single" w:sz="12" w:space="0" w:color="auto"/>
              <w:right w:val="single" w:sz="12" w:space="0" w:color="auto"/>
            </w:tcBorders>
            <w:shd w:val="clear" w:color="auto" w:fill="EAEFF7"/>
            <w:tcMar>
              <w:top w:w="72" w:type="dxa"/>
              <w:left w:w="144" w:type="dxa"/>
              <w:bottom w:w="72" w:type="dxa"/>
              <w:right w:w="144" w:type="dxa"/>
            </w:tcMar>
            <w:hideMark/>
          </w:tcPr>
          <w:p w14:paraId="06465756" w14:textId="269E6BE2" w:rsidR="00476CF3" w:rsidRPr="001A4B94" w:rsidRDefault="0094525C" w:rsidP="00476CF3">
            <w:pPr>
              <w:rPr>
                <w:rFonts w:ascii="Arial" w:hAnsi="Arial" w:cs="Arial"/>
                <w:sz w:val="18"/>
                <w:szCs w:val="18"/>
                <w:lang w:val="tr-TR"/>
              </w:rPr>
            </w:pPr>
            <w:r w:rsidRPr="001A4B94">
              <w:rPr>
                <w:color w:val="000000"/>
                <w:kern w:val="24"/>
                <w:sz w:val="18"/>
                <w:szCs w:val="18"/>
                <w:lang w:val="tr-TR"/>
              </w:rPr>
              <w:t xml:space="preserve">Konut Çalışması </w:t>
            </w:r>
          </w:p>
        </w:tc>
      </w:tr>
    </w:tbl>
    <w:p w14:paraId="4A59D978" w14:textId="77777777" w:rsidR="000D4AE4" w:rsidRPr="001A4B94" w:rsidRDefault="000D4AE4" w:rsidP="0094631B">
      <w:pPr>
        <w:tabs>
          <w:tab w:val="left" w:pos="426"/>
          <w:tab w:val="left" w:pos="2970"/>
        </w:tabs>
        <w:autoSpaceDE w:val="0"/>
        <w:autoSpaceDN w:val="0"/>
        <w:adjustRightInd w:val="0"/>
        <w:jc w:val="both"/>
        <w:rPr>
          <w:sz w:val="23"/>
          <w:szCs w:val="23"/>
          <w:lang w:val="tr-TR"/>
        </w:rPr>
      </w:pPr>
    </w:p>
    <w:p w14:paraId="571FBFB8" w14:textId="60D0C089" w:rsidR="0094631B" w:rsidRPr="001A4B94" w:rsidRDefault="0094525C" w:rsidP="00AD217A">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Vatandaş Katılımı</w:t>
      </w:r>
      <w:r w:rsidR="0094631B" w:rsidRPr="001A4B94">
        <w:rPr>
          <w:rFonts w:ascii="Times New Roman" w:hAnsi="Times New Roman"/>
          <w:b/>
          <w:iCs/>
          <w:sz w:val="23"/>
          <w:szCs w:val="23"/>
          <w:lang w:val="tr-TR"/>
        </w:rPr>
        <w:t xml:space="preserve">: </w:t>
      </w:r>
      <w:r w:rsidRPr="001A4B94">
        <w:rPr>
          <w:rFonts w:ascii="Times New Roman" w:hAnsi="Times New Roman"/>
          <w:sz w:val="23"/>
          <w:szCs w:val="23"/>
          <w:lang w:val="tr-TR"/>
        </w:rPr>
        <w:t>Ülke İşbirliği Çerçevesi, özellikle DBG’nin yatırım finansmanı portföyünde olmak üzere program kapsamında Vatandaş Katılımı faaliyetlerinin arttırılmasını ve yaygınlaştırılmasını önermektedir. Bugüne kadar</w:t>
      </w:r>
      <w:r w:rsidR="0094631B" w:rsidRPr="001A4B94">
        <w:rPr>
          <w:rFonts w:ascii="Times New Roman" w:hAnsi="Times New Roman"/>
          <w:sz w:val="23"/>
          <w:szCs w:val="23"/>
          <w:lang w:val="tr-TR"/>
        </w:rPr>
        <w:t xml:space="preserve">, </w:t>
      </w:r>
      <w:r w:rsidR="00EC0C12" w:rsidRPr="001A4B94">
        <w:rPr>
          <w:rFonts w:ascii="Times New Roman" w:hAnsi="Times New Roman"/>
          <w:sz w:val="23"/>
          <w:szCs w:val="23"/>
          <w:lang w:val="tr-TR"/>
        </w:rPr>
        <w:t>Türkiye’de IBRD deste</w:t>
      </w:r>
      <w:r w:rsidR="00B56898" w:rsidRPr="001A4B94">
        <w:rPr>
          <w:rFonts w:ascii="Times New Roman" w:hAnsi="Times New Roman"/>
          <w:sz w:val="23"/>
          <w:szCs w:val="23"/>
          <w:lang w:val="tr-TR"/>
        </w:rPr>
        <w:t>k</w:t>
      </w:r>
      <w:r w:rsidR="00EC0C12" w:rsidRPr="001A4B94">
        <w:rPr>
          <w:rFonts w:ascii="Times New Roman" w:hAnsi="Times New Roman"/>
          <w:sz w:val="23"/>
          <w:szCs w:val="23"/>
          <w:lang w:val="tr-TR"/>
        </w:rPr>
        <w:t>li çeşitli operasyonlar, koruma önleml</w:t>
      </w:r>
      <w:r w:rsidR="002E71DC" w:rsidRPr="001A4B94">
        <w:rPr>
          <w:rFonts w:ascii="Times New Roman" w:hAnsi="Times New Roman"/>
          <w:sz w:val="23"/>
          <w:szCs w:val="23"/>
          <w:lang w:val="tr-TR"/>
        </w:rPr>
        <w:t>e</w:t>
      </w:r>
      <w:r w:rsidR="00EC0C12" w:rsidRPr="001A4B94">
        <w:rPr>
          <w:rFonts w:ascii="Times New Roman" w:hAnsi="Times New Roman"/>
          <w:sz w:val="23"/>
          <w:szCs w:val="23"/>
          <w:lang w:val="tr-TR"/>
        </w:rPr>
        <w:t>rine uyum ile ilgili istişare ve şikayet mekanizmaları gibi Vatandaş Katılımı mekanizmalarından yararlanmıştır ve giderek artan sayıda operasyon faydalanıcı geri bildirim anketl</w:t>
      </w:r>
      <w:r w:rsidR="00E3272C" w:rsidRPr="001A4B94">
        <w:rPr>
          <w:rFonts w:ascii="Times New Roman" w:hAnsi="Times New Roman"/>
          <w:sz w:val="23"/>
          <w:szCs w:val="23"/>
          <w:lang w:val="tr-TR"/>
        </w:rPr>
        <w:t>e</w:t>
      </w:r>
      <w:r w:rsidR="00EC0C12" w:rsidRPr="001A4B94">
        <w:rPr>
          <w:rFonts w:ascii="Times New Roman" w:hAnsi="Times New Roman"/>
          <w:sz w:val="23"/>
          <w:szCs w:val="23"/>
          <w:lang w:val="tr-TR"/>
        </w:rPr>
        <w:t>rinden yararlanmaktadır</w:t>
      </w:r>
      <w:r w:rsidR="0094631B" w:rsidRPr="001A4B94">
        <w:rPr>
          <w:rFonts w:ascii="Times New Roman" w:hAnsi="Times New Roman"/>
          <w:sz w:val="23"/>
          <w:szCs w:val="23"/>
          <w:lang w:val="tr-TR"/>
        </w:rPr>
        <w:t xml:space="preserve">. </w:t>
      </w:r>
      <w:r w:rsidR="00EC0C12" w:rsidRPr="001A4B94">
        <w:rPr>
          <w:rFonts w:ascii="Times New Roman" w:hAnsi="Times New Roman"/>
          <w:sz w:val="23"/>
          <w:szCs w:val="23"/>
          <w:lang w:val="tr-TR"/>
        </w:rPr>
        <w:t xml:space="preserve">Örneğin, </w:t>
      </w:r>
      <w:r w:rsidR="00E3272C" w:rsidRPr="001A4B94">
        <w:rPr>
          <w:rFonts w:ascii="Times New Roman" w:hAnsi="Times New Roman"/>
          <w:sz w:val="23"/>
          <w:szCs w:val="23"/>
          <w:lang w:val="tr-TR"/>
        </w:rPr>
        <w:t>tapu ve kadastro müdürlüklerinde müşteri hizmetlerini iyileştirme hedefi kapsamında</w:t>
      </w:r>
      <w:r w:rsidR="0094631B" w:rsidRPr="001A4B94">
        <w:rPr>
          <w:rFonts w:ascii="Times New Roman" w:hAnsi="Times New Roman"/>
          <w:sz w:val="23"/>
          <w:szCs w:val="23"/>
          <w:lang w:val="tr-TR"/>
        </w:rPr>
        <w:t xml:space="preserve">, </w:t>
      </w:r>
      <w:r w:rsidR="00E3272C" w:rsidRPr="001A4B94">
        <w:rPr>
          <w:rFonts w:ascii="Times New Roman" w:hAnsi="Times New Roman"/>
          <w:sz w:val="23"/>
          <w:szCs w:val="23"/>
          <w:lang w:val="tr-TR"/>
        </w:rPr>
        <w:t xml:space="preserve">Türkiye Tapu ve Kadastro Modernizasyon Projesi </w:t>
      </w:r>
      <w:r w:rsidR="004D55E3" w:rsidRPr="001A4B94">
        <w:rPr>
          <w:rFonts w:ascii="Times New Roman" w:hAnsi="Times New Roman"/>
          <w:sz w:val="23"/>
          <w:szCs w:val="23"/>
          <w:lang w:val="tr-TR"/>
        </w:rPr>
        <w:t>kadastro hizmetlerine ilişkin faydalanıcı memnuniyetin</w:t>
      </w:r>
      <w:r w:rsidR="004C4F78" w:rsidRPr="001A4B94">
        <w:rPr>
          <w:rFonts w:ascii="Times New Roman" w:hAnsi="Times New Roman"/>
          <w:sz w:val="23"/>
          <w:szCs w:val="23"/>
          <w:lang w:val="tr-TR"/>
        </w:rPr>
        <w:t>deki artışları ve mahkemelerde b</w:t>
      </w:r>
      <w:r w:rsidR="004D55E3" w:rsidRPr="001A4B94">
        <w:rPr>
          <w:rFonts w:ascii="Times New Roman" w:hAnsi="Times New Roman"/>
          <w:sz w:val="23"/>
          <w:szCs w:val="23"/>
          <w:lang w:val="tr-TR"/>
        </w:rPr>
        <w:t xml:space="preserve">ekleyen kadastro uyuşmazlıklarının sayısındaki azalmayı izlemek için faydalanıcı geri bildirim anketlerinden </w:t>
      </w:r>
      <w:r w:rsidR="004D55E3" w:rsidRPr="001A4B94">
        <w:rPr>
          <w:rFonts w:ascii="Times New Roman" w:hAnsi="Times New Roman"/>
          <w:sz w:val="23"/>
          <w:szCs w:val="23"/>
          <w:lang w:val="tr-TR"/>
        </w:rPr>
        <w:lastRenderedPageBreak/>
        <w:t>yararlanmıştır</w:t>
      </w:r>
      <w:r w:rsidR="0094631B" w:rsidRPr="001A4B94">
        <w:rPr>
          <w:rFonts w:ascii="Times New Roman" w:hAnsi="Times New Roman"/>
          <w:sz w:val="23"/>
          <w:szCs w:val="23"/>
          <w:lang w:val="tr-TR"/>
        </w:rPr>
        <w:t xml:space="preserve">. </w:t>
      </w:r>
      <w:r w:rsidR="004D55E3" w:rsidRPr="001A4B94">
        <w:rPr>
          <w:rFonts w:ascii="Times New Roman" w:hAnsi="Times New Roman"/>
          <w:bCs/>
          <w:sz w:val="23"/>
          <w:szCs w:val="23"/>
          <w:lang w:val="tr-TR"/>
        </w:rPr>
        <w:t xml:space="preserve">Önümüzdeki CPF dönemi için, </w:t>
      </w:r>
      <w:r w:rsidR="00C45C6C" w:rsidRPr="001A4B94">
        <w:rPr>
          <w:rFonts w:ascii="Times New Roman" w:hAnsi="Times New Roman"/>
          <w:bCs/>
          <w:sz w:val="23"/>
          <w:szCs w:val="23"/>
          <w:lang w:val="tr-TR"/>
        </w:rPr>
        <w:t xml:space="preserve">yüzde 100 faydalanıcı geri bildirim hedefine ulaşabilmek için tüm </w:t>
      </w:r>
      <w:r w:rsidR="004C4F78" w:rsidRPr="001A4B94">
        <w:rPr>
          <w:rFonts w:ascii="Times New Roman" w:hAnsi="Times New Roman"/>
          <w:bCs/>
          <w:sz w:val="23"/>
          <w:szCs w:val="23"/>
          <w:lang w:val="tr-TR"/>
        </w:rPr>
        <w:t>Yatırım Projesi Finansmanı (IPF) operasyonlarında Vatandaş Katılımı mekanizmaları güçlendirilecektir</w:t>
      </w:r>
      <w:r w:rsidR="0094631B" w:rsidRPr="001A4B94">
        <w:rPr>
          <w:rFonts w:ascii="Times New Roman" w:hAnsi="Times New Roman"/>
          <w:sz w:val="23"/>
          <w:szCs w:val="23"/>
          <w:lang w:val="tr-TR"/>
        </w:rPr>
        <w:t xml:space="preserve">. </w:t>
      </w:r>
      <w:r w:rsidR="004C4F78" w:rsidRPr="001A4B94">
        <w:rPr>
          <w:rFonts w:ascii="Times New Roman" w:hAnsi="Times New Roman"/>
          <w:sz w:val="23"/>
          <w:szCs w:val="23"/>
          <w:lang w:val="tr-TR"/>
        </w:rPr>
        <w:t>Giriş noktalarını ve ilgili Vatandaş Katılımı mekanizmalarını belirlemek için tüm sektörlerde proje ekiplerine teknik yardım ve kapasite oluşturma desteği sağlanacaktır</w:t>
      </w:r>
      <w:r w:rsidR="0094631B" w:rsidRPr="001A4B94">
        <w:rPr>
          <w:rFonts w:ascii="Times New Roman" w:hAnsi="Times New Roman"/>
          <w:sz w:val="23"/>
          <w:szCs w:val="23"/>
          <w:lang w:val="tr-TR"/>
        </w:rPr>
        <w:t xml:space="preserve">. </w:t>
      </w:r>
    </w:p>
    <w:p w14:paraId="38BA51A5" w14:textId="77777777" w:rsidR="00F231FE" w:rsidRPr="001A4B94" w:rsidRDefault="00F231FE" w:rsidP="00F231FE">
      <w:pPr>
        <w:pStyle w:val="ListeParagraf"/>
        <w:tabs>
          <w:tab w:val="left" w:pos="426"/>
          <w:tab w:val="left" w:pos="2970"/>
        </w:tabs>
        <w:autoSpaceDE w:val="0"/>
        <w:autoSpaceDN w:val="0"/>
        <w:adjustRightInd w:val="0"/>
        <w:spacing w:after="0" w:line="240" w:lineRule="auto"/>
        <w:ind w:left="0"/>
        <w:jc w:val="both"/>
        <w:rPr>
          <w:rFonts w:ascii="Times New Roman" w:hAnsi="Times New Roman"/>
          <w:sz w:val="11"/>
          <w:szCs w:val="11"/>
          <w:lang w:val="tr-TR"/>
        </w:rPr>
      </w:pPr>
    </w:p>
    <w:p w14:paraId="462095E4" w14:textId="5DD38902" w:rsidR="0094631B" w:rsidRPr="001A4B94" w:rsidRDefault="004C4F78" w:rsidP="00562342">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color w:val="000000"/>
          <w:sz w:val="23"/>
          <w:szCs w:val="23"/>
          <w:lang w:val="tr-TR"/>
        </w:rPr>
        <w:t>Dünya Bankası’nın Vatandaş Katılımını yaygınlaştırma</w:t>
      </w:r>
      <w:r w:rsidR="00B56898" w:rsidRPr="001A4B94">
        <w:rPr>
          <w:rFonts w:ascii="Times New Roman" w:hAnsi="Times New Roman"/>
          <w:b/>
          <w:color w:val="000000"/>
          <w:sz w:val="23"/>
          <w:szCs w:val="23"/>
          <w:lang w:val="tr-TR"/>
        </w:rPr>
        <w:t>ya</w:t>
      </w:r>
      <w:r w:rsidRPr="001A4B94">
        <w:rPr>
          <w:rFonts w:ascii="Times New Roman" w:hAnsi="Times New Roman"/>
          <w:b/>
          <w:color w:val="000000"/>
          <w:sz w:val="23"/>
          <w:szCs w:val="23"/>
          <w:lang w:val="tr-TR"/>
        </w:rPr>
        <w:t xml:space="preserve"> yönelik yaklaşımı</w:t>
      </w:r>
      <w:r w:rsidR="0089625F" w:rsidRPr="001A4B94">
        <w:rPr>
          <w:rFonts w:ascii="Times New Roman" w:hAnsi="Times New Roman"/>
          <w:b/>
          <w:color w:val="000000"/>
          <w:sz w:val="23"/>
          <w:szCs w:val="23"/>
          <w:lang w:val="tr-TR"/>
        </w:rPr>
        <w:t>,</w:t>
      </w:r>
      <w:r w:rsidRPr="001A4B94">
        <w:rPr>
          <w:rFonts w:ascii="Times New Roman" w:hAnsi="Times New Roman"/>
          <w:b/>
          <w:color w:val="000000"/>
          <w:sz w:val="23"/>
          <w:szCs w:val="23"/>
          <w:lang w:val="tr-TR"/>
        </w:rPr>
        <w:t xml:space="preserve"> </w:t>
      </w:r>
      <w:r w:rsidR="00AC5A43" w:rsidRPr="001A4B94">
        <w:rPr>
          <w:rFonts w:ascii="Times New Roman" w:hAnsi="Times New Roman"/>
          <w:b/>
          <w:color w:val="000000"/>
          <w:sz w:val="23"/>
          <w:szCs w:val="23"/>
          <w:lang w:val="tr-TR"/>
        </w:rPr>
        <w:t>Kalkınma Planı öncelikleri ve Türkiye’nin 16 numaralı Sürdürülebilir Kalkınma Hedefine Ulaşma yönündeki adımları ile uyumludur</w:t>
      </w:r>
      <w:r w:rsidR="00C91415" w:rsidRPr="001A4B94">
        <w:rPr>
          <w:rStyle w:val="DipnotBavurusu"/>
          <w:rFonts w:ascii="Times New Roman" w:hAnsi="Times New Roman"/>
          <w:b/>
          <w:sz w:val="23"/>
          <w:szCs w:val="23"/>
          <w:lang w:val="tr-TR"/>
        </w:rPr>
        <w:footnoteReference w:id="7"/>
      </w:r>
      <w:r w:rsidR="0094631B" w:rsidRPr="001A4B94">
        <w:rPr>
          <w:rFonts w:ascii="Times New Roman" w:hAnsi="Times New Roman"/>
          <w:b/>
          <w:sz w:val="23"/>
          <w:szCs w:val="23"/>
          <w:lang w:val="tr-TR"/>
        </w:rPr>
        <w:t>.</w:t>
      </w:r>
      <w:r w:rsidR="0094631B" w:rsidRPr="001A4B94">
        <w:rPr>
          <w:rFonts w:ascii="Times New Roman" w:hAnsi="Times New Roman"/>
          <w:sz w:val="23"/>
          <w:szCs w:val="23"/>
          <w:lang w:val="tr-TR"/>
        </w:rPr>
        <w:t xml:space="preserve">  </w:t>
      </w:r>
      <w:r w:rsidR="00AC5A43" w:rsidRPr="001A4B94">
        <w:rPr>
          <w:rFonts w:ascii="Times New Roman" w:hAnsi="Times New Roman"/>
          <w:sz w:val="23"/>
          <w:szCs w:val="23"/>
          <w:lang w:val="tr-TR"/>
        </w:rPr>
        <w:t xml:space="preserve">Kalkınma Planı, </w:t>
      </w:r>
      <w:r w:rsidR="00E7132B" w:rsidRPr="001A4B94">
        <w:rPr>
          <w:rFonts w:ascii="Times New Roman" w:hAnsi="Times New Roman"/>
          <w:sz w:val="23"/>
          <w:szCs w:val="23"/>
          <w:lang w:val="tr-TR"/>
        </w:rPr>
        <w:t xml:space="preserve">güçlü, çeşitlilik arz eden, çoğulcu ve sürdürülebilir bir sivil toplum için uygun bir ortam yaratarak ve toplumun tüm kesimleri için sosyal ve ekonomik kalkınma süreçlerine katılma fırsatları sunarak, </w:t>
      </w:r>
      <w:r w:rsidR="00920B9E" w:rsidRPr="001A4B94">
        <w:rPr>
          <w:rFonts w:ascii="Times New Roman" w:hAnsi="Times New Roman"/>
          <w:sz w:val="23"/>
          <w:szCs w:val="23"/>
          <w:lang w:val="tr-TR"/>
        </w:rPr>
        <w:t>sivil toplum sektörünün güçlendirilm</w:t>
      </w:r>
      <w:r w:rsidR="00E7132B" w:rsidRPr="001A4B94">
        <w:rPr>
          <w:rFonts w:ascii="Times New Roman" w:hAnsi="Times New Roman"/>
          <w:sz w:val="23"/>
          <w:szCs w:val="23"/>
          <w:lang w:val="tr-TR"/>
        </w:rPr>
        <w:t>e</w:t>
      </w:r>
      <w:r w:rsidR="00920B9E" w:rsidRPr="001A4B94">
        <w:rPr>
          <w:rFonts w:ascii="Times New Roman" w:hAnsi="Times New Roman"/>
          <w:sz w:val="23"/>
          <w:szCs w:val="23"/>
          <w:lang w:val="tr-TR"/>
        </w:rPr>
        <w:t xml:space="preserve">sine öncelik vermiştir. </w:t>
      </w:r>
      <w:r w:rsidR="00B32AD4" w:rsidRPr="001A4B94">
        <w:rPr>
          <w:rFonts w:ascii="Times New Roman" w:hAnsi="Times New Roman"/>
          <w:sz w:val="23"/>
          <w:szCs w:val="23"/>
          <w:lang w:val="tr-TR"/>
        </w:rPr>
        <w:t xml:space="preserve">ASA </w:t>
      </w:r>
      <w:r w:rsidR="00E7132B" w:rsidRPr="001A4B94">
        <w:rPr>
          <w:rFonts w:ascii="Times New Roman" w:hAnsi="Times New Roman"/>
          <w:sz w:val="23"/>
          <w:szCs w:val="23"/>
          <w:lang w:val="tr-TR"/>
        </w:rPr>
        <w:t xml:space="preserve">portföyü </w:t>
      </w:r>
      <w:r w:rsidR="00234B6C" w:rsidRPr="001A4B94">
        <w:rPr>
          <w:rFonts w:ascii="Times New Roman" w:hAnsi="Times New Roman"/>
          <w:sz w:val="23"/>
          <w:szCs w:val="23"/>
          <w:lang w:val="tr-TR"/>
        </w:rPr>
        <w:t xml:space="preserve">Türkiye’nin Vatandaş Katılımı </w:t>
      </w:r>
      <w:r w:rsidR="00575CA5" w:rsidRPr="001A4B94">
        <w:rPr>
          <w:rFonts w:ascii="Times New Roman" w:hAnsi="Times New Roman"/>
          <w:sz w:val="23"/>
          <w:szCs w:val="23"/>
          <w:lang w:val="tr-TR"/>
        </w:rPr>
        <w:t>ve katılımcı kamu idaresi reformları ile ilgili iyi uygulamalarını belgeleyerek ve yaygınlaştırarak Vatandaş Katılımının güçlendirilmesi üzerindeki odağını arttıracaktır</w:t>
      </w:r>
      <w:r w:rsidR="00B32AD4" w:rsidRPr="001A4B94">
        <w:rPr>
          <w:rFonts w:ascii="Times New Roman" w:hAnsi="Times New Roman"/>
          <w:sz w:val="23"/>
          <w:szCs w:val="23"/>
          <w:lang w:val="tr-TR"/>
        </w:rPr>
        <w:t xml:space="preserve">. </w:t>
      </w:r>
      <w:r w:rsidR="00575CA5" w:rsidRPr="001A4B94">
        <w:rPr>
          <w:rFonts w:ascii="Times New Roman" w:hAnsi="Times New Roman"/>
          <w:sz w:val="23"/>
          <w:szCs w:val="23"/>
          <w:lang w:val="tr-TR"/>
        </w:rPr>
        <w:t xml:space="preserve">Hizmet kalitesinin iyileştirilmesi amacıyla açık ve hesap verebilir kurumlar hakkında devam etmekte olan diyalog ve  </w:t>
      </w:r>
      <w:r w:rsidR="00D45B9C" w:rsidRPr="001A4B94">
        <w:rPr>
          <w:rFonts w:ascii="Times New Roman" w:hAnsi="Times New Roman"/>
          <w:sz w:val="23"/>
          <w:szCs w:val="23"/>
          <w:lang w:val="tr-TR"/>
        </w:rPr>
        <w:t>sağlık</w:t>
      </w:r>
      <w:r w:rsidR="00575CA5" w:rsidRPr="001A4B94">
        <w:rPr>
          <w:rFonts w:ascii="Times New Roman" w:hAnsi="Times New Roman"/>
          <w:sz w:val="23"/>
          <w:szCs w:val="23"/>
          <w:lang w:val="tr-TR"/>
        </w:rPr>
        <w:t xml:space="preserve">, </w:t>
      </w:r>
      <w:r w:rsidR="00D45B9C" w:rsidRPr="001A4B94">
        <w:rPr>
          <w:rFonts w:ascii="Times New Roman" w:hAnsi="Times New Roman"/>
          <w:sz w:val="23"/>
          <w:szCs w:val="23"/>
          <w:lang w:val="tr-TR"/>
        </w:rPr>
        <w:t>arazi yönetimi</w:t>
      </w:r>
      <w:r w:rsidR="00575CA5" w:rsidRPr="001A4B94">
        <w:rPr>
          <w:rFonts w:ascii="Times New Roman" w:hAnsi="Times New Roman"/>
          <w:sz w:val="23"/>
          <w:szCs w:val="23"/>
          <w:lang w:val="tr-TR"/>
        </w:rPr>
        <w:t xml:space="preserve">, </w:t>
      </w:r>
      <w:r w:rsidR="00D45B9C" w:rsidRPr="001A4B94">
        <w:rPr>
          <w:rFonts w:ascii="Times New Roman" w:hAnsi="Times New Roman"/>
          <w:sz w:val="23"/>
          <w:szCs w:val="23"/>
          <w:lang w:val="tr-TR"/>
        </w:rPr>
        <w:t xml:space="preserve">yerel yönetim ve göç yönetimi </w:t>
      </w:r>
      <w:r w:rsidR="00575CA5" w:rsidRPr="001A4B94">
        <w:rPr>
          <w:rFonts w:ascii="Times New Roman" w:hAnsi="Times New Roman"/>
          <w:sz w:val="23"/>
          <w:szCs w:val="23"/>
          <w:lang w:val="tr-TR"/>
        </w:rPr>
        <w:t xml:space="preserve">gibi seçilen alanlarda bakanlıklar / kurumlar ile </w:t>
      </w:r>
      <w:r w:rsidR="00D45B9C" w:rsidRPr="001A4B94">
        <w:rPr>
          <w:rFonts w:ascii="Times New Roman" w:hAnsi="Times New Roman"/>
          <w:sz w:val="23"/>
          <w:szCs w:val="23"/>
          <w:lang w:val="tr-TR"/>
        </w:rPr>
        <w:t>daha fazla diyalog sağlanarak Vatandaş Katılımı ile ilgili ortak çalışmalar daha da derinleştirilecektir. Bu kapsamda, aşağıdaki konular üzerinde daha fazla odaklanılacaktır:</w:t>
      </w:r>
      <w:r w:rsidR="0094631B" w:rsidRPr="001A4B94">
        <w:rPr>
          <w:rFonts w:ascii="Times New Roman" w:hAnsi="Times New Roman"/>
          <w:sz w:val="23"/>
          <w:szCs w:val="23"/>
          <w:lang w:val="tr-TR"/>
        </w:rPr>
        <w:t xml:space="preserve"> (i) </w:t>
      </w:r>
      <w:r w:rsidR="00D45B9C" w:rsidRPr="001A4B94">
        <w:rPr>
          <w:rFonts w:ascii="Times New Roman" w:hAnsi="Times New Roman"/>
          <w:sz w:val="23"/>
          <w:szCs w:val="23"/>
          <w:lang w:val="tr-TR"/>
        </w:rPr>
        <w:t>şikayetlerin giderilmesine yönelik sistemlerin güçlendirilmesi</w:t>
      </w:r>
      <w:r w:rsidR="000056A1" w:rsidRPr="001A4B94">
        <w:rPr>
          <w:rFonts w:ascii="Times New Roman" w:hAnsi="Times New Roman"/>
          <w:sz w:val="23"/>
          <w:szCs w:val="23"/>
          <w:lang w:val="tr-TR"/>
        </w:rPr>
        <w:t xml:space="preserve">; (ii) </w:t>
      </w:r>
      <w:r w:rsidR="00D45B9C" w:rsidRPr="001A4B94">
        <w:rPr>
          <w:rFonts w:ascii="Times New Roman" w:hAnsi="Times New Roman"/>
          <w:sz w:val="23"/>
          <w:szCs w:val="23"/>
          <w:lang w:val="tr-TR"/>
        </w:rPr>
        <w:t>özellikle kadınlar olmak üzere halkın sosyal ve çevresel konulardaki kat</w:t>
      </w:r>
      <w:r w:rsidR="00DB3100" w:rsidRPr="001A4B94">
        <w:rPr>
          <w:rFonts w:ascii="Times New Roman" w:hAnsi="Times New Roman"/>
          <w:sz w:val="23"/>
          <w:szCs w:val="23"/>
          <w:lang w:val="tr-TR"/>
        </w:rPr>
        <w:t>ı</w:t>
      </w:r>
      <w:r w:rsidR="00D45B9C" w:rsidRPr="001A4B94">
        <w:rPr>
          <w:rFonts w:ascii="Times New Roman" w:hAnsi="Times New Roman"/>
          <w:sz w:val="23"/>
          <w:szCs w:val="23"/>
          <w:lang w:val="tr-TR"/>
        </w:rPr>
        <w:t xml:space="preserve">lımının önünde yer alan </w:t>
      </w:r>
      <w:r w:rsidR="00737CC9" w:rsidRPr="001A4B94">
        <w:rPr>
          <w:rFonts w:ascii="Times New Roman" w:hAnsi="Times New Roman"/>
          <w:sz w:val="23"/>
          <w:szCs w:val="23"/>
          <w:lang w:val="tr-TR"/>
        </w:rPr>
        <w:t>engellerin kaldırılması</w:t>
      </w:r>
      <w:r w:rsidR="0094631B" w:rsidRPr="001A4B94">
        <w:rPr>
          <w:rFonts w:ascii="Times New Roman" w:hAnsi="Times New Roman"/>
          <w:sz w:val="23"/>
          <w:szCs w:val="23"/>
          <w:lang w:val="tr-TR"/>
        </w:rPr>
        <w:t xml:space="preserve">; </w:t>
      </w:r>
      <w:r w:rsidR="00737CC9" w:rsidRPr="001A4B94">
        <w:rPr>
          <w:rFonts w:ascii="Times New Roman" w:hAnsi="Times New Roman"/>
          <w:sz w:val="23"/>
          <w:szCs w:val="23"/>
          <w:lang w:val="tr-TR"/>
        </w:rPr>
        <w:t xml:space="preserve">ve </w:t>
      </w:r>
      <w:r w:rsidR="0094631B" w:rsidRPr="001A4B94">
        <w:rPr>
          <w:rFonts w:ascii="Times New Roman" w:hAnsi="Times New Roman"/>
          <w:sz w:val="23"/>
          <w:szCs w:val="23"/>
          <w:lang w:val="tr-TR"/>
        </w:rPr>
        <w:t xml:space="preserve">(iii) </w:t>
      </w:r>
      <w:r w:rsidR="00DD2F54" w:rsidRPr="001A4B94">
        <w:rPr>
          <w:rFonts w:ascii="Times New Roman" w:hAnsi="Times New Roman"/>
          <w:sz w:val="23"/>
          <w:szCs w:val="23"/>
          <w:lang w:val="tr-TR"/>
        </w:rPr>
        <w:t>topluluk kurumlarının afet riski azaltma ve yönetme faaliyetlerine katılımlarının sağlanması</w:t>
      </w:r>
      <w:r w:rsidR="0094631B" w:rsidRPr="001A4B94">
        <w:rPr>
          <w:rFonts w:ascii="Times New Roman" w:hAnsi="Times New Roman"/>
          <w:sz w:val="23"/>
          <w:szCs w:val="23"/>
          <w:lang w:val="tr-TR"/>
        </w:rPr>
        <w:t xml:space="preserve">. </w:t>
      </w:r>
      <w:r w:rsidR="00DD2F54" w:rsidRPr="001A4B94">
        <w:rPr>
          <w:rFonts w:ascii="Times New Roman" w:hAnsi="Times New Roman"/>
          <w:sz w:val="23"/>
          <w:szCs w:val="23"/>
          <w:lang w:val="tr-TR"/>
        </w:rPr>
        <w:t>Ek-8’de ayrıntılı bir Vatandaş Katılımı Yol Haritası sunulmaktadır</w:t>
      </w:r>
      <w:r w:rsidR="00B32AD4" w:rsidRPr="001A4B94">
        <w:rPr>
          <w:rFonts w:ascii="Times New Roman" w:hAnsi="Times New Roman"/>
          <w:sz w:val="23"/>
          <w:szCs w:val="23"/>
          <w:lang w:val="tr-TR"/>
        </w:rPr>
        <w:t>.</w:t>
      </w:r>
    </w:p>
    <w:p w14:paraId="2C9D7B5A" w14:textId="77777777" w:rsidR="006E5641" w:rsidRPr="001A4B94" w:rsidRDefault="006E5641" w:rsidP="001D5BC7">
      <w:pPr>
        <w:pStyle w:val="ListeParagraf"/>
        <w:tabs>
          <w:tab w:val="left" w:pos="426"/>
          <w:tab w:val="left" w:pos="2970"/>
        </w:tabs>
        <w:autoSpaceDE w:val="0"/>
        <w:autoSpaceDN w:val="0"/>
        <w:adjustRightInd w:val="0"/>
        <w:spacing w:after="0" w:line="240" w:lineRule="auto"/>
        <w:ind w:left="0"/>
        <w:jc w:val="both"/>
        <w:rPr>
          <w:lang w:val="tr-TR"/>
        </w:rPr>
      </w:pPr>
    </w:p>
    <w:tbl>
      <w:tblPr>
        <w:tblW w:w="9315" w:type="dxa"/>
        <w:tblCellMar>
          <w:left w:w="0" w:type="dxa"/>
          <w:right w:w="0" w:type="dxa"/>
        </w:tblCellMar>
        <w:tblLook w:val="04A0" w:firstRow="1" w:lastRow="0" w:firstColumn="1" w:lastColumn="0" w:noHBand="0" w:noVBand="1"/>
      </w:tblPr>
      <w:tblGrid>
        <w:gridCol w:w="9315"/>
      </w:tblGrid>
      <w:tr w:rsidR="00A53FEF" w:rsidRPr="001A4B94" w14:paraId="5E9B8285" w14:textId="77777777" w:rsidTr="00307645">
        <w:trPr>
          <w:trHeight w:val="337"/>
        </w:trPr>
        <w:tc>
          <w:tcPr>
            <w:tcW w:w="9315"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9FC4978" w14:textId="360B809A" w:rsidR="00A53FEF" w:rsidRPr="001A4B94" w:rsidRDefault="00A53FEF" w:rsidP="00307645">
            <w:pPr>
              <w:jc w:val="center"/>
              <w:rPr>
                <w:b/>
                <w:sz w:val="21"/>
                <w:szCs w:val="21"/>
                <w:lang w:val="tr-TR"/>
              </w:rPr>
            </w:pPr>
            <w:r w:rsidRPr="001A4B94">
              <w:rPr>
                <w:b/>
                <w:sz w:val="21"/>
                <w:szCs w:val="21"/>
                <w:lang w:val="tr-TR"/>
              </w:rPr>
              <w:t>Don</w:t>
            </w:r>
            <w:r w:rsidR="00DD2F54" w:rsidRPr="001A4B94">
              <w:rPr>
                <w:b/>
                <w:sz w:val="21"/>
                <w:szCs w:val="21"/>
                <w:lang w:val="tr-TR"/>
              </w:rPr>
              <w:t>ö</w:t>
            </w:r>
            <w:r w:rsidRPr="001A4B94">
              <w:rPr>
                <w:b/>
                <w:sz w:val="21"/>
                <w:szCs w:val="21"/>
                <w:lang w:val="tr-TR"/>
              </w:rPr>
              <w:t xml:space="preserve">r </w:t>
            </w:r>
            <w:r w:rsidR="00DD2F54" w:rsidRPr="001A4B94">
              <w:rPr>
                <w:b/>
                <w:sz w:val="21"/>
                <w:szCs w:val="21"/>
                <w:lang w:val="tr-TR"/>
              </w:rPr>
              <w:t xml:space="preserve">Koordinasyonu ve Kaynakların Harekete Geçirilmesi </w:t>
            </w:r>
          </w:p>
        </w:tc>
      </w:tr>
      <w:tr w:rsidR="00A53FEF" w:rsidRPr="001A4B94" w14:paraId="2CA68323" w14:textId="77777777" w:rsidTr="00307645">
        <w:trPr>
          <w:trHeight w:val="4149"/>
        </w:trPr>
        <w:tc>
          <w:tcPr>
            <w:tcW w:w="9315" w:type="dxa"/>
            <w:tcBorders>
              <w:top w:val="single" w:sz="8"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14:paraId="60215A99" w14:textId="75049A97" w:rsidR="001952B7" w:rsidRPr="001A4B94" w:rsidRDefault="00DD2F54" w:rsidP="001952B7">
            <w:pPr>
              <w:jc w:val="both"/>
              <w:rPr>
                <w:iCs/>
                <w:sz w:val="20"/>
                <w:szCs w:val="20"/>
                <w:lang w:val="tr-TR"/>
              </w:rPr>
            </w:pPr>
            <w:r w:rsidRPr="001A4B94">
              <w:rPr>
                <w:iCs/>
                <w:sz w:val="20"/>
                <w:szCs w:val="20"/>
                <w:lang w:val="tr-TR"/>
              </w:rPr>
              <w:t>Dünya Ba</w:t>
            </w:r>
            <w:r w:rsidR="004F5CDF" w:rsidRPr="001A4B94">
              <w:rPr>
                <w:iCs/>
                <w:sz w:val="20"/>
                <w:szCs w:val="20"/>
                <w:lang w:val="tr-TR"/>
              </w:rPr>
              <w:t>nk</w:t>
            </w:r>
            <w:r w:rsidRPr="001A4B94">
              <w:rPr>
                <w:iCs/>
                <w:sz w:val="20"/>
                <w:szCs w:val="20"/>
                <w:lang w:val="tr-TR"/>
              </w:rPr>
              <w:t>ası G</w:t>
            </w:r>
            <w:r w:rsidR="004F5CDF" w:rsidRPr="001A4B94">
              <w:rPr>
                <w:iCs/>
                <w:sz w:val="20"/>
                <w:szCs w:val="20"/>
                <w:lang w:val="tr-TR"/>
              </w:rPr>
              <w:t>r</w:t>
            </w:r>
            <w:r w:rsidRPr="001A4B94">
              <w:rPr>
                <w:iCs/>
                <w:sz w:val="20"/>
                <w:szCs w:val="20"/>
                <w:lang w:val="tr-TR"/>
              </w:rPr>
              <w:t xml:space="preserve">ubu’nun Türkiye’deki programı kalkınma ortakları ile </w:t>
            </w:r>
            <w:r w:rsidR="00684E05" w:rsidRPr="001A4B94">
              <w:rPr>
                <w:iCs/>
                <w:sz w:val="20"/>
                <w:szCs w:val="20"/>
                <w:lang w:val="tr-TR"/>
              </w:rPr>
              <w:t>işbirliğini derinleştirmeye devam etmek ve DBG’nin daha fazla kaynağı harekete geçirme ve ülkelerin finansman ihtiyaçları için kaldıraç etkisi yaratma stratejik hedefini yakalama doğrultusunda çoklu kanallardan yararlanmak için güçlü bir şekilde konumlandırılmıştır</w:t>
            </w:r>
            <w:r w:rsidR="00495B39" w:rsidRPr="001A4B94">
              <w:rPr>
                <w:iCs/>
                <w:sz w:val="20"/>
                <w:szCs w:val="20"/>
                <w:lang w:val="tr-TR"/>
              </w:rPr>
              <w:t xml:space="preserve">. </w:t>
            </w:r>
            <w:r w:rsidR="00750C63" w:rsidRPr="001A4B94">
              <w:rPr>
                <w:iCs/>
                <w:sz w:val="20"/>
                <w:szCs w:val="20"/>
                <w:lang w:val="tr-TR"/>
              </w:rPr>
              <w:t xml:space="preserve"> T</w:t>
            </w:r>
            <w:r w:rsidR="00684E05" w:rsidRPr="001A4B94">
              <w:rPr>
                <w:iCs/>
                <w:sz w:val="20"/>
                <w:szCs w:val="20"/>
                <w:lang w:val="tr-TR"/>
              </w:rPr>
              <w:t xml:space="preserve">ürkiye enerji sektöründe özel sektör finansmanının harekete geçirilmesi bakımından “basamak” yaklaşımının sunduğu güçlü bir örnekten </w:t>
            </w:r>
            <w:r w:rsidR="00DF4FF6" w:rsidRPr="001A4B94">
              <w:rPr>
                <w:iCs/>
                <w:sz w:val="20"/>
                <w:szCs w:val="20"/>
                <w:lang w:val="tr-TR"/>
              </w:rPr>
              <w:t>yararlanmaktadır</w:t>
            </w:r>
            <w:r w:rsidR="00750C63" w:rsidRPr="001A4B94">
              <w:rPr>
                <w:iCs/>
                <w:sz w:val="20"/>
                <w:szCs w:val="20"/>
                <w:lang w:val="tr-TR"/>
              </w:rPr>
              <w:t xml:space="preserve">.  </w:t>
            </w:r>
            <w:r w:rsidR="00DF4FF6" w:rsidRPr="001A4B94">
              <w:rPr>
                <w:iCs/>
                <w:sz w:val="20"/>
                <w:szCs w:val="20"/>
                <w:lang w:val="tr-TR"/>
              </w:rPr>
              <w:t>Aynı sektörde</w:t>
            </w:r>
            <w:r w:rsidR="00750C63" w:rsidRPr="001A4B94">
              <w:rPr>
                <w:iCs/>
                <w:sz w:val="20"/>
                <w:szCs w:val="20"/>
                <w:lang w:val="tr-TR"/>
              </w:rPr>
              <w:t xml:space="preserve">, </w:t>
            </w:r>
            <w:r w:rsidR="00A53FEF" w:rsidRPr="001A4B94">
              <w:rPr>
                <w:iCs/>
                <w:sz w:val="20"/>
                <w:szCs w:val="20"/>
                <w:lang w:val="tr-TR"/>
              </w:rPr>
              <w:t xml:space="preserve">IBRD </w:t>
            </w:r>
            <w:r w:rsidR="00DF4FF6" w:rsidRPr="001A4B94">
              <w:rPr>
                <w:iCs/>
                <w:sz w:val="20"/>
                <w:szCs w:val="20"/>
                <w:lang w:val="tr-TR"/>
              </w:rPr>
              <w:t>Trans Anadolu Boru Hattı Projesi (TANAP) yoluyla Azerba</w:t>
            </w:r>
            <w:r w:rsidR="004476E0" w:rsidRPr="001A4B94">
              <w:rPr>
                <w:iCs/>
                <w:sz w:val="20"/>
                <w:szCs w:val="20"/>
                <w:lang w:val="tr-TR"/>
              </w:rPr>
              <w:t>y</w:t>
            </w:r>
            <w:r w:rsidR="00DF4FF6" w:rsidRPr="001A4B94">
              <w:rPr>
                <w:iCs/>
                <w:sz w:val="20"/>
                <w:szCs w:val="20"/>
                <w:lang w:val="tr-TR"/>
              </w:rPr>
              <w:t>can’dan gaz ithalatı ile birlikte Türkiye’nin gaz arzının güvence altına alınmasını ve çeşitlendirilmesini destekleyici nitelikte örnek bir UFK girişimine öncülük etmiştir. Söz konusu proje için Türkiye’ye ve Azerbaycan’a sağlanan 8</w:t>
            </w:r>
            <w:r w:rsidR="00434005" w:rsidRPr="001A4B94">
              <w:rPr>
                <w:iCs/>
                <w:sz w:val="20"/>
                <w:szCs w:val="20"/>
                <w:lang w:val="tr-TR"/>
              </w:rPr>
              <w:t>0</w:t>
            </w:r>
            <w:r w:rsidR="00DF4FF6" w:rsidRPr="001A4B94">
              <w:rPr>
                <w:iCs/>
                <w:sz w:val="20"/>
                <w:szCs w:val="20"/>
                <w:lang w:val="tr-TR"/>
              </w:rPr>
              <w:t>0 milyon ABD$ tut</w:t>
            </w:r>
            <w:r w:rsidR="00414D65" w:rsidRPr="001A4B94">
              <w:rPr>
                <w:iCs/>
                <w:sz w:val="20"/>
                <w:szCs w:val="20"/>
                <w:lang w:val="tr-TR"/>
              </w:rPr>
              <w:t>a</w:t>
            </w:r>
            <w:r w:rsidR="00DF4FF6" w:rsidRPr="001A4B94">
              <w:rPr>
                <w:iCs/>
                <w:sz w:val="20"/>
                <w:szCs w:val="20"/>
                <w:lang w:val="tr-TR"/>
              </w:rPr>
              <w:t>rındaki bir</w:t>
            </w:r>
            <w:r w:rsidR="00434005" w:rsidRPr="001A4B94">
              <w:rPr>
                <w:iCs/>
                <w:sz w:val="20"/>
                <w:szCs w:val="20"/>
                <w:lang w:val="tr-TR"/>
              </w:rPr>
              <w:t>er</w:t>
            </w:r>
            <w:r w:rsidR="00DF4FF6" w:rsidRPr="001A4B94">
              <w:rPr>
                <w:iCs/>
                <w:sz w:val="20"/>
                <w:szCs w:val="20"/>
                <w:lang w:val="tr-TR"/>
              </w:rPr>
              <w:t xml:space="preserve"> IBRD kredisi, </w:t>
            </w:r>
            <w:r w:rsidR="00414D65" w:rsidRPr="001A4B94">
              <w:rPr>
                <w:iCs/>
                <w:sz w:val="20"/>
                <w:szCs w:val="20"/>
                <w:lang w:val="tr-TR"/>
              </w:rPr>
              <w:t>Asya Altyapı Yatırım Bankası’ndan (AIIB) 600 milyon ABD$ tutarında bir finansmanı harekete geçirmiştir ve 1,2 milyar ABD$’na kadar ulaşabilecek bir MIGA garantisini harek</w:t>
            </w:r>
            <w:r w:rsidR="002136DD" w:rsidRPr="001A4B94">
              <w:rPr>
                <w:iCs/>
                <w:sz w:val="20"/>
                <w:szCs w:val="20"/>
                <w:lang w:val="tr-TR"/>
              </w:rPr>
              <w:t>ete geçirmesi beklenmektedir</w:t>
            </w:r>
            <w:r w:rsidR="001952B7" w:rsidRPr="001A4B94">
              <w:rPr>
                <w:iCs/>
                <w:sz w:val="20"/>
                <w:szCs w:val="20"/>
                <w:lang w:val="tr-TR"/>
              </w:rPr>
              <w:t xml:space="preserve">. </w:t>
            </w:r>
            <w:r w:rsidR="002136DD" w:rsidRPr="001A4B94">
              <w:rPr>
                <w:iCs/>
                <w:sz w:val="20"/>
                <w:szCs w:val="20"/>
                <w:lang w:val="tr-TR"/>
              </w:rPr>
              <w:t>Bu çaba</w:t>
            </w:r>
            <w:r w:rsidR="004476E0" w:rsidRPr="001A4B94">
              <w:rPr>
                <w:iCs/>
                <w:sz w:val="20"/>
                <w:szCs w:val="20"/>
                <w:lang w:val="tr-TR"/>
              </w:rPr>
              <w:t>, söz konusu projeye yönelik 2 milyar ABD$ tutarındaki özel sektör finansmanını</w:t>
            </w:r>
            <w:r w:rsidR="00A1527F" w:rsidRPr="001A4B94">
              <w:rPr>
                <w:iCs/>
                <w:sz w:val="20"/>
                <w:szCs w:val="20"/>
                <w:lang w:val="tr-TR"/>
              </w:rPr>
              <w:t>n</w:t>
            </w:r>
            <w:r w:rsidR="004476E0" w:rsidRPr="001A4B94">
              <w:rPr>
                <w:iCs/>
                <w:sz w:val="20"/>
                <w:szCs w:val="20"/>
                <w:lang w:val="tr-TR"/>
              </w:rPr>
              <w:t xml:space="preserve"> bir bölümünün karşılanmasını sağlamıştır</w:t>
            </w:r>
            <w:r w:rsidR="001952B7" w:rsidRPr="001A4B94">
              <w:rPr>
                <w:iCs/>
                <w:sz w:val="20"/>
                <w:szCs w:val="20"/>
                <w:lang w:val="tr-TR"/>
              </w:rPr>
              <w:t xml:space="preserve">. </w:t>
            </w:r>
            <w:r w:rsidR="004476E0" w:rsidRPr="001A4B94">
              <w:rPr>
                <w:iCs/>
                <w:sz w:val="20"/>
                <w:szCs w:val="20"/>
                <w:lang w:val="tr-TR"/>
              </w:rPr>
              <w:t>Dünya Bankası Grubu’nun durum tespit çalışmaları ve diğer UFK’lar ile işbirliği</w:t>
            </w:r>
            <w:r w:rsidR="008C60A4" w:rsidRPr="001A4B94">
              <w:rPr>
                <w:iCs/>
                <w:sz w:val="20"/>
                <w:szCs w:val="20"/>
                <w:lang w:val="tr-TR"/>
              </w:rPr>
              <w:t xml:space="preserve"> yoluyla</w:t>
            </w:r>
            <w:r w:rsidR="004476E0" w:rsidRPr="001A4B94">
              <w:rPr>
                <w:iCs/>
                <w:sz w:val="20"/>
                <w:szCs w:val="20"/>
                <w:lang w:val="tr-TR"/>
              </w:rPr>
              <w:t xml:space="preserve">,  </w:t>
            </w:r>
            <w:r w:rsidR="008C60A4" w:rsidRPr="001A4B94">
              <w:rPr>
                <w:iCs/>
                <w:sz w:val="20"/>
                <w:szCs w:val="20"/>
                <w:lang w:val="tr-TR"/>
              </w:rPr>
              <w:t>bu proje için EBRD ve Avrupa Yatırım Bankası’ndan daha fazla finansmanın harekete geçirilmesi amaçlanmıştır</w:t>
            </w:r>
            <w:r w:rsidR="001952B7" w:rsidRPr="001A4B94">
              <w:rPr>
                <w:iCs/>
                <w:sz w:val="20"/>
                <w:szCs w:val="20"/>
                <w:lang w:val="tr-TR"/>
              </w:rPr>
              <w:t>.</w:t>
            </w:r>
            <w:r w:rsidR="00750C63" w:rsidRPr="001A4B94">
              <w:rPr>
                <w:iCs/>
                <w:sz w:val="20"/>
                <w:szCs w:val="20"/>
                <w:lang w:val="tr-TR"/>
              </w:rPr>
              <w:t xml:space="preserve">  </w:t>
            </w:r>
            <w:r w:rsidR="008C60A4" w:rsidRPr="001A4B94">
              <w:rPr>
                <w:iCs/>
                <w:sz w:val="20"/>
                <w:szCs w:val="20"/>
                <w:lang w:val="tr-TR"/>
              </w:rPr>
              <w:t xml:space="preserve">Bu örnekler </w:t>
            </w:r>
            <w:r w:rsidR="00266DDC" w:rsidRPr="001A4B94">
              <w:rPr>
                <w:iCs/>
                <w:sz w:val="20"/>
                <w:szCs w:val="20"/>
                <w:lang w:val="tr-TR"/>
              </w:rPr>
              <w:t>donör koordinasyonunu</w:t>
            </w:r>
            <w:r w:rsidR="00A1527F" w:rsidRPr="001A4B94">
              <w:rPr>
                <w:iCs/>
                <w:sz w:val="20"/>
                <w:szCs w:val="20"/>
                <w:lang w:val="tr-TR"/>
              </w:rPr>
              <w:t>n</w:t>
            </w:r>
            <w:r w:rsidR="00266DDC" w:rsidRPr="001A4B94">
              <w:rPr>
                <w:iCs/>
                <w:sz w:val="20"/>
                <w:szCs w:val="20"/>
                <w:lang w:val="tr-TR"/>
              </w:rPr>
              <w:t xml:space="preserve"> sürdürülmesi, ortaklar için kaldıraç etkisi yaratılması ve basamak yaklaşımının diğer sektörlerde ve projelerde yaygınlaştırılması için iyi uygulama modelleri sunmaktadır</w:t>
            </w:r>
            <w:r w:rsidR="00750C63" w:rsidRPr="001A4B94">
              <w:rPr>
                <w:iCs/>
                <w:sz w:val="20"/>
                <w:szCs w:val="20"/>
                <w:lang w:val="tr-TR"/>
              </w:rPr>
              <w:t>.</w:t>
            </w:r>
          </w:p>
          <w:p w14:paraId="0C622808" w14:textId="20F89E0F" w:rsidR="00A53FEF" w:rsidRPr="001A4B94" w:rsidRDefault="00266DDC" w:rsidP="00307645">
            <w:pPr>
              <w:spacing w:before="120"/>
              <w:jc w:val="both"/>
              <w:rPr>
                <w:iCs/>
                <w:sz w:val="22"/>
                <w:szCs w:val="22"/>
                <w:lang w:val="tr-TR"/>
              </w:rPr>
            </w:pPr>
            <w:r w:rsidRPr="001A4B94">
              <w:rPr>
                <w:iCs/>
                <w:sz w:val="20"/>
                <w:szCs w:val="20"/>
                <w:lang w:val="tr-TR"/>
              </w:rPr>
              <w:t>Türkiye - AB Katılım süreci yavaş bir şekilde ilerlemekle birlikte, ekonomi gündemindeki AB “çıpası”  önemini korumaktadır ve AB sosyoekonomik konularda güçlü bir ortak olmaya devam etmektedir.</w:t>
            </w:r>
            <w:r w:rsidR="00750C63" w:rsidRPr="001A4B94">
              <w:rPr>
                <w:iCs/>
                <w:sz w:val="20"/>
                <w:szCs w:val="20"/>
                <w:lang w:val="tr-TR"/>
              </w:rPr>
              <w:t xml:space="preserve">  </w:t>
            </w:r>
            <w:r w:rsidRPr="001A4B94">
              <w:rPr>
                <w:iCs/>
                <w:sz w:val="20"/>
                <w:szCs w:val="20"/>
                <w:lang w:val="tr-TR"/>
              </w:rPr>
              <w:t xml:space="preserve">Dolayısıyla, Dünya Bankası Grubu ile AB arasında iyi bir ilişkinin sağlanması Ülke İşbirliği Çerçevesinin </w:t>
            </w:r>
            <w:r w:rsidR="009308DB" w:rsidRPr="001A4B94">
              <w:rPr>
                <w:iCs/>
                <w:sz w:val="20"/>
                <w:szCs w:val="20"/>
                <w:lang w:val="tr-TR"/>
              </w:rPr>
              <w:t>önemli bir boyutunu oluşturmaktadır</w:t>
            </w:r>
            <w:r w:rsidR="00750C63" w:rsidRPr="001A4B94">
              <w:rPr>
                <w:iCs/>
                <w:sz w:val="20"/>
                <w:szCs w:val="20"/>
                <w:lang w:val="tr-TR"/>
              </w:rPr>
              <w:t xml:space="preserve">.  </w:t>
            </w:r>
            <w:r w:rsidR="009308DB" w:rsidRPr="001A4B94">
              <w:rPr>
                <w:iCs/>
                <w:sz w:val="20"/>
                <w:szCs w:val="20"/>
                <w:lang w:val="tr-TR"/>
              </w:rPr>
              <w:t xml:space="preserve">AB’nin Türkiye’deki Sığınmacılara yönelik Fonu </w:t>
            </w:r>
            <w:r w:rsidR="00495B39" w:rsidRPr="001A4B94">
              <w:rPr>
                <w:iCs/>
                <w:sz w:val="20"/>
                <w:szCs w:val="20"/>
                <w:lang w:val="tr-TR"/>
              </w:rPr>
              <w:t xml:space="preserve">(FRiT) </w:t>
            </w:r>
            <w:r w:rsidR="009308DB" w:rsidRPr="001A4B94">
              <w:rPr>
                <w:iCs/>
                <w:sz w:val="20"/>
                <w:szCs w:val="20"/>
                <w:lang w:val="tr-TR"/>
              </w:rPr>
              <w:t>AB ile Türkiye arasında yapılan ve AB’nin GKSS’lerin barındırılmaya devam etmesi ve AB’ye yasa dışı geçişlerinin caydırılması için taahhüt ettiği desteği kapsayan bir çerçeve anlaşmadır</w:t>
            </w:r>
            <w:r w:rsidR="00495B39" w:rsidRPr="001A4B94">
              <w:rPr>
                <w:iCs/>
                <w:sz w:val="20"/>
                <w:szCs w:val="20"/>
                <w:lang w:val="tr-TR"/>
              </w:rPr>
              <w:t>.  FRiT</w:t>
            </w:r>
            <w:r w:rsidR="009308DB" w:rsidRPr="001A4B94">
              <w:rPr>
                <w:iCs/>
                <w:sz w:val="20"/>
                <w:szCs w:val="20"/>
                <w:lang w:val="tr-TR"/>
              </w:rPr>
              <w:t xml:space="preserve"> kapsamında</w:t>
            </w:r>
            <w:r w:rsidR="00495B39" w:rsidRPr="001A4B94">
              <w:rPr>
                <w:iCs/>
                <w:sz w:val="20"/>
                <w:szCs w:val="20"/>
                <w:lang w:val="tr-TR"/>
              </w:rPr>
              <w:t xml:space="preserve">, </w:t>
            </w:r>
            <w:r w:rsidR="009308DB" w:rsidRPr="001A4B94">
              <w:rPr>
                <w:iCs/>
                <w:sz w:val="20"/>
                <w:szCs w:val="20"/>
                <w:lang w:val="tr-TR"/>
              </w:rPr>
              <w:t>Dünya Bankası Grubu eğitim, işgücü piyasaları ve girişimcilik alanlarında üç farklı operasyon idare etmektedir.</w:t>
            </w:r>
            <w:r w:rsidR="00495B39" w:rsidRPr="001A4B94">
              <w:rPr>
                <w:sz w:val="20"/>
                <w:szCs w:val="20"/>
                <w:lang w:val="tr-TR"/>
              </w:rPr>
              <w:t xml:space="preserve"> </w:t>
            </w:r>
          </w:p>
        </w:tc>
      </w:tr>
    </w:tbl>
    <w:p w14:paraId="606195C0" w14:textId="77777777" w:rsidR="000E7E2D" w:rsidRPr="001A4B94" w:rsidRDefault="000E7E2D" w:rsidP="000E7E2D">
      <w:pPr>
        <w:autoSpaceDE w:val="0"/>
        <w:autoSpaceDN w:val="0"/>
        <w:rPr>
          <w:rFonts w:ascii="Helv" w:hAnsi="Helv"/>
          <w:color w:val="000000"/>
          <w:sz w:val="20"/>
          <w:szCs w:val="20"/>
          <w:lang w:val="tr-TR"/>
        </w:rPr>
      </w:pPr>
    </w:p>
    <w:p w14:paraId="09150E29" w14:textId="744564C4" w:rsidR="0030747A" w:rsidRPr="001A4B94" w:rsidRDefault="0030747A" w:rsidP="00CB7D7B">
      <w:pPr>
        <w:pStyle w:val="Balk1"/>
        <w:tabs>
          <w:tab w:val="left" w:pos="300"/>
          <w:tab w:val="center" w:pos="4680"/>
        </w:tabs>
        <w:ind w:left="-142" w:right="-279"/>
        <w:jc w:val="center"/>
        <w:rPr>
          <w:rFonts w:ascii="Arial" w:hAnsi="Arial" w:cs="Arial"/>
          <w:iCs/>
          <w:color w:val="000080"/>
          <w:sz w:val="22"/>
          <w:szCs w:val="22"/>
          <w:lang w:val="tr-TR"/>
        </w:rPr>
      </w:pPr>
      <w:bookmarkStart w:id="15" w:name="_Toc494977330"/>
      <w:r w:rsidRPr="001A4B94">
        <w:rPr>
          <w:rFonts w:ascii="Times New Roman" w:hAnsi="Times New Roman" w:cs="Times New Roman"/>
          <w:b/>
          <w:color w:val="000000" w:themeColor="text1"/>
          <w:sz w:val="28"/>
          <w:szCs w:val="26"/>
          <w:lang w:val="tr-TR"/>
        </w:rPr>
        <w:lastRenderedPageBreak/>
        <w:t xml:space="preserve">IV. </w:t>
      </w:r>
      <w:r w:rsidR="00CB7D7B" w:rsidRPr="001A4B94">
        <w:rPr>
          <w:rFonts w:ascii="Times New Roman" w:hAnsi="Times New Roman" w:cs="Times New Roman"/>
          <w:b/>
          <w:color w:val="000000" w:themeColor="text1"/>
          <w:sz w:val="28"/>
          <w:szCs w:val="26"/>
          <w:lang w:val="tr-TR"/>
        </w:rPr>
        <w:t>ÜLKE İŞBİRLİĞİ ÇERÇEVESİ PROGRAMININ RİSKLERİNİN YÖNETİLMESİ</w:t>
      </w:r>
      <w:bookmarkEnd w:id="15"/>
      <w:r w:rsidR="00CB7D7B" w:rsidRPr="001A4B94">
        <w:rPr>
          <w:rFonts w:ascii="Times New Roman" w:hAnsi="Times New Roman" w:cs="Times New Roman"/>
          <w:b/>
          <w:color w:val="000000" w:themeColor="text1"/>
          <w:sz w:val="28"/>
          <w:szCs w:val="26"/>
          <w:lang w:val="tr-TR"/>
        </w:rPr>
        <w:t xml:space="preserve"> </w:t>
      </w:r>
    </w:p>
    <w:p w14:paraId="07CCE070" w14:textId="77777777" w:rsidR="0030747A" w:rsidRPr="001A4B94" w:rsidRDefault="0030747A" w:rsidP="0030747A">
      <w:pPr>
        <w:widowControl w:val="0"/>
        <w:autoSpaceDE w:val="0"/>
        <w:autoSpaceDN w:val="0"/>
        <w:adjustRightInd w:val="0"/>
        <w:ind w:left="756"/>
        <w:rPr>
          <w:rFonts w:ascii="Arial" w:hAnsi="Arial" w:cs="Arial"/>
          <w:iCs/>
          <w:color w:val="000080"/>
          <w:sz w:val="22"/>
          <w:szCs w:val="22"/>
          <w:lang w:val="tr-TR"/>
        </w:rPr>
      </w:pPr>
    </w:p>
    <w:p w14:paraId="0083153F" w14:textId="3828D3D9" w:rsidR="00861824" w:rsidRPr="001A4B94" w:rsidRDefault="00CB7D7B" w:rsidP="0039197D">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CPF amaçlarının başarılması konusundaki genel risk orta düzeydedir.</w:t>
      </w:r>
      <w:r w:rsidR="00861824" w:rsidRPr="001A4B94">
        <w:rPr>
          <w:rFonts w:ascii="Times New Roman" w:hAnsi="Times New Roman"/>
          <w:sz w:val="23"/>
          <w:szCs w:val="23"/>
          <w:lang w:val="tr-TR"/>
        </w:rPr>
        <w:t xml:space="preserve">  </w:t>
      </w:r>
      <w:r w:rsidR="00166ADD" w:rsidRPr="001A4B94">
        <w:rPr>
          <w:rFonts w:ascii="Times New Roman" w:hAnsi="Times New Roman"/>
          <w:sz w:val="23"/>
          <w:szCs w:val="23"/>
          <w:lang w:val="tr-TR"/>
        </w:rPr>
        <w:t>Bu risk düzeyi, halihazırda hem yurt içinde hem de bölgesel ölçekte gözlenen karmaşık politika ve yönetişim bağlamını ve finansal sektördekiler de dahil olmak üzere makroekonomik kırılganlıklardan kaynaklanan riskl</w:t>
      </w:r>
      <w:r w:rsidR="007E461A" w:rsidRPr="001A4B94">
        <w:rPr>
          <w:rFonts w:ascii="Times New Roman" w:hAnsi="Times New Roman"/>
          <w:sz w:val="23"/>
          <w:szCs w:val="23"/>
          <w:lang w:val="tr-TR"/>
        </w:rPr>
        <w:t>e</w:t>
      </w:r>
      <w:r w:rsidR="00166ADD" w:rsidRPr="001A4B94">
        <w:rPr>
          <w:rFonts w:ascii="Times New Roman" w:hAnsi="Times New Roman"/>
          <w:sz w:val="23"/>
          <w:szCs w:val="23"/>
          <w:lang w:val="tr-TR"/>
        </w:rPr>
        <w:t>rdeki artışı yansıtmaktadır</w:t>
      </w:r>
      <w:r w:rsidR="00861824" w:rsidRPr="001A4B94">
        <w:rPr>
          <w:rFonts w:ascii="Times New Roman" w:hAnsi="Times New Roman"/>
          <w:sz w:val="23"/>
          <w:szCs w:val="23"/>
          <w:lang w:val="tr-TR"/>
        </w:rPr>
        <w:t xml:space="preserve">. </w:t>
      </w:r>
      <w:r w:rsidR="00166ADD" w:rsidRPr="001A4B94">
        <w:rPr>
          <w:rFonts w:ascii="Times New Roman" w:hAnsi="Times New Roman"/>
          <w:sz w:val="23"/>
          <w:szCs w:val="23"/>
          <w:lang w:val="tr-TR"/>
        </w:rPr>
        <w:t>Türkiye’deki durumun d</w:t>
      </w:r>
      <w:r w:rsidR="00605059" w:rsidRPr="001A4B94">
        <w:rPr>
          <w:rFonts w:ascii="Times New Roman" w:hAnsi="Times New Roman"/>
          <w:sz w:val="23"/>
          <w:szCs w:val="23"/>
          <w:lang w:val="tr-TR"/>
        </w:rPr>
        <w:t>i</w:t>
      </w:r>
      <w:r w:rsidR="00166ADD" w:rsidRPr="001A4B94">
        <w:rPr>
          <w:rFonts w:ascii="Times New Roman" w:hAnsi="Times New Roman"/>
          <w:sz w:val="23"/>
          <w:szCs w:val="23"/>
          <w:lang w:val="tr-TR"/>
        </w:rPr>
        <w:t xml:space="preserve">namik özelliği göz önüne alındığında, risk değerlendirmesi </w:t>
      </w:r>
      <w:r w:rsidR="00605059" w:rsidRPr="001A4B94">
        <w:rPr>
          <w:rFonts w:ascii="Times New Roman" w:eastAsia="MS Mincho" w:hAnsi="Times New Roman"/>
          <w:sz w:val="23"/>
          <w:szCs w:val="23"/>
          <w:lang w:val="tr-TR"/>
        </w:rPr>
        <w:t>P</w:t>
      </w:r>
      <w:r w:rsidR="003B2B60" w:rsidRPr="001A4B94">
        <w:rPr>
          <w:rFonts w:ascii="Times New Roman" w:eastAsia="MS Mincho" w:hAnsi="Times New Roman"/>
          <w:sz w:val="23"/>
          <w:szCs w:val="23"/>
          <w:lang w:val="tr-TR"/>
        </w:rPr>
        <w:t xml:space="preserve">erformans </w:t>
      </w:r>
      <w:r w:rsidR="00605059" w:rsidRPr="001A4B94">
        <w:rPr>
          <w:rFonts w:ascii="Times New Roman" w:eastAsia="MS Mincho" w:hAnsi="Times New Roman"/>
          <w:sz w:val="23"/>
          <w:szCs w:val="23"/>
          <w:lang w:val="tr-TR"/>
        </w:rPr>
        <w:t>ve Öğrenme İncelemesi (PLR) kapsamında gözden geçirilecektir</w:t>
      </w:r>
      <w:r w:rsidR="0039197D" w:rsidRPr="001A4B94">
        <w:rPr>
          <w:rFonts w:ascii="Times New Roman" w:hAnsi="Times New Roman"/>
          <w:sz w:val="23"/>
          <w:szCs w:val="23"/>
          <w:lang w:val="tr-TR"/>
        </w:rPr>
        <w:t>.</w:t>
      </w:r>
      <w:r w:rsidR="00861824" w:rsidRPr="001A4B94">
        <w:rPr>
          <w:rFonts w:ascii="Times New Roman" w:hAnsi="Times New Roman"/>
          <w:sz w:val="23"/>
          <w:szCs w:val="23"/>
          <w:lang w:val="tr-TR"/>
        </w:rPr>
        <w:t xml:space="preserve"> </w:t>
      </w:r>
      <w:r w:rsidR="00605059" w:rsidRPr="001A4B94">
        <w:rPr>
          <w:rFonts w:ascii="Times New Roman" w:hAnsi="Times New Roman"/>
          <w:sz w:val="23"/>
          <w:szCs w:val="23"/>
          <w:lang w:val="tr-TR"/>
        </w:rPr>
        <w:t>Genel bir risk azaltma önlemi olarak</w:t>
      </w:r>
      <w:r w:rsidR="00861824" w:rsidRPr="001A4B94">
        <w:rPr>
          <w:rFonts w:ascii="Times New Roman" w:hAnsi="Times New Roman"/>
          <w:sz w:val="23"/>
          <w:szCs w:val="23"/>
          <w:lang w:val="tr-TR"/>
        </w:rPr>
        <w:t xml:space="preserve">, </w:t>
      </w:r>
      <w:r w:rsidR="00605059" w:rsidRPr="001A4B94">
        <w:rPr>
          <w:rFonts w:ascii="Times New Roman" w:hAnsi="Times New Roman"/>
          <w:sz w:val="23"/>
          <w:szCs w:val="23"/>
          <w:lang w:val="tr-TR"/>
        </w:rPr>
        <w:t xml:space="preserve">Ülke İşbirliği Çerçevesi </w:t>
      </w:r>
      <w:r w:rsidR="00D17F90" w:rsidRPr="001A4B94">
        <w:rPr>
          <w:rFonts w:ascii="Times New Roman" w:hAnsi="Times New Roman"/>
          <w:sz w:val="23"/>
          <w:szCs w:val="23"/>
          <w:lang w:val="tr-TR"/>
        </w:rPr>
        <w:t>ülke bağlamına cevap verebilecek ve uygulamadaki ilerlemeyi düzenli olarak değerlendiren esnek bir program yapısını güçlü bir şekilde vurgulamaktadır</w:t>
      </w:r>
      <w:r w:rsidR="00861824" w:rsidRPr="001A4B94">
        <w:rPr>
          <w:rFonts w:ascii="Times New Roman" w:hAnsi="Times New Roman"/>
          <w:sz w:val="23"/>
          <w:szCs w:val="23"/>
          <w:lang w:val="tr-TR"/>
        </w:rPr>
        <w:t xml:space="preserve">.  </w:t>
      </w:r>
      <w:r w:rsidR="00D17F90" w:rsidRPr="001A4B94">
        <w:rPr>
          <w:rFonts w:ascii="Times New Roman" w:hAnsi="Times New Roman"/>
          <w:sz w:val="23"/>
          <w:szCs w:val="23"/>
          <w:lang w:val="tr-TR"/>
        </w:rPr>
        <w:t>CPF riskleri Standart Operasyonlar Risk Derecelendirme Aracı (SORT) kullanılarak değer</w:t>
      </w:r>
      <w:r w:rsidR="007E461A" w:rsidRPr="001A4B94">
        <w:rPr>
          <w:rFonts w:ascii="Times New Roman" w:hAnsi="Times New Roman"/>
          <w:sz w:val="23"/>
          <w:szCs w:val="23"/>
          <w:lang w:val="tr-TR"/>
        </w:rPr>
        <w:t>l</w:t>
      </w:r>
      <w:r w:rsidR="00D17F90" w:rsidRPr="001A4B94">
        <w:rPr>
          <w:rFonts w:ascii="Times New Roman" w:hAnsi="Times New Roman"/>
          <w:sz w:val="23"/>
          <w:szCs w:val="23"/>
          <w:lang w:val="tr-TR"/>
        </w:rPr>
        <w:t>endir</w:t>
      </w:r>
      <w:r w:rsidR="007E461A" w:rsidRPr="001A4B94">
        <w:rPr>
          <w:rFonts w:ascii="Times New Roman" w:hAnsi="Times New Roman"/>
          <w:sz w:val="23"/>
          <w:szCs w:val="23"/>
          <w:lang w:val="tr-TR"/>
        </w:rPr>
        <w:t>il</w:t>
      </w:r>
      <w:r w:rsidR="00D17F90" w:rsidRPr="001A4B94">
        <w:rPr>
          <w:rFonts w:ascii="Times New Roman" w:hAnsi="Times New Roman"/>
          <w:sz w:val="23"/>
          <w:szCs w:val="23"/>
          <w:lang w:val="tr-TR"/>
        </w:rPr>
        <w:t>miştir ve sonuçları aşağıdaki tabloda ö</w:t>
      </w:r>
      <w:r w:rsidR="007E461A" w:rsidRPr="001A4B94">
        <w:rPr>
          <w:rFonts w:ascii="Times New Roman" w:hAnsi="Times New Roman"/>
          <w:sz w:val="23"/>
          <w:szCs w:val="23"/>
          <w:lang w:val="tr-TR"/>
        </w:rPr>
        <w:t>z</w:t>
      </w:r>
      <w:r w:rsidR="00D17F90" w:rsidRPr="001A4B94">
        <w:rPr>
          <w:rFonts w:ascii="Times New Roman" w:hAnsi="Times New Roman"/>
          <w:sz w:val="23"/>
          <w:szCs w:val="23"/>
          <w:lang w:val="tr-TR"/>
        </w:rPr>
        <w:t>etlenmektedir</w:t>
      </w:r>
      <w:r w:rsidR="0039197D" w:rsidRPr="001A4B94">
        <w:rPr>
          <w:rFonts w:ascii="Times New Roman" w:hAnsi="Times New Roman"/>
          <w:sz w:val="23"/>
          <w:szCs w:val="23"/>
          <w:lang w:val="tr-TR"/>
        </w:rPr>
        <w:t xml:space="preserve">. </w:t>
      </w:r>
    </w:p>
    <w:p w14:paraId="55286DD8" w14:textId="77777777" w:rsidR="0039197D" w:rsidRPr="001A4B94" w:rsidRDefault="0039197D" w:rsidP="0039197D">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tbl>
      <w:tblPr>
        <w:tblStyle w:val="TabloKlavuzu"/>
        <w:tblW w:w="0" w:type="auto"/>
        <w:tblLook w:val="04A0" w:firstRow="1" w:lastRow="0" w:firstColumn="1" w:lastColumn="0" w:noHBand="0" w:noVBand="1"/>
      </w:tblPr>
      <w:tblGrid>
        <w:gridCol w:w="6925"/>
        <w:gridCol w:w="2425"/>
      </w:tblGrid>
      <w:tr w:rsidR="00861824" w:rsidRPr="001A4B94" w14:paraId="5C15463E" w14:textId="77777777" w:rsidTr="00861824">
        <w:tc>
          <w:tcPr>
            <w:tcW w:w="6925" w:type="dxa"/>
          </w:tcPr>
          <w:p w14:paraId="57137063" w14:textId="4082D968" w:rsidR="00861824" w:rsidRPr="001A4B94" w:rsidRDefault="00861824"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b/>
                <w:sz w:val="23"/>
                <w:szCs w:val="23"/>
                <w:lang w:val="tr-TR"/>
              </w:rPr>
            </w:pPr>
            <w:r w:rsidRPr="001A4B94">
              <w:rPr>
                <w:rFonts w:ascii="Times New Roman" w:hAnsi="Times New Roman"/>
                <w:b/>
                <w:sz w:val="23"/>
                <w:szCs w:val="23"/>
                <w:lang w:val="tr-TR"/>
              </w:rPr>
              <w:t xml:space="preserve">Risk </w:t>
            </w:r>
            <w:r w:rsidR="00D17F90" w:rsidRPr="001A4B94">
              <w:rPr>
                <w:rFonts w:ascii="Times New Roman" w:hAnsi="Times New Roman"/>
                <w:b/>
                <w:sz w:val="23"/>
                <w:szCs w:val="23"/>
                <w:lang w:val="tr-TR"/>
              </w:rPr>
              <w:t>kategorileri</w:t>
            </w:r>
          </w:p>
        </w:tc>
        <w:tc>
          <w:tcPr>
            <w:tcW w:w="2425" w:type="dxa"/>
          </w:tcPr>
          <w:p w14:paraId="1FCB7A08" w14:textId="173F3CE5" w:rsidR="00861824" w:rsidRPr="001A4B94" w:rsidRDefault="00D17F90" w:rsidP="00737FCE">
            <w:pPr>
              <w:pStyle w:val="ListeParagraf"/>
              <w:tabs>
                <w:tab w:val="left" w:pos="426"/>
                <w:tab w:val="left" w:pos="2970"/>
              </w:tabs>
              <w:autoSpaceDE w:val="0"/>
              <w:autoSpaceDN w:val="0"/>
              <w:adjustRightInd w:val="0"/>
              <w:spacing w:after="0" w:line="240" w:lineRule="auto"/>
              <w:ind w:left="0"/>
              <w:jc w:val="both"/>
              <w:rPr>
                <w:rFonts w:ascii="Times New Roman" w:hAnsi="Times New Roman"/>
                <w:b/>
                <w:sz w:val="23"/>
                <w:szCs w:val="23"/>
                <w:lang w:val="tr-TR"/>
              </w:rPr>
            </w:pPr>
            <w:r w:rsidRPr="001A4B94">
              <w:rPr>
                <w:rFonts w:ascii="Times New Roman" w:hAnsi="Times New Roman"/>
                <w:b/>
                <w:sz w:val="23"/>
                <w:szCs w:val="23"/>
                <w:lang w:val="tr-TR"/>
              </w:rPr>
              <w:t>De</w:t>
            </w:r>
            <w:r w:rsidR="007E461A" w:rsidRPr="001A4B94">
              <w:rPr>
                <w:rFonts w:ascii="Times New Roman" w:hAnsi="Times New Roman"/>
                <w:b/>
                <w:sz w:val="23"/>
                <w:szCs w:val="23"/>
                <w:lang w:val="tr-TR"/>
              </w:rPr>
              <w:t>r</w:t>
            </w:r>
            <w:r w:rsidRPr="001A4B94">
              <w:rPr>
                <w:rFonts w:ascii="Times New Roman" w:hAnsi="Times New Roman"/>
                <w:b/>
                <w:sz w:val="23"/>
                <w:szCs w:val="23"/>
                <w:lang w:val="tr-TR"/>
              </w:rPr>
              <w:t>e</w:t>
            </w:r>
            <w:r w:rsidR="007E461A" w:rsidRPr="001A4B94">
              <w:rPr>
                <w:rFonts w:ascii="Times New Roman" w:hAnsi="Times New Roman"/>
                <w:b/>
                <w:sz w:val="23"/>
                <w:szCs w:val="23"/>
                <w:lang w:val="tr-TR"/>
              </w:rPr>
              <w:t>c</w:t>
            </w:r>
            <w:r w:rsidRPr="001A4B94">
              <w:rPr>
                <w:rFonts w:ascii="Times New Roman" w:hAnsi="Times New Roman"/>
                <w:b/>
                <w:sz w:val="23"/>
                <w:szCs w:val="23"/>
                <w:lang w:val="tr-TR"/>
              </w:rPr>
              <w:t>elendirme Notu</w:t>
            </w:r>
            <w:r w:rsidR="00861824" w:rsidRPr="001A4B94">
              <w:rPr>
                <w:rFonts w:ascii="Times New Roman" w:hAnsi="Times New Roman"/>
                <w:b/>
                <w:sz w:val="23"/>
                <w:szCs w:val="23"/>
                <w:lang w:val="tr-TR"/>
              </w:rPr>
              <w:t xml:space="preserve"> </w:t>
            </w:r>
          </w:p>
        </w:tc>
      </w:tr>
      <w:tr w:rsidR="00861824" w:rsidRPr="001A4B94" w14:paraId="298FDB07" w14:textId="77777777" w:rsidTr="00861824">
        <w:tc>
          <w:tcPr>
            <w:tcW w:w="6925" w:type="dxa"/>
          </w:tcPr>
          <w:p w14:paraId="3734A159" w14:textId="06069793" w:rsidR="00861824" w:rsidRPr="001A4B94" w:rsidRDefault="00861824"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Politi</w:t>
            </w:r>
            <w:r w:rsidR="00D17F90" w:rsidRPr="001A4B94">
              <w:rPr>
                <w:rFonts w:ascii="Times New Roman" w:hAnsi="Times New Roman"/>
                <w:sz w:val="23"/>
                <w:szCs w:val="23"/>
                <w:lang w:val="tr-TR"/>
              </w:rPr>
              <w:t xml:space="preserve">ka ve yönetişim </w:t>
            </w:r>
          </w:p>
        </w:tc>
        <w:tc>
          <w:tcPr>
            <w:tcW w:w="2425" w:type="dxa"/>
          </w:tcPr>
          <w:p w14:paraId="791EB197" w14:textId="191F9F26"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 xml:space="preserve">Önemli </w:t>
            </w:r>
          </w:p>
        </w:tc>
      </w:tr>
      <w:tr w:rsidR="00861824" w:rsidRPr="001A4B94" w14:paraId="2AE47048" w14:textId="77777777" w:rsidTr="00861824">
        <w:tc>
          <w:tcPr>
            <w:tcW w:w="6925" w:type="dxa"/>
          </w:tcPr>
          <w:p w14:paraId="0ED2680C" w14:textId="56E45B09" w:rsidR="00861824" w:rsidRPr="001A4B94" w:rsidRDefault="00861824"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Ma</w:t>
            </w:r>
            <w:r w:rsidR="00D17F90" w:rsidRPr="001A4B94">
              <w:rPr>
                <w:rFonts w:ascii="Times New Roman" w:hAnsi="Times New Roman"/>
                <w:sz w:val="23"/>
                <w:szCs w:val="23"/>
                <w:lang w:val="tr-TR"/>
              </w:rPr>
              <w:t>k</w:t>
            </w:r>
            <w:r w:rsidRPr="001A4B94">
              <w:rPr>
                <w:rFonts w:ascii="Times New Roman" w:hAnsi="Times New Roman"/>
                <w:sz w:val="23"/>
                <w:szCs w:val="23"/>
                <w:lang w:val="tr-TR"/>
              </w:rPr>
              <w:t>roe</w:t>
            </w:r>
            <w:r w:rsidR="00D17F90" w:rsidRPr="001A4B94">
              <w:rPr>
                <w:rFonts w:ascii="Times New Roman" w:hAnsi="Times New Roman"/>
                <w:sz w:val="23"/>
                <w:szCs w:val="23"/>
                <w:lang w:val="tr-TR"/>
              </w:rPr>
              <w:t>konomik</w:t>
            </w:r>
          </w:p>
        </w:tc>
        <w:tc>
          <w:tcPr>
            <w:tcW w:w="2425" w:type="dxa"/>
          </w:tcPr>
          <w:p w14:paraId="38EE594B" w14:textId="20E8D50D"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 xml:space="preserve">Önemli </w:t>
            </w:r>
          </w:p>
        </w:tc>
      </w:tr>
      <w:tr w:rsidR="00861824" w:rsidRPr="001A4B94" w14:paraId="77E81362" w14:textId="77777777" w:rsidTr="00861824">
        <w:tc>
          <w:tcPr>
            <w:tcW w:w="6925" w:type="dxa"/>
          </w:tcPr>
          <w:p w14:paraId="18B4526D" w14:textId="304270D0" w:rsidR="00861824" w:rsidRPr="001A4B94" w:rsidRDefault="00861824"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Se</w:t>
            </w:r>
            <w:r w:rsidR="00D17F90" w:rsidRPr="001A4B94">
              <w:rPr>
                <w:rFonts w:ascii="Times New Roman" w:hAnsi="Times New Roman"/>
                <w:sz w:val="23"/>
                <w:szCs w:val="23"/>
                <w:lang w:val="tr-TR"/>
              </w:rPr>
              <w:t xml:space="preserve">ktör stratejileri ve politikaları </w:t>
            </w:r>
          </w:p>
        </w:tc>
        <w:tc>
          <w:tcPr>
            <w:tcW w:w="2425" w:type="dxa"/>
          </w:tcPr>
          <w:p w14:paraId="58CAD206" w14:textId="1BBE732D"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 xml:space="preserve">Düşük </w:t>
            </w:r>
          </w:p>
        </w:tc>
      </w:tr>
      <w:tr w:rsidR="00861824" w:rsidRPr="001A4B94" w14:paraId="0FEE5EEB" w14:textId="77777777" w:rsidTr="00861824">
        <w:tc>
          <w:tcPr>
            <w:tcW w:w="6925" w:type="dxa"/>
          </w:tcPr>
          <w:p w14:paraId="1D3C8353" w14:textId="0B35AA89" w:rsidR="00861824" w:rsidRPr="001A4B94" w:rsidRDefault="00D17F90"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 xml:space="preserve">Projenin veya programın teknik tasarımı </w:t>
            </w:r>
          </w:p>
        </w:tc>
        <w:tc>
          <w:tcPr>
            <w:tcW w:w="2425" w:type="dxa"/>
          </w:tcPr>
          <w:p w14:paraId="3586D035" w14:textId="3DBF83A4"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Orta</w:t>
            </w:r>
          </w:p>
        </w:tc>
      </w:tr>
      <w:tr w:rsidR="00861824" w:rsidRPr="001A4B94" w14:paraId="39FBBD69" w14:textId="77777777" w:rsidTr="00861824">
        <w:tc>
          <w:tcPr>
            <w:tcW w:w="6925" w:type="dxa"/>
          </w:tcPr>
          <w:p w14:paraId="46BC12CB" w14:textId="4CE0FFAD" w:rsidR="00861824" w:rsidRPr="001A4B94" w:rsidRDefault="00D17F90"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 xml:space="preserve">Uygulama ve sürdürülebilirlik için kurumsal kapasite </w:t>
            </w:r>
          </w:p>
        </w:tc>
        <w:tc>
          <w:tcPr>
            <w:tcW w:w="2425" w:type="dxa"/>
          </w:tcPr>
          <w:p w14:paraId="3829E324" w14:textId="6FDE4FD2"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Orta</w:t>
            </w:r>
          </w:p>
        </w:tc>
      </w:tr>
      <w:tr w:rsidR="00861824" w:rsidRPr="001A4B94" w14:paraId="5CB7B577" w14:textId="77777777" w:rsidTr="00861824">
        <w:tc>
          <w:tcPr>
            <w:tcW w:w="6925" w:type="dxa"/>
          </w:tcPr>
          <w:p w14:paraId="099E3D1D" w14:textId="020DCEC0" w:rsidR="00861824" w:rsidRPr="001A4B94" w:rsidRDefault="007E461A"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 xml:space="preserve">İtibari </w:t>
            </w:r>
          </w:p>
        </w:tc>
        <w:tc>
          <w:tcPr>
            <w:tcW w:w="2425" w:type="dxa"/>
          </w:tcPr>
          <w:p w14:paraId="169B3E74" w14:textId="2D309748"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 xml:space="preserve">Düşük </w:t>
            </w:r>
          </w:p>
        </w:tc>
      </w:tr>
      <w:tr w:rsidR="00861824" w:rsidRPr="001A4B94" w14:paraId="3468CBA4" w14:textId="77777777" w:rsidTr="00861824">
        <w:tc>
          <w:tcPr>
            <w:tcW w:w="6925" w:type="dxa"/>
          </w:tcPr>
          <w:p w14:paraId="0EB98175" w14:textId="5904597C" w:rsidR="00861824" w:rsidRPr="001A4B94" w:rsidRDefault="007E461A"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 xml:space="preserve">Çevresel ve sosyal </w:t>
            </w:r>
          </w:p>
        </w:tc>
        <w:tc>
          <w:tcPr>
            <w:tcW w:w="2425" w:type="dxa"/>
          </w:tcPr>
          <w:p w14:paraId="7DA81634" w14:textId="14225E37"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Orta</w:t>
            </w:r>
          </w:p>
        </w:tc>
      </w:tr>
      <w:tr w:rsidR="00861824" w:rsidRPr="001A4B94" w14:paraId="7684F9DA" w14:textId="77777777" w:rsidTr="00861824">
        <w:tc>
          <w:tcPr>
            <w:tcW w:w="6925" w:type="dxa"/>
          </w:tcPr>
          <w:p w14:paraId="33592B12" w14:textId="7EC6CA46" w:rsidR="00861824" w:rsidRPr="001A4B94" w:rsidRDefault="007E461A" w:rsidP="00C24F8F">
            <w:pPr>
              <w:pStyle w:val="ListeParagraf"/>
              <w:numPr>
                <w:ilvl w:val="0"/>
                <w:numId w:val="16"/>
              </w:numPr>
              <w:tabs>
                <w:tab w:val="left" w:pos="426"/>
                <w:tab w:val="left" w:pos="2970"/>
              </w:tabs>
              <w:autoSpaceDE w:val="0"/>
              <w:autoSpaceDN w:val="0"/>
              <w:adjustRightInd w:val="0"/>
              <w:spacing w:after="0" w:line="240" w:lineRule="auto"/>
              <w:jc w:val="both"/>
              <w:rPr>
                <w:rFonts w:ascii="Times New Roman" w:hAnsi="Times New Roman"/>
                <w:sz w:val="23"/>
                <w:szCs w:val="23"/>
                <w:lang w:val="tr-TR"/>
              </w:rPr>
            </w:pPr>
            <w:r w:rsidRPr="001A4B94">
              <w:rPr>
                <w:rFonts w:ascii="Times New Roman" w:hAnsi="Times New Roman"/>
                <w:sz w:val="23"/>
                <w:szCs w:val="23"/>
                <w:lang w:val="tr-TR"/>
              </w:rPr>
              <w:t xml:space="preserve">Paydaşlar </w:t>
            </w:r>
          </w:p>
        </w:tc>
        <w:tc>
          <w:tcPr>
            <w:tcW w:w="2425" w:type="dxa"/>
          </w:tcPr>
          <w:p w14:paraId="7ED618DE" w14:textId="16A6ADDA"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Orta</w:t>
            </w:r>
          </w:p>
        </w:tc>
      </w:tr>
      <w:tr w:rsidR="00861824" w:rsidRPr="001A4B94" w14:paraId="165B3D83" w14:textId="77777777" w:rsidTr="00861824">
        <w:tc>
          <w:tcPr>
            <w:tcW w:w="6925" w:type="dxa"/>
          </w:tcPr>
          <w:p w14:paraId="66720E1D" w14:textId="33555EAF"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b/>
                <w:sz w:val="23"/>
                <w:szCs w:val="23"/>
                <w:lang w:val="tr-TR"/>
              </w:rPr>
            </w:pPr>
            <w:r w:rsidRPr="001A4B94">
              <w:rPr>
                <w:rFonts w:ascii="Times New Roman" w:hAnsi="Times New Roman"/>
                <w:b/>
                <w:sz w:val="23"/>
                <w:szCs w:val="23"/>
                <w:lang w:val="tr-TR"/>
              </w:rPr>
              <w:t xml:space="preserve">GENEL </w:t>
            </w:r>
          </w:p>
        </w:tc>
        <w:tc>
          <w:tcPr>
            <w:tcW w:w="2425" w:type="dxa"/>
          </w:tcPr>
          <w:p w14:paraId="40945A5B" w14:textId="39A21E17" w:rsidR="00861824" w:rsidRPr="001A4B94" w:rsidRDefault="007E461A"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lang w:val="tr-TR"/>
              </w:rPr>
              <w:t xml:space="preserve">Orta </w:t>
            </w:r>
          </w:p>
        </w:tc>
      </w:tr>
    </w:tbl>
    <w:p w14:paraId="44E1615F" w14:textId="77777777" w:rsidR="00861824" w:rsidRPr="001A4B94" w:rsidRDefault="00861824" w:rsidP="00861824">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4"/>
          <w:szCs w:val="24"/>
          <w:lang w:val="tr-TR"/>
        </w:rPr>
      </w:pPr>
    </w:p>
    <w:p w14:paraId="3B934D30" w14:textId="7086316C" w:rsidR="009D42E0" w:rsidRPr="001A4B94" w:rsidRDefault="007E461A" w:rsidP="001774DA">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Türkiye şimdiye kadar görülmemiş bir dizi politika ve yönetişim riski ile karşı karşıyadır</w:t>
      </w:r>
      <w:r w:rsidR="00397565" w:rsidRPr="001A4B94">
        <w:rPr>
          <w:rFonts w:ascii="Times New Roman" w:hAnsi="Times New Roman"/>
          <w:b/>
          <w:iCs/>
          <w:sz w:val="23"/>
          <w:szCs w:val="23"/>
          <w:lang w:val="tr-TR"/>
        </w:rPr>
        <w:t xml:space="preserve">.  </w:t>
      </w:r>
      <w:r w:rsidRPr="001A4B94">
        <w:rPr>
          <w:rFonts w:ascii="Times New Roman" w:hAnsi="Times New Roman"/>
          <w:iCs/>
          <w:sz w:val="23"/>
          <w:szCs w:val="23"/>
          <w:lang w:val="tr-TR"/>
        </w:rPr>
        <w:t>Temmuz 2016’daki başarısız darbe girişiminden bu yana Türkiye’de</w:t>
      </w:r>
      <w:r w:rsidRPr="001A4B94">
        <w:rPr>
          <w:rFonts w:ascii="Times New Roman" w:hAnsi="Times New Roman"/>
          <w:b/>
          <w:iCs/>
          <w:sz w:val="23"/>
          <w:szCs w:val="23"/>
          <w:lang w:val="tr-TR"/>
        </w:rPr>
        <w:t xml:space="preserve"> </w:t>
      </w:r>
      <w:r w:rsidRPr="001A4B94">
        <w:rPr>
          <w:rFonts w:ascii="Times New Roman" w:hAnsi="Times New Roman"/>
          <w:iCs/>
          <w:sz w:val="23"/>
          <w:szCs w:val="23"/>
          <w:lang w:val="tr-TR"/>
        </w:rPr>
        <w:t>yaşanan olaylar</w:t>
      </w:r>
      <w:r w:rsidRPr="001A4B94">
        <w:rPr>
          <w:rFonts w:ascii="Times New Roman" w:hAnsi="Times New Roman"/>
          <w:b/>
          <w:iCs/>
          <w:sz w:val="23"/>
          <w:szCs w:val="23"/>
          <w:lang w:val="tr-TR"/>
        </w:rPr>
        <w:t xml:space="preserve"> </w:t>
      </w:r>
      <w:r w:rsidR="000066B7" w:rsidRPr="001A4B94">
        <w:rPr>
          <w:rFonts w:ascii="Times New Roman" w:hAnsi="Times New Roman"/>
          <w:iCs/>
          <w:sz w:val="23"/>
          <w:szCs w:val="23"/>
          <w:lang w:val="tr-TR"/>
        </w:rPr>
        <w:t>yurt içindeki manzarayı değiştirmiştir ve</w:t>
      </w:r>
      <w:r w:rsidR="000066B7" w:rsidRPr="001A4B94">
        <w:rPr>
          <w:rFonts w:ascii="Times New Roman" w:hAnsi="Times New Roman"/>
          <w:b/>
          <w:iCs/>
          <w:sz w:val="23"/>
          <w:szCs w:val="23"/>
          <w:lang w:val="tr-TR"/>
        </w:rPr>
        <w:t xml:space="preserve"> </w:t>
      </w:r>
      <w:r w:rsidR="000066B7" w:rsidRPr="001A4B94">
        <w:rPr>
          <w:rFonts w:ascii="Times New Roman" w:hAnsi="Times New Roman"/>
          <w:iCs/>
          <w:sz w:val="23"/>
          <w:szCs w:val="23"/>
          <w:lang w:val="tr-TR"/>
        </w:rPr>
        <w:t xml:space="preserve">planlanan anayasal değişiklikler </w:t>
      </w:r>
      <w:r w:rsidR="009929B0" w:rsidRPr="001A4B94">
        <w:rPr>
          <w:rFonts w:ascii="Times New Roman" w:hAnsi="Times New Roman"/>
          <w:iCs/>
          <w:sz w:val="23"/>
          <w:szCs w:val="23"/>
          <w:lang w:val="tr-TR"/>
        </w:rPr>
        <w:t>yeni bir cumhurbaşkanlığı sistemi getirerek yönetim sistemini değiştirecektir.</w:t>
      </w:r>
      <w:r w:rsidR="00397565" w:rsidRPr="001A4B94">
        <w:rPr>
          <w:rFonts w:ascii="Times New Roman" w:hAnsi="Times New Roman"/>
          <w:iCs/>
          <w:sz w:val="23"/>
          <w:szCs w:val="23"/>
          <w:lang w:val="tr-TR"/>
        </w:rPr>
        <w:t xml:space="preserve">  </w:t>
      </w:r>
      <w:r w:rsidR="009929B0" w:rsidRPr="001A4B94">
        <w:rPr>
          <w:rFonts w:ascii="Times New Roman" w:hAnsi="Times New Roman"/>
          <w:iCs/>
          <w:sz w:val="23"/>
          <w:szCs w:val="23"/>
          <w:lang w:val="tr-TR"/>
        </w:rPr>
        <w:t xml:space="preserve">Hükümetin </w:t>
      </w:r>
      <w:r w:rsidR="002B0310" w:rsidRPr="001A4B94">
        <w:rPr>
          <w:rFonts w:ascii="Times New Roman" w:hAnsi="Times New Roman"/>
          <w:iCs/>
          <w:sz w:val="23"/>
          <w:szCs w:val="23"/>
          <w:lang w:val="tr-TR"/>
        </w:rPr>
        <w:t xml:space="preserve">anayasayı değiştirme </w:t>
      </w:r>
      <w:r w:rsidR="00A14628" w:rsidRPr="001A4B94">
        <w:rPr>
          <w:rFonts w:ascii="Times New Roman" w:hAnsi="Times New Roman"/>
          <w:iCs/>
          <w:sz w:val="23"/>
          <w:szCs w:val="23"/>
          <w:lang w:val="tr-TR"/>
        </w:rPr>
        <w:t>(</w:t>
      </w:r>
      <w:r w:rsidR="002B0310" w:rsidRPr="001A4B94">
        <w:rPr>
          <w:rFonts w:ascii="Times New Roman" w:hAnsi="Times New Roman"/>
          <w:iCs/>
          <w:sz w:val="23"/>
          <w:szCs w:val="23"/>
          <w:lang w:val="tr-TR"/>
        </w:rPr>
        <w:t>TBMM ve referandum yoluyla</w:t>
      </w:r>
      <w:r w:rsidR="00A14628" w:rsidRPr="001A4B94">
        <w:rPr>
          <w:rFonts w:ascii="Times New Roman" w:hAnsi="Times New Roman"/>
          <w:iCs/>
          <w:sz w:val="23"/>
          <w:szCs w:val="23"/>
          <w:lang w:val="tr-TR"/>
        </w:rPr>
        <w:t>)</w:t>
      </w:r>
      <w:r w:rsidR="002B0310" w:rsidRPr="001A4B94">
        <w:rPr>
          <w:rFonts w:ascii="Times New Roman" w:hAnsi="Times New Roman"/>
          <w:iCs/>
          <w:sz w:val="23"/>
          <w:szCs w:val="23"/>
          <w:lang w:val="tr-TR"/>
        </w:rPr>
        <w:t xml:space="preserve"> ve jeopolitik gerginlikleri ve bunların özellikle doğu ve güneydoğu bölgeleri olmak üzere Türkiye üzerindeki</w:t>
      </w:r>
      <w:r w:rsidR="002B0310" w:rsidRPr="001A4B94">
        <w:rPr>
          <w:rFonts w:ascii="Times New Roman" w:hAnsi="Times New Roman"/>
          <w:b/>
          <w:iCs/>
          <w:sz w:val="23"/>
          <w:szCs w:val="23"/>
          <w:lang w:val="tr-TR"/>
        </w:rPr>
        <w:t xml:space="preserve"> </w:t>
      </w:r>
      <w:r w:rsidR="00397565" w:rsidRPr="001A4B94">
        <w:rPr>
          <w:rFonts w:ascii="Times New Roman" w:hAnsi="Times New Roman"/>
          <w:iCs/>
          <w:sz w:val="23"/>
          <w:szCs w:val="23"/>
          <w:lang w:val="tr-TR"/>
        </w:rPr>
        <w:t xml:space="preserve"> </w:t>
      </w:r>
      <w:r w:rsidR="002B0310" w:rsidRPr="001A4B94">
        <w:rPr>
          <w:rFonts w:ascii="Times New Roman" w:hAnsi="Times New Roman"/>
          <w:iCs/>
          <w:sz w:val="23"/>
          <w:szCs w:val="23"/>
          <w:lang w:val="tr-TR"/>
        </w:rPr>
        <w:t>etkilerini yönetme çabaları üst düzey hükümet görevlilerinin zamanlarının ve dikkatlerinin önemli bir bölümünü almakta</w:t>
      </w:r>
      <w:r w:rsidR="00A14628" w:rsidRPr="001A4B94">
        <w:rPr>
          <w:rFonts w:ascii="Times New Roman" w:hAnsi="Times New Roman"/>
          <w:iCs/>
          <w:sz w:val="23"/>
          <w:szCs w:val="23"/>
          <w:lang w:val="tr-TR"/>
        </w:rPr>
        <w:t xml:space="preserve">, </w:t>
      </w:r>
      <w:r w:rsidR="002B0310" w:rsidRPr="001A4B94">
        <w:rPr>
          <w:rFonts w:ascii="Times New Roman" w:hAnsi="Times New Roman"/>
          <w:iCs/>
          <w:sz w:val="23"/>
          <w:szCs w:val="23"/>
          <w:lang w:val="tr-TR"/>
        </w:rPr>
        <w:t>ihtiyaç duyulan reformlarda gecikme riski doğurmaktadır</w:t>
      </w:r>
      <w:r w:rsidR="00397565" w:rsidRPr="001A4B94">
        <w:rPr>
          <w:rFonts w:ascii="Times New Roman" w:hAnsi="Times New Roman"/>
          <w:iCs/>
          <w:sz w:val="23"/>
          <w:szCs w:val="23"/>
          <w:lang w:val="tr-TR"/>
        </w:rPr>
        <w:t xml:space="preserve">.  </w:t>
      </w:r>
    </w:p>
    <w:p w14:paraId="7F6C38E4" w14:textId="141BC5E1" w:rsidR="00397565" w:rsidRPr="001A4B94" w:rsidRDefault="006834E4" w:rsidP="00A22137">
      <w:pPr>
        <w:pStyle w:val="ListeParagraf"/>
        <w:tabs>
          <w:tab w:val="left" w:pos="0"/>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iCs/>
          <w:sz w:val="23"/>
          <w:szCs w:val="23"/>
          <w:u w:val="single"/>
          <w:lang w:val="tr-TR"/>
        </w:rPr>
        <w:t xml:space="preserve">Risk </w:t>
      </w:r>
      <w:r w:rsidR="00AC6CFE" w:rsidRPr="001A4B94">
        <w:rPr>
          <w:rFonts w:ascii="Times New Roman" w:hAnsi="Times New Roman"/>
          <w:iCs/>
          <w:sz w:val="23"/>
          <w:szCs w:val="23"/>
          <w:u w:val="single"/>
          <w:lang w:val="tr-TR"/>
        </w:rPr>
        <w:t>Azaltma</w:t>
      </w:r>
      <w:r w:rsidRPr="001A4B94">
        <w:rPr>
          <w:rFonts w:ascii="Times New Roman" w:hAnsi="Times New Roman"/>
          <w:iCs/>
          <w:sz w:val="23"/>
          <w:szCs w:val="23"/>
          <w:u w:val="single"/>
          <w:lang w:val="tr-TR"/>
        </w:rPr>
        <w:t>:</w:t>
      </w:r>
      <w:r w:rsidRPr="001A4B94">
        <w:rPr>
          <w:rFonts w:ascii="Times New Roman" w:hAnsi="Times New Roman"/>
          <w:iCs/>
          <w:sz w:val="23"/>
          <w:szCs w:val="23"/>
          <w:lang w:val="tr-TR"/>
        </w:rPr>
        <w:t xml:space="preserve"> </w:t>
      </w:r>
      <w:r w:rsidR="00AC6CFE" w:rsidRPr="001A4B94">
        <w:rPr>
          <w:rFonts w:ascii="Times New Roman" w:hAnsi="Times New Roman"/>
          <w:iCs/>
          <w:sz w:val="23"/>
          <w:szCs w:val="23"/>
          <w:lang w:val="tr-TR"/>
        </w:rPr>
        <w:t>Dünya Bankası Grubu</w:t>
      </w:r>
      <w:r w:rsidR="00397565" w:rsidRPr="001A4B94">
        <w:rPr>
          <w:rFonts w:ascii="Times New Roman" w:hAnsi="Times New Roman"/>
          <w:iCs/>
          <w:sz w:val="23"/>
          <w:szCs w:val="23"/>
          <w:lang w:val="tr-TR"/>
        </w:rPr>
        <w:t xml:space="preserve">, </w:t>
      </w:r>
      <w:r w:rsidR="00AC6CFE" w:rsidRPr="001A4B94">
        <w:rPr>
          <w:rFonts w:ascii="Times New Roman" w:hAnsi="Times New Roman"/>
          <w:iCs/>
          <w:sz w:val="23"/>
          <w:szCs w:val="23"/>
          <w:lang w:val="tr-TR"/>
        </w:rPr>
        <w:t>diğer kalkınma orta</w:t>
      </w:r>
      <w:r w:rsidR="00AD13D7" w:rsidRPr="001A4B94">
        <w:rPr>
          <w:rFonts w:ascii="Times New Roman" w:hAnsi="Times New Roman"/>
          <w:iCs/>
          <w:sz w:val="23"/>
          <w:szCs w:val="23"/>
          <w:lang w:val="tr-TR"/>
        </w:rPr>
        <w:t>k</w:t>
      </w:r>
      <w:r w:rsidR="00AC6CFE" w:rsidRPr="001A4B94">
        <w:rPr>
          <w:rFonts w:ascii="Times New Roman" w:hAnsi="Times New Roman"/>
          <w:iCs/>
          <w:sz w:val="23"/>
          <w:szCs w:val="23"/>
          <w:lang w:val="tr-TR"/>
        </w:rPr>
        <w:t>ları ve özel sektördeki ortaklar ile birlikte, bu riskleri yakından izlemeye devam edecek ve yetki ve uzmanlık alanı gerektirdiğinde bu bağlamdan çıkan  ekonomik sorunların ortadan kaldırılabilmesi için CPF çerçevesinde sağlanacak destekte değişiklikler yapabilecektir.</w:t>
      </w:r>
      <w:r w:rsidR="00A14628" w:rsidRPr="001A4B94">
        <w:rPr>
          <w:rFonts w:ascii="Times New Roman" w:hAnsi="Times New Roman"/>
          <w:iCs/>
          <w:sz w:val="23"/>
          <w:szCs w:val="23"/>
          <w:lang w:val="tr-TR"/>
        </w:rPr>
        <w:t xml:space="preserve"> </w:t>
      </w:r>
      <w:r w:rsidR="007B351D" w:rsidRPr="001A4B94">
        <w:rPr>
          <w:rFonts w:ascii="Times New Roman" w:hAnsi="Times New Roman"/>
          <w:iCs/>
          <w:sz w:val="23"/>
          <w:szCs w:val="23"/>
          <w:lang w:val="tr-TR"/>
        </w:rPr>
        <w:t xml:space="preserve"> </w:t>
      </w:r>
      <w:r w:rsidR="004B3BB9" w:rsidRPr="001A4B94">
        <w:rPr>
          <w:rFonts w:ascii="Times New Roman" w:hAnsi="Times New Roman"/>
          <w:iCs/>
          <w:sz w:val="23"/>
          <w:szCs w:val="23"/>
          <w:lang w:val="tr-TR"/>
        </w:rPr>
        <w:t>CPF’in esnek</w:t>
      </w:r>
      <w:r w:rsidR="00AC6CFE" w:rsidRPr="001A4B94">
        <w:rPr>
          <w:rFonts w:ascii="Times New Roman" w:hAnsi="Times New Roman"/>
          <w:iCs/>
          <w:sz w:val="23"/>
          <w:szCs w:val="23"/>
          <w:lang w:val="tr-TR"/>
        </w:rPr>
        <w:t xml:space="preserve"> yapısı bu noktada devreye girecek ve </w:t>
      </w:r>
      <w:r w:rsidR="001774DA" w:rsidRPr="001A4B94">
        <w:rPr>
          <w:rFonts w:ascii="Times New Roman" w:hAnsi="Times New Roman"/>
          <w:iCs/>
          <w:sz w:val="23"/>
          <w:szCs w:val="23"/>
          <w:lang w:val="tr-TR"/>
        </w:rPr>
        <w:t>özellikle Dünya Bankası Grubu’nun finansman sağlama şekli ve yeri ile ilgili değişiklikler yoluyla program duruma göre uyarlanabilecektir</w:t>
      </w:r>
      <w:r w:rsidR="007B351D" w:rsidRPr="001A4B94">
        <w:rPr>
          <w:rFonts w:ascii="Times New Roman" w:hAnsi="Times New Roman"/>
          <w:iCs/>
          <w:sz w:val="23"/>
          <w:szCs w:val="23"/>
          <w:lang w:val="tr-TR"/>
        </w:rPr>
        <w:t>.</w:t>
      </w:r>
      <w:r w:rsidR="00A14628" w:rsidRPr="001A4B94">
        <w:rPr>
          <w:rFonts w:ascii="Times New Roman" w:hAnsi="Times New Roman"/>
          <w:iCs/>
          <w:sz w:val="23"/>
          <w:szCs w:val="23"/>
          <w:lang w:val="tr-TR"/>
        </w:rPr>
        <w:t xml:space="preserve"> </w:t>
      </w:r>
      <w:r w:rsidR="001774DA" w:rsidRPr="001A4B94">
        <w:rPr>
          <w:rFonts w:ascii="Times New Roman" w:hAnsi="Times New Roman"/>
          <w:iCs/>
          <w:sz w:val="23"/>
          <w:szCs w:val="23"/>
          <w:lang w:val="tr-TR"/>
        </w:rPr>
        <w:t>İ</w:t>
      </w:r>
      <w:r w:rsidR="00BB5EEC" w:rsidRPr="001A4B94">
        <w:rPr>
          <w:rFonts w:ascii="Times New Roman" w:hAnsi="Times New Roman"/>
          <w:iCs/>
          <w:sz w:val="23"/>
          <w:szCs w:val="23"/>
          <w:lang w:val="tr-TR"/>
        </w:rPr>
        <w:t>h</w:t>
      </w:r>
      <w:r w:rsidR="001774DA" w:rsidRPr="001A4B94">
        <w:rPr>
          <w:rFonts w:ascii="Times New Roman" w:hAnsi="Times New Roman"/>
          <w:iCs/>
          <w:sz w:val="23"/>
          <w:szCs w:val="23"/>
          <w:lang w:val="tr-TR"/>
        </w:rPr>
        <w:t xml:space="preserve">tiyatlı bir makroekonomik ortam yaratabilmek ve bağlama uygun sosyal ve yapısal reformlar </w:t>
      </w:r>
      <w:r w:rsidR="00BB5EEC" w:rsidRPr="001A4B94">
        <w:rPr>
          <w:rFonts w:ascii="Times New Roman" w:hAnsi="Times New Roman"/>
          <w:iCs/>
          <w:sz w:val="23"/>
          <w:szCs w:val="23"/>
          <w:lang w:val="tr-TR"/>
        </w:rPr>
        <w:t>uygulayabilmek amacıyla, ö</w:t>
      </w:r>
      <w:r w:rsidR="001774DA" w:rsidRPr="001A4B94">
        <w:rPr>
          <w:rFonts w:ascii="Times New Roman" w:hAnsi="Times New Roman"/>
          <w:iCs/>
          <w:sz w:val="23"/>
          <w:szCs w:val="23"/>
          <w:lang w:val="tr-TR"/>
        </w:rPr>
        <w:t>nerilen DPL dizisi, hem miktar hem de politika içeriği bakımından koşullara göre kalibre edilebilecek</w:t>
      </w:r>
      <w:r w:rsidR="00AD13D7" w:rsidRPr="001A4B94">
        <w:rPr>
          <w:rFonts w:ascii="Times New Roman" w:hAnsi="Times New Roman"/>
          <w:iCs/>
          <w:sz w:val="23"/>
          <w:szCs w:val="23"/>
          <w:lang w:val="tr-TR"/>
        </w:rPr>
        <w:t>tir</w:t>
      </w:r>
      <w:r w:rsidR="00397565" w:rsidRPr="001A4B94">
        <w:rPr>
          <w:rFonts w:ascii="Times New Roman" w:hAnsi="Times New Roman"/>
          <w:iCs/>
          <w:sz w:val="23"/>
          <w:szCs w:val="23"/>
          <w:lang w:val="tr-TR"/>
        </w:rPr>
        <w:t xml:space="preserve">. </w:t>
      </w:r>
      <w:r w:rsidR="00BB5EEC" w:rsidRPr="001A4B94">
        <w:rPr>
          <w:rFonts w:ascii="Times New Roman" w:hAnsi="Times New Roman"/>
          <w:iCs/>
          <w:sz w:val="23"/>
          <w:szCs w:val="23"/>
          <w:lang w:val="tr-TR"/>
        </w:rPr>
        <w:t xml:space="preserve">Eğer </w:t>
      </w:r>
      <w:r w:rsidR="004B3BB9" w:rsidRPr="001A4B94">
        <w:rPr>
          <w:rFonts w:ascii="Times New Roman" w:hAnsi="Times New Roman"/>
          <w:iCs/>
          <w:sz w:val="23"/>
          <w:szCs w:val="23"/>
          <w:lang w:val="tr-TR"/>
        </w:rPr>
        <w:t>DPL desteği için uygun görülmez ise, program</w:t>
      </w:r>
      <w:r w:rsidR="00AD13D7" w:rsidRPr="001A4B94">
        <w:rPr>
          <w:rFonts w:ascii="Times New Roman" w:hAnsi="Times New Roman"/>
          <w:iCs/>
          <w:sz w:val="23"/>
          <w:szCs w:val="23"/>
          <w:lang w:val="tr-TR"/>
        </w:rPr>
        <w:t>ın</w:t>
      </w:r>
      <w:r w:rsidR="004B3BB9" w:rsidRPr="001A4B94">
        <w:rPr>
          <w:rFonts w:ascii="Times New Roman" w:hAnsi="Times New Roman"/>
          <w:iCs/>
          <w:sz w:val="23"/>
          <w:szCs w:val="23"/>
          <w:lang w:val="tr-TR"/>
        </w:rPr>
        <w:t xml:space="preserve"> daha dar bir hedefleme ile, olgunlaşmış çalışma alanlarındaki kazanımların konsolide edilmesi veya yaygınlaştırılması </w:t>
      </w:r>
      <w:r w:rsidR="00BA6BF4" w:rsidRPr="001A4B94">
        <w:rPr>
          <w:rFonts w:ascii="Times New Roman" w:hAnsi="Times New Roman"/>
          <w:iCs/>
          <w:sz w:val="23"/>
          <w:szCs w:val="23"/>
          <w:lang w:val="tr-TR"/>
        </w:rPr>
        <w:t>(en</w:t>
      </w:r>
      <w:r w:rsidR="004B3BB9" w:rsidRPr="001A4B94">
        <w:rPr>
          <w:rFonts w:ascii="Times New Roman" w:hAnsi="Times New Roman"/>
          <w:iCs/>
          <w:sz w:val="23"/>
          <w:szCs w:val="23"/>
          <w:lang w:val="tr-TR"/>
        </w:rPr>
        <w:t>erji</w:t>
      </w:r>
      <w:r w:rsidR="00944A49" w:rsidRPr="001A4B94">
        <w:rPr>
          <w:rFonts w:ascii="Times New Roman" w:hAnsi="Times New Roman"/>
          <w:iCs/>
          <w:sz w:val="23"/>
          <w:szCs w:val="23"/>
          <w:lang w:val="tr-TR"/>
        </w:rPr>
        <w:t xml:space="preserve">, </w:t>
      </w:r>
      <w:r w:rsidR="004B3BB9" w:rsidRPr="001A4B94">
        <w:rPr>
          <w:rFonts w:ascii="Times New Roman" w:hAnsi="Times New Roman"/>
          <w:iCs/>
          <w:sz w:val="23"/>
          <w:szCs w:val="23"/>
          <w:lang w:val="tr-TR"/>
        </w:rPr>
        <w:t>finansal sektör</w:t>
      </w:r>
      <w:r w:rsidR="00944A49" w:rsidRPr="001A4B94">
        <w:rPr>
          <w:rFonts w:ascii="Times New Roman" w:hAnsi="Times New Roman"/>
          <w:iCs/>
          <w:sz w:val="23"/>
          <w:szCs w:val="23"/>
          <w:lang w:val="tr-TR"/>
        </w:rPr>
        <w:t xml:space="preserve">, </w:t>
      </w:r>
      <w:r w:rsidR="004B3BB9" w:rsidRPr="001A4B94">
        <w:rPr>
          <w:rFonts w:ascii="Times New Roman" w:hAnsi="Times New Roman"/>
          <w:iCs/>
          <w:sz w:val="23"/>
          <w:szCs w:val="23"/>
          <w:lang w:val="tr-TR"/>
        </w:rPr>
        <w:t>şehirler) ve kırılgan nüfus gruplarının ikiz hedeflere ulaşmasına yardımcı</w:t>
      </w:r>
      <w:r w:rsidR="00BA6BF4" w:rsidRPr="001A4B94">
        <w:rPr>
          <w:rFonts w:ascii="Times New Roman" w:hAnsi="Times New Roman"/>
          <w:iCs/>
          <w:sz w:val="23"/>
          <w:szCs w:val="23"/>
          <w:lang w:val="tr-TR"/>
        </w:rPr>
        <w:t xml:space="preserve"> </w:t>
      </w:r>
      <w:r w:rsidR="004B3BB9" w:rsidRPr="001A4B94">
        <w:rPr>
          <w:rFonts w:ascii="Times New Roman" w:hAnsi="Times New Roman"/>
          <w:iCs/>
          <w:sz w:val="23"/>
          <w:szCs w:val="23"/>
          <w:lang w:val="tr-TR"/>
        </w:rPr>
        <w:t xml:space="preserve">olacak yatırımların analizi veya yönetilmesi üzerinde odaklandırılması sağlanacaktır </w:t>
      </w:r>
      <w:r w:rsidR="00504A2C" w:rsidRPr="001A4B94">
        <w:rPr>
          <w:rFonts w:ascii="Times New Roman" w:hAnsi="Times New Roman"/>
          <w:iCs/>
          <w:sz w:val="23"/>
          <w:szCs w:val="23"/>
          <w:lang w:val="tr-TR"/>
        </w:rPr>
        <w:t>(</w:t>
      </w:r>
      <w:r w:rsidR="00F1254E" w:rsidRPr="001A4B94">
        <w:rPr>
          <w:rFonts w:ascii="Times New Roman" w:hAnsi="Times New Roman"/>
          <w:iCs/>
          <w:sz w:val="23"/>
          <w:szCs w:val="23"/>
          <w:lang w:val="tr-TR"/>
        </w:rPr>
        <w:t>halihazırda AB finansmanı ile Geçici Koruma Sağlanan Suriyeliler için yapıldığı gibi</w:t>
      </w:r>
      <w:r w:rsidR="00504A2C" w:rsidRPr="001A4B94">
        <w:rPr>
          <w:rFonts w:ascii="Times New Roman" w:hAnsi="Times New Roman"/>
          <w:iCs/>
          <w:sz w:val="23"/>
          <w:szCs w:val="23"/>
          <w:lang w:val="tr-TR"/>
        </w:rPr>
        <w:t>)</w:t>
      </w:r>
      <w:r w:rsidR="00397565" w:rsidRPr="001A4B94">
        <w:rPr>
          <w:rFonts w:ascii="Times New Roman" w:hAnsi="Times New Roman"/>
          <w:iCs/>
          <w:sz w:val="23"/>
          <w:szCs w:val="23"/>
          <w:lang w:val="tr-TR"/>
        </w:rPr>
        <w:t xml:space="preserve">. </w:t>
      </w:r>
      <w:r w:rsidR="007B351D" w:rsidRPr="001A4B94">
        <w:rPr>
          <w:rFonts w:ascii="Times New Roman" w:hAnsi="Times New Roman"/>
          <w:iCs/>
          <w:sz w:val="23"/>
          <w:szCs w:val="23"/>
          <w:lang w:val="tr-TR"/>
        </w:rPr>
        <w:t xml:space="preserve"> </w:t>
      </w:r>
    </w:p>
    <w:p w14:paraId="6193AB38" w14:textId="08830FD9" w:rsidR="009D42E0" w:rsidRPr="001A4B94" w:rsidRDefault="00F1254E" w:rsidP="0039756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Alt bölgenin zorlu jeopolitik ortamı da zorluklar sunmaktadır</w:t>
      </w:r>
      <w:r w:rsidR="00CB52AB" w:rsidRPr="001A4B94">
        <w:rPr>
          <w:rFonts w:ascii="Times New Roman" w:hAnsi="Times New Roman"/>
          <w:b/>
          <w:iCs/>
          <w:sz w:val="23"/>
          <w:szCs w:val="23"/>
          <w:lang w:val="tr-TR"/>
        </w:rPr>
        <w:t>.</w:t>
      </w:r>
      <w:r w:rsidR="00401242" w:rsidRPr="001A4B94">
        <w:rPr>
          <w:rFonts w:ascii="Times New Roman" w:hAnsi="Times New Roman"/>
          <w:b/>
          <w:iCs/>
          <w:sz w:val="23"/>
          <w:szCs w:val="23"/>
          <w:lang w:val="tr-TR"/>
        </w:rPr>
        <w:t xml:space="preserve"> </w:t>
      </w:r>
      <w:r w:rsidR="002E3E9C" w:rsidRPr="001A4B94">
        <w:rPr>
          <w:rFonts w:ascii="Times New Roman" w:hAnsi="Times New Roman"/>
          <w:iCs/>
          <w:sz w:val="23"/>
          <w:szCs w:val="23"/>
          <w:lang w:val="tr-TR"/>
        </w:rPr>
        <w:t>Avro bölgesindeki zorluklar,</w:t>
      </w:r>
      <w:r w:rsidR="002E3E9C" w:rsidRPr="001A4B94">
        <w:rPr>
          <w:rFonts w:ascii="Times New Roman" w:hAnsi="Times New Roman"/>
          <w:b/>
          <w:iCs/>
          <w:sz w:val="23"/>
          <w:szCs w:val="23"/>
          <w:lang w:val="tr-TR"/>
        </w:rPr>
        <w:t xml:space="preserve"> </w:t>
      </w:r>
      <w:r w:rsidR="002E3E9C" w:rsidRPr="001A4B94">
        <w:rPr>
          <w:rFonts w:ascii="Times New Roman" w:hAnsi="Times New Roman"/>
          <w:iCs/>
          <w:sz w:val="23"/>
          <w:szCs w:val="23"/>
          <w:lang w:val="tr-TR"/>
        </w:rPr>
        <w:t>Türkiye’nin AB’ye katılımı ile ilgili zorlu tartışmalar</w:t>
      </w:r>
      <w:r w:rsidR="002E3E9C" w:rsidRPr="001A4B94">
        <w:rPr>
          <w:rFonts w:ascii="Times New Roman" w:hAnsi="Times New Roman"/>
          <w:sz w:val="23"/>
          <w:szCs w:val="23"/>
          <w:lang w:val="tr-TR"/>
        </w:rPr>
        <w:t>, Suriye’de devam eden çatışmalar ve bunların terör şeklinde ortaya çıkabilecek yayılma riskleri, Türkiye’nin hem Rusya hem de ABD ile olan dinamik ilişkileri göz önüne alındığında b</w:t>
      </w:r>
      <w:r w:rsidR="00454A24" w:rsidRPr="001A4B94">
        <w:rPr>
          <w:rFonts w:ascii="Times New Roman" w:hAnsi="Times New Roman"/>
          <w:sz w:val="23"/>
          <w:szCs w:val="23"/>
          <w:lang w:val="tr-TR"/>
        </w:rPr>
        <w:t xml:space="preserve">ölgesel riskler </w:t>
      </w:r>
      <w:r w:rsidR="00401242" w:rsidRPr="001A4B94">
        <w:rPr>
          <w:rFonts w:ascii="Times New Roman" w:hAnsi="Times New Roman"/>
          <w:sz w:val="23"/>
          <w:szCs w:val="23"/>
          <w:lang w:val="tr-TR"/>
        </w:rPr>
        <w:t xml:space="preserve"> </w:t>
      </w:r>
      <w:r w:rsidR="00F6509C" w:rsidRPr="001A4B94">
        <w:rPr>
          <w:rFonts w:ascii="Times New Roman" w:hAnsi="Times New Roman"/>
          <w:sz w:val="23"/>
          <w:szCs w:val="23"/>
          <w:lang w:val="tr-TR"/>
        </w:rPr>
        <w:t>d</w:t>
      </w:r>
      <w:r w:rsidR="002E3E9C" w:rsidRPr="001A4B94">
        <w:rPr>
          <w:rFonts w:ascii="Times New Roman" w:hAnsi="Times New Roman"/>
          <w:sz w:val="23"/>
          <w:szCs w:val="23"/>
          <w:lang w:val="tr-TR"/>
        </w:rPr>
        <w:t>a</w:t>
      </w:r>
      <w:r w:rsidR="00F6509C" w:rsidRPr="001A4B94">
        <w:rPr>
          <w:rFonts w:ascii="Times New Roman" w:hAnsi="Times New Roman"/>
          <w:sz w:val="23"/>
          <w:szCs w:val="23"/>
          <w:lang w:val="tr-TR"/>
        </w:rPr>
        <w:t>ha karmaşık hale gelmiştir</w:t>
      </w:r>
      <w:r w:rsidR="00FF521B" w:rsidRPr="001A4B94">
        <w:rPr>
          <w:rFonts w:ascii="Times New Roman" w:hAnsi="Times New Roman"/>
          <w:sz w:val="23"/>
          <w:szCs w:val="23"/>
          <w:lang w:val="tr-TR"/>
        </w:rPr>
        <w:t xml:space="preserve">.  </w:t>
      </w:r>
      <w:r w:rsidR="002E3E9C" w:rsidRPr="001A4B94">
        <w:rPr>
          <w:rFonts w:ascii="Times New Roman" w:hAnsi="Times New Roman"/>
          <w:sz w:val="23"/>
          <w:szCs w:val="23"/>
          <w:lang w:val="tr-TR"/>
        </w:rPr>
        <w:t xml:space="preserve">Bu zorluklar </w:t>
      </w:r>
      <w:r w:rsidR="00001AB0" w:rsidRPr="001A4B94">
        <w:rPr>
          <w:rFonts w:ascii="Times New Roman" w:hAnsi="Times New Roman"/>
          <w:sz w:val="23"/>
          <w:szCs w:val="23"/>
          <w:lang w:val="tr-TR"/>
        </w:rPr>
        <w:lastRenderedPageBreak/>
        <w:t>siyasi, ekonomik ve sosyal konuları olumsuz etkileme riski doğurabilir</w:t>
      </w:r>
      <w:r w:rsidR="0041299F" w:rsidRPr="001A4B94">
        <w:rPr>
          <w:rFonts w:ascii="Times New Roman" w:hAnsi="Times New Roman"/>
          <w:sz w:val="23"/>
          <w:szCs w:val="23"/>
          <w:lang w:val="tr-TR"/>
        </w:rPr>
        <w:t xml:space="preserve">. </w:t>
      </w:r>
      <w:r w:rsidR="00001AB0" w:rsidRPr="001A4B94">
        <w:rPr>
          <w:rFonts w:ascii="Times New Roman" w:hAnsi="Times New Roman"/>
          <w:sz w:val="23"/>
          <w:szCs w:val="23"/>
          <w:lang w:val="tr-TR"/>
        </w:rPr>
        <w:t>Olumsuz gelişmeler aynı zamanda özel yatırımları daha fazla caydırabilir</w:t>
      </w:r>
      <w:r w:rsidR="0041299F" w:rsidRPr="001A4B94">
        <w:rPr>
          <w:rFonts w:ascii="Times New Roman" w:hAnsi="Times New Roman"/>
          <w:sz w:val="23"/>
          <w:szCs w:val="23"/>
          <w:lang w:val="tr-TR"/>
        </w:rPr>
        <w:t xml:space="preserve">. </w:t>
      </w:r>
    </w:p>
    <w:p w14:paraId="6E23A03D" w14:textId="2703B9C5" w:rsidR="00397565" w:rsidRPr="001A4B94" w:rsidRDefault="006834E4" w:rsidP="00987009">
      <w:pPr>
        <w:pStyle w:val="ListeParagraf"/>
        <w:tabs>
          <w:tab w:val="left" w:pos="0"/>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u w:val="single"/>
          <w:lang w:val="tr-TR"/>
        </w:rPr>
        <w:t xml:space="preserve">Risk </w:t>
      </w:r>
      <w:r w:rsidR="00001AB0" w:rsidRPr="001A4B94">
        <w:rPr>
          <w:rFonts w:ascii="Times New Roman" w:hAnsi="Times New Roman"/>
          <w:sz w:val="23"/>
          <w:szCs w:val="23"/>
          <w:u w:val="single"/>
          <w:lang w:val="tr-TR"/>
        </w:rPr>
        <w:t>Azaltma</w:t>
      </w:r>
      <w:r w:rsidRPr="001A4B94">
        <w:rPr>
          <w:rFonts w:ascii="Times New Roman" w:hAnsi="Times New Roman"/>
          <w:sz w:val="23"/>
          <w:szCs w:val="23"/>
          <w:u w:val="single"/>
          <w:lang w:val="tr-TR"/>
        </w:rPr>
        <w:t>:</w:t>
      </w:r>
      <w:r w:rsidRPr="001A4B94">
        <w:rPr>
          <w:rFonts w:ascii="Times New Roman" w:hAnsi="Times New Roman"/>
          <w:sz w:val="23"/>
          <w:szCs w:val="23"/>
          <w:lang w:val="tr-TR"/>
        </w:rPr>
        <w:t xml:space="preserve"> </w:t>
      </w:r>
      <w:r w:rsidR="00001AB0" w:rsidRPr="001A4B94">
        <w:rPr>
          <w:rFonts w:ascii="Times New Roman" w:hAnsi="Times New Roman"/>
          <w:sz w:val="23"/>
          <w:szCs w:val="23"/>
          <w:lang w:val="tr-TR"/>
        </w:rPr>
        <w:t>Bu risklerin gerçekleşmesi halinde</w:t>
      </w:r>
      <w:r w:rsidR="0041299F" w:rsidRPr="001A4B94">
        <w:rPr>
          <w:rFonts w:ascii="Times New Roman" w:hAnsi="Times New Roman"/>
          <w:sz w:val="23"/>
          <w:szCs w:val="23"/>
          <w:lang w:val="tr-TR"/>
        </w:rPr>
        <w:t xml:space="preserve">, </w:t>
      </w:r>
      <w:r w:rsidR="00001AB0" w:rsidRPr="001A4B94">
        <w:rPr>
          <w:rFonts w:ascii="Times New Roman" w:hAnsi="Times New Roman"/>
          <w:iCs/>
          <w:sz w:val="23"/>
          <w:szCs w:val="23"/>
          <w:lang w:val="tr-TR"/>
        </w:rPr>
        <w:t>Dünya Bankası Grubu</w:t>
      </w:r>
      <w:r w:rsidR="00001AB0" w:rsidRPr="001A4B94">
        <w:rPr>
          <w:rFonts w:ascii="Times New Roman" w:hAnsi="Times New Roman"/>
          <w:sz w:val="23"/>
          <w:szCs w:val="23"/>
          <w:lang w:val="tr-TR"/>
        </w:rPr>
        <w:t xml:space="preserve">  desteği uygun bir şekilde ılımlı bir düzeye çekecektir. Böyle bir uygulama, planlanan DPL’in ertelenmesi, içe</w:t>
      </w:r>
      <w:r w:rsidR="00B33887" w:rsidRPr="001A4B94">
        <w:rPr>
          <w:rFonts w:ascii="Times New Roman" w:hAnsi="Times New Roman"/>
          <w:sz w:val="23"/>
          <w:szCs w:val="23"/>
          <w:lang w:val="tr-TR"/>
        </w:rPr>
        <w:t>r</w:t>
      </w:r>
      <w:r w:rsidR="00001AB0" w:rsidRPr="001A4B94">
        <w:rPr>
          <w:rFonts w:ascii="Times New Roman" w:hAnsi="Times New Roman"/>
          <w:sz w:val="23"/>
          <w:szCs w:val="23"/>
          <w:lang w:val="tr-TR"/>
        </w:rPr>
        <w:t>iğinin değiştirilmesi ve hacminin uyarlan</w:t>
      </w:r>
      <w:r w:rsidR="00AD13D7" w:rsidRPr="001A4B94">
        <w:rPr>
          <w:rFonts w:ascii="Times New Roman" w:hAnsi="Times New Roman"/>
          <w:sz w:val="23"/>
          <w:szCs w:val="23"/>
          <w:lang w:val="tr-TR"/>
        </w:rPr>
        <w:t>m</w:t>
      </w:r>
      <w:r w:rsidR="00001AB0" w:rsidRPr="001A4B94">
        <w:rPr>
          <w:rFonts w:ascii="Times New Roman" w:hAnsi="Times New Roman"/>
          <w:sz w:val="23"/>
          <w:szCs w:val="23"/>
          <w:lang w:val="tr-TR"/>
        </w:rPr>
        <w:t>ası anlamına gelebilir; aynı zamanda proje finansmanın</w:t>
      </w:r>
      <w:r w:rsidR="00AD13D7" w:rsidRPr="001A4B94">
        <w:rPr>
          <w:rFonts w:ascii="Times New Roman" w:hAnsi="Times New Roman"/>
          <w:sz w:val="23"/>
          <w:szCs w:val="23"/>
          <w:lang w:val="tr-TR"/>
        </w:rPr>
        <w:t>ın</w:t>
      </w:r>
      <w:r w:rsidR="00001AB0" w:rsidRPr="001A4B94">
        <w:rPr>
          <w:rFonts w:ascii="Times New Roman" w:hAnsi="Times New Roman"/>
          <w:sz w:val="23"/>
          <w:szCs w:val="23"/>
          <w:lang w:val="tr-TR"/>
        </w:rPr>
        <w:t xml:space="preserve">  </w:t>
      </w:r>
      <w:r w:rsidR="00CF2AFB" w:rsidRPr="001A4B94">
        <w:rPr>
          <w:rFonts w:ascii="Times New Roman" w:hAnsi="Times New Roman"/>
          <w:sz w:val="23"/>
          <w:szCs w:val="23"/>
          <w:lang w:val="tr-TR"/>
        </w:rPr>
        <w:t>mevcut risklere cevap veren yatırımlara yönlendirilmesine de yol açabilir</w:t>
      </w:r>
      <w:r w:rsidR="0041299F" w:rsidRPr="001A4B94">
        <w:rPr>
          <w:rFonts w:ascii="Times New Roman" w:hAnsi="Times New Roman"/>
          <w:sz w:val="23"/>
          <w:szCs w:val="23"/>
          <w:lang w:val="tr-TR"/>
        </w:rPr>
        <w:t xml:space="preserve">. </w:t>
      </w:r>
      <w:r w:rsidR="00CF2AFB" w:rsidRPr="001A4B94">
        <w:rPr>
          <w:rFonts w:ascii="Times New Roman" w:hAnsi="Times New Roman"/>
          <w:sz w:val="23"/>
          <w:szCs w:val="23"/>
          <w:lang w:val="tr-TR"/>
        </w:rPr>
        <w:t>İster yurt içindeki olumsuz koşullardan kaynaklansın isterse yatırımları Türkiye’den uzaklaştıran başka yerlerdeki cazip koşullardan kaynaklansın, sermaye çıkışları Hükümet’in uluslararası piyasalardaki daha kötü koşulları telafi etmek amacıyla DBG ve UFK finansman olanakları ile daha f</w:t>
      </w:r>
      <w:r w:rsidR="003C4204" w:rsidRPr="001A4B94">
        <w:rPr>
          <w:rFonts w:ascii="Times New Roman" w:hAnsi="Times New Roman"/>
          <w:sz w:val="23"/>
          <w:szCs w:val="23"/>
          <w:lang w:val="tr-TR"/>
        </w:rPr>
        <w:t>a</w:t>
      </w:r>
      <w:r w:rsidR="00CF2AFB" w:rsidRPr="001A4B94">
        <w:rPr>
          <w:rFonts w:ascii="Times New Roman" w:hAnsi="Times New Roman"/>
          <w:sz w:val="23"/>
          <w:szCs w:val="23"/>
          <w:lang w:val="tr-TR"/>
        </w:rPr>
        <w:t>zla ilgilenme</w:t>
      </w:r>
      <w:r w:rsidR="003C4204" w:rsidRPr="001A4B94">
        <w:rPr>
          <w:rFonts w:ascii="Times New Roman" w:hAnsi="Times New Roman"/>
          <w:sz w:val="23"/>
          <w:szCs w:val="23"/>
          <w:lang w:val="tr-TR"/>
        </w:rPr>
        <w:t>s</w:t>
      </w:r>
      <w:r w:rsidR="00CF2AFB" w:rsidRPr="001A4B94">
        <w:rPr>
          <w:rFonts w:ascii="Times New Roman" w:hAnsi="Times New Roman"/>
          <w:sz w:val="23"/>
          <w:szCs w:val="23"/>
          <w:lang w:val="tr-TR"/>
        </w:rPr>
        <w:t xml:space="preserve">ine yol açabilir. Aynı zamanda yeni </w:t>
      </w:r>
      <w:r w:rsidR="00365D0E" w:rsidRPr="001A4B94">
        <w:rPr>
          <w:rFonts w:ascii="Times New Roman" w:hAnsi="Times New Roman"/>
          <w:sz w:val="23"/>
          <w:szCs w:val="23"/>
          <w:lang w:val="tr-TR"/>
        </w:rPr>
        <w:t xml:space="preserve"> </w:t>
      </w:r>
      <w:r w:rsidR="00CF2AFB" w:rsidRPr="001A4B94">
        <w:rPr>
          <w:rFonts w:ascii="Times New Roman" w:hAnsi="Times New Roman"/>
          <w:sz w:val="23"/>
          <w:szCs w:val="23"/>
          <w:lang w:val="tr-TR"/>
        </w:rPr>
        <w:t xml:space="preserve">önem kazanan </w:t>
      </w:r>
      <w:r w:rsidR="003C4204" w:rsidRPr="001A4B94">
        <w:rPr>
          <w:rFonts w:ascii="Times New Roman" w:hAnsi="Times New Roman"/>
          <w:sz w:val="23"/>
          <w:szCs w:val="23"/>
          <w:lang w:val="tr-TR"/>
        </w:rPr>
        <w:t>konularda verimli bir diyalog da sağlayabilir</w:t>
      </w:r>
      <w:r w:rsidR="00185DDB" w:rsidRPr="001A4B94">
        <w:rPr>
          <w:rFonts w:ascii="Times New Roman" w:hAnsi="Times New Roman"/>
          <w:sz w:val="23"/>
          <w:szCs w:val="23"/>
          <w:lang w:val="tr-TR"/>
        </w:rPr>
        <w:t>.</w:t>
      </w:r>
      <w:r w:rsidR="00401242" w:rsidRPr="001A4B94">
        <w:rPr>
          <w:rFonts w:ascii="Times New Roman" w:hAnsi="Times New Roman"/>
          <w:sz w:val="23"/>
          <w:szCs w:val="23"/>
          <w:lang w:val="tr-TR"/>
        </w:rPr>
        <w:t xml:space="preserve">  </w:t>
      </w:r>
      <w:r w:rsidR="003C4204" w:rsidRPr="001A4B94">
        <w:rPr>
          <w:rFonts w:ascii="Times New Roman" w:hAnsi="Times New Roman"/>
          <w:sz w:val="23"/>
          <w:szCs w:val="23"/>
          <w:lang w:val="tr-TR"/>
        </w:rPr>
        <w:t>Her halükarda</w:t>
      </w:r>
      <w:r w:rsidR="00A1720C" w:rsidRPr="001A4B94">
        <w:rPr>
          <w:rFonts w:ascii="Times New Roman" w:hAnsi="Times New Roman"/>
          <w:sz w:val="23"/>
          <w:szCs w:val="23"/>
          <w:lang w:val="tr-TR"/>
        </w:rPr>
        <w:t xml:space="preserve">, </w:t>
      </w:r>
      <w:r w:rsidR="003C4204" w:rsidRPr="001A4B94">
        <w:rPr>
          <w:rFonts w:ascii="Times New Roman" w:hAnsi="Times New Roman"/>
          <w:sz w:val="23"/>
          <w:szCs w:val="23"/>
          <w:lang w:val="tr-TR"/>
        </w:rPr>
        <w:t>iş ortamını iyileştirmeye ve afetlere karşı dayanıklılığı ve kapsamayı arttırmayı amaçlayan reformlara yönelik DBG desteği önemini koruyacaktır ve DBG’in Türkiye’deki çalışmalarının bel kemiğini oluşturacaktır</w:t>
      </w:r>
      <w:r w:rsidR="00A1720C" w:rsidRPr="001A4B94">
        <w:rPr>
          <w:rFonts w:ascii="Times New Roman" w:hAnsi="Times New Roman"/>
          <w:sz w:val="23"/>
          <w:szCs w:val="23"/>
          <w:lang w:val="tr-TR"/>
        </w:rPr>
        <w:t>.</w:t>
      </w:r>
    </w:p>
    <w:p w14:paraId="62C75342" w14:textId="77777777" w:rsidR="00397565" w:rsidRPr="001A4B94" w:rsidRDefault="00397565" w:rsidP="00397565">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50550410" w14:textId="54FA8E69" w:rsidR="009D42E0" w:rsidRPr="001A4B94" w:rsidRDefault="003C4204" w:rsidP="0039756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Yurt içindeki ve yurt dı</w:t>
      </w:r>
      <w:r w:rsidR="00FF24E6" w:rsidRPr="001A4B94">
        <w:rPr>
          <w:rFonts w:ascii="Times New Roman" w:hAnsi="Times New Roman"/>
          <w:b/>
          <w:sz w:val="23"/>
          <w:szCs w:val="23"/>
          <w:lang w:val="tr-TR"/>
        </w:rPr>
        <w:t>ş</w:t>
      </w:r>
      <w:r w:rsidRPr="001A4B94">
        <w:rPr>
          <w:rFonts w:ascii="Times New Roman" w:hAnsi="Times New Roman"/>
          <w:b/>
          <w:sz w:val="23"/>
          <w:szCs w:val="23"/>
          <w:lang w:val="tr-TR"/>
        </w:rPr>
        <w:t>ındaki zorluklar halen makroekonomik g</w:t>
      </w:r>
      <w:r w:rsidR="00FF24E6" w:rsidRPr="001A4B94">
        <w:rPr>
          <w:rFonts w:ascii="Times New Roman" w:hAnsi="Times New Roman"/>
          <w:b/>
          <w:sz w:val="23"/>
          <w:szCs w:val="23"/>
          <w:lang w:val="tr-TR"/>
        </w:rPr>
        <w:t>ö</w:t>
      </w:r>
      <w:r w:rsidRPr="001A4B94">
        <w:rPr>
          <w:rFonts w:ascii="Times New Roman" w:hAnsi="Times New Roman"/>
          <w:b/>
          <w:sz w:val="23"/>
          <w:szCs w:val="23"/>
          <w:lang w:val="tr-TR"/>
        </w:rPr>
        <w:t>rünüm için riskler sunmaktadır</w:t>
      </w:r>
      <w:r w:rsidR="0006004F" w:rsidRPr="001A4B94">
        <w:rPr>
          <w:rFonts w:ascii="Times New Roman" w:hAnsi="Times New Roman"/>
          <w:sz w:val="23"/>
          <w:szCs w:val="23"/>
          <w:lang w:val="tr-TR"/>
        </w:rPr>
        <w:t xml:space="preserve">.  </w:t>
      </w:r>
      <w:r w:rsidR="00A1720C" w:rsidRPr="001A4B94">
        <w:rPr>
          <w:rFonts w:ascii="Times New Roman" w:hAnsi="Times New Roman"/>
          <w:sz w:val="23"/>
          <w:szCs w:val="23"/>
          <w:lang w:val="tr-TR"/>
        </w:rPr>
        <w:t>2016</w:t>
      </w:r>
      <w:r w:rsidRPr="001A4B94">
        <w:rPr>
          <w:rFonts w:ascii="Times New Roman" w:hAnsi="Times New Roman"/>
          <w:sz w:val="23"/>
          <w:szCs w:val="23"/>
          <w:lang w:val="tr-TR"/>
        </w:rPr>
        <w:t xml:space="preserve"> yılında</w:t>
      </w:r>
      <w:r w:rsidR="00A1720C" w:rsidRPr="001A4B94">
        <w:rPr>
          <w:rFonts w:ascii="Times New Roman" w:hAnsi="Times New Roman"/>
          <w:sz w:val="23"/>
          <w:szCs w:val="23"/>
          <w:lang w:val="tr-TR"/>
        </w:rPr>
        <w:t xml:space="preserve">, </w:t>
      </w:r>
      <w:r w:rsidRPr="001A4B94">
        <w:rPr>
          <w:rFonts w:ascii="Times New Roman" w:hAnsi="Times New Roman"/>
          <w:sz w:val="23"/>
          <w:szCs w:val="23"/>
          <w:lang w:val="tr-TR"/>
        </w:rPr>
        <w:t xml:space="preserve">Türkiye </w:t>
      </w:r>
      <w:r w:rsidR="007345FF" w:rsidRPr="001A4B94">
        <w:rPr>
          <w:rFonts w:ascii="Times New Roman" w:hAnsi="Times New Roman"/>
          <w:sz w:val="23"/>
          <w:szCs w:val="23"/>
          <w:lang w:val="tr-TR"/>
        </w:rPr>
        <w:t xml:space="preserve">tekleyen bir büyüme performansı, düşük DYY girişleri </w:t>
      </w:r>
      <w:r w:rsidR="00570B8D" w:rsidRPr="001A4B94">
        <w:rPr>
          <w:rFonts w:ascii="Times New Roman" w:hAnsi="Times New Roman"/>
          <w:sz w:val="23"/>
          <w:szCs w:val="23"/>
          <w:lang w:val="tr-TR"/>
        </w:rPr>
        <w:t>(</w:t>
      </w:r>
      <w:r w:rsidR="007345FF" w:rsidRPr="001A4B94">
        <w:rPr>
          <w:rFonts w:ascii="Times New Roman" w:hAnsi="Times New Roman"/>
          <w:sz w:val="23"/>
          <w:szCs w:val="23"/>
          <w:lang w:val="tr-TR"/>
        </w:rPr>
        <w:t>Türkiye’nin önemine ve potansiyeline sahip bir ülke için zaten düşük düzeylerdeydi</w:t>
      </w:r>
      <w:r w:rsidR="00570B8D" w:rsidRPr="001A4B94">
        <w:rPr>
          <w:rFonts w:ascii="Times New Roman" w:hAnsi="Times New Roman"/>
          <w:sz w:val="23"/>
          <w:szCs w:val="23"/>
          <w:lang w:val="tr-TR"/>
        </w:rPr>
        <w:t xml:space="preserve">), </w:t>
      </w:r>
      <w:r w:rsidR="007345FF" w:rsidRPr="001A4B94">
        <w:rPr>
          <w:rFonts w:ascii="Times New Roman" w:hAnsi="Times New Roman"/>
          <w:sz w:val="23"/>
          <w:szCs w:val="23"/>
          <w:lang w:val="tr-TR"/>
        </w:rPr>
        <w:t>devam eden yüksek cari açıklar ve uluslararası kredi derecelendire kuruluşlarınca not düşürmeleri yaşamıştır</w:t>
      </w:r>
      <w:r w:rsidR="0006004F" w:rsidRPr="001A4B94">
        <w:rPr>
          <w:rFonts w:ascii="Times New Roman" w:hAnsi="Times New Roman"/>
          <w:sz w:val="23"/>
          <w:szCs w:val="23"/>
          <w:lang w:val="tr-TR"/>
        </w:rPr>
        <w:t xml:space="preserve">.  </w:t>
      </w:r>
      <w:r w:rsidR="007345FF" w:rsidRPr="001A4B94">
        <w:rPr>
          <w:rFonts w:ascii="Times New Roman" w:hAnsi="Times New Roman"/>
          <w:sz w:val="23"/>
          <w:szCs w:val="23"/>
          <w:lang w:val="tr-TR"/>
        </w:rPr>
        <w:t>Yükselen petrol fiyatları ve ABD faiz oranları ve düşen turizm gelirleri ticaret ve cari hesaplar üzerinde baskı yaratmaya devam edebilir.</w:t>
      </w:r>
      <w:r w:rsidR="00944A49" w:rsidRPr="001A4B94">
        <w:rPr>
          <w:rFonts w:ascii="Times New Roman" w:hAnsi="Times New Roman"/>
          <w:sz w:val="23"/>
          <w:szCs w:val="23"/>
          <w:lang w:val="tr-TR"/>
        </w:rPr>
        <w:t xml:space="preserve"> </w:t>
      </w:r>
      <w:r w:rsidR="007345FF" w:rsidRPr="001A4B94">
        <w:rPr>
          <w:rFonts w:ascii="Times New Roman" w:hAnsi="Times New Roman"/>
          <w:sz w:val="23"/>
          <w:szCs w:val="23"/>
          <w:lang w:val="tr-TR"/>
        </w:rPr>
        <w:t>Ancak</w:t>
      </w:r>
      <w:r w:rsidR="004A0C89" w:rsidRPr="001A4B94">
        <w:rPr>
          <w:rFonts w:ascii="Times New Roman" w:hAnsi="Times New Roman"/>
          <w:sz w:val="23"/>
          <w:szCs w:val="23"/>
          <w:lang w:val="tr-TR"/>
        </w:rPr>
        <w:t xml:space="preserve">, </w:t>
      </w:r>
      <w:r w:rsidR="00A11BD1" w:rsidRPr="001A4B94">
        <w:rPr>
          <w:rFonts w:ascii="Times New Roman" w:hAnsi="Times New Roman"/>
          <w:sz w:val="23"/>
          <w:szCs w:val="23"/>
          <w:lang w:val="tr-TR"/>
        </w:rPr>
        <w:t xml:space="preserve">(Türkiye’nin ana ticaret ortağı olan) AB’deki yükselen büyüme hızının ve liradaki değer kaybının ticareti </w:t>
      </w:r>
      <w:r w:rsidR="00AD13D7" w:rsidRPr="001A4B94">
        <w:rPr>
          <w:rFonts w:ascii="Times New Roman" w:hAnsi="Times New Roman"/>
          <w:sz w:val="23"/>
          <w:szCs w:val="23"/>
          <w:lang w:val="tr-TR"/>
        </w:rPr>
        <w:t>v</w:t>
      </w:r>
      <w:r w:rsidR="00A11BD1" w:rsidRPr="001A4B94">
        <w:rPr>
          <w:rFonts w:ascii="Times New Roman" w:hAnsi="Times New Roman"/>
          <w:sz w:val="23"/>
          <w:szCs w:val="23"/>
          <w:lang w:val="tr-TR"/>
        </w:rPr>
        <w:t>e cari hesapları desteklemesi olasıdır</w:t>
      </w:r>
      <w:r w:rsidR="0006004F" w:rsidRPr="001A4B94">
        <w:rPr>
          <w:rFonts w:ascii="Times New Roman" w:hAnsi="Times New Roman"/>
          <w:sz w:val="23"/>
          <w:szCs w:val="23"/>
          <w:lang w:val="tr-TR"/>
        </w:rPr>
        <w:t xml:space="preserve">. </w:t>
      </w:r>
      <w:r w:rsidR="00A11BD1" w:rsidRPr="001A4B94">
        <w:rPr>
          <w:rFonts w:ascii="Times New Roman" w:hAnsi="Times New Roman"/>
          <w:sz w:val="23"/>
          <w:szCs w:val="23"/>
          <w:lang w:val="tr-TR"/>
        </w:rPr>
        <w:t>Alt</w:t>
      </w:r>
      <w:r w:rsidR="00570B8D" w:rsidRPr="001A4B94">
        <w:rPr>
          <w:rFonts w:ascii="Times New Roman" w:hAnsi="Times New Roman"/>
          <w:sz w:val="23"/>
          <w:szCs w:val="23"/>
          <w:lang w:val="tr-TR"/>
        </w:rPr>
        <w:t>-</w:t>
      </w:r>
      <w:r w:rsidR="00A11BD1" w:rsidRPr="001A4B94">
        <w:rPr>
          <w:rFonts w:ascii="Times New Roman" w:hAnsi="Times New Roman"/>
          <w:sz w:val="23"/>
          <w:szCs w:val="23"/>
          <w:lang w:val="tr-TR"/>
        </w:rPr>
        <w:t xml:space="preserve">bölgesel krizler </w:t>
      </w:r>
      <w:r w:rsidR="00570B8D" w:rsidRPr="001A4B94">
        <w:rPr>
          <w:rFonts w:ascii="Times New Roman" w:hAnsi="Times New Roman"/>
          <w:sz w:val="23"/>
          <w:szCs w:val="23"/>
          <w:lang w:val="tr-TR"/>
        </w:rPr>
        <w:t>(</w:t>
      </w:r>
      <w:r w:rsidR="00A11BD1" w:rsidRPr="001A4B94">
        <w:rPr>
          <w:rFonts w:ascii="Times New Roman" w:hAnsi="Times New Roman"/>
          <w:sz w:val="23"/>
          <w:szCs w:val="23"/>
          <w:lang w:val="tr-TR"/>
        </w:rPr>
        <w:t>Suriye ve Irak’taki</w:t>
      </w:r>
      <w:r w:rsidR="00570B8D" w:rsidRPr="001A4B94">
        <w:rPr>
          <w:rFonts w:ascii="Times New Roman" w:hAnsi="Times New Roman"/>
          <w:sz w:val="23"/>
          <w:szCs w:val="23"/>
          <w:lang w:val="tr-TR"/>
        </w:rPr>
        <w:t>)</w:t>
      </w:r>
      <w:r w:rsidR="0092181C" w:rsidRPr="001A4B94">
        <w:rPr>
          <w:rFonts w:ascii="Times New Roman" w:hAnsi="Times New Roman"/>
          <w:sz w:val="23"/>
          <w:szCs w:val="23"/>
          <w:lang w:val="tr-TR"/>
        </w:rPr>
        <w:t xml:space="preserve"> </w:t>
      </w:r>
      <w:r w:rsidR="00A11BD1" w:rsidRPr="001A4B94">
        <w:rPr>
          <w:rFonts w:ascii="Times New Roman" w:hAnsi="Times New Roman"/>
          <w:sz w:val="23"/>
          <w:szCs w:val="23"/>
          <w:lang w:val="tr-TR"/>
        </w:rPr>
        <w:t>Türkiye’yi yatırımcılar için daha az cazip hale getirmektedir ve yaklaşık üç milyon GKSS’linin barındırılması ile ilişkili maliyetler mali stresi daha da arttırmaktadır</w:t>
      </w:r>
      <w:r w:rsidR="0092181C" w:rsidRPr="001A4B94">
        <w:rPr>
          <w:rFonts w:ascii="Times New Roman" w:hAnsi="Times New Roman"/>
          <w:sz w:val="23"/>
          <w:szCs w:val="23"/>
          <w:lang w:val="tr-TR"/>
        </w:rPr>
        <w:t>.</w:t>
      </w:r>
      <w:r w:rsidR="0006004F" w:rsidRPr="001A4B94">
        <w:rPr>
          <w:rFonts w:ascii="Times New Roman" w:hAnsi="Times New Roman"/>
          <w:sz w:val="23"/>
          <w:szCs w:val="23"/>
          <w:lang w:val="tr-TR"/>
        </w:rPr>
        <w:t xml:space="preserve"> </w:t>
      </w:r>
      <w:r w:rsidR="00A11BD1" w:rsidRPr="001A4B94">
        <w:rPr>
          <w:rFonts w:ascii="Times New Roman" w:hAnsi="Times New Roman"/>
          <w:sz w:val="23"/>
          <w:szCs w:val="23"/>
          <w:lang w:val="tr-TR"/>
        </w:rPr>
        <w:t>Belirli düzeydeki parasal sıkılaştırmaya rağmen</w:t>
      </w:r>
      <w:r w:rsidR="00424D31" w:rsidRPr="001A4B94">
        <w:rPr>
          <w:rFonts w:ascii="Times New Roman" w:hAnsi="Times New Roman"/>
          <w:sz w:val="23"/>
          <w:szCs w:val="23"/>
          <w:lang w:val="tr-TR"/>
        </w:rPr>
        <w:t xml:space="preserve">, </w:t>
      </w:r>
      <w:r w:rsidR="00A11BD1" w:rsidRPr="001A4B94">
        <w:rPr>
          <w:rFonts w:ascii="Times New Roman" w:hAnsi="Times New Roman"/>
          <w:sz w:val="23"/>
          <w:szCs w:val="23"/>
          <w:lang w:val="tr-TR"/>
        </w:rPr>
        <w:t>enflasyon halen hedefin üzerindedir.</w:t>
      </w:r>
      <w:r w:rsidR="00424D31" w:rsidRPr="001A4B94">
        <w:rPr>
          <w:rFonts w:ascii="Times New Roman" w:hAnsi="Times New Roman"/>
          <w:sz w:val="23"/>
          <w:szCs w:val="23"/>
          <w:lang w:val="tr-TR"/>
        </w:rPr>
        <w:t xml:space="preserve"> </w:t>
      </w:r>
      <w:r w:rsidR="00A11BD1" w:rsidRPr="001A4B94">
        <w:rPr>
          <w:rFonts w:ascii="Times New Roman" w:hAnsi="Times New Roman"/>
          <w:sz w:val="23"/>
          <w:szCs w:val="23"/>
          <w:lang w:val="tr-TR"/>
        </w:rPr>
        <w:t xml:space="preserve">Son zamanlara kadar Türkiye’nin </w:t>
      </w:r>
      <w:r w:rsidR="008B687F" w:rsidRPr="001A4B94">
        <w:rPr>
          <w:rFonts w:ascii="Times New Roman" w:hAnsi="Times New Roman"/>
          <w:sz w:val="23"/>
          <w:szCs w:val="23"/>
          <w:lang w:val="tr-TR"/>
        </w:rPr>
        <w:t>ekonomik başarısının köşe taşı olan mali politika, yakın zaman önce uygulamaya konulan mali teşvik paketi ve artan şarta bağlı yükümlülükler  portföyü ile birlikte genişlemeci bir süreçten geçmektedir</w:t>
      </w:r>
      <w:r w:rsidR="00944A49" w:rsidRPr="001A4B94">
        <w:rPr>
          <w:rFonts w:ascii="Times New Roman" w:hAnsi="Times New Roman"/>
          <w:sz w:val="23"/>
          <w:szCs w:val="23"/>
          <w:lang w:val="tr-TR"/>
        </w:rPr>
        <w:t>.</w:t>
      </w:r>
      <w:r w:rsidR="001B7FDF" w:rsidRPr="001A4B94">
        <w:rPr>
          <w:rFonts w:ascii="Times New Roman" w:hAnsi="Times New Roman"/>
          <w:sz w:val="23"/>
          <w:szCs w:val="23"/>
          <w:lang w:val="tr-TR"/>
        </w:rPr>
        <w:t xml:space="preserve">  </w:t>
      </w:r>
    </w:p>
    <w:p w14:paraId="798B7D7A" w14:textId="693C8D5E" w:rsidR="00397565" w:rsidRPr="001A4B94" w:rsidRDefault="006834E4" w:rsidP="00987009">
      <w:pPr>
        <w:pStyle w:val="ListeParagraf"/>
        <w:tabs>
          <w:tab w:val="left" w:pos="0"/>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u w:val="single"/>
          <w:lang w:val="tr-TR"/>
        </w:rPr>
        <w:t xml:space="preserve">Risk </w:t>
      </w:r>
      <w:r w:rsidR="00A04A48" w:rsidRPr="001A4B94">
        <w:rPr>
          <w:rFonts w:ascii="Times New Roman" w:hAnsi="Times New Roman"/>
          <w:sz w:val="23"/>
          <w:szCs w:val="23"/>
          <w:u w:val="single"/>
          <w:lang w:val="tr-TR"/>
        </w:rPr>
        <w:t>Azaltma</w:t>
      </w:r>
      <w:r w:rsidRPr="001A4B94">
        <w:rPr>
          <w:rFonts w:ascii="Times New Roman" w:hAnsi="Times New Roman"/>
          <w:sz w:val="23"/>
          <w:szCs w:val="23"/>
          <w:lang w:val="tr-TR"/>
        </w:rPr>
        <w:t xml:space="preserve">: </w:t>
      </w:r>
      <w:r w:rsidR="00A04A48" w:rsidRPr="001A4B94">
        <w:rPr>
          <w:rFonts w:ascii="Times New Roman" w:hAnsi="Times New Roman"/>
          <w:sz w:val="23"/>
          <w:szCs w:val="23"/>
          <w:lang w:val="tr-TR"/>
        </w:rPr>
        <w:t xml:space="preserve">Dünya Bankası Grubu </w:t>
      </w:r>
      <w:r w:rsidR="00D72ACA" w:rsidRPr="001A4B94">
        <w:rPr>
          <w:rFonts w:ascii="Times New Roman" w:hAnsi="Times New Roman"/>
          <w:sz w:val="23"/>
          <w:szCs w:val="23"/>
          <w:lang w:val="tr-TR"/>
        </w:rPr>
        <w:t xml:space="preserve">–IMF </w:t>
      </w:r>
      <w:r w:rsidR="00A04A48" w:rsidRPr="001A4B94">
        <w:rPr>
          <w:rFonts w:ascii="Times New Roman" w:hAnsi="Times New Roman"/>
          <w:sz w:val="23"/>
          <w:szCs w:val="23"/>
          <w:lang w:val="tr-TR"/>
        </w:rPr>
        <w:t xml:space="preserve"> ile birlikte</w:t>
      </w:r>
      <w:r w:rsidR="00D72ACA" w:rsidRPr="001A4B94">
        <w:rPr>
          <w:rFonts w:ascii="Times New Roman" w:hAnsi="Times New Roman"/>
          <w:sz w:val="23"/>
          <w:szCs w:val="23"/>
          <w:lang w:val="tr-TR"/>
        </w:rPr>
        <w:t xml:space="preserve">– </w:t>
      </w:r>
      <w:r w:rsidR="00A04A48" w:rsidRPr="001A4B94">
        <w:rPr>
          <w:rFonts w:ascii="Times New Roman" w:hAnsi="Times New Roman"/>
          <w:sz w:val="23"/>
          <w:szCs w:val="23"/>
          <w:lang w:val="tr-TR"/>
        </w:rPr>
        <w:t>gelişmel</w:t>
      </w:r>
      <w:r w:rsidR="00263050" w:rsidRPr="001A4B94">
        <w:rPr>
          <w:rFonts w:ascii="Times New Roman" w:hAnsi="Times New Roman"/>
          <w:sz w:val="23"/>
          <w:szCs w:val="23"/>
          <w:lang w:val="tr-TR"/>
        </w:rPr>
        <w:t>e</w:t>
      </w:r>
      <w:r w:rsidR="00A04A48" w:rsidRPr="001A4B94">
        <w:rPr>
          <w:rFonts w:ascii="Times New Roman" w:hAnsi="Times New Roman"/>
          <w:sz w:val="23"/>
          <w:szCs w:val="23"/>
          <w:lang w:val="tr-TR"/>
        </w:rPr>
        <w:t>ri yakından izleyecektir.</w:t>
      </w:r>
      <w:r w:rsidR="00A1720C" w:rsidRPr="001A4B94">
        <w:rPr>
          <w:rFonts w:ascii="Times New Roman" w:hAnsi="Times New Roman"/>
          <w:sz w:val="23"/>
          <w:szCs w:val="23"/>
          <w:lang w:val="tr-TR"/>
        </w:rPr>
        <w:t xml:space="preserve"> </w:t>
      </w:r>
      <w:r w:rsidR="00A04A48" w:rsidRPr="001A4B94">
        <w:rPr>
          <w:rFonts w:ascii="Times New Roman" w:hAnsi="Times New Roman"/>
          <w:sz w:val="23"/>
          <w:szCs w:val="23"/>
          <w:lang w:val="tr-TR"/>
        </w:rPr>
        <w:t>Ek olarak</w:t>
      </w:r>
      <w:r w:rsidR="00923760" w:rsidRPr="001A4B94">
        <w:rPr>
          <w:rFonts w:ascii="Times New Roman" w:hAnsi="Times New Roman"/>
          <w:sz w:val="23"/>
          <w:szCs w:val="23"/>
          <w:lang w:val="tr-TR"/>
        </w:rPr>
        <w:t xml:space="preserve">, </w:t>
      </w:r>
      <w:r w:rsidR="00A04A48" w:rsidRPr="001A4B94">
        <w:rPr>
          <w:rFonts w:ascii="Times New Roman" w:hAnsi="Times New Roman"/>
          <w:sz w:val="23"/>
          <w:szCs w:val="23"/>
          <w:lang w:val="tr-TR"/>
        </w:rPr>
        <w:t>makroekonomik dayanıklılığı arttır</w:t>
      </w:r>
      <w:r w:rsidR="00923760" w:rsidRPr="001A4B94">
        <w:rPr>
          <w:rFonts w:ascii="Times New Roman" w:hAnsi="Times New Roman"/>
          <w:sz w:val="23"/>
          <w:szCs w:val="23"/>
          <w:lang w:val="tr-TR"/>
        </w:rPr>
        <w:t xml:space="preserve">mak </w:t>
      </w:r>
      <w:r w:rsidR="00A04A48" w:rsidRPr="001A4B94">
        <w:rPr>
          <w:rFonts w:ascii="Times New Roman" w:hAnsi="Times New Roman"/>
          <w:sz w:val="23"/>
          <w:szCs w:val="23"/>
          <w:lang w:val="tr-TR"/>
        </w:rPr>
        <w:t xml:space="preserve">ve hükümetin yeni ortaya çıkan </w:t>
      </w:r>
      <w:r w:rsidR="00923760" w:rsidRPr="001A4B94">
        <w:rPr>
          <w:rFonts w:ascii="Times New Roman" w:hAnsi="Times New Roman"/>
          <w:sz w:val="23"/>
          <w:szCs w:val="23"/>
          <w:lang w:val="tr-TR"/>
        </w:rPr>
        <w:t>kırılganlıklara cevap vermesine yardımcı olmak için Teknik Yardım ve danışmanlık programını arttıracaktır</w:t>
      </w:r>
      <w:r w:rsidR="003E5DE6" w:rsidRPr="001A4B94">
        <w:rPr>
          <w:rFonts w:ascii="Times New Roman" w:hAnsi="Times New Roman"/>
          <w:sz w:val="23"/>
          <w:szCs w:val="23"/>
          <w:lang w:val="tr-TR"/>
        </w:rPr>
        <w:t xml:space="preserve">.  </w:t>
      </w:r>
      <w:r w:rsidR="00923760" w:rsidRPr="001A4B94">
        <w:rPr>
          <w:rFonts w:ascii="Times New Roman" w:hAnsi="Times New Roman"/>
          <w:sz w:val="23"/>
          <w:szCs w:val="23"/>
          <w:lang w:val="tr-TR"/>
        </w:rPr>
        <w:t xml:space="preserve">Kısa ve orta vadede, </w:t>
      </w:r>
      <w:r w:rsidR="00A1720C" w:rsidRPr="001A4B94">
        <w:rPr>
          <w:rFonts w:ascii="Times New Roman" w:hAnsi="Times New Roman"/>
          <w:sz w:val="23"/>
          <w:szCs w:val="23"/>
          <w:lang w:val="tr-TR"/>
        </w:rPr>
        <w:t>T</w:t>
      </w:r>
      <w:r w:rsidR="00923760" w:rsidRPr="001A4B94">
        <w:rPr>
          <w:rFonts w:ascii="Times New Roman" w:hAnsi="Times New Roman"/>
          <w:sz w:val="23"/>
          <w:szCs w:val="23"/>
          <w:lang w:val="tr-TR"/>
        </w:rPr>
        <w:t xml:space="preserve">ürkiye’nin önündeki temel zorluk kaldıraçsızlık sürecini tetikleyebilecek bir resesyondan kaçınmak ve </w:t>
      </w:r>
      <w:r w:rsidR="0038709C" w:rsidRPr="001A4B94">
        <w:rPr>
          <w:rFonts w:ascii="Times New Roman" w:hAnsi="Times New Roman"/>
          <w:sz w:val="23"/>
          <w:szCs w:val="23"/>
          <w:lang w:val="tr-TR"/>
        </w:rPr>
        <w:t>tamponları yeniden oluşturmak, enfl</w:t>
      </w:r>
      <w:r w:rsidR="00263050" w:rsidRPr="001A4B94">
        <w:rPr>
          <w:rFonts w:ascii="Times New Roman" w:hAnsi="Times New Roman"/>
          <w:sz w:val="23"/>
          <w:szCs w:val="23"/>
          <w:lang w:val="tr-TR"/>
        </w:rPr>
        <w:t>a</w:t>
      </w:r>
      <w:r w:rsidR="0038709C" w:rsidRPr="001A4B94">
        <w:rPr>
          <w:rFonts w:ascii="Times New Roman" w:hAnsi="Times New Roman"/>
          <w:sz w:val="23"/>
          <w:szCs w:val="23"/>
          <w:lang w:val="tr-TR"/>
        </w:rPr>
        <w:t xml:space="preserve">syonu düşürmek ve dış dengeleri korumak için </w:t>
      </w:r>
      <w:r w:rsidR="00263050" w:rsidRPr="001A4B94">
        <w:rPr>
          <w:rFonts w:ascii="Times New Roman" w:hAnsi="Times New Roman"/>
          <w:sz w:val="23"/>
          <w:szCs w:val="23"/>
          <w:lang w:val="tr-TR"/>
        </w:rPr>
        <w:t xml:space="preserve">dış finansman koşullarından iyi bir şekilde yararlanmak </w:t>
      </w:r>
      <w:r w:rsidR="00923760" w:rsidRPr="001A4B94">
        <w:rPr>
          <w:rFonts w:ascii="Times New Roman" w:hAnsi="Times New Roman"/>
          <w:sz w:val="23"/>
          <w:szCs w:val="23"/>
          <w:lang w:val="tr-TR"/>
        </w:rPr>
        <w:t>olacaktır</w:t>
      </w:r>
      <w:r w:rsidR="00861414" w:rsidRPr="001A4B94">
        <w:rPr>
          <w:rFonts w:ascii="Times New Roman" w:hAnsi="Times New Roman"/>
          <w:sz w:val="23"/>
          <w:szCs w:val="23"/>
          <w:lang w:val="tr-TR"/>
        </w:rPr>
        <w:t>.</w:t>
      </w:r>
      <w:r w:rsidR="00185DDB" w:rsidRPr="001A4B94">
        <w:rPr>
          <w:rFonts w:ascii="Times New Roman" w:hAnsi="Times New Roman"/>
          <w:sz w:val="23"/>
          <w:szCs w:val="23"/>
          <w:lang w:val="tr-TR"/>
        </w:rPr>
        <w:t xml:space="preserve"> </w:t>
      </w:r>
      <w:r w:rsidR="00263050" w:rsidRPr="001A4B94">
        <w:rPr>
          <w:rFonts w:ascii="Times New Roman" w:hAnsi="Times New Roman"/>
          <w:sz w:val="23"/>
          <w:szCs w:val="23"/>
          <w:lang w:val="tr-TR"/>
        </w:rPr>
        <w:t xml:space="preserve">Burada gerekli olması halinde </w:t>
      </w:r>
      <w:r w:rsidR="00BA6BF4" w:rsidRPr="001A4B94">
        <w:rPr>
          <w:rFonts w:ascii="Times New Roman" w:hAnsi="Times New Roman"/>
          <w:sz w:val="23"/>
          <w:szCs w:val="23"/>
          <w:lang w:val="tr-TR"/>
        </w:rPr>
        <w:t xml:space="preserve">DPL </w:t>
      </w:r>
      <w:r w:rsidR="00263050" w:rsidRPr="001A4B94">
        <w:rPr>
          <w:rFonts w:ascii="Times New Roman" w:hAnsi="Times New Roman"/>
          <w:sz w:val="23"/>
          <w:szCs w:val="23"/>
          <w:lang w:val="tr-TR"/>
        </w:rPr>
        <w:t>kredi dizisi dikkatli bir şekilde uygulanacaktır</w:t>
      </w:r>
      <w:r w:rsidR="00BA6BF4" w:rsidRPr="001A4B94">
        <w:rPr>
          <w:rFonts w:ascii="Times New Roman" w:hAnsi="Times New Roman"/>
          <w:sz w:val="23"/>
          <w:szCs w:val="23"/>
          <w:lang w:val="tr-TR"/>
        </w:rPr>
        <w:t>.</w:t>
      </w:r>
    </w:p>
    <w:p w14:paraId="4358DD54" w14:textId="77777777" w:rsidR="00397565" w:rsidRPr="001A4B94" w:rsidRDefault="00397565" w:rsidP="00397565">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4757ED1A" w14:textId="7F8F64B8" w:rsidR="00036DCB" w:rsidRPr="001A4B94" w:rsidRDefault="00263050" w:rsidP="0039756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sz w:val="23"/>
          <w:szCs w:val="23"/>
          <w:lang w:val="tr-TR"/>
        </w:rPr>
        <w:t>Finansal sektörü</w:t>
      </w:r>
      <w:r w:rsidR="00AD13D7" w:rsidRPr="001A4B94">
        <w:rPr>
          <w:rFonts w:ascii="Times New Roman" w:hAnsi="Times New Roman"/>
          <w:b/>
          <w:sz w:val="23"/>
          <w:szCs w:val="23"/>
          <w:lang w:val="tr-TR"/>
        </w:rPr>
        <w:t>n</w:t>
      </w:r>
      <w:r w:rsidRPr="001A4B94">
        <w:rPr>
          <w:rFonts w:ascii="Times New Roman" w:hAnsi="Times New Roman"/>
          <w:b/>
          <w:sz w:val="23"/>
          <w:szCs w:val="23"/>
          <w:lang w:val="tr-TR"/>
        </w:rPr>
        <w:t xml:space="preserve"> kırılganlığı ve bir bütün olarak ekonomi üzerindeki potansiyel yayılma etkileri ile i</w:t>
      </w:r>
      <w:r w:rsidR="005F49FE" w:rsidRPr="001A4B94">
        <w:rPr>
          <w:rFonts w:ascii="Times New Roman" w:hAnsi="Times New Roman"/>
          <w:b/>
          <w:sz w:val="23"/>
          <w:szCs w:val="23"/>
          <w:lang w:val="tr-TR"/>
        </w:rPr>
        <w:t>l</w:t>
      </w:r>
      <w:r w:rsidRPr="001A4B94">
        <w:rPr>
          <w:rFonts w:ascii="Times New Roman" w:hAnsi="Times New Roman"/>
          <w:b/>
          <w:sz w:val="23"/>
          <w:szCs w:val="23"/>
          <w:lang w:val="tr-TR"/>
        </w:rPr>
        <w:t>g</w:t>
      </w:r>
      <w:r w:rsidR="005F49FE" w:rsidRPr="001A4B94">
        <w:rPr>
          <w:rFonts w:ascii="Times New Roman" w:hAnsi="Times New Roman"/>
          <w:b/>
          <w:sz w:val="23"/>
          <w:szCs w:val="23"/>
          <w:lang w:val="tr-TR"/>
        </w:rPr>
        <w:t>i</w:t>
      </w:r>
      <w:r w:rsidRPr="001A4B94">
        <w:rPr>
          <w:rFonts w:ascii="Times New Roman" w:hAnsi="Times New Roman"/>
          <w:b/>
          <w:sz w:val="23"/>
          <w:szCs w:val="23"/>
          <w:lang w:val="tr-TR"/>
        </w:rPr>
        <w:t>li giderek artan endişel</w:t>
      </w:r>
      <w:r w:rsidR="005F49FE" w:rsidRPr="001A4B94">
        <w:rPr>
          <w:rFonts w:ascii="Times New Roman" w:hAnsi="Times New Roman"/>
          <w:b/>
          <w:sz w:val="23"/>
          <w:szCs w:val="23"/>
          <w:lang w:val="tr-TR"/>
        </w:rPr>
        <w:t>e</w:t>
      </w:r>
      <w:r w:rsidRPr="001A4B94">
        <w:rPr>
          <w:rFonts w:ascii="Times New Roman" w:hAnsi="Times New Roman"/>
          <w:b/>
          <w:sz w:val="23"/>
          <w:szCs w:val="23"/>
          <w:lang w:val="tr-TR"/>
        </w:rPr>
        <w:t>r mevcuttur</w:t>
      </w:r>
      <w:r w:rsidR="00DF0534" w:rsidRPr="001A4B94">
        <w:rPr>
          <w:rFonts w:ascii="Times New Roman" w:hAnsi="Times New Roman"/>
          <w:sz w:val="23"/>
          <w:szCs w:val="23"/>
          <w:lang w:val="tr-TR"/>
        </w:rPr>
        <w:t xml:space="preserve">. </w:t>
      </w:r>
      <w:r w:rsidRPr="001A4B94">
        <w:rPr>
          <w:rFonts w:ascii="Times New Roman" w:hAnsi="Times New Roman"/>
          <w:sz w:val="23"/>
          <w:szCs w:val="23"/>
          <w:lang w:val="tr-TR"/>
        </w:rPr>
        <w:t>Türkiye’nin finansal sektörü, ekonomideki yavaşlama, kurlardaki oynaklık ve dinami</w:t>
      </w:r>
      <w:r w:rsidR="00FF0EA0" w:rsidRPr="001A4B94">
        <w:rPr>
          <w:rFonts w:ascii="Times New Roman" w:hAnsi="Times New Roman"/>
          <w:sz w:val="23"/>
          <w:szCs w:val="23"/>
          <w:lang w:val="tr-TR"/>
        </w:rPr>
        <w:t>k</w:t>
      </w:r>
      <w:r w:rsidRPr="001A4B94">
        <w:rPr>
          <w:rFonts w:ascii="Times New Roman" w:hAnsi="Times New Roman"/>
          <w:sz w:val="23"/>
          <w:szCs w:val="23"/>
          <w:lang w:val="tr-TR"/>
        </w:rPr>
        <w:t xml:space="preserve"> s</w:t>
      </w:r>
      <w:r w:rsidR="005F49FE" w:rsidRPr="001A4B94">
        <w:rPr>
          <w:rFonts w:ascii="Times New Roman" w:hAnsi="Times New Roman"/>
          <w:sz w:val="23"/>
          <w:szCs w:val="23"/>
          <w:lang w:val="tr-TR"/>
        </w:rPr>
        <w:t>i</w:t>
      </w:r>
      <w:r w:rsidRPr="001A4B94">
        <w:rPr>
          <w:rFonts w:ascii="Times New Roman" w:hAnsi="Times New Roman"/>
          <w:sz w:val="23"/>
          <w:szCs w:val="23"/>
          <w:lang w:val="tr-TR"/>
        </w:rPr>
        <w:t>y</w:t>
      </w:r>
      <w:r w:rsidR="005F49FE" w:rsidRPr="001A4B94">
        <w:rPr>
          <w:rFonts w:ascii="Times New Roman" w:hAnsi="Times New Roman"/>
          <w:sz w:val="23"/>
          <w:szCs w:val="23"/>
          <w:lang w:val="tr-TR"/>
        </w:rPr>
        <w:t>a</w:t>
      </w:r>
      <w:r w:rsidRPr="001A4B94">
        <w:rPr>
          <w:rFonts w:ascii="Times New Roman" w:hAnsi="Times New Roman"/>
          <w:sz w:val="23"/>
          <w:szCs w:val="23"/>
          <w:lang w:val="tr-TR"/>
        </w:rPr>
        <w:t xml:space="preserve">si bağlam sebebiyle artan istikrar baskıları </w:t>
      </w:r>
      <w:r w:rsidR="00FF0EA0" w:rsidRPr="001A4B94">
        <w:rPr>
          <w:rFonts w:ascii="Times New Roman" w:hAnsi="Times New Roman"/>
          <w:sz w:val="23"/>
          <w:szCs w:val="23"/>
          <w:lang w:val="tr-TR"/>
        </w:rPr>
        <w:t>ile birlikte karşıdan esen rüzgarlar ile mücadele etmektedir</w:t>
      </w:r>
      <w:r w:rsidR="007567FE" w:rsidRPr="001A4B94">
        <w:rPr>
          <w:rFonts w:ascii="Times New Roman" w:hAnsi="Times New Roman"/>
          <w:sz w:val="23"/>
          <w:szCs w:val="23"/>
          <w:lang w:val="tr-TR"/>
        </w:rPr>
        <w:t xml:space="preserve">.  </w:t>
      </w:r>
      <w:r w:rsidR="00670CB9" w:rsidRPr="001A4B94">
        <w:rPr>
          <w:rFonts w:ascii="Times New Roman" w:hAnsi="Times New Roman"/>
          <w:sz w:val="23"/>
          <w:szCs w:val="23"/>
          <w:lang w:val="tr-TR"/>
        </w:rPr>
        <w:t>S</w:t>
      </w:r>
      <w:r w:rsidR="00FF0EA0" w:rsidRPr="001A4B94">
        <w:rPr>
          <w:rFonts w:ascii="Times New Roman" w:hAnsi="Times New Roman"/>
          <w:sz w:val="23"/>
          <w:szCs w:val="23"/>
          <w:lang w:val="tr-TR"/>
        </w:rPr>
        <w:t xml:space="preserve">ektör </w:t>
      </w:r>
      <w:r w:rsidR="00670CB9" w:rsidRPr="001A4B94">
        <w:rPr>
          <w:rFonts w:ascii="Times New Roman" w:hAnsi="Times New Roman"/>
          <w:sz w:val="23"/>
          <w:szCs w:val="23"/>
          <w:lang w:val="tr-TR"/>
        </w:rPr>
        <w:t xml:space="preserve">yapısal ve </w:t>
      </w:r>
      <w:r w:rsidR="005F49FE" w:rsidRPr="001A4B94">
        <w:rPr>
          <w:rFonts w:ascii="Times New Roman" w:hAnsi="Times New Roman"/>
          <w:sz w:val="23"/>
          <w:szCs w:val="23"/>
          <w:lang w:val="tr-TR"/>
        </w:rPr>
        <w:t>konjonktürel faktörler sebebiyle özellikle kırılgandır</w:t>
      </w:r>
      <w:r w:rsidR="00D17A33" w:rsidRPr="001A4B94">
        <w:rPr>
          <w:rFonts w:ascii="Times New Roman" w:hAnsi="Times New Roman"/>
          <w:sz w:val="23"/>
          <w:szCs w:val="23"/>
          <w:lang w:val="tr-TR"/>
        </w:rPr>
        <w:t xml:space="preserve">.  </w:t>
      </w:r>
      <w:r w:rsidR="005F49FE" w:rsidRPr="001A4B94">
        <w:rPr>
          <w:rFonts w:ascii="Times New Roman" w:hAnsi="Times New Roman"/>
          <w:sz w:val="23"/>
          <w:szCs w:val="23"/>
          <w:lang w:val="tr-TR"/>
        </w:rPr>
        <w:t>Yapısal faktörler arasında döviz cinsinden ve kısa vadede tutulan tasarrufların ve borçların seviyesinin yüksek olması</w:t>
      </w:r>
      <w:r w:rsidR="00D17A33" w:rsidRPr="001A4B94">
        <w:rPr>
          <w:rFonts w:ascii="Times New Roman" w:hAnsi="Times New Roman"/>
          <w:sz w:val="23"/>
          <w:szCs w:val="23"/>
          <w:lang w:val="tr-TR"/>
        </w:rPr>
        <w:t xml:space="preserve">, </w:t>
      </w:r>
      <w:r w:rsidR="005F49FE" w:rsidRPr="001A4B94">
        <w:rPr>
          <w:rFonts w:ascii="Times New Roman" w:hAnsi="Times New Roman"/>
          <w:sz w:val="23"/>
          <w:szCs w:val="23"/>
          <w:lang w:val="tr-TR"/>
        </w:rPr>
        <w:t>sınır ötesi finansmana olan bağımlılık ve önemli bankaların iş modellerindeki yakınlaşma yer almaktadır</w:t>
      </w:r>
      <w:r w:rsidR="00D17A33" w:rsidRPr="001A4B94">
        <w:rPr>
          <w:rFonts w:ascii="Times New Roman" w:hAnsi="Times New Roman"/>
          <w:sz w:val="23"/>
          <w:szCs w:val="23"/>
          <w:lang w:val="tr-TR"/>
        </w:rPr>
        <w:t xml:space="preserve">. </w:t>
      </w:r>
      <w:r w:rsidR="005F49FE" w:rsidRPr="001A4B94">
        <w:rPr>
          <w:rFonts w:ascii="Times New Roman" w:hAnsi="Times New Roman"/>
          <w:sz w:val="23"/>
          <w:szCs w:val="23"/>
          <w:lang w:val="tr-TR"/>
        </w:rPr>
        <w:t xml:space="preserve">Konjonktürel faktörler arasında </w:t>
      </w:r>
      <w:r w:rsidR="00661DCE" w:rsidRPr="001A4B94">
        <w:rPr>
          <w:rFonts w:ascii="Times New Roman" w:hAnsi="Times New Roman"/>
          <w:sz w:val="23"/>
          <w:szCs w:val="23"/>
          <w:lang w:val="tr-TR"/>
        </w:rPr>
        <w:t>artan şirket kaldıraçları</w:t>
      </w:r>
      <w:r w:rsidR="00D17A33" w:rsidRPr="001A4B94">
        <w:rPr>
          <w:rFonts w:ascii="Times New Roman" w:hAnsi="Times New Roman"/>
          <w:sz w:val="23"/>
          <w:szCs w:val="23"/>
          <w:lang w:val="tr-TR"/>
        </w:rPr>
        <w:t xml:space="preserve">, </w:t>
      </w:r>
      <w:r w:rsidR="00661DCE" w:rsidRPr="001A4B94">
        <w:rPr>
          <w:rFonts w:ascii="Times New Roman" w:hAnsi="Times New Roman"/>
          <w:sz w:val="23"/>
          <w:szCs w:val="23"/>
          <w:lang w:val="tr-TR"/>
        </w:rPr>
        <w:t>artan şirket</w:t>
      </w:r>
      <w:r w:rsidR="00D17A33" w:rsidRPr="001A4B94">
        <w:rPr>
          <w:rFonts w:ascii="Times New Roman" w:hAnsi="Times New Roman"/>
          <w:sz w:val="23"/>
          <w:szCs w:val="23"/>
          <w:lang w:val="tr-TR"/>
        </w:rPr>
        <w:t>-bank</w:t>
      </w:r>
      <w:r w:rsidR="00661DCE" w:rsidRPr="001A4B94">
        <w:rPr>
          <w:rFonts w:ascii="Times New Roman" w:hAnsi="Times New Roman"/>
          <w:sz w:val="23"/>
          <w:szCs w:val="23"/>
          <w:lang w:val="tr-TR"/>
        </w:rPr>
        <w:t>a</w:t>
      </w:r>
      <w:r w:rsidR="00D17A33" w:rsidRPr="001A4B94">
        <w:rPr>
          <w:rFonts w:ascii="Times New Roman" w:hAnsi="Times New Roman"/>
          <w:sz w:val="23"/>
          <w:szCs w:val="23"/>
          <w:lang w:val="tr-TR"/>
        </w:rPr>
        <w:t xml:space="preserve"> </w:t>
      </w:r>
      <w:r w:rsidR="00661DCE" w:rsidRPr="001A4B94">
        <w:rPr>
          <w:rFonts w:ascii="Times New Roman" w:hAnsi="Times New Roman"/>
          <w:sz w:val="23"/>
          <w:szCs w:val="23"/>
          <w:lang w:val="tr-TR"/>
        </w:rPr>
        <w:t xml:space="preserve">ve </w:t>
      </w:r>
      <w:r w:rsidR="00D17A33" w:rsidRPr="001A4B94">
        <w:rPr>
          <w:rFonts w:ascii="Times New Roman" w:hAnsi="Times New Roman"/>
          <w:sz w:val="23"/>
          <w:szCs w:val="23"/>
          <w:lang w:val="tr-TR"/>
        </w:rPr>
        <w:t>(</w:t>
      </w:r>
      <w:r w:rsidR="00661DCE" w:rsidRPr="001A4B94">
        <w:rPr>
          <w:rFonts w:ascii="Times New Roman" w:hAnsi="Times New Roman"/>
          <w:sz w:val="23"/>
          <w:szCs w:val="23"/>
          <w:lang w:val="tr-TR"/>
        </w:rPr>
        <w:t>şarta bağlı</w:t>
      </w:r>
      <w:r w:rsidR="00D17A33" w:rsidRPr="001A4B94">
        <w:rPr>
          <w:rFonts w:ascii="Times New Roman" w:hAnsi="Times New Roman"/>
          <w:sz w:val="23"/>
          <w:szCs w:val="23"/>
          <w:lang w:val="tr-TR"/>
        </w:rPr>
        <w:t xml:space="preserve">) </w:t>
      </w:r>
      <w:r w:rsidR="00661DCE" w:rsidRPr="001A4B94">
        <w:rPr>
          <w:rFonts w:ascii="Times New Roman" w:hAnsi="Times New Roman"/>
          <w:sz w:val="23"/>
          <w:szCs w:val="23"/>
          <w:lang w:val="tr-TR"/>
        </w:rPr>
        <w:t>şirket</w:t>
      </w:r>
      <w:r w:rsidR="00D17A33" w:rsidRPr="001A4B94">
        <w:rPr>
          <w:rFonts w:ascii="Times New Roman" w:hAnsi="Times New Roman"/>
          <w:sz w:val="23"/>
          <w:szCs w:val="23"/>
          <w:lang w:val="tr-TR"/>
        </w:rPr>
        <w:t>-</w:t>
      </w:r>
      <w:r w:rsidR="00661DCE" w:rsidRPr="001A4B94">
        <w:rPr>
          <w:rFonts w:ascii="Times New Roman" w:hAnsi="Times New Roman"/>
          <w:sz w:val="23"/>
          <w:szCs w:val="23"/>
          <w:lang w:val="tr-TR"/>
        </w:rPr>
        <w:t>devlet risk toplamları ve bankaların aktif kalitelerindeki kötüleşme yer almaktadır</w:t>
      </w:r>
      <w:r w:rsidR="00D17A33" w:rsidRPr="001A4B94">
        <w:rPr>
          <w:rFonts w:ascii="Times New Roman" w:hAnsi="Times New Roman"/>
          <w:i/>
          <w:iCs/>
          <w:sz w:val="23"/>
          <w:szCs w:val="23"/>
          <w:lang w:val="tr-TR"/>
        </w:rPr>
        <w:t xml:space="preserve">. </w:t>
      </w:r>
      <w:r w:rsidR="007567FE" w:rsidRPr="001A4B94">
        <w:rPr>
          <w:rFonts w:ascii="Times New Roman" w:hAnsi="Times New Roman"/>
          <w:sz w:val="23"/>
          <w:szCs w:val="23"/>
          <w:lang w:val="tr-TR"/>
        </w:rPr>
        <w:t xml:space="preserve"> </w:t>
      </w:r>
      <w:r w:rsidR="00DF0534" w:rsidRPr="001A4B94">
        <w:rPr>
          <w:rFonts w:ascii="Times New Roman" w:hAnsi="Times New Roman"/>
          <w:sz w:val="23"/>
          <w:szCs w:val="23"/>
          <w:lang w:val="tr-TR"/>
        </w:rPr>
        <w:t>IMF-</w:t>
      </w:r>
      <w:r w:rsidR="00661DCE" w:rsidRPr="001A4B94">
        <w:rPr>
          <w:rFonts w:ascii="Times New Roman" w:hAnsi="Times New Roman"/>
          <w:sz w:val="23"/>
          <w:szCs w:val="23"/>
          <w:lang w:val="tr-TR"/>
        </w:rPr>
        <w:t>D</w:t>
      </w:r>
      <w:r w:rsidR="00DF0534" w:rsidRPr="001A4B94">
        <w:rPr>
          <w:rFonts w:ascii="Times New Roman" w:hAnsi="Times New Roman"/>
          <w:sz w:val="23"/>
          <w:szCs w:val="23"/>
          <w:lang w:val="tr-TR"/>
        </w:rPr>
        <w:t>B F</w:t>
      </w:r>
      <w:r w:rsidR="00AD719A" w:rsidRPr="001A4B94">
        <w:rPr>
          <w:rFonts w:ascii="Times New Roman" w:hAnsi="Times New Roman"/>
          <w:sz w:val="23"/>
          <w:szCs w:val="23"/>
          <w:lang w:val="tr-TR"/>
        </w:rPr>
        <w:t>inan</w:t>
      </w:r>
      <w:r w:rsidR="00661DCE" w:rsidRPr="001A4B94">
        <w:rPr>
          <w:rFonts w:ascii="Times New Roman" w:hAnsi="Times New Roman"/>
          <w:sz w:val="23"/>
          <w:szCs w:val="23"/>
          <w:lang w:val="tr-TR"/>
        </w:rPr>
        <w:t xml:space="preserve">sal Sektör Değerlendirmesi </w:t>
      </w:r>
      <w:r w:rsidR="00AD719A" w:rsidRPr="001A4B94">
        <w:rPr>
          <w:rFonts w:ascii="Times New Roman" w:hAnsi="Times New Roman"/>
          <w:sz w:val="23"/>
          <w:szCs w:val="23"/>
          <w:lang w:val="tr-TR"/>
        </w:rPr>
        <w:t>(FSA)</w:t>
      </w:r>
      <w:r w:rsidR="00DF0534" w:rsidRPr="001A4B94">
        <w:rPr>
          <w:rFonts w:ascii="Times New Roman" w:hAnsi="Times New Roman"/>
          <w:sz w:val="23"/>
          <w:szCs w:val="23"/>
          <w:lang w:val="tr-TR"/>
        </w:rPr>
        <w:t xml:space="preserve"> </w:t>
      </w:r>
      <w:r w:rsidR="00661DCE" w:rsidRPr="001A4B94">
        <w:rPr>
          <w:rFonts w:ascii="Times New Roman" w:hAnsi="Times New Roman"/>
          <w:sz w:val="23"/>
          <w:szCs w:val="23"/>
          <w:lang w:val="tr-TR"/>
        </w:rPr>
        <w:t>bankacılık sektöründeki  sermaye tamponlarının kısa süreli şoklara karşı dayanıklı olmakla birlikte, daha uzun süreli bir resesyonun bazı bankaları gelecekteki olası küresel likidite kısıtları düşünüldüğünde temin etmesi güç olabilecek ilave sermaye arayışı içerisine itebileceğini  göstermiştir</w:t>
      </w:r>
      <w:r w:rsidR="00DF0534" w:rsidRPr="001A4B94">
        <w:rPr>
          <w:rFonts w:ascii="Times New Roman" w:hAnsi="Times New Roman"/>
          <w:sz w:val="23"/>
          <w:szCs w:val="23"/>
          <w:lang w:val="tr-TR"/>
        </w:rPr>
        <w:t xml:space="preserve">. </w:t>
      </w:r>
      <w:r w:rsidR="003E5DE6" w:rsidRPr="001A4B94">
        <w:rPr>
          <w:rFonts w:ascii="Times New Roman" w:hAnsi="Times New Roman"/>
          <w:sz w:val="23"/>
          <w:szCs w:val="23"/>
          <w:lang w:val="tr-TR"/>
        </w:rPr>
        <w:t xml:space="preserve"> </w:t>
      </w:r>
      <w:r w:rsidR="00D052C2" w:rsidRPr="001A4B94">
        <w:rPr>
          <w:rFonts w:ascii="Times New Roman" w:hAnsi="Times New Roman"/>
          <w:sz w:val="23"/>
          <w:szCs w:val="23"/>
          <w:lang w:val="tr-TR"/>
        </w:rPr>
        <w:t>Küresel likidite kısıtlarındaki potansiyel bir artış bu durumu daha da ağırlaştırabilir</w:t>
      </w:r>
      <w:r w:rsidR="00DF0534" w:rsidRPr="001A4B94">
        <w:rPr>
          <w:rFonts w:ascii="Times New Roman" w:hAnsi="Times New Roman"/>
          <w:sz w:val="23"/>
          <w:szCs w:val="23"/>
          <w:lang w:val="tr-TR"/>
        </w:rPr>
        <w:t>.</w:t>
      </w:r>
      <w:r w:rsidR="003B0BC0" w:rsidRPr="001A4B94">
        <w:rPr>
          <w:rFonts w:ascii="Times New Roman" w:hAnsi="Times New Roman"/>
          <w:sz w:val="23"/>
          <w:szCs w:val="23"/>
          <w:lang w:val="tr-TR"/>
        </w:rPr>
        <w:t xml:space="preserve">  </w:t>
      </w:r>
    </w:p>
    <w:p w14:paraId="1CD31A43" w14:textId="1BE5C347" w:rsidR="00397565" w:rsidRPr="001A4B94" w:rsidRDefault="003B0BC0" w:rsidP="00987009">
      <w:pPr>
        <w:pStyle w:val="ListeParagraf"/>
        <w:tabs>
          <w:tab w:val="left" w:pos="0"/>
          <w:tab w:val="left" w:pos="2970"/>
        </w:tabs>
        <w:autoSpaceDE w:val="0"/>
        <w:autoSpaceDN w:val="0"/>
        <w:adjustRightInd w:val="0"/>
        <w:spacing w:after="0" w:line="240" w:lineRule="auto"/>
        <w:ind w:left="0"/>
        <w:jc w:val="both"/>
        <w:rPr>
          <w:rFonts w:ascii="Times New Roman" w:hAnsi="Times New Roman"/>
          <w:sz w:val="23"/>
          <w:szCs w:val="23"/>
          <w:lang w:val="tr-TR"/>
        </w:rPr>
      </w:pPr>
      <w:r w:rsidRPr="001A4B94">
        <w:rPr>
          <w:rFonts w:ascii="Times New Roman" w:hAnsi="Times New Roman"/>
          <w:sz w:val="23"/>
          <w:szCs w:val="23"/>
          <w:u w:val="single"/>
          <w:lang w:val="tr-TR"/>
        </w:rPr>
        <w:lastRenderedPageBreak/>
        <w:t xml:space="preserve">Risk </w:t>
      </w:r>
      <w:r w:rsidR="00D052C2" w:rsidRPr="001A4B94">
        <w:rPr>
          <w:rFonts w:ascii="Times New Roman" w:hAnsi="Times New Roman"/>
          <w:sz w:val="23"/>
          <w:szCs w:val="23"/>
          <w:u w:val="single"/>
          <w:lang w:val="tr-TR"/>
        </w:rPr>
        <w:t>Azaltma</w:t>
      </w:r>
      <w:r w:rsidRPr="001A4B94">
        <w:rPr>
          <w:rFonts w:ascii="Times New Roman" w:hAnsi="Times New Roman"/>
          <w:sz w:val="23"/>
          <w:szCs w:val="23"/>
          <w:u w:val="single"/>
          <w:lang w:val="tr-TR"/>
        </w:rPr>
        <w:t>:</w:t>
      </w:r>
      <w:r w:rsidR="00DF0534" w:rsidRPr="001A4B94">
        <w:rPr>
          <w:rFonts w:ascii="Times New Roman" w:hAnsi="Times New Roman"/>
          <w:sz w:val="23"/>
          <w:szCs w:val="23"/>
          <w:lang w:val="tr-TR"/>
        </w:rPr>
        <w:t xml:space="preserve"> </w:t>
      </w:r>
      <w:r w:rsidR="00D052C2" w:rsidRPr="001A4B94">
        <w:rPr>
          <w:rFonts w:ascii="Times New Roman" w:hAnsi="Times New Roman"/>
          <w:sz w:val="23"/>
          <w:szCs w:val="23"/>
          <w:lang w:val="tr-TR"/>
        </w:rPr>
        <w:t>Dünya Bankası Grubu, diyalog, teknik yardım ve olası DPL desteği ve IMF ile yakın koord</w:t>
      </w:r>
      <w:r w:rsidR="00D912A6" w:rsidRPr="001A4B94">
        <w:rPr>
          <w:rFonts w:ascii="Times New Roman" w:hAnsi="Times New Roman"/>
          <w:sz w:val="23"/>
          <w:szCs w:val="23"/>
          <w:lang w:val="tr-TR"/>
        </w:rPr>
        <w:t>i</w:t>
      </w:r>
      <w:r w:rsidR="00D052C2" w:rsidRPr="001A4B94">
        <w:rPr>
          <w:rFonts w:ascii="Times New Roman" w:hAnsi="Times New Roman"/>
          <w:sz w:val="23"/>
          <w:szCs w:val="23"/>
          <w:lang w:val="tr-TR"/>
        </w:rPr>
        <w:t>n</w:t>
      </w:r>
      <w:r w:rsidR="00D912A6" w:rsidRPr="001A4B94">
        <w:rPr>
          <w:rFonts w:ascii="Times New Roman" w:hAnsi="Times New Roman"/>
          <w:sz w:val="23"/>
          <w:szCs w:val="23"/>
          <w:lang w:val="tr-TR"/>
        </w:rPr>
        <w:t>a</w:t>
      </w:r>
      <w:r w:rsidR="00D052C2" w:rsidRPr="001A4B94">
        <w:rPr>
          <w:rFonts w:ascii="Times New Roman" w:hAnsi="Times New Roman"/>
          <w:sz w:val="23"/>
          <w:szCs w:val="23"/>
          <w:lang w:val="tr-TR"/>
        </w:rPr>
        <w:t xml:space="preserve">syon </w:t>
      </w:r>
      <w:r w:rsidR="00D912A6" w:rsidRPr="001A4B94">
        <w:rPr>
          <w:rFonts w:ascii="Times New Roman" w:hAnsi="Times New Roman"/>
          <w:sz w:val="23"/>
          <w:szCs w:val="23"/>
          <w:lang w:val="tr-TR"/>
        </w:rPr>
        <w:t xml:space="preserve">yoluyla </w:t>
      </w:r>
      <w:r w:rsidR="00D052C2" w:rsidRPr="001A4B94">
        <w:rPr>
          <w:rFonts w:ascii="Times New Roman" w:hAnsi="Times New Roman"/>
          <w:sz w:val="23"/>
          <w:szCs w:val="23"/>
          <w:lang w:val="tr-TR"/>
        </w:rPr>
        <w:t xml:space="preserve">(Madde IV incelemeleri </w:t>
      </w:r>
      <w:r w:rsidR="00D912A6" w:rsidRPr="001A4B94">
        <w:rPr>
          <w:rFonts w:ascii="Times New Roman" w:hAnsi="Times New Roman"/>
          <w:sz w:val="23"/>
          <w:szCs w:val="23"/>
          <w:lang w:val="tr-TR"/>
        </w:rPr>
        <w:t>kapsamında</w:t>
      </w:r>
      <w:r w:rsidR="00D052C2" w:rsidRPr="001A4B94">
        <w:rPr>
          <w:rFonts w:ascii="Times New Roman" w:hAnsi="Times New Roman"/>
          <w:sz w:val="23"/>
          <w:szCs w:val="23"/>
          <w:lang w:val="tr-TR"/>
        </w:rPr>
        <w:t>) FSA tavsiyelerini uygulayarak finansal sektör risklerini azaltabilir</w:t>
      </w:r>
      <w:r w:rsidR="00DF0534" w:rsidRPr="001A4B94">
        <w:rPr>
          <w:rFonts w:ascii="Times New Roman" w:hAnsi="Times New Roman"/>
          <w:sz w:val="23"/>
          <w:szCs w:val="23"/>
          <w:lang w:val="tr-TR"/>
        </w:rPr>
        <w:t>.</w:t>
      </w:r>
      <w:r w:rsidR="007567FE" w:rsidRPr="001A4B94">
        <w:rPr>
          <w:rFonts w:ascii="Times New Roman" w:hAnsi="Times New Roman"/>
          <w:sz w:val="23"/>
          <w:szCs w:val="23"/>
          <w:lang w:val="tr-TR"/>
        </w:rPr>
        <w:t xml:space="preserve">  </w:t>
      </w:r>
      <w:r w:rsidR="00F645FD" w:rsidRPr="001A4B94">
        <w:rPr>
          <w:rFonts w:ascii="Times New Roman" w:hAnsi="Times New Roman"/>
          <w:sz w:val="23"/>
          <w:szCs w:val="23"/>
          <w:lang w:val="tr-TR"/>
        </w:rPr>
        <w:t xml:space="preserve">Finansal sektörde devam etmekte olan operasyonlar, yeni ortaya çıkan sorunlara karşı  gerektiğinde ve uygulanabilir olduğunda yeniden yapılandırılabilir ve  </w:t>
      </w:r>
      <w:r w:rsidR="00B52D1C" w:rsidRPr="001A4B94">
        <w:rPr>
          <w:rFonts w:ascii="Times New Roman" w:hAnsi="Times New Roman"/>
          <w:sz w:val="23"/>
          <w:szCs w:val="23"/>
          <w:lang w:val="tr-TR"/>
        </w:rPr>
        <w:t>yeni kredi hatları açılabilir</w:t>
      </w:r>
      <w:r w:rsidR="003E5DE6" w:rsidRPr="001A4B94">
        <w:rPr>
          <w:rFonts w:ascii="Times New Roman" w:hAnsi="Times New Roman"/>
          <w:sz w:val="23"/>
          <w:szCs w:val="23"/>
          <w:lang w:val="tr-TR"/>
        </w:rPr>
        <w:t>.</w:t>
      </w:r>
      <w:r w:rsidR="002B2D9D" w:rsidRPr="001A4B94">
        <w:rPr>
          <w:rFonts w:ascii="Times New Roman" w:hAnsi="Times New Roman"/>
          <w:sz w:val="23"/>
          <w:szCs w:val="23"/>
          <w:lang w:val="tr-TR"/>
        </w:rPr>
        <w:t xml:space="preserve"> </w:t>
      </w:r>
      <w:r w:rsidR="00B52D1C" w:rsidRPr="001A4B94">
        <w:rPr>
          <w:rFonts w:ascii="Times New Roman" w:hAnsi="Times New Roman"/>
          <w:sz w:val="23"/>
          <w:szCs w:val="23"/>
          <w:lang w:val="tr-TR"/>
        </w:rPr>
        <w:t>Türkiye’nin yüksek dış riski sebebiyle lira üzerindeki baskının artması beklentisi göz önüne alındığında</w:t>
      </w:r>
      <w:r w:rsidR="002B2D9D" w:rsidRPr="001A4B94">
        <w:rPr>
          <w:rFonts w:ascii="Times New Roman" w:hAnsi="Times New Roman"/>
          <w:sz w:val="23"/>
          <w:szCs w:val="23"/>
          <w:lang w:val="tr-TR"/>
        </w:rPr>
        <w:t xml:space="preserve">, IFC </w:t>
      </w:r>
      <w:r w:rsidR="00B52D1C" w:rsidRPr="001A4B94">
        <w:rPr>
          <w:rFonts w:ascii="Times New Roman" w:hAnsi="Times New Roman"/>
          <w:sz w:val="23"/>
          <w:szCs w:val="23"/>
          <w:lang w:val="tr-TR"/>
        </w:rPr>
        <w:t xml:space="preserve">reel sektör </w:t>
      </w:r>
      <w:r w:rsidR="0094266B" w:rsidRPr="001A4B94">
        <w:rPr>
          <w:rFonts w:ascii="Times New Roman" w:hAnsi="Times New Roman"/>
          <w:sz w:val="23"/>
          <w:szCs w:val="23"/>
          <w:lang w:val="tr-TR"/>
        </w:rPr>
        <w:t>müşteriler</w:t>
      </w:r>
      <w:r w:rsidR="008D5483" w:rsidRPr="001A4B94">
        <w:rPr>
          <w:rFonts w:ascii="Times New Roman" w:hAnsi="Times New Roman"/>
          <w:sz w:val="23"/>
          <w:szCs w:val="23"/>
          <w:lang w:val="tr-TR"/>
        </w:rPr>
        <w:t>i</w:t>
      </w:r>
      <w:r w:rsidR="0094266B" w:rsidRPr="001A4B94">
        <w:rPr>
          <w:rFonts w:ascii="Times New Roman" w:hAnsi="Times New Roman"/>
          <w:sz w:val="23"/>
          <w:szCs w:val="23"/>
          <w:lang w:val="tr-TR"/>
        </w:rPr>
        <w:t>, KÖİ yatırımları ve büyük açık döviz pozisyonu olan be</w:t>
      </w:r>
      <w:r w:rsidR="008D5483" w:rsidRPr="001A4B94">
        <w:rPr>
          <w:rFonts w:ascii="Times New Roman" w:hAnsi="Times New Roman"/>
          <w:sz w:val="23"/>
          <w:szCs w:val="23"/>
          <w:lang w:val="tr-TR"/>
        </w:rPr>
        <w:t>le</w:t>
      </w:r>
      <w:r w:rsidR="0094266B" w:rsidRPr="001A4B94">
        <w:rPr>
          <w:rFonts w:ascii="Times New Roman" w:hAnsi="Times New Roman"/>
          <w:sz w:val="23"/>
          <w:szCs w:val="23"/>
          <w:lang w:val="tr-TR"/>
        </w:rPr>
        <w:t>d</w:t>
      </w:r>
      <w:r w:rsidR="008D5483" w:rsidRPr="001A4B94">
        <w:rPr>
          <w:rFonts w:ascii="Times New Roman" w:hAnsi="Times New Roman"/>
          <w:sz w:val="23"/>
          <w:szCs w:val="23"/>
          <w:lang w:val="tr-TR"/>
        </w:rPr>
        <w:t>i</w:t>
      </w:r>
      <w:r w:rsidR="0094266B" w:rsidRPr="001A4B94">
        <w:rPr>
          <w:rFonts w:ascii="Times New Roman" w:hAnsi="Times New Roman"/>
          <w:sz w:val="23"/>
          <w:szCs w:val="23"/>
          <w:lang w:val="tr-TR"/>
        </w:rPr>
        <w:t xml:space="preserve">yeler için </w:t>
      </w:r>
      <w:r w:rsidR="008D5483" w:rsidRPr="001A4B94">
        <w:rPr>
          <w:rFonts w:ascii="Times New Roman" w:hAnsi="Times New Roman"/>
          <w:sz w:val="23"/>
          <w:szCs w:val="23"/>
          <w:lang w:val="tr-TR"/>
        </w:rPr>
        <w:t>para birimi takasları sağlayacaktır</w:t>
      </w:r>
      <w:r w:rsidR="002B2D9D" w:rsidRPr="001A4B94">
        <w:rPr>
          <w:rFonts w:ascii="Times New Roman" w:hAnsi="Times New Roman"/>
          <w:sz w:val="23"/>
          <w:szCs w:val="23"/>
          <w:lang w:val="tr-TR"/>
        </w:rPr>
        <w:t xml:space="preserve">. </w:t>
      </w:r>
      <w:r w:rsidR="008D5483" w:rsidRPr="001A4B94">
        <w:rPr>
          <w:rFonts w:ascii="Times New Roman" w:hAnsi="Times New Roman"/>
          <w:sz w:val="23"/>
          <w:szCs w:val="23"/>
          <w:lang w:val="tr-TR"/>
        </w:rPr>
        <w:t>Ayrıca</w:t>
      </w:r>
      <w:r w:rsidR="002B2D9D" w:rsidRPr="001A4B94">
        <w:rPr>
          <w:rFonts w:ascii="Times New Roman" w:hAnsi="Times New Roman"/>
          <w:sz w:val="23"/>
          <w:szCs w:val="23"/>
          <w:lang w:val="tr-TR"/>
        </w:rPr>
        <w:t xml:space="preserve">, IFC </w:t>
      </w:r>
      <w:r w:rsidR="008D5483" w:rsidRPr="001A4B94">
        <w:rPr>
          <w:rFonts w:ascii="Times New Roman" w:hAnsi="Times New Roman"/>
          <w:sz w:val="23"/>
          <w:szCs w:val="23"/>
          <w:lang w:val="tr-TR"/>
        </w:rPr>
        <w:t>ticari kreditörlerin artan risk garantisi taleplerine cevap verebilmek için MIGA ile yakın bir koordinasyon sağlayacaktır</w:t>
      </w:r>
      <w:r w:rsidR="002B2D9D" w:rsidRPr="001A4B94">
        <w:rPr>
          <w:rFonts w:ascii="Times New Roman" w:hAnsi="Times New Roman"/>
          <w:sz w:val="23"/>
          <w:szCs w:val="23"/>
          <w:lang w:val="tr-TR"/>
        </w:rPr>
        <w:t>.</w:t>
      </w:r>
      <w:r w:rsidR="00397565" w:rsidRPr="001A4B94">
        <w:rPr>
          <w:rFonts w:ascii="Times New Roman" w:hAnsi="Times New Roman"/>
          <w:sz w:val="23"/>
          <w:szCs w:val="23"/>
          <w:lang w:val="tr-TR"/>
        </w:rPr>
        <w:t xml:space="preserve">  </w:t>
      </w:r>
      <w:r w:rsidR="002B2D9D" w:rsidRPr="001A4B94">
        <w:rPr>
          <w:rFonts w:ascii="Times New Roman" w:eastAsia="Times New Roman" w:hAnsi="Times New Roman"/>
          <w:sz w:val="23"/>
          <w:szCs w:val="23"/>
          <w:lang w:val="tr-TR"/>
        </w:rPr>
        <w:t xml:space="preserve">IFC </w:t>
      </w:r>
      <w:r w:rsidR="008D5483" w:rsidRPr="001A4B94">
        <w:rPr>
          <w:rFonts w:ascii="Times New Roman" w:eastAsia="Times New Roman" w:hAnsi="Times New Roman"/>
          <w:sz w:val="23"/>
          <w:szCs w:val="23"/>
          <w:lang w:val="tr-TR"/>
        </w:rPr>
        <w:t>bankaların düzenlemeye tabi sermayelerini güçlendirmelerini desteklemeye hazır olacaktır</w:t>
      </w:r>
      <w:r w:rsidR="002B2D9D" w:rsidRPr="001A4B94">
        <w:rPr>
          <w:rFonts w:ascii="Times New Roman" w:eastAsia="Times New Roman" w:hAnsi="Times New Roman"/>
          <w:sz w:val="23"/>
          <w:szCs w:val="23"/>
          <w:lang w:val="tr-TR"/>
        </w:rPr>
        <w:t>.</w:t>
      </w:r>
    </w:p>
    <w:p w14:paraId="3514EF19" w14:textId="77777777" w:rsidR="00397565" w:rsidRPr="001A4B94" w:rsidRDefault="00397565" w:rsidP="00397565">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3"/>
          <w:szCs w:val="23"/>
          <w:lang w:val="tr-TR"/>
        </w:rPr>
      </w:pPr>
    </w:p>
    <w:p w14:paraId="2F3E2689" w14:textId="2B3635CD" w:rsidR="00036DCB" w:rsidRPr="001A4B94" w:rsidRDefault="008D5483" w:rsidP="00397565">
      <w:pPr>
        <w:pStyle w:val="ListeParagraf"/>
        <w:numPr>
          <w:ilvl w:val="0"/>
          <w:numId w:val="2"/>
        </w:numPr>
        <w:tabs>
          <w:tab w:val="left" w:pos="426"/>
          <w:tab w:val="left" w:pos="2970"/>
        </w:tabs>
        <w:autoSpaceDE w:val="0"/>
        <w:autoSpaceDN w:val="0"/>
        <w:adjustRightInd w:val="0"/>
        <w:spacing w:after="0" w:line="240" w:lineRule="auto"/>
        <w:ind w:left="0" w:firstLine="0"/>
        <w:jc w:val="both"/>
        <w:rPr>
          <w:rFonts w:ascii="Times New Roman" w:hAnsi="Times New Roman"/>
          <w:sz w:val="23"/>
          <w:szCs w:val="23"/>
          <w:lang w:val="tr-TR"/>
        </w:rPr>
      </w:pPr>
      <w:r w:rsidRPr="001A4B94">
        <w:rPr>
          <w:rFonts w:ascii="Times New Roman" w:hAnsi="Times New Roman"/>
          <w:b/>
          <w:iCs/>
          <w:sz w:val="23"/>
          <w:szCs w:val="23"/>
          <w:lang w:val="tr-TR"/>
        </w:rPr>
        <w:t xml:space="preserve">Koordinasyon sorunları, </w:t>
      </w:r>
      <w:r w:rsidR="00AA1929" w:rsidRPr="001A4B94">
        <w:rPr>
          <w:rFonts w:ascii="Times New Roman" w:hAnsi="Times New Roman"/>
          <w:b/>
          <w:iCs/>
          <w:sz w:val="23"/>
          <w:szCs w:val="23"/>
          <w:lang w:val="tr-TR"/>
        </w:rPr>
        <w:t>kurumsal yeni</w:t>
      </w:r>
      <w:r w:rsidRPr="001A4B94">
        <w:rPr>
          <w:rFonts w:ascii="Times New Roman" w:hAnsi="Times New Roman"/>
          <w:b/>
          <w:iCs/>
          <w:sz w:val="23"/>
          <w:szCs w:val="23"/>
          <w:lang w:val="tr-TR"/>
        </w:rPr>
        <w:t>den yapı</w:t>
      </w:r>
      <w:r w:rsidR="00AA1929" w:rsidRPr="001A4B94">
        <w:rPr>
          <w:rFonts w:ascii="Times New Roman" w:hAnsi="Times New Roman"/>
          <w:b/>
          <w:iCs/>
          <w:sz w:val="23"/>
          <w:szCs w:val="23"/>
          <w:lang w:val="tr-TR"/>
        </w:rPr>
        <w:t>l</w:t>
      </w:r>
      <w:r w:rsidRPr="001A4B94">
        <w:rPr>
          <w:rFonts w:ascii="Times New Roman" w:hAnsi="Times New Roman"/>
          <w:b/>
          <w:iCs/>
          <w:sz w:val="23"/>
          <w:szCs w:val="23"/>
          <w:lang w:val="tr-TR"/>
        </w:rPr>
        <w:t xml:space="preserve">andırma ve </w:t>
      </w:r>
      <w:r w:rsidR="00936ED4" w:rsidRPr="001A4B94">
        <w:rPr>
          <w:rFonts w:ascii="Times New Roman" w:hAnsi="Times New Roman"/>
          <w:b/>
          <w:iCs/>
          <w:sz w:val="23"/>
          <w:szCs w:val="23"/>
          <w:lang w:val="tr-TR"/>
        </w:rPr>
        <w:t>projel</w:t>
      </w:r>
      <w:r w:rsidR="00AA1929" w:rsidRPr="001A4B94">
        <w:rPr>
          <w:rFonts w:ascii="Times New Roman" w:hAnsi="Times New Roman"/>
          <w:b/>
          <w:iCs/>
          <w:sz w:val="23"/>
          <w:szCs w:val="23"/>
          <w:lang w:val="tr-TR"/>
        </w:rPr>
        <w:t>e</w:t>
      </w:r>
      <w:r w:rsidR="00936ED4" w:rsidRPr="001A4B94">
        <w:rPr>
          <w:rFonts w:ascii="Times New Roman" w:hAnsi="Times New Roman"/>
          <w:b/>
          <w:iCs/>
          <w:sz w:val="23"/>
          <w:szCs w:val="23"/>
          <w:lang w:val="tr-TR"/>
        </w:rPr>
        <w:t>rin uy</w:t>
      </w:r>
      <w:r w:rsidR="00AA1929" w:rsidRPr="001A4B94">
        <w:rPr>
          <w:rFonts w:ascii="Times New Roman" w:hAnsi="Times New Roman"/>
          <w:b/>
          <w:iCs/>
          <w:sz w:val="23"/>
          <w:szCs w:val="23"/>
          <w:lang w:val="tr-TR"/>
        </w:rPr>
        <w:t>g</w:t>
      </w:r>
      <w:r w:rsidR="00936ED4" w:rsidRPr="001A4B94">
        <w:rPr>
          <w:rFonts w:ascii="Times New Roman" w:hAnsi="Times New Roman"/>
          <w:b/>
          <w:iCs/>
          <w:sz w:val="23"/>
          <w:szCs w:val="23"/>
          <w:lang w:val="tr-TR"/>
        </w:rPr>
        <w:t>ulayıcı kurumlar tarafından zayıf bir şekilde sahipleni</w:t>
      </w:r>
      <w:r w:rsidR="00AA1929" w:rsidRPr="001A4B94">
        <w:rPr>
          <w:rFonts w:ascii="Times New Roman" w:hAnsi="Times New Roman"/>
          <w:b/>
          <w:iCs/>
          <w:sz w:val="23"/>
          <w:szCs w:val="23"/>
          <w:lang w:val="tr-TR"/>
        </w:rPr>
        <w:t>l</w:t>
      </w:r>
      <w:r w:rsidR="00936ED4" w:rsidRPr="001A4B94">
        <w:rPr>
          <w:rFonts w:ascii="Times New Roman" w:hAnsi="Times New Roman"/>
          <w:b/>
          <w:iCs/>
          <w:sz w:val="23"/>
          <w:szCs w:val="23"/>
          <w:lang w:val="tr-TR"/>
        </w:rPr>
        <w:t xml:space="preserve">mesi </w:t>
      </w:r>
      <w:r w:rsidRPr="001A4B94">
        <w:rPr>
          <w:rFonts w:ascii="Times New Roman" w:hAnsi="Times New Roman"/>
          <w:b/>
          <w:iCs/>
          <w:sz w:val="23"/>
          <w:szCs w:val="23"/>
          <w:lang w:val="tr-TR"/>
        </w:rPr>
        <w:t>sebebiyle proje uygulamasına yönelik kurumsal kapasit</w:t>
      </w:r>
      <w:r w:rsidR="00936ED4" w:rsidRPr="001A4B94">
        <w:rPr>
          <w:rFonts w:ascii="Times New Roman" w:hAnsi="Times New Roman"/>
          <w:b/>
          <w:iCs/>
          <w:sz w:val="23"/>
          <w:szCs w:val="23"/>
          <w:lang w:val="tr-TR"/>
        </w:rPr>
        <w:t>e ve sürdürüleb</w:t>
      </w:r>
      <w:r w:rsidR="00AA1929" w:rsidRPr="001A4B94">
        <w:rPr>
          <w:rFonts w:ascii="Times New Roman" w:hAnsi="Times New Roman"/>
          <w:b/>
          <w:iCs/>
          <w:sz w:val="23"/>
          <w:szCs w:val="23"/>
          <w:lang w:val="tr-TR"/>
        </w:rPr>
        <w:t>i</w:t>
      </w:r>
      <w:r w:rsidR="00936ED4" w:rsidRPr="001A4B94">
        <w:rPr>
          <w:rFonts w:ascii="Times New Roman" w:hAnsi="Times New Roman"/>
          <w:b/>
          <w:iCs/>
          <w:sz w:val="23"/>
          <w:szCs w:val="23"/>
          <w:lang w:val="tr-TR"/>
        </w:rPr>
        <w:t>lirlik etkilene</w:t>
      </w:r>
      <w:r w:rsidRPr="001A4B94">
        <w:rPr>
          <w:rFonts w:ascii="Times New Roman" w:hAnsi="Times New Roman"/>
          <w:b/>
          <w:iCs/>
          <w:sz w:val="23"/>
          <w:szCs w:val="23"/>
          <w:lang w:val="tr-TR"/>
        </w:rPr>
        <w:t>b</w:t>
      </w:r>
      <w:r w:rsidR="00936ED4" w:rsidRPr="001A4B94">
        <w:rPr>
          <w:rFonts w:ascii="Times New Roman" w:hAnsi="Times New Roman"/>
          <w:b/>
          <w:iCs/>
          <w:sz w:val="23"/>
          <w:szCs w:val="23"/>
          <w:lang w:val="tr-TR"/>
        </w:rPr>
        <w:t>i</w:t>
      </w:r>
      <w:r w:rsidRPr="001A4B94">
        <w:rPr>
          <w:rFonts w:ascii="Times New Roman" w:hAnsi="Times New Roman"/>
          <w:b/>
          <w:iCs/>
          <w:sz w:val="23"/>
          <w:szCs w:val="23"/>
          <w:lang w:val="tr-TR"/>
        </w:rPr>
        <w:t>lir</w:t>
      </w:r>
      <w:r w:rsidR="00B23DFC" w:rsidRPr="001A4B94">
        <w:rPr>
          <w:rFonts w:ascii="Times New Roman" w:hAnsi="Times New Roman"/>
          <w:b/>
          <w:iCs/>
          <w:sz w:val="23"/>
          <w:szCs w:val="23"/>
          <w:lang w:val="tr-TR"/>
        </w:rPr>
        <w:t>.</w:t>
      </w:r>
      <w:r w:rsidR="00091A76" w:rsidRPr="001A4B94">
        <w:rPr>
          <w:rFonts w:ascii="Times New Roman" w:hAnsi="Times New Roman"/>
          <w:b/>
          <w:iCs/>
          <w:sz w:val="23"/>
          <w:szCs w:val="23"/>
          <w:lang w:val="tr-TR"/>
        </w:rPr>
        <w:t xml:space="preserve"> </w:t>
      </w:r>
      <w:r w:rsidR="00936ED4" w:rsidRPr="001A4B94">
        <w:rPr>
          <w:rFonts w:ascii="Times New Roman" w:hAnsi="Times New Roman"/>
          <w:iCs/>
          <w:sz w:val="23"/>
          <w:szCs w:val="23"/>
          <w:lang w:val="tr-TR"/>
        </w:rPr>
        <w:t>Bu risk genel olarak orta dereceli olarak değerlendirilmiştir</w:t>
      </w:r>
      <w:r w:rsidR="002C28E0" w:rsidRPr="001A4B94">
        <w:rPr>
          <w:rFonts w:ascii="Times New Roman" w:hAnsi="Times New Roman"/>
          <w:iCs/>
          <w:sz w:val="23"/>
          <w:szCs w:val="23"/>
          <w:lang w:val="tr-TR"/>
        </w:rPr>
        <w:t xml:space="preserve">; </w:t>
      </w:r>
      <w:r w:rsidR="00936ED4" w:rsidRPr="001A4B94">
        <w:rPr>
          <w:rFonts w:ascii="Times New Roman" w:hAnsi="Times New Roman"/>
          <w:iCs/>
          <w:sz w:val="23"/>
          <w:szCs w:val="23"/>
          <w:lang w:val="tr-TR"/>
        </w:rPr>
        <w:t xml:space="preserve">ancak </w:t>
      </w:r>
      <w:r w:rsidR="00D53C3E" w:rsidRPr="001A4B94">
        <w:rPr>
          <w:rFonts w:ascii="Times New Roman" w:hAnsi="Times New Roman"/>
          <w:iCs/>
          <w:sz w:val="23"/>
          <w:szCs w:val="23"/>
          <w:lang w:val="tr-TR"/>
        </w:rPr>
        <w:t>bu faktörler yönetim kademeleri arası koordin</w:t>
      </w:r>
      <w:r w:rsidR="00AA1929" w:rsidRPr="001A4B94">
        <w:rPr>
          <w:rFonts w:ascii="Times New Roman" w:hAnsi="Times New Roman"/>
          <w:iCs/>
          <w:sz w:val="23"/>
          <w:szCs w:val="23"/>
          <w:lang w:val="tr-TR"/>
        </w:rPr>
        <w:t>a</w:t>
      </w:r>
      <w:r w:rsidR="00D53C3E" w:rsidRPr="001A4B94">
        <w:rPr>
          <w:rFonts w:ascii="Times New Roman" w:hAnsi="Times New Roman"/>
          <w:iCs/>
          <w:sz w:val="23"/>
          <w:szCs w:val="23"/>
          <w:lang w:val="tr-TR"/>
        </w:rPr>
        <w:t>syon zorluklarını a</w:t>
      </w:r>
      <w:r w:rsidR="00C8022F" w:rsidRPr="001A4B94">
        <w:rPr>
          <w:rFonts w:ascii="Times New Roman" w:hAnsi="Times New Roman"/>
          <w:iCs/>
          <w:sz w:val="23"/>
          <w:szCs w:val="23"/>
          <w:lang w:val="tr-TR"/>
        </w:rPr>
        <w:t>ğ</w:t>
      </w:r>
      <w:r w:rsidR="00D53C3E" w:rsidRPr="001A4B94">
        <w:rPr>
          <w:rFonts w:ascii="Times New Roman" w:hAnsi="Times New Roman"/>
          <w:iCs/>
          <w:sz w:val="23"/>
          <w:szCs w:val="23"/>
          <w:lang w:val="tr-TR"/>
        </w:rPr>
        <w:t>ırlaştırabilir</w:t>
      </w:r>
      <w:r w:rsidR="00091A76" w:rsidRPr="001A4B94">
        <w:rPr>
          <w:rFonts w:ascii="Times New Roman" w:hAnsi="Times New Roman"/>
          <w:iCs/>
          <w:sz w:val="23"/>
          <w:szCs w:val="23"/>
          <w:lang w:val="tr-TR"/>
        </w:rPr>
        <w:t xml:space="preserve">, </w:t>
      </w:r>
      <w:r w:rsidR="00C8022F" w:rsidRPr="001A4B94">
        <w:rPr>
          <w:rFonts w:ascii="Times New Roman" w:hAnsi="Times New Roman"/>
          <w:iCs/>
          <w:sz w:val="23"/>
          <w:szCs w:val="23"/>
          <w:lang w:val="tr-TR"/>
        </w:rPr>
        <w:t>politika yönelimini etkileyeb</w:t>
      </w:r>
      <w:r w:rsidR="00AA1929" w:rsidRPr="001A4B94">
        <w:rPr>
          <w:rFonts w:ascii="Times New Roman" w:hAnsi="Times New Roman"/>
          <w:iCs/>
          <w:sz w:val="23"/>
          <w:szCs w:val="23"/>
          <w:lang w:val="tr-TR"/>
        </w:rPr>
        <w:t>i</w:t>
      </w:r>
      <w:r w:rsidR="00C8022F" w:rsidRPr="001A4B94">
        <w:rPr>
          <w:rFonts w:ascii="Times New Roman" w:hAnsi="Times New Roman"/>
          <w:iCs/>
          <w:sz w:val="23"/>
          <w:szCs w:val="23"/>
          <w:lang w:val="tr-TR"/>
        </w:rPr>
        <w:t>lir ve geçmişte pro</w:t>
      </w:r>
      <w:r w:rsidR="00AA1929" w:rsidRPr="001A4B94">
        <w:rPr>
          <w:rFonts w:ascii="Times New Roman" w:hAnsi="Times New Roman"/>
          <w:iCs/>
          <w:sz w:val="23"/>
          <w:szCs w:val="23"/>
          <w:lang w:val="tr-TR"/>
        </w:rPr>
        <w:t>j</w:t>
      </w:r>
      <w:r w:rsidR="00C8022F" w:rsidRPr="001A4B94">
        <w:rPr>
          <w:rFonts w:ascii="Times New Roman" w:hAnsi="Times New Roman"/>
          <w:iCs/>
          <w:sz w:val="23"/>
          <w:szCs w:val="23"/>
          <w:lang w:val="tr-TR"/>
        </w:rPr>
        <w:t xml:space="preserve">e uygulamalarını zaman zaman </w:t>
      </w:r>
      <w:r w:rsidR="00AA1929" w:rsidRPr="001A4B94">
        <w:rPr>
          <w:rFonts w:ascii="Times New Roman" w:hAnsi="Times New Roman"/>
          <w:iCs/>
          <w:sz w:val="23"/>
          <w:szCs w:val="23"/>
          <w:lang w:val="tr-TR"/>
        </w:rPr>
        <w:t xml:space="preserve">aksatan bir husus olarak yatırımlar ve diğer proje faaliyetleri üzerinde uzlaşıya varılmasında güçlükler yaratabilir. </w:t>
      </w:r>
      <w:r w:rsidR="00091A76" w:rsidRPr="001A4B94">
        <w:rPr>
          <w:rFonts w:ascii="Times New Roman" w:hAnsi="Times New Roman"/>
          <w:iCs/>
          <w:sz w:val="23"/>
          <w:szCs w:val="23"/>
          <w:lang w:val="tr-TR"/>
        </w:rPr>
        <w:t xml:space="preserve">   </w:t>
      </w:r>
    </w:p>
    <w:p w14:paraId="32DAEA1E" w14:textId="77777777" w:rsidR="009453A7" w:rsidRPr="001A4B94" w:rsidRDefault="009453A7" w:rsidP="00987009">
      <w:pPr>
        <w:pStyle w:val="ListeParagraf"/>
        <w:tabs>
          <w:tab w:val="left" w:pos="0"/>
          <w:tab w:val="left" w:pos="2970"/>
        </w:tabs>
        <w:autoSpaceDE w:val="0"/>
        <w:autoSpaceDN w:val="0"/>
        <w:adjustRightInd w:val="0"/>
        <w:spacing w:after="0" w:line="240" w:lineRule="auto"/>
        <w:ind w:left="0"/>
        <w:jc w:val="both"/>
        <w:rPr>
          <w:rFonts w:ascii="Times New Roman" w:hAnsi="Times New Roman"/>
          <w:iCs/>
          <w:sz w:val="23"/>
          <w:szCs w:val="23"/>
          <w:u w:val="single"/>
          <w:lang w:val="tr-TR"/>
        </w:rPr>
      </w:pPr>
    </w:p>
    <w:p w14:paraId="6C831E33" w14:textId="59BAC347" w:rsidR="00523BD6" w:rsidRPr="001A4B94" w:rsidRDefault="003B0BC0" w:rsidP="00987009">
      <w:pPr>
        <w:pStyle w:val="ListeParagraf"/>
        <w:tabs>
          <w:tab w:val="left" w:pos="0"/>
          <w:tab w:val="left" w:pos="2970"/>
        </w:tabs>
        <w:autoSpaceDE w:val="0"/>
        <w:autoSpaceDN w:val="0"/>
        <w:adjustRightInd w:val="0"/>
        <w:spacing w:after="0" w:line="240" w:lineRule="auto"/>
        <w:ind w:left="0"/>
        <w:jc w:val="both"/>
        <w:rPr>
          <w:rFonts w:ascii="Times New Roman" w:hAnsi="Times New Roman"/>
          <w:iCs/>
          <w:sz w:val="23"/>
          <w:szCs w:val="23"/>
          <w:lang w:val="tr-TR"/>
        </w:rPr>
        <w:sectPr w:rsidR="00523BD6" w:rsidRPr="001A4B94" w:rsidSect="00A00CA7">
          <w:footerReference w:type="first" r:id="rId30"/>
          <w:pgSz w:w="12240" w:h="15840"/>
          <w:pgMar w:top="1440" w:right="1440" w:bottom="1440" w:left="1440" w:header="720" w:footer="720" w:gutter="0"/>
          <w:pgNumType w:start="1"/>
          <w:cols w:space="720"/>
          <w:titlePg/>
          <w:docGrid w:linePitch="360"/>
        </w:sectPr>
      </w:pPr>
      <w:r w:rsidRPr="001A4B94">
        <w:rPr>
          <w:rFonts w:ascii="Times New Roman" w:hAnsi="Times New Roman"/>
          <w:iCs/>
          <w:sz w:val="23"/>
          <w:szCs w:val="23"/>
          <w:u w:val="single"/>
          <w:lang w:val="tr-TR"/>
        </w:rPr>
        <w:t xml:space="preserve">Risk </w:t>
      </w:r>
      <w:r w:rsidR="00AA1929" w:rsidRPr="001A4B94">
        <w:rPr>
          <w:rFonts w:ascii="Times New Roman" w:hAnsi="Times New Roman"/>
          <w:iCs/>
          <w:sz w:val="23"/>
          <w:szCs w:val="23"/>
          <w:u w:val="single"/>
          <w:lang w:val="tr-TR"/>
        </w:rPr>
        <w:t>Azaltma</w:t>
      </w:r>
      <w:r w:rsidRPr="001A4B94">
        <w:rPr>
          <w:rFonts w:ascii="Times New Roman" w:hAnsi="Times New Roman"/>
          <w:iCs/>
          <w:sz w:val="23"/>
          <w:szCs w:val="23"/>
          <w:u w:val="single"/>
          <w:lang w:val="tr-TR"/>
        </w:rPr>
        <w:t>:</w:t>
      </w:r>
      <w:r w:rsidRPr="001A4B94">
        <w:rPr>
          <w:rFonts w:ascii="Times New Roman" w:hAnsi="Times New Roman"/>
          <w:iCs/>
          <w:sz w:val="23"/>
          <w:szCs w:val="23"/>
          <w:lang w:val="tr-TR"/>
        </w:rPr>
        <w:t xml:space="preserve"> </w:t>
      </w:r>
      <w:r w:rsidR="00AA1929" w:rsidRPr="001A4B94">
        <w:rPr>
          <w:rFonts w:ascii="Times New Roman" w:hAnsi="Times New Roman"/>
          <w:iCs/>
          <w:sz w:val="23"/>
          <w:szCs w:val="23"/>
          <w:lang w:val="tr-TR"/>
        </w:rPr>
        <w:t>Dünya Bankası Grubu, projel</w:t>
      </w:r>
      <w:r w:rsidR="00660A7E" w:rsidRPr="001A4B94">
        <w:rPr>
          <w:rFonts w:ascii="Times New Roman" w:hAnsi="Times New Roman"/>
          <w:iCs/>
          <w:sz w:val="23"/>
          <w:szCs w:val="23"/>
          <w:lang w:val="tr-TR"/>
        </w:rPr>
        <w:t>e</w:t>
      </w:r>
      <w:r w:rsidR="00AA1929" w:rsidRPr="001A4B94">
        <w:rPr>
          <w:rFonts w:ascii="Times New Roman" w:hAnsi="Times New Roman"/>
          <w:iCs/>
          <w:sz w:val="23"/>
          <w:szCs w:val="23"/>
          <w:lang w:val="tr-TR"/>
        </w:rPr>
        <w:t>rinde ve ASA çalı</w:t>
      </w:r>
      <w:r w:rsidR="00660A7E" w:rsidRPr="001A4B94">
        <w:rPr>
          <w:rFonts w:ascii="Times New Roman" w:hAnsi="Times New Roman"/>
          <w:iCs/>
          <w:sz w:val="23"/>
          <w:szCs w:val="23"/>
          <w:lang w:val="tr-TR"/>
        </w:rPr>
        <w:t>ş</w:t>
      </w:r>
      <w:r w:rsidR="00AA1929" w:rsidRPr="001A4B94">
        <w:rPr>
          <w:rFonts w:ascii="Times New Roman" w:hAnsi="Times New Roman"/>
          <w:iCs/>
          <w:sz w:val="23"/>
          <w:szCs w:val="23"/>
          <w:lang w:val="tr-TR"/>
        </w:rPr>
        <w:t>malarında daha güçlü bir izleme ve koordin</w:t>
      </w:r>
      <w:r w:rsidR="00660A7E" w:rsidRPr="001A4B94">
        <w:rPr>
          <w:rFonts w:ascii="Times New Roman" w:hAnsi="Times New Roman"/>
          <w:iCs/>
          <w:sz w:val="23"/>
          <w:szCs w:val="23"/>
          <w:lang w:val="tr-TR"/>
        </w:rPr>
        <w:t>a</w:t>
      </w:r>
      <w:r w:rsidR="00AA1929" w:rsidRPr="001A4B94">
        <w:rPr>
          <w:rFonts w:ascii="Times New Roman" w:hAnsi="Times New Roman"/>
          <w:iCs/>
          <w:sz w:val="23"/>
          <w:szCs w:val="23"/>
          <w:lang w:val="tr-TR"/>
        </w:rPr>
        <w:t>syon için daha yoğun bir kapasite oluşturma yoluyla bu riski azaltacaktır</w:t>
      </w:r>
      <w:r w:rsidR="003E5DE6" w:rsidRPr="001A4B94">
        <w:rPr>
          <w:rFonts w:ascii="Times New Roman" w:hAnsi="Times New Roman"/>
          <w:iCs/>
          <w:sz w:val="23"/>
          <w:szCs w:val="23"/>
          <w:lang w:val="tr-TR"/>
        </w:rPr>
        <w:t xml:space="preserve">.  </w:t>
      </w:r>
      <w:r w:rsidR="00AA1929" w:rsidRPr="001A4B94">
        <w:rPr>
          <w:rFonts w:ascii="Times New Roman" w:hAnsi="Times New Roman"/>
          <w:iCs/>
          <w:sz w:val="23"/>
          <w:szCs w:val="23"/>
          <w:lang w:val="tr-TR"/>
        </w:rPr>
        <w:t>Dünya Bankası Grubu belirli alanlarda programını genişletmeden önce müşt</w:t>
      </w:r>
      <w:r w:rsidR="00660A7E" w:rsidRPr="001A4B94">
        <w:rPr>
          <w:rFonts w:ascii="Times New Roman" w:hAnsi="Times New Roman"/>
          <w:iCs/>
          <w:sz w:val="23"/>
          <w:szCs w:val="23"/>
          <w:lang w:val="tr-TR"/>
        </w:rPr>
        <w:t>e</w:t>
      </w:r>
      <w:r w:rsidR="00AA1929" w:rsidRPr="001A4B94">
        <w:rPr>
          <w:rFonts w:ascii="Times New Roman" w:hAnsi="Times New Roman"/>
          <w:iCs/>
          <w:sz w:val="23"/>
          <w:szCs w:val="23"/>
          <w:lang w:val="tr-TR"/>
        </w:rPr>
        <w:t>rilerin kararlılığı le ilgili daha açık sinyaller arayacaktır</w:t>
      </w:r>
      <w:r w:rsidR="003E5DE6" w:rsidRPr="001A4B94">
        <w:rPr>
          <w:rFonts w:ascii="Times New Roman" w:hAnsi="Times New Roman"/>
          <w:iCs/>
          <w:sz w:val="23"/>
          <w:szCs w:val="23"/>
          <w:lang w:val="tr-TR"/>
        </w:rPr>
        <w:t xml:space="preserve">. </w:t>
      </w:r>
      <w:r w:rsidR="00AA1929" w:rsidRPr="001A4B94">
        <w:rPr>
          <w:rFonts w:ascii="Times New Roman" w:hAnsi="Times New Roman"/>
          <w:iCs/>
          <w:sz w:val="23"/>
          <w:szCs w:val="23"/>
          <w:lang w:val="tr-TR"/>
        </w:rPr>
        <w:t>Bu bağlamda olumlu bir faktör hükümet</w:t>
      </w:r>
      <w:r w:rsidR="00660A7E" w:rsidRPr="001A4B94">
        <w:rPr>
          <w:rFonts w:ascii="Times New Roman" w:hAnsi="Times New Roman"/>
          <w:iCs/>
          <w:sz w:val="23"/>
          <w:szCs w:val="23"/>
          <w:lang w:val="tr-TR"/>
        </w:rPr>
        <w:t>i</w:t>
      </w:r>
      <w:r w:rsidR="00AA1929" w:rsidRPr="001A4B94">
        <w:rPr>
          <w:rFonts w:ascii="Times New Roman" w:hAnsi="Times New Roman"/>
          <w:iCs/>
          <w:sz w:val="23"/>
          <w:szCs w:val="23"/>
          <w:lang w:val="tr-TR"/>
        </w:rPr>
        <w:t xml:space="preserve">n kalkınma planını uygulama konusundaki kararlılığının devam etmesidir. </w:t>
      </w:r>
      <w:r w:rsidR="00660A7E" w:rsidRPr="001A4B94">
        <w:rPr>
          <w:rFonts w:ascii="Times New Roman" w:hAnsi="Times New Roman"/>
          <w:iCs/>
          <w:sz w:val="23"/>
          <w:szCs w:val="23"/>
          <w:lang w:val="tr-TR"/>
        </w:rPr>
        <w:t>Sosyal programların iyileştirilmesi, emeklilik rejiminin uyarlanması ve kırılgan gruplara yönelik fırsatların arttırılması gibi hassas konulardaki mevcut çabaları da b</w:t>
      </w:r>
      <w:r w:rsidR="00AA1929" w:rsidRPr="001A4B94">
        <w:rPr>
          <w:rFonts w:ascii="Times New Roman" w:hAnsi="Times New Roman"/>
          <w:iCs/>
          <w:sz w:val="23"/>
          <w:szCs w:val="23"/>
          <w:lang w:val="tr-TR"/>
        </w:rPr>
        <w:t>u kararlılığı</w:t>
      </w:r>
      <w:r w:rsidR="00660A7E" w:rsidRPr="001A4B94">
        <w:rPr>
          <w:rFonts w:ascii="Times New Roman" w:hAnsi="Times New Roman"/>
          <w:iCs/>
          <w:sz w:val="23"/>
          <w:szCs w:val="23"/>
          <w:lang w:val="tr-TR"/>
        </w:rPr>
        <w:t xml:space="preserve"> kanıtlamaktadır</w:t>
      </w:r>
      <w:r w:rsidR="00DF0534" w:rsidRPr="001A4B94">
        <w:rPr>
          <w:rFonts w:ascii="Times New Roman" w:hAnsi="Times New Roman"/>
          <w:iCs/>
          <w:sz w:val="23"/>
          <w:szCs w:val="23"/>
          <w:lang w:val="tr-TR"/>
        </w:rPr>
        <w:t xml:space="preserve">.  </w:t>
      </w:r>
      <w:r w:rsidR="00660A7E" w:rsidRPr="001A4B94">
        <w:rPr>
          <w:rFonts w:ascii="Times New Roman" w:hAnsi="Times New Roman"/>
          <w:iCs/>
          <w:sz w:val="23"/>
          <w:szCs w:val="23"/>
          <w:lang w:val="tr-TR"/>
        </w:rPr>
        <w:t xml:space="preserve">Dünya Bankası Grubu’nun birlikte  çalıştığı kurumlar geleneksel olarak güçlü kurumlardır. Ancak, </w:t>
      </w:r>
      <w:r w:rsidR="00B600E0" w:rsidRPr="001A4B94">
        <w:rPr>
          <w:rFonts w:ascii="Times New Roman" w:hAnsi="Times New Roman"/>
          <w:iCs/>
          <w:sz w:val="23"/>
          <w:szCs w:val="23"/>
          <w:lang w:val="tr-TR"/>
        </w:rPr>
        <w:t xml:space="preserve"> </w:t>
      </w:r>
      <w:r w:rsidR="00660A7E" w:rsidRPr="001A4B94">
        <w:rPr>
          <w:rFonts w:ascii="Times New Roman" w:hAnsi="Times New Roman"/>
          <w:iCs/>
          <w:sz w:val="23"/>
          <w:szCs w:val="23"/>
          <w:lang w:val="tr-TR"/>
        </w:rPr>
        <w:t>kurumsal riskler son zamanlarda karar vermede tereddütlere yol açmıştır</w:t>
      </w:r>
      <w:r w:rsidR="00091A76" w:rsidRPr="001A4B94">
        <w:rPr>
          <w:rFonts w:ascii="Times New Roman" w:hAnsi="Times New Roman"/>
          <w:iCs/>
          <w:sz w:val="23"/>
          <w:szCs w:val="23"/>
          <w:lang w:val="tr-TR"/>
        </w:rPr>
        <w:t xml:space="preserve">.  </w:t>
      </w:r>
      <w:r w:rsidR="00660A7E" w:rsidRPr="001A4B94">
        <w:rPr>
          <w:rFonts w:ascii="Times New Roman" w:hAnsi="Times New Roman"/>
          <w:iCs/>
          <w:sz w:val="23"/>
          <w:szCs w:val="23"/>
          <w:lang w:val="tr-TR"/>
        </w:rPr>
        <w:t>Aynı zamanda</w:t>
      </w:r>
      <w:r w:rsidR="000820D9" w:rsidRPr="001A4B94">
        <w:rPr>
          <w:rFonts w:ascii="Times New Roman" w:hAnsi="Times New Roman"/>
          <w:iCs/>
          <w:sz w:val="23"/>
          <w:szCs w:val="23"/>
          <w:lang w:val="tr-TR"/>
        </w:rPr>
        <w:t xml:space="preserve">, </w:t>
      </w:r>
      <w:r w:rsidR="00660A7E" w:rsidRPr="001A4B94">
        <w:rPr>
          <w:rFonts w:ascii="Times New Roman" w:hAnsi="Times New Roman"/>
          <w:iCs/>
          <w:sz w:val="23"/>
          <w:szCs w:val="23"/>
          <w:lang w:val="tr-TR"/>
        </w:rPr>
        <w:t xml:space="preserve">Dünya Bankası Grubu’nun </w:t>
      </w:r>
      <w:r w:rsidR="00342CED" w:rsidRPr="001A4B94">
        <w:rPr>
          <w:rFonts w:ascii="Times New Roman" w:hAnsi="Times New Roman"/>
          <w:iCs/>
          <w:sz w:val="23"/>
          <w:szCs w:val="23"/>
          <w:lang w:val="tr-TR"/>
        </w:rPr>
        <w:t xml:space="preserve">itibari ve koruma önlemleri </w:t>
      </w:r>
      <w:r w:rsidR="00660A7E" w:rsidRPr="001A4B94">
        <w:rPr>
          <w:rFonts w:ascii="Times New Roman" w:hAnsi="Times New Roman"/>
          <w:iCs/>
          <w:sz w:val="23"/>
          <w:szCs w:val="23"/>
          <w:lang w:val="tr-TR"/>
        </w:rPr>
        <w:t xml:space="preserve"> </w:t>
      </w:r>
      <w:r w:rsidR="00342CED" w:rsidRPr="001A4B94">
        <w:rPr>
          <w:rFonts w:ascii="Times New Roman" w:hAnsi="Times New Roman"/>
          <w:iCs/>
          <w:sz w:val="23"/>
          <w:szCs w:val="23"/>
          <w:lang w:val="tr-TR"/>
        </w:rPr>
        <w:t xml:space="preserve">alanındaki </w:t>
      </w:r>
      <w:r w:rsidR="006233FC" w:rsidRPr="001A4B94">
        <w:rPr>
          <w:rFonts w:ascii="Times New Roman" w:hAnsi="Times New Roman"/>
          <w:iCs/>
          <w:sz w:val="23"/>
          <w:szCs w:val="23"/>
          <w:lang w:val="tr-TR"/>
        </w:rPr>
        <w:t>kılavuz ve politikalarının nasıl değer kattığını ve kalkınma sonuçlarını iyileştirdiğini göstermeye devam etmesi gerekmektedir. Ülke İşbirliği Çerçevesi, programın devam etmekte olan portföyün güçlü alanları üzerinde odaklanacak ve ilave finansman ve takip projeleri sunacak şekilde uyarlanmasına olanak tanıyabilir</w:t>
      </w:r>
      <w:r w:rsidR="001B4F00" w:rsidRPr="001A4B94">
        <w:rPr>
          <w:rFonts w:ascii="Times New Roman" w:hAnsi="Times New Roman"/>
          <w:iCs/>
          <w:sz w:val="23"/>
          <w:szCs w:val="23"/>
          <w:lang w:val="tr-TR"/>
        </w:rPr>
        <w:t>.</w:t>
      </w:r>
    </w:p>
    <w:p w14:paraId="5F1AA139" w14:textId="6D3F113F" w:rsidR="003C6355" w:rsidRPr="001A4B94" w:rsidRDefault="00F9409C" w:rsidP="003C6355">
      <w:pPr>
        <w:pStyle w:val="Balk1"/>
        <w:jc w:val="center"/>
        <w:rPr>
          <w:rFonts w:ascii="Times New Roman" w:hAnsi="Times New Roman" w:cs="Times New Roman"/>
          <w:b/>
          <w:color w:val="000000" w:themeColor="text1"/>
          <w:sz w:val="28"/>
          <w:lang w:val="tr-TR"/>
        </w:rPr>
      </w:pPr>
      <w:bookmarkStart w:id="16" w:name="_Toc494977331"/>
      <w:bookmarkStart w:id="17" w:name="_Toc391043163"/>
      <w:bookmarkStart w:id="18" w:name="_Toc391043194"/>
      <w:bookmarkStart w:id="19" w:name="_Toc443060298"/>
      <w:bookmarkStart w:id="20" w:name="_Toc443927557"/>
      <w:r w:rsidRPr="001A4B94">
        <w:rPr>
          <w:rFonts w:ascii="Times New Roman" w:hAnsi="Times New Roman" w:cs="Times New Roman"/>
          <w:b/>
          <w:color w:val="000000" w:themeColor="text1"/>
          <w:sz w:val="28"/>
          <w:lang w:val="tr-TR"/>
        </w:rPr>
        <w:lastRenderedPageBreak/>
        <w:t>Ek</w:t>
      </w:r>
      <w:r w:rsidR="003C6355" w:rsidRPr="001A4B94">
        <w:rPr>
          <w:rFonts w:ascii="Times New Roman" w:hAnsi="Times New Roman" w:cs="Times New Roman"/>
          <w:b/>
          <w:color w:val="000000" w:themeColor="text1"/>
          <w:sz w:val="28"/>
          <w:lang w:val="tr-TR"/>
        </w:rPr>
        <w:t xml:space="preserve"> 1.  </w:t>
      </w:r>
      <w:r w:rsidRPr="001A4B94">
        <w:rPr>
          <w:rFonts w:ascii="Times New Roman" w:hAnsi="Times New Roman" w:cs="Times New Roman"/>
          <w:b/>
          <w:color w:val="000000" w:themeColor="text1"/>
          <w:sz w:val="28"/>
          <w:lang w:val="tr-TR"/>
        </w:rPr>
        <w:t>Ülke İşbirliği Çerçevesi Sonuç Matrisi</w:t>
      </w:r>
      <w:bookmarkEnd w:id="16"/>
      <w:r w:rsidRPr="001A4B94">
        <w:rPr>
          <w:rFonts w:ascii="Times New Roman" w:hAnsi="Times New Roman" w:cs="Times New Roman"/>
          <w:b/>
          <w:color w:val="000000" w:themeColor="text1"/>
          <w:sz w:val="28"/>
          <w:lang w:val="tr-TR"/>
        </w:rPr>
        <w:t xml:space="preserve"> </w:t>
      </w:r>
      <w:bookmarkEnd w:id="17"/>
      <w:bookmarkEnd w:id="18"/>
      <w:bookmarkEnd w:id="19"/>
      <w:bookmarkEnd w:id="20"/>
    </w:p>
    <w:tbl>
      <w:tblPr>
        <w:tblStyle w:val="TabloKlavuzu"/>
        <w:tblW w:w="13320" w:type="dxa"/>
        <w:tblLook w:val="04A0" w:firstRow="1" w:lastRow="0" w:firstColumn="1" w:lastColumn="0" w:noHBand="0" w:noVBand="1"/>
      </w:tblPr>
      <w:tblGrid>
        <w:gridCol w:w="3955"/>
        <w:gridCol w:w="4410"/>
        <w:gridCol w:w="4955"/>
      </w:tblGrid>
      <w:tr w:rsidR="00FC34A8" w:rsidRPr="001A4B94" w14:paraId="63D7D1B4" w14:textId="77777777" w:rsidTr="004B2181">
        <w:tc>
          <w:tcPr>
            <w:tcW w:w="13320"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07F88375" w14:textId="4FA031BA" w:rsidR="00FC34A8" w:rsidRPr="001A4B94" w:rsidRDefault="003A30F1" w:rsidP="006E2AC3">
            <w:pPr>
              <w:tabs>
                <w:tab w:val="left" w:pos="426"/>
              </w:tabs>
              <w:jc w:val="center"/>
              <w:rPr>
                <w:b/>
                <w:sz w:val="22"/>
                <w:szCs w:val="22"/>
                <w:lang w:val="tr-TR"/>
              </w:rPr>
            </w:pPr>
            <w:r w:rsidRPr="001A4B94">
              <w:rPr>
                <w:b/>
                <w:sz w:val="22"/>
                <w:szCs w:val="22"/>
                <w:lang w:val="tr-TR"/>
              </w:rPr>
              <w:t xml:space="preserve">ODAK ALANI </w:t>
            </w:r>
            <w:r w:rsidR="006E2AC3" w:rsidRPr="001A4B94">
              <w:rPr>
                <w:b/>
                <w:sz w:val="22"/>
                <w:szCs w:val="22"/>
                <w:lang w:val="tr-TR"/>
              </w:rPr>
              <w:t>1</w:t>
            </w:r>
            <w:r w:rsidR="00FC34A8" w:rsidRPr="001A4B94">
              <w:rPr>
                <w:b/>
                <w:sz w:val="22"/>
                <w:szCs w:val="22"/>
                <w:lang w:val="tr-TR"/>
              </w:rPr>
              <w:t xml:space="preserve">: </w:t>
            </w:r>
            <w:r w:rsidRPr="001A4B94">
              <w:rPr>
                <w:b/>
                <w:sz w:val="22"/>
                <w:szCs w:val="22"/>
                <w:lang w:val="tr-TR"/>
              </w:rPr>
              <w:t xml:space="preserve">BÜYÜME </w:t>
            </w:r>
          </w:p>
        </w:tc>
      </w:tr>
      <w:tr w:rsidR="00FC34A8" w:rsidRPr="001A4B94" w14:paraId="17023DB1" w14:textId="77777777" w:rsidTr="004B2181">
        <w:tc>
          <w:tcPr>
            <w:tcW w:w="13320" w:type="dxa"/>
            <w:gridSpan w:val="3"/>
            <w:tcBorders>
              <w:top w:val="nil"/>
            </w:tcBorders>
            <w:shd w:val="clear" w:color="auto" w:fill="D9D9D9" w:themeFill="background1" w:themeFillShade="D9"/>
          </w:tcPr>
          <w:p w14:paraId="373568CC" w14:textId="5809C255" w:rsidR="00FC34A8" w:rsidRPr="001A4B94" w:rsidRDefault="002B291E" w:rsidP="00FC34A8">
            <w:pPr>
              <w:jc w:val="both"/>
              <w:rPr>
                <w:b/>
                <w:sz w:val="21"/>
                <w:szCs w:val="21"/>
                <w:lang w:val="tr-TR"/>
              </w:rPr>
            </w:pPr>
            <w:r w:rsidRPr="001A4B94">
              <w:rPr>
                <w:iCs/>
                <w:sz w:val="21"/>
                <w:szCs w:val="21"/>
                <w:lang w:val="tr-TR"/>
              </w:rPr>
              <w:t>İhtiyatlı makroekonomik ve mali yönetim Türkiye’nin gösterdiği bu iyi performansın köşe taşını oluşturmuştur, ancak dış şoklara karşı dayanıklılık zayıflamış ve kırılganlıklar artmıştır. Aynı zamanda, siyasi bağlamdaki değişiklikler, jeopolitik gerilimler, yükselen petrol fiyatları ve ABD’de faiz oranlarında beklenen artışlar yatırımcı ve tüketici güvenini bastırmış</w:t>
            </w:r>
            <w:r w:rsidR="00283D9D" w:rsidRPr="001A4B94">
              <w:rPr>
                <w:iCs/>
                <w:sz w:val="21"/>
                <w:szCs w:val="21"/>
                <w:lang w:val="tr-TR"/>
              </w:rPr>
              <w:t xml:space="preserve">tır. Tüm bunlar </w:t>
            </w:r>
            <w:r w:rsidRPr="001A4B94">
              <w:rPr>
                <w:iCs/>
                <w:sz w:val="21"/>
                <w:szCs w:val="21"/>
                <w:lang w:val="tr-TR"/>
              </w:rPr>
              <w:t>büyüme beklentilerini etkilem</w:t>
            </w:r>
            <w:r w:rsidR="00283D9D" w:rsidRPr="001A4B94">
              <w:rPr>
                <w:iCs/>
                <w:sz w:val="21"/>
                <w:szCs w:val="21"/>
                <w:lang w:val="tr-TR"/>
              </w:rPr>
              <w:t>ektedir.</w:t>
            </w:r>
            <w:r w:rsidR="00FC34A8" w:rsidRPr="001A4B94">
              <w:rPr>
                <w:iCs/>
                <w:sz w:val="21"/>
                <w:szCs w:val="21"/>
                <w:lang w:val="tr-TR"/>
              </w:rPr>
              <w:t xml:space="preserve"> </w:t>
            </w:r>
            <w:r w:rsidR="00740BA6" w:rsidRPr="001A4B94">
              <w:rPr>
                <w:sz w:val="21"/>
                <w:szCs w:val="21"/>
                <w:lang w:val="tr-TR"/>
              </w:rPr>
              <w:t>Türkiye’nin banka merkezli finansal sektörü de stres altındadır ve hanehalklarına ve şirketlere kredilerde kısıntıya gitmektedir</w:t>
            </w:r>
            <w:r w:rsidR="00FC34A8" w:rsidRPr="001A4B94">
              <w:rPr>
                <w:iCs/>
                <w:sz w:val="21"/>
                <w:szCs w:val="21"/>
                <w:lang w:val="tr-TR"/>
              </w:rPr>
              <w:t xml:space="preserve">. </w:t>
            </w:r>
            <w:r w:rsidR="00740BA6" w:rsidRPr="001A4B94">
              <w:rPr>
                <w:iCs/>
                <w:sz w:val="21"/>
                <w:szCs w:val="21"/>
                <w:lang w:val="tr-TR"/>
              </w:rPr>
              <w:t>Daha yüksek bir büyüme yoluna dönebilmek ve yüksek gelirli ekonomilere yaklaşabilmek için, Hükümet’in mali yönetimi güçlendirmeye, hukukun üstünlüğünü ve bağımsız piyasa düzenlemesini güçlendirmeye yönelik kurumsal reformları derinleştirmeye ve daha etkili bir finansal sektör için gerekli ortamı yaratmaya devam etmesi gerekmektedir</w:t>
            </w:r>
            <w:r w:rsidR="00FC34A8" w:rsidRPr="001A4B94">
              <w:rPr>
                <w:iCs/>
                <w:sz w:val="21"/>
                <w:szCs w:val="21"/>
                <w:lang w:val="tr-TR"/>
              </w:rPr>
              <w:t xml:space="preserve">.  </w:t>
            </w:r>
            <w:r w:rsidR="00740BA6" w:rsidRPr="001A4B94">
              <w:rPr>
                <w:iCs/>
                <w:sz w:val="21"/>
                <w:szCs w:val="21"/>
                <w:lang w:val="tr-TR"/>
              </w:rPr>
              <w:t xml:space="preserve">Türkiye’nin </w:t>
            </w:r>
            <w:r w:rsidR="00A90F92" w:rsidRPr="001A4B94">
              <w:rPr>
                <w:iCs/>
                <w:sz w:val="21"/>
                <w:szCs w:val="21"/>
                <w:lang w:val="tr-TR"/>
              </w:rPr>
              <w:t>kısa vadeli dış finansmana bağımlılık sorununu çözebilmek için, diğer hususların yanında finansman</w:t>
            </w:r>
            <w:r w:rsidR="00337EF0" w:rsidRPr="001A4B94">
              <w:rPr>
                <w:iCs/>
                <w:sz w:val="21"/>
                <w:szCs w:val="21"/>
                <w:lang w:val="tr-TR"/>
              </w:rPr>
              <w:t>a</w:t>
            </w:r>
            <w:r w:rsidR="00A90F92" w:rsidRPr="001A4B94">
              <w:rPr>
                <w:iCs/>
                <w:sz w:val="21"/>
                <w:szCs w:val="21"/>
                <w:lang w:val="tr-TR"/>
              </w:rPr>
              <w:t xml:space="preserve"> erişimin</w:t>
            </w:r>
            <w:r w:rsidR="00FC34A8" w:rsidRPr="001A4B94">
              <w:rPr>
                <w:iCs/>
                <w:sz w:val="21"/>
                <w:szCs w:val="21"/>
                <w:lang w:val="tr-TR"/>
              </w:rPr>
              <w:t xml:space="preserve"> </w:t>
            </w:r>
            <w:r w:rsidR="00A90F92" w:rsidRPr="001A4B94">
              <w:rPr>
                <w:iCs/>
                <w:sz w:val="21"/>
                <w:szCs w:val="21"/>
                <w:lang w:val="tr-TR"/>
              </w:rPr>
              <w:t>arttırılması ve finansal piyasaları derinleştirerek ve çeşitlendirerek finansal tabana yaymanın geliştirilmesi gerekmektedir</w:t>
            </w:r>
            <w:r w:rsidR="00FC34A8" w:rsidRPr="001A4B94">
              <w:rPr>
                <w:iCs/>
                <w:sz w:val="21"/>
                <w:szCs w:val="21"/>
                <w:lang w:val="tr-TR"/>
              </w:rPr>
              <w:t xml:space="preserve">. </w:t>
            </w:r>
            <w:r w:rsidR="00A90F92" w:rsidRPr="001A4B94">
              <w:rPr>
                <w:sz w:val="21"/>
                <w:szCs w:val="21"/>
                <w:lang w:val="tr-TR"/>
              </w:rPr>
              <w:t>Türk şirketlerinin daha fazla katma değer yaratmak ve daha fazla ve daha iyi işler yaratabilmek için yenilikçiliği ve teknolojiyi geliştirerek üretkenliklerini arttırmaları gerekmektedir.</w:t>
            </w:r>
            <w:r w:rsidR="00FC34A8" w:rsidRPr="001A4B94">
              <w:rPr>
                <w:iCs/>
                <w:sz w:val="21"/>
                <w:szCs w:val="21"/>
                <w:lang w:val="tr-TR"/>
              </w:rPr>
              <w:t xml:space="preserve"> </w:t>
            </w:r>
            <w:r w:rsidR="00A90F92" w:rsidRPr="001A4B94">
              <w:rPr>
                <w:iCs/>
                <w:sz w:val="21"/>
                <w:szCs w:val="21"/>
                <w:lang w:val="tr-TR"/>
              </w:rPr>
              <w:t>Bu zorluklar, birinci Odak Alanı kapsamındaki CPF amaçları tercihinin temelini oluşturmaktadır</w:t>
            </w:r>
            <w:r w:rsidR="00FC34A8" w:rsidRPr="001A4B94">
              <w:rPr>
                <w:iCs/>
                <w:sz w:val="21"/>
                <w:szCs w:val="21"/>
                <w:lang w:val="tr-TR"/>
              </w:rPr>
              <w:t>.</w:t>
            </w:r>
            <w:r w:rsidR="00A90F92" w:rsidRPr="001A4B94">
              <w:rPr>
                <w:iCs/>
                <w:sz w:val="21"/>
                <w:szCs w:val="21"/>
                <w:lang w:val="tr-TR"/>
              </w:rPr>
              <w:t xml:space="preserve"> </w:t>
            </w:r>
          </w:p>
        </w:tc>
      </w:tr>
      <w:tr w:rsidR="003C6355" w:rsidRPr="001A4B94" w14:paraId="0053333D" w14:textId="77777777" w:rsidTr="004B2181">
        <w:tc>
          <w:tcPr>
            <w:tcW w:w="13320" w:type="dxa"/>
            <w:gridSpan w:val="3"/>
            <w:shd w:val="clear" w:color="auto" w:fill="EDEDED" w:themeFill="accent3" w:themeFillTint="33"/>
          </w:tcPr>
          <w:p w14:paraId="0D0E800D" w14:textId="780E7F98" w:rsidR="003C6355" w:rsidRPr="001A4B94" w:rsidRDefault="003C6355" w:rsidP="00AB6AD1">
            <w:pPr>
              <w:tabs>
                <w:tab w:val="left" w:pos="426"/>
              </w:tabs>
              <w:spacing w:before="120" w:after="120"/>
              <w:jc w:val="center"/>
              <w:rPr>
                <w:sz w:val="22"/>
                <w:szCs w:val="22"/>
                <w:lang w:val="tr-TR"/>
              </w:rPr>
            </w:pPr>
            <w:bookmarkStart w:id="21" w:name="_Toc425347297"/>
            <w:r w:rsidRPr="001A4B94">
              <w:rPr>
                <w:b/>
                <w:sz w:val="22"/>
                <w:szCs w:val="22"/>
                <w:lang w:val="tr-TR"/>
              </w:rPr>
              <w:t xml:space="preserve">CPF </w:t>
            </w:r>
            <w:r w:rsidR="00A90F92" w:rsidRPr="001A4B94">
              <w:rPr>
                <w:b/>
                <w:sz w:val="22"/>
                <w:szCs w:val="22"/>
                <w:lang w:val="tr-TR"/>
              </w:rPr>
              <w:t xml:space="preserve">Amacı </w:t>
            </w:r>
            <w:r w:rsidRPr="001A4B94">
              <w:rPr>
                <w:b/>
                <w:sz w:val="22"/>
                <w:szCs w:val="22"/>
                <w:lang w:val="tr-TR"/>
              </w:rPr>
              <w:t>1</w:t>
            </w:r>
            <w:bookmarkEnd w:id="21"/>
            <w:r w:rsidRPr="001A4B94">
              <w:rPr>
                <w:b/>
                <w:sz w:val="22"/>
                <w:szCs w:val="22"/>
                <w:lang w:val="tr-TR"/>
              </w:rPr>
              <w:t xml:space="preserve">: </w:t>
            </w:r>
            <w:r w:rsidR="00A90F92" w:rsidRPr="001A4B94">
              <w:rPr>
                <w:b/>
                <w:bCs/>
                <w:sz w:val="23"/>
                <w:szCs w:val="23"/>
                <w:lang w:val="tr-TR"/>
              </w:rPr>
              <w:t>Mali Hareket Alanının Arttırılması</w:t>
            </w:r>
            <w:r w:rsidR="00A90F92" w:rsidRPr="001A4B94">
              <w:rPr>
                <w:b/>
                <w:sz w:val="22"/>
                <w:szCs w:val="22"/>
                <w:lang w:val="tr-TR"/>
              </w:rPr>
              <w:t xml:space="preserve">  </w:t>
            </w:r>
          </w:p>
        </w:tc>
      </w:tr>
      <w:tr w:rsidR="003C6355" w:rsidRPr="001A4B94" w14:paraId="03EE94D7" w14:textId="77777777" w:rsidTr="004B2181">
        <w:tc>
          <w:tcPr>
            <w:tcW w:w="13320" w:type="dxa"/>
            <w:gridSpan w:val="3"/>
          </w:tcPr>
          <w:p w14:paraId="6B8C643E" w14:textId="1F5020C0" w:rsidR="003C6355" w:rsidRPr="001A4B94" w:rsidRDefault="00A90F92" w:rsidP="007D11C8">
            <w:pPr>
              <w:jc w:val="both"/>
              <w:rPr>
                <w:sz w:val="22"/>
                <w:szCs w:val="22"/>
                <w:lang w:val="tr-TR"/>
              </w:rPr>
            </w:pPr>
            <w:r w:rsidRPr="001A4B94">
              <w:rPr>
                <w:b/>
                <w:iCs/>
                <w:sz w:val="21"/>
                <w:szCs w:val="21"/>
                <w:lang w:val="tr-TR"/>
              </w:rPr>
              <w:t>Müdahale Mantığı</w:t>
            </w:r>
            <w:r w:rsidR="003C6355" w:rsidRPr="001A4B94">
              <w:rPr>
                <w:b/>
                <w:iCs/>
                <w:sz w:val="21"/>
                <w:szCs w:val="21"/>
                <w:lang w:val="tr-TR"/>
              </w:rPr>
              <w:t xml:space="preserve">: </w:t>
            </w:r>
            <w:r w:rsidR="005C0E7B" w:rsidRPr="001A4B94">
              <w:rPr>
                <w:iCs/>
                <w:sz w:val="21"/>
                <w:szCs w:val="21"/>
                <w:lang w:val="tr-TR"/>
              </w:rPr>
              <w:t>Dünya Bankası Grubu’nun programı,</w:t>
            </w:r>
            <w:r w:rsidR="005C0E7B" w:rsidRPr="001A4B94">
              <w:rPr>
                <w:b/>
                <w:iCs/>
                <w:sz w:val="21"/>
                <w:szCs w:val="21"/>
                <w:lang w:val="tr-TR"/>
              </w:rPr>
              <w:t xml:space="preserve"> </w:t>
            </w:r>
            <w:r w:rsidR="008D4999" w:rsidRPr="001A4B94">
              <w:rPr>
                <w:iCs/>
                <w:sz w:val="21"/>
                <w:szCs w:val="21"/>
                <w:lang w:val="tr-TR"/>
              </w:rPr>
              <w:t>sağlam analitik çalışmalar, politika danışmanlığı ve ger</w:t>
            </w:r>
            <w:r w:rsidR="005C0E7B" w:rsidRPr="001A4B94">
              <w:rPr>
                <w:iCs/>
                <w:sz w:val="21"/>
                <w:szCs w:val="21"/>
                <w:lang w:val="tr-TR"/>
              </w:rPr>
              <w:t>ç</w:t>
            </w:r>
            <w:r w:rsidR="008D4999" w:rsidRPr="001A4B94">
              <w:rPr>
                <w:iCs/>
                <w:sz w:val="21"/>
                <w:szCs w:val="21"/>
                <w:lang w:val="tr-TR"/>
              </w:rPr>
              <w:t xml:space="preserve">ekleştirilecek reformlara yönelik DPL </w:t>
            </w:r>
            <w:r w:rsidR="005C0E7B" w:rsidRPr="001A4B94">
              <w:rPr>
                <w:iCs/>
                <w:sz w:val="21"/>
                <w:szCs w:val="21"/>
                <w:lang w:val="tr-TR"/>
              </w:rPr>
              <w:t>finansmanı yoluyla</w:t>
            </w:r>
            <w:r w:rsidR="005C0E7B" w:rsidRPr="001A4B94">
              <w:rPr>
                <w:b/>
                <w:iCs/>
                <w:sz w:val="21"/>
                <w:szCs w:val="21"/>
                <w:lang w:val="tr-TR"/>
              </w:rPr>
              <w:t xml:space="preserve"> </w:t>
            </w:r>
            <w:r w:rsidR="005C0E7B" w:rsidRPr="001A4B94">
              <w:rPr>
                <w:iCs/>
                <w:sz w:val="21"/>
                <w:szCs w:val="21"/>
                <w:lang w:val="tr-TR"/>
              </w:rPr>
              <w:t>hükümete yardımcı olmayı amaçlamaktadır</w:t>
            </w:r>
            <w:r w:rsidR="003C6355" w:rsidRPr="001A4B94">
              <w:rPr>
                <w:iCs/>
                <w:sz w:val="21"/>
                <w:szCs w:val="21"/>
                <w:lang w:val="tr-TR"/>
              </w:rPr>
              <w:t xml:space="preserve">.  </w:t>
            </w:r>
            <w:r w:rsidR="005C0E7B" w:rsidRPr="001A4B94">
              <w:rPr>
                <w:rFonts w:eastAsia="MS Mincho"/>
                <w:sz w:val="21"/>
                <w:szCs w:val="21"/>
                <w:lang w:val="tr-TR"/>
              </w:rPr>
              <w:t xml:space="preserve">Gelir vergisi kanunu ve </w:t>
            </w:r>
            <w:r w:rsidR="00AB79ED" w:rsidRPr="001A4B94">
              <w:rPr>
                <w:rFonts w:eastAsia="MS Mincho"/>
                <w:sz w:val="21"/>
                <w:szCs w:val="21"/>
                <w:lang w:val="tr-TR"/>
              </w:rPr>
              <w:t>r</w:t>
            </w:r>
            <w:r w:rsidR="005C0E7B" w:rsidRPr="001A4B94">
              <w:rPr>
                <w:rFonts w:eastAsia="MS Mincho"/>
                <w:sz w:val="21"/>
                <w:szCs w:val="21"/>
                <w:lang w:val="tr-TR"/>
              </w:rPr>
              <w:t xml:space="preserve">isk yönetim kılavuzları </w:t>
            </w:r>
            <w:r w:rsidR="005C0E7B" w:rsidRPr="001A4B94">
              <w:rPr>
                <w:iCs/>
                <w:sz w:val="21"/>
                <w:szCs w:val="21"/>
                <w:lang w:val="tr-TR"/>
              </w:rPr>
              <w:t>dahil olmak üzere mali yönetim</w:t>
            </w:r>
            <w:r w:rsidR="00AB79ED" w:rsidRPr="001A4B94">
              <w:rPr>
                <w:iCs/>
                <w:sz w:val="21"/>
                <w:szCs w:val="21"/>
                <w:lang w:val="tr-TR"/>
              </w:rPr>
              <w:t xml:space="preserve"> planının</w:t>
            </w:r>
            <w:r w:rsidR="005C0E7B" w:rsidRPr="001A4B94">
              <w:rPr>
                <w:iCs/>
                <w:sz w:val="21"/>
                <w:szCs w:val="21"/>
                <w:lang w:val="tr-TR"/>
              </w:rPr>
              <w:t xml:space="preserve">, </w:t>
            </w:r>
            <w:r w:rsidR="005C0E7B" w:rsidRPr="001A4B94">
              <w:rPr>
                <w:rFonts w:eastAsia="MS Mincho"/>
                <w:sz w:val="21"/>
                <w:szCs w:val="21"/>
                <w:lang w:val="tr-TR"/>
              </w:rPr>
              <w:t xml:space="preserve">iç denetim stratejisinin </w:t>
            </w:r>
            <w:r w:rsidR="005C0E7B" w:rsidRPr="001A4B94">
              <w:rPr>
                <w:iCs/>
                <w:sz w:val="21"/>
                <w:szCs w:val="21"/>
                <w:lang w:val="tr-TR"/>
              </w:rPr>
              <w:t xml:space="preserve">ve </w:t>
            </w:r>
            <w:r w:rsidR="005C0E7B" w:rsidRPr="001A4B94">
              <w:rPr>
                <w:rFonts w:eastAsia="MS Mincho"/>
                <w:sz w:val="21"/>
                <w:szCs w:val="21"/>
                <w:lang w:val="tr-TR"/>
              </w:rPr>
              <w:t>mali politikanın dağılımsal etkilerinin analizi yoluyla mali hareket alanın korunm</w:t>
            </w:r>
            <w:r w:rsidR="00AB79ED" w:rsidRPr="001A4B94">
              <w:rPr>
                <w:rFonts w:eastAsia="MS Mincho"/>
                <w:sz w:val="21"/>
                <w:szCs w:val="21"/>
                <w:lang w:val="tr-TR"/>
              </w:rPr>
              <w:t>a</w:t>
            </w:r>
            <w:r w:rsidR="005C0E7B" w:rsidRPr="001A4B94">
              <w:rPr>
                <w:rFonts w:eastAsia="MS Mincho"/>
                <w:sz w:val="21"/>
                <w:szCs w:val="21"/>
                <w:lang w:val="tr-TR"/>
              </w:rPr>
              <w:t>sı üzerin</w:t>
            </w:r>
            <w:r w:rsidR="00AB79ED" w:rsidRPr="001A4B94">
              <w:rPr>
                <w:rFonts w:eastAsia="MS Mincho"/>
                <w:sz w:val="21"/>
                <w:szCs w:val="21"/>
                <w:lang w:val="tr-TR"/>
              </w:rPr>
              <w:t>d</w:t>
            </w:r>
            <w:r w:rsidR="005C0E7B" w:rsidRPr="001A4B94">
              <w:rPr>
                <w:rFonts w:eastAsia="MS Mincho"/>
                <w:sz w:val="21"/>
                <w:szCs w:val="21"/>
                <w:lang w:val="tr-TR"/>
              </w:rPr>
              <w:t>e odaklanılacaktır</w:t>
            </w:r>
            <w:r w:rsidR="003C6355" w:rsidRPr="001A4B94">
              <w:rPr>
                <w:rFonts w:eastAsia="MS Mincho"/>
                <w:sz w:val="21"/>
                <w:szCs w:val="21"/>
                <w:lang w:val="tr-TR"/>
              </w:rPr>
              <w:t xml:space="preserve">. </w:t>
            </w:r>
            <w:r w:rsidR="00AB79ED" w:rsidRPr="001A4B94">
              <w:rPr>
                <w:rFonts w:eastAsia="MS Mincho"/>
                <w:sz w:val="21"/>
                <w:szCs w:val="21"/>
                <w:lang w:val="tr-TR"/>
              </w:rPr>
              <w:t>Bu bilgi çalışmalarının sonucunda belirlenecek politika tavsiyeleri, IBRD programının çekirdek bir parçasını oluşturacak ve kilit ekonomik reform önceliklerini destekleyen kapsamlı bir odak alanına sahip olacak bir önerilen DPL (kalkınma politikası kredisi) dizisinin temelini oluşturacaktır</w:t>
            </w:r>
            <w:r w:rsidR="003C6355" w:rsidRPr="001A4B94">
              <w:rPr>
                <w:iCs/>
                <w:sz w:val="21"/>
                <w:szCs w:val="21"/>
                <w:lang w:val="tr-TR"/>
              </w:rPr>
              <w:t xml:space="preserve">. </w:t>
            </w:r>
            <w:r w:rsidR="00AB79ED" w:rsidRPr="001A4B94">
              <w:rPr>
                <w:iCs/>
                <w:sz w:val="21"/>
                <w:szCs w:val="21"/>
                <w:lang w:val="tr-TR"/>
              </w:rPr>
              <w:t>Ülke İşbirli</w:t>
            </w:r>
            <w:r w:rsidR="007D11C8" w:rsidRPr="001A4B94">
              <w:rPr>
                <w:iCs/>
                <w:sz w:val="21"/>
                <w:szCs w:val="21"/>
                <w:lang w:val="tr-TR"/>
              </w:rPr>
              <w:t>ği Çerçevesinin esnek yaklaşımı, büyüklüğü ve sıklığı ülke durumuna, reform programının gücüne ve finansman ihtiyaçlarına bağlı olacak DPL dizisinin tasarımında kendisini gösterecektir.</w:t>
            </w:r>
            <w:r w:rsidR="003C6355" w:rsidRPr="001A4B94">
              <w:rPr>
                <w:rFonts w:eastAsia="MS Mincho"/>
                <w:sz w:val="21"/>
                <w:szCs w:val="21"/>
                <w:lang w:val="tr-TR"/>
              </w:rPr>
              <w:t xml:space="preserve">  </w:t>
            </w:r>
            <w:r w:rsidR="007D11C8" w:rsidRPr="001A4B94">
              <w:rPr>
                <w:rFonts w:eastAsia="MS Mincho"/>
                <w:sz w:val="21"/>
                <w:szCs w:val="21"/>
                <w:lang w:val="tr-TR"/>
              </w:rPr>
              <w:t>DPL dizisinin desteklediği reform programının kapsamı hakkında daha fazla ayrıntı ancak hazırlık aşamasında belli olacaktır, dolayısıyla gelecekteki   CPF Performans ve Öğrenme İncelemesinde (PLR) sunulacaktır</w:t>
            </w:r>
            <w:r w:rsidR="007D11C8" w:rsidRPr="001A4B94">
              <w:rPr>
                <w:rFonts w:eastAsia="MS Mincho"/>
                <w:sz w:val="22"/>
                <w:szCs w:val="22"/>
                <w:lang w:val="tr-TR"/>
              </w:rPr>
              <w:t>.</w:t>
            </w:r>
          </w:p>
        </w:tc>
      </w:tr>
      <w:tr w:rsidR="003C6355" w:rsidRPr="001A4B94" w14:paraId="14A3BDCA" w14:textId="77777777" w:rsidTr="004B2181">
        <w:tc>
          <w:tcPr>
            <w:tcW w:w="3955" w:type="dxa"/>
          </w:tcPr>
          <w:p w14:paraId="72D0A863" w14:textId="321CEFAD" w:rsidR="003C6355" w:rsidRPr="001A4B94" w:rsidRDefault="003C6355" w:rsidP="003C6355">
            <w:pPr>
              <w:rPr>
                <w:sz w:val="20"/>
                <w:szCs w:val="20"/>
                <w:lang w:val="tr-TR"/>
              </w:rPr>
            </w:pPr>
            <w:r w:rsidRPr="001A4B94">
              <w:rPr>
                <w:b/>
                <w:sz w:val="20"/>
                <w:szCs w:val="20"/>
                <w:lang w:val="tr-TR"/>
              </w:rPr>
              <w:t xml:space="preserve">CPF </w:t>
            </w:r>
            <w:r w:rsidR="007D11C8" w:rsidRPr="001A4B94">
              <w:rPr>
                <w:b/>
                <w:sz w:val="20"/>
                <w:szCs w:val="20"/>
                <w:lang w:val="tr-TR"/>
              </w:rPr>
              <w:t xml:space="preserve">Amaç Göstergeleri </w:t>
            </w:r>
          </w:p>
        </w:tc>
        <w:tc>
          <w:tcPr>
            <w:tcW w:w="4410" w:type="dxa"/>
          </w:tcPr>
          <w:p w14:paraId="49D8C537" w14:textId="2295A61F" w:rsidR="003C6355" w:rsidRPr="001A4B94" w:rsidRDefault="007D11C8" w:rsidP="003C6355">
            <w:pPr>
              <w:rPr>
                <w:sz w:val="20"/>
                <w:szCs w:val="20"/>
                <w:lang w:val="tr-TR"/>
              </w:rPr>
            </w:pPr>
            <w:r w:rsidRPr="001A4B94">
              <w:rPr>
                <w:b/>
                <w:sz w:val="20"/>
                <w:szCs w:val="20"/>
                <w:lang w:val="tr-TR"/>
              </w:rPr>
              <w:t xml:space="preserve">Destekleyici İlerleme Göstergeleri </w:t>
            </w:r>
          </w:p>
        </w:tc>
        <w:tc>
          <w:tcPr>
            <w:tcW w:w="4955" w:type="dxa"/>
          </w:tcPr>
          <w:p w14:paraId="1C12B483" w14:textId="4F89FCFA" w:rsidR="003C6355" w:rsidRPr="001A4B94" w:rsidRDefault="007D11C8" w:rsidP="003C6355">
            <w:pPr>
              <w:rPr>
                <w:sz w:val="20"/>
                <w:szCs w:val="20"/>
                <w:lang w:val="tr-TR"/>
              </w:rPr>
            </w:pPr>
            <w:r w:rsidRPr="001A4B94">
              <w:rPr>
                <w:b/>
                <w:sz w:val="20"/>
                <w:szCs w:val="20"/>
                <w:lang w:val="tr-TR"/>
              </w:rPr>
              <w:t>D</w:t>
            </w:r>
            <w:r w:rsidR="003C6355" w:rsidRPr="001A4B94">
              <w:rPr>
                <w:b/>
                <w:sz w:val="20"/>
                <w:szCs w:val="20"/>
                <w:lang w:val="tr-TR"/>
              </w:rPr>
              <w:t>BG Program</w:t>
            </w:r>
            <w:r w:rsidRPr="001A4B94">
              <w:rPr>
                <w:b/>
                <w:sz w:val="20"/>
                <w:szCs w:val="20"/>
                <w:lang w:val="tr-TR"/>
              </w:rPr>
              <w:t>ı</w:t>
            </w:r>
            <w:r w:rsidR="003C6355" w:rsidRPr="001A4B94">
              <w:rPr>
                <w:b/>
                <w:sz w:val="20"/>
                <w:szCs w:val="20"/>
                <w:lang w:val="tr-TR"/>
              </w:rPr>
              <w:t xml:space="preserve"> </w:t>
            </w:r>
          </w:p>
        </w:tc>
      </w:tr>
      <w:tr w:rsidR="003C6355" w:rsidRPr="001A4B94" w14:paraId="3DA93CE6" w14:textId="77777777" w:rsidTr="004B2181">
        <w:tc>
          <w:tcPr>
            <w:tcW w:w="3955" w:type="dxa"/>
          </w:tcPr>
          <w:p w14:paraId="4752ABE5" w14:textId="6FA7599B" w:rsidR="003C6355" w:rsidRPr="001A4B94" w:rsidRDefault="007D11C8" w:rsidP="003C6355">
            <w:pPr>
              <w:rPr>
                <w:b/>
                <w:bCs/>
                <w:i/>
                <w:iCs/>
                <w:sz w:val="20"/>
                <w:szCs w:val="20"/>
                <w:lang w:val="tr-TR"/>
              </w:rPr>
            </w:pPr>
            <w:r w:rsidRPr="001A4B94">
              <w:rPr>
                <w:i/>
                <w:iCs/>
                <w:sz w:val="20"/>
                <w:szCs w:val="20"/>
                <w:lang w:val="tr-TR"/>
              </w:rPr>
              <w:t>Doğrudan vergi gelirlerinin toplam vergi gelirleri içerisindeki payı</w:t>
            </w:r>
            <w:r w:rsidR="003C6355" w:rsidRPr="001A4B94">
              <w:rPr>
                <w:i/>
                <w:iCs/>
                <w:sz w:val="20"/>
                <w:szCs w:val="20"/>
                <w:lang w:val="tr-TR"/>
              </w:rPr>
              <w:t>.</w:t>
            </w:r>
          </w:p>
          <w:p w14:paraId="49995DBC" w14:textId="725CC916" w:rsidR="003C6355" w:rsidRPr="001A4B94" w:rsidRDefault="007D11C8" w:rsidP="003C6355">
            <w:pPr>
              <w:rPr>
                <w:b/>
                <w:bCs/>
                <w:sz w:val="20"/>
                <w:szCs w:val="20"/>
                <w:lang w:val="tr-TR"/>
              </w:rPr>
            </w:pPr>
            <w:r w:rsidRPr="001A4B94">
              <w:rPr>
                <w:b/>
                <w:bCs/>
                <w:sz w:val="20"/>
                <w:szCs w:val="20"/>
                <w:lang w:val="tr-TR"/>
              </w:rPr>
              <w:t>Başl</w:t>
            </w:r>
            <w:r w:rsidR="00FC3CA9" w:rsidRPr="001A4B94">
              <w:rPr>
                <w:b/>
                <w:bCs/>
                <w:sz w:val="20"/>
                <w:szCs w:val="20"/>
                <w:lang w:val="tr-TR"/>
              </w:rPr>
              <w:t>a</w:t>
            </w:r>
            <w:r w:rsidRPr="001A4B94">
              <w:rPr>
                <w:b/>
                <w:bCs/>
                <w:sz w:val="20"/>
                <w:szCs w:val="20"/>
                <w:lang w:val="tr-TR"/>
              </w:rPr>
              <w:t>ngıç Durumu</w:t>
            </w:r>
            <w:r w:rsidR="003C6355" w:rsidRPr="001A4B94">
              <w:rPr>
                <w:sz w:val="20"/>
                <w:szCs w:val="20"/>
                <w:lang w:val="tr-TR"/>
              </w:rPr>
              <w:t xml:space="preserve">: </w:t>
            </w:r>
            <w:r w:rsidRPr="001A4B94">
              <w:rPr>
                <w:sz w:val="20"/>
                <w:szCs w:val="20"/>
                <w:lang w:val="tr-TR"/>
              </w:rPr>
              <w:t>2015 itibariyle %</w:t>
            </w:r>
            <w:r w:rsidR="003C6355" w:rsidRPr="001A4B94">
              <w:rPr>
                <w:sz w:val="20"/>
                <w:szCs w:val="20"/>
                <w:lang w:val="tr-TR"/>
              </w:rPr>
              <w:t>29</w:t>
            </w:r>
            <w:r w:rsidRPr="001A4B94">
              <w:rPr>
                <w:sz w:val="20"/>
                <w:szCs w:val="20"/>
                <w:lang w:val="tr-TR"/>
              </w:rPr>
              <w:t>,</w:t>
            </w:r>
            <w:r w:rsidR="003C6355" w:rsidRPr="001A4B94">
              <w:rPr>
                <w:sz w:val="20"/>
                <w:szCs w:val="20"/>
                <w:lang w:val="tr-TR"/>
              </w:rPr>
              <w:t>2</w:t>
            </w:r>
          </w:p>
          <w:p w14:paraId="2D88F1F6" w14:textId="0CD82B62" w:rsidR="003C6355" w:rsidRPr="001A4B94" w:rsidRDefault="007D11C8" w:rsidP="003C6355">
            <w:pPr>
              <w:rPr>
                <w:sz w:val="20"/>
                <w:szCs w:val="20"/>
                <w:lang w:val="tr-TR"/>
              </w:rPr>
            </w:pPr>
            <w:r w:rsidRPr="001A4B94">
              <w:rPr>
                <w:b/>
                <w:bCs/>
                <w:sz w:val="20"/>
                <w:szCs w:val="20"/>
                <w:lang w:val="tr-TR"/>
              </w:rPr>
              <w:t>Hedef</w:t>
            </w:r>
            <w:r w:rsidR="003C6355" w:rsidRPr="001A4B94">
              <w:rPr>
                <w:sz w:val="20"/>
                <w:szCs w:val="20"/>
                <w:lang w:val="tr-TR"/>
              </w:rPr>
              <w:t xml:space="preserve">: </w:t>
            </w:r>
            <w:r w:rsidRPr="001A4B94">
              <w:rPr>
                <w:sz w:val="20"/>
                <w:szCs w:val="20"/>
                <w:lang w:val="tr-TR"/>
              </w:rPr>
              <w:t xml:space="preserve">2021 itibariyle yüzde </w:t>
            </w:r>
            <w:r w:rsidR="003C6355" w:rsidRPr="001A4B94">
              <w:rPr>
                <w:sz w:val="20"/>
                <w:szCs w:val="20"/>
                <w:lang w:val="tr-TR"/>
              </w:rPr>
              <w:t>40</w:t>
            </w:r>
          </w:p>
          <w:p w14:paraId="68B4AAB3" w14:textId="7F5857B9" w:rsidR="006308E2" w:rsidRPr="001A4B94" w:rsidRDefault="007D11C8" w:rsidP="003C6355">
            <w:pPr>
              <w:rPr>
                <w:sz w:val="20"/>
                <w:szCs w:val="20"/>
                <w:lang w:val="tr-TR"/>
              </w:rPr>
            </w:pPr>
            <w:r w:rsidRPr="001A4B94">
              <w:rPr>
                <w:sz w:val="20"/>
                <w:szCs w:val="20"/>
                <w:lang w:val="tr-TR"/>
              </w:rPr>
              <w:t>(Not</w:t>
            </w:r>
            <w:r w:rsidR="006308E2" w:rsidRPr="001A4B94">
              <w:rPr>
                <w:sz w:val="20"/>
                <w:szCs w:val="20"/>
                <w:lang w:val="tr-TR"/>
              </w:rPr>
              <w:t xml:space="preserve">: </w:t>
            </w:r>
            <w:r w:rsidRPr="001A4B94">
              <w:rPr>
                <w:sz w:val="20"/>
                <w:szCs w:val="20"/>
                <w:lang w:val="tr-TR"/>
              </w:rPr>
              <w:t xml:space="preserve">başlangıç durumu </w:t>
            </w:r>
            <w:r w:rsidR="00FC3CA9" w:rsidRPr="001A4B94">
              <w:rPr>
                <w:sz w:val="20"/>
                <w:szCs w:val="20"/>
                <w:lang w:val="tr-TR"/>
              </w:rPr>
              <w:t>gelir ve kardan alınan verginin toplam vergi gelirleri içerisindeki payını temsil etmektedir</w:t>
            </w:r>
            <w:r w:rsidR="006308E2" w:rsidRPr="001A4B94">
              <w:rPr>
                <w:sz w:val="20"/>
                <w:szCs w:val="20"/>
                <w:lang w:val="tr-TR"/>
              </w:rPr>
              <w:t>.)</w:t>
            </w:r>
          </w:p>
        </w:tc>
        <w:tc>
          <w:tcPr>
            <w:tcW w:w="4410" w:type="dxa"/>
          </w:tcPr>
          <w:p w14:paraId="1E0877EC" w14:textId="2CCF26A8" w:rsidR="003C6355" w:rsidRPr="001A4B94" w:rsidRDefault="00F05FBD" w:rsidP="003C6355">
            <w:pPr>
              <w:rPr>
                <w:iCs/>
                <w:sz w:val="20"/>
                <w:szCs w:val="20"/>
                <w:lang w:val="tr-TR"/>
              </w:rPr>
            </w:pPr>
            <w:r w:rsidRPr="001A4B94">
              <w:rPr>
                <w:iCs/>
                <w:sz w:val="20"/>
                <w:szCs w:val="20"/>
                <w:lang w:val="tr-TR"/>
              </w:rPr>
              <w:t>Kurumlar vergisi ve gelir vergisi kanunlarını birleştirerek vergi tabanını genişleten yeni bir kanunun çıkarılması yoluyla gelir vergisine ilişkin mevzuat çerçevesinin iyileştirilmesi</w:t>
            </w:r>
            <w:r w:rsidR="003C6355" w:rsidRPr="001A4B94">
              <w:rPr>
                <w:iCs/>
                <w:sz w:val="20"/>
                <w:szCs w:val="20"/>
                <w:lang w:val="tr-TR"/>
              </w:rPr>
              <w:t xml:space="preserve">.   </w:t>
            </w:r>
          </w:p>
          <w:p w14:paraId="76057755" w14:textId="717D6E3E" w:rsidR="003C6355" w:rsidRPr="001A4B94" w:rsidRDefault="00F05FBD" w:rsidP="003C6355">
            <w:pPr>
              <w:rPr>
                <w:sz w:val="20"/>
                <w:szCs w:val="20"/>
                <w:lang w:val="tr-TR"/>
              </w:rPr>
            </w:pPr>
            <w:r w:rsidRPr="001A4B94">
              <w:rPr>
                <w:b/>
                <w:bCs/>
                <w:sz w:val="20"/>
                <w:szCs w:val="20"/>
                <w:lang w:val="tr-TR"/>
              </w:rPr>
              <w:t>Başlangıç Durumu</w:t>
            </w:r>
            <w:r w:rsidR="003C6355" w:rsidRPr="001A4B94">
              <w:rPr>
                <w:b/>
                <w:sz w:val="20"/>
                <w:szCs w:val="20"/>
                <w:lang w:val="tr-TR"/>
              </w:rPr>
              <w:t>:</w:t>
            </w:r>
            <w:r w:rsidR="003C6355" w:rsidRPr="001A4B94">
              <w:rPr>
                <w:sz w:val="20"/>
                <w:szCs w:val="20"/>
                <w:lang w:val="tr-TR"/>
              </w:rPr>
              <w:t xml:space="preserve"> </w:t>
            </w:r>
            <w:r w:rsidRPr="001A4B94">
              <w:rPr>
                <w:sz w:val="20"/>
                <w:szCs w:val="20"/>
                <w:lang w:val="tr-TR"/>
              </w:rPr>
              <w:t xml:space="preserve">Yok </w:t>
            </w:r>
            <w:r w:rsidR="003C6355" w:rsidRPr="001A4B94">
              <w:rPr>
                <w:sz w:val="20"/>
                <w:szCs w:val="20"/>
                <w:lang w:val="tr-TR"/>
              </w:rPr>
              <w:t>(2016)</w:t>
            </w:r>
            <w:r w:rsidR="003C6355" w:rsidRPr="001A4B94">
              <w:rPr>
                <w:sz w:val="20"/>
                <w:szCs w:val="20"/>
                <w:lang w:val="tr-TR"/>
              </w:rPr>
              <w:br/>
            </w:r>
            <w:r w:rsidRPr="001A4B94">
              <w:rPr>
                <w:b/>
                <w:sz w:val="20"/>
                <w:szCs w:val="20"/>
                <w:lang w:val="tr-TR"/>
              </w:rPr>
              <w:t>Hedef</w:t>
            </w:r>
            <w:r w:rsidR="003C6355" w:rsidRPr="001A4B94">
              <w:rPr>
                <w:b/>
                <w:sz w:val="20"/>
                <w:szCs w:val="20"/>
                <w:lang w:val="tr-TR"/>
              </w:rPr>
              <w:t>:</w:t>
            </w:r>
            <w:r w:rsidR="003C6355" w:rsidRPr="001A4B94">
              <w:rPr>
                <w:sz w:val="20"/>
                <w:szCs w:val="20"/>
                <w:lang w:val="tr-TR"/>
              </w:rPr>
              <w:t xml:space="preserve"> </w:t>
            </w:r>
            <w:r w:rsidRPr="001A4B94">
              <w:rPr>
                <w:sz w:val="20"/>
                <w:szCs w:val="20"/>
                <w:lang w:val="tr-TR"/>
              </w:rPr>
              <w:t xml:space="preserve">Var </w:t>
            </w:r>
            <w:r w:rsidR="003C6355" w:rsidRPr="001A4B94">
              <w:rPr>
                <w:sz w:val="20"/>
                <w:szCs w:val="20"/>
                <w:lang w:val="tr-TR"/>
              </w:rPr>
              <w:t>(2017)</w:t>
            </w:r>
          </w:p>
        </w:tc>
        <w:tc>
          <w:tcPr>
            <w:tcW w:w="4955" w:type="dxa"/>
          </w:tcPr>
          <w:p w14:paraId="510860DD" w14:textId="1629568A" w:rsidR="003C6355" w:rsidRPr="001A4B94" w:rsidRDefault="007A7DF6" w:rsidP="003C6355">
            <w:pPr>
              <w:rPr>
                <w:b/>
                <w:color w:val="000000"/>
                <w:sz w:val="20"/>
                <w:szCs w:val="20"/>
                <w:lang w:val="tr-TR"/>
              </w:rPr>
            </w:pPr>
            <w:r w:rsidRPr="001A4B94">
              <w:rPr>
                <w:b/>
                <w:color w:val="000000"/>
                <w:sz w:val="20"/>
                <w:szCs w:val="20"/>
                <w:lang w:val="tr-TR"/>
              </w:rPr>
              <w:t>Yeni finansman</w:t>
            </w:r>
            <w:r w:rsidR="003C6355" w:rsidRPr="001A4B94">
              <w:rPr>
                <w:b/>
                <w:color w:val="000000"/>
                <w:sz w:val="20"/>
                <w:szCs w:val="20"/>
                <w:lang w:val="tr-TR"/>
              </w:rPr>
              <w:t>:</w:t>
            </w:r>
          </w:p>
          <w:p w14:paraId="1B8F50D0" w14:textId="703EC261" w:rsidR="003C6355" w:rsidRPr="001A4B94" w:rsidRDefault="003C6355" w:rsidP="003C6355">
            <w:pPr>
              <w:rPr>
                <w:color w:val="000000"/>
                <w:sz w:val="20"/>
                <w:szCs w:val="20"/>
                <w:lang w:val="tr-TR"/>
              </w:rPr>
            </w:pPr>
            <w:r w:rsidRPr="001A4B94">
              <w:rPr>
                <w:color w:val="000000"/>
                <w:sz w:val="20"/>
                <w:szCs w:val="20"/>
                <w:lang w:val="tr-TR"/>
              </w:rPr>
              <w:t>DPL</w:t>
            </w:r>
            <w:r w:rsidR="00F10850" w:rsidRPr="001A4B94">
              <w:rPr>
                <w:color w:val="000000"/>
                <w:sz w:val="20"/>
                <w:szCs w:val="20"/>
                <w:lang w:val="tr-TR"/>
              </w:rPr>
              <w:t xml:space="preserve"> </w:t>
            </w:r>
            <w:r w:rsidR="007A7DF6" w:rsidRPr="001A4B94">
              <w:rPr>
                <w:color w:val="000000"/>
                <w:sz w:val="20"/>
                <w:szCs w:val="20"/>
                <w:lang w:val="tr-TR"/>
              </w:rPr>
              <w:t xml:space="preserve">dizisi </w:t>
            </w:r>
          </w:p>
          <w:p w14:paraId="641BF28F" w14:textId="621FA1B4" w:rsidR="003C6355" w:rsidRPr="001A4B94" w:rsidRDefault="00A46139" w:rsidP="003C6355">
            <w:pPr>
              <w:rPr>
                <w:b/>
                <w:color w:val="000000"/>
                <w:sz w:val="20"/>
                <w:szCs w:val="20"/>
                <w:lang w:val="tr-TR"/>
              </w:rPr>
            </w:pPr>
            <w:r w:rsidRPr="001A4B94">
              <w:rPr>
                <w:b/>
                <w:sz w:val="20"/>
                <w:szCs w:val="20"/>
                <w:lang w:val="tr-TR"/>
              </w:rPr>
              <w:t>Danışmanlık Hizmetleri ve Analitik Çalışmalar (ASA)</w:t>
            </w:r>
            <w:r w:rsidR="003C6355" w:rsidRPr="001A4B94">
              <w:rPr>
                <w:b/>
                <w:color w:val="000000"/>
                <w:sz w:val="20"/>
                <w:szCs w:val="20"/>
                <w:lang w:val="tr-TR"/>
              </w:rPr>
              <w:t>:</w:t>
            </w:r>
          </w:p>
          <w:p w14:paraId="1F35553B" w14:textId="6C48E115" w:rsidR="003C6355" w:rsidRPr="001A4B94" w:rsidRDefault="007A7DF6" w:rsidP="003C6355">
            <w:pPr>
              <w:rPr>
                <w:color w:val="000000"/>
                <w:sz w:val="20"/>
                <w:szCs w:val="20"/>
                <w:lang w:val="tr-TR"/>
              </w:rPr>
            </w:pPr>
            <w:r w:rsidRPr="001A4B94">
              <w:rPr>
                <w:color w:val="000000"/>
                <w:sz w:val="20"/>
                <w:szCs w:val="20"/>
                <w:lang w:val="tr-TR"/>
              </w:rPr>
              <w:t xml:space="preserve">Vergi politikası danışmanlığı </w:t>
            </w:r>
          </w:p>
          <w:p w14:paraId="4ABFDDB5" w14:textId="3FEEA181" w:rsidR="003C6355" w:rsidRPr="001A4B94" w:rsidRDefault="003C6355" w:rsidP="003C6355">
            <w:pPr>
              <w:rPr>
                <w:color w:val="000000"/>
                <w:sz w:val="20"/>
                <w:szCs w:val="20"/>
                <w:lang w:val="tr-TR"/>
              </w:rPr>
            </w:pPr>
            <w:r w:rsidRPr="001A4B94">
              <w:rPr>
                <w:color w:val="000000"/>
                <w:sz w:val="20"/>
                <w:szCs w:val="20"/>
                <w:lang w:val="tr-TR"/>
              </w:rPr>
              <w:t>Program</w:t>
            </w:r>
            <w:r w:rsidR="007A7DF6" w:rsidRPr="001A4B94">
              <w:rPr>
                <w:color w:val="000000"/>
                <w:sz w:val="20"/>
                <w:szCs w:val="20"/>
                <w:lang w:val="tr-TR"/>
              </w:rPr>
              <w:t xml:space="preserve"> odaklı yönetişim </w:t>
            </w:r>
            <w:r w:rsidRPr="001A4B94">
              <w:rPr>
                <w:color w:val="000000"/>
                <w:sz w:val="20"/>
                <w:szCs w:val="20"/>
                <w:lang w:val="tr-TR"/>
              </w:rPr>
              <w:t>T</w:t>
            </w:r>
            <w:r w:rsidR="007A7DF6" w:rsidRPr="001A4B94">
              <w:rPr>
                <w:color w:val="000000"/>
                <w:sz w:val="20"/>
                <w:szCs w:val="20"/>
                <w:lang w:val="tr-TR"/>
              </w:rPr>
              <w:t>Y</w:t>
            </w:r>
          </w:p>
        </w:tc>
      </w:tr>
      <w:tr w:rsidR="003C6355" w:rsidRPr="001A4B94" w14:paraId="788EE4BF" w14:textId="77777777" w:rsidTr="004B2181">
        <w:tc>
          <w:tcPr>
            <w:tcW w:w="3955" w:type="dxa"/>
          </w:tcPr>
          <w:p w14:paraId="399B141C" w14:textId="19B15A29" w:rsidR="003C6355" w:rsidRPr="001A4B94" w:rsidRDefault="007D11C8" w:rsidP="003C6355">
            <w:pPr>
              <w:rPr>
                <w:i/>
                <w:sz w:val="20"/>
                <w:szCs w:val="20"/>
                <w:lang w:val="tr-TR"/>
              </w:rPr>
            </w:pPr>
            <w:r w:rsidRPr="001A4B94">
              <w:rPr>
                <w:i/>
                <w:sz w:val="20"/>
                <w:szCs w:val="20"/>
                <w:lang w:val="tr-TR"/>
              </w:rPr>
              <w:t>Kamu idaresinde iç kontroller için bir izleme sisteminin kurulması</w:t>
            </w:r>
          </w:p>
          <w:p w14:paraId="0D5F43BA" w14:textId="2CADE307" w:rsidR="003C6355" w:rsidRPr="001A4B94" w:rsidRDefault="00F05FBD" w:rsidP="003C6355">
            <w:pPr>
              <w:rPr>
                <w:sz w:val="20"/>
                <w:szCs w:val="20"/>
                <w:lang w:val="tr-TR"/>
              </w:rPr>
            </w:pPr>
            <w:r w:rsidRPr="001A4B94">
              <w:rPr>
                <w:b/>
                <w:bCs/>
                <w:sz w:val="20"/>
                <w:szCs w:val="20"/>
                <w:lang w:val="tr-TR"/>
              </w:rPr>
              <w:t>Başlangıç Durumu</w:t>
            </w:r>
            <w:r w:rsidR="003C6355" w:rsidRPr="001A4B94">
              <w:rPr>
                <w:b/>
                <w:sz w:val="20"/>
                <w:szCs w:val="20"/>
                <w:lang w:val="tr-TR"/>
              </w:rPr>
              <w:t>:</w:t>
            </w:r>
            <w:r w:rsidR="003C6355" w:rsidRPr="001A4B94">
              <w:rPr>
                <w:sz w:val="20"/>
                <w:szCs w:val="20"/>
                <w:lang w:val="tr-TR"/>
              </w:rPr>
              <w:t xml:space="preserve"> </w:t>
            </w:r>
            <w:r w:rsidRPr="001A4B94">
              <w:rPr>
                <w:sz w:val="20"/>
                <w:szCs w:val="20"/>
                <w:lang w:val="tr-TR"/>
              </w:rPr>
              <w:t xml:space="preserve">Bilgi girilmiş bir izleme yazılımı bulunmamaktadır </w:t>
            </w:r>
            <w:r w:rsidR="003C6355" w:rsidRPr="001A4B94">
              <w:rPr>
                <w:sz w:val="20"/>
                <w:szCs w:val="20"/>
                <w:lang w:val="tr-TR"/>
              </w:rPr>
              <w:t>(2016)</w:t>
            </w:r>
          </w:p>
          <w:p w14:paraId="20921CB9" w14:textId="200B2DB6" w:rsidR="003C6355" w:rsidRPr="001A4B94" w:rsidRDefault="00CB766C" w:rsidP="003C6355">
            <w:pPr>
              <w:rPr>
                <w:sz w:val="20"/>
                <w:szCs w:val="20"/>
                <w:lang w:val="tr-TR"/>
              </w:rPr>
            </w:pPr>
            <w:r w:rsidRPr="001A4B94">
              <w:rPr>
                <w:b/>
                <w:bCs/>
                <w:sz w:val="20"/>
                <w:szCs w:val="20"/>
                <w:lang w:val="tr-TR"/>
              </w:rPr>
              <w:t>Hedef</w:t>
            </w:r>
            <w:r w:rsidR="003C6355" w:rsidRPr="001A4B94">
              <w:rPr>
                <w:sz w:val="20"/>
                <w:szCs w:val="20"/>
                <w:lang w:val="tr-TR"/>
              </w:rPr>
              <w:t xml:space="preserve">: </w:t>
            </w:r>
            <w:r w:rsidRPr="001A4B94">
              <w:rPr>
                <w:sz w:val="20"/>
                <w:szCs w:val="20"/>
                <w:lang w:val="tr-TR"/>
              </w:rPr>
              <w:t xml:space="preserve">Merkezi yönetim kurumlarına ilişkin verilerin yüzde 70’inin izleme yazılımına girilmesi </w:t>
            </w:r>
            <w:r w:rsidR="003C6355" w:rsidRPr="001A4B94">
              <w:rPr>
                <w:sz w:val="20"/>
                <w:szCs w:val="20"/>
                <w:lang w:val="tr-TR"/>
              </w:rPr>
              <w:t>(2018)</w:t>
            </w:r>
          </w:p>
        </w:tc>
        <w:tc>
          <w:tcPr>
            <w:tcW w:w="4410" w:type="dxa"/>
          </w:tcPr>
          <w:p w14:paraId="28E2DE08" w14:textId="5C42C16F" w:rsidR="003C6355" w:rsidRPr="001A4B94" w:rsidRDefault="00F05FBD" w:rsidP="003C6355">
            <w:pPr>
              <w:tabs>
                <w:tab w:val="left" w:pos="426"/>
              </w:tabs>
              <w:rPr>
                <w:sz w:val="20"/>
                <w:szCs w:val="20"/>
                <w:lang w:val="tr-TR"/>
              </w:rPr>
            </w:pPr>
            <w:r w:rsidRPr="001A4B94">
              <w:rPr>
                <w:sz w:val="20"/>
                <w:szCs w:val="20"/>
                <w:lang w:val="tr-TR"/>
              </w:rPr>
              <w:t xml:space="preserve">Kamu idaresi için yeni bir risk yönetim kılavuzunun yayınlanması </w:t>
            </w:r>
          </w:p>
          <w:p w14:paraId="226CA1AA" w14:textId="31BD6240" w:rsidR="003C6355" w:rsidRPr="001A4B94" w:rsidRDefault="00F05FBD" w:rsidP="003C6355">
            <w:pPr>
              <w:tabs>
                <w:tab w:val="left" w:pos="426"/>
              </w:tabs>
              <w:rPr>
                <w:sz w:val="20"/>
                <w:szCs w:val="20"/>
                <w:lang w:val="tr-TR"/>
              </w:rPr>
            </w:pPr>
            <w:r w:rsidRPr="001A4B94">
              <w:rPr>
                <w:b/>
                <w:bCs/>
                <w:sz w:val="20"/>
                <w:szCs w:val="20"/>
                <w:lang w:val="tr-TR"/>
              </w:rPr>
              <w:t>Başlangıç Durumu</w:t>
            </w:r>
            <w:r w:rsidR="003C6355" w:rsidRPr="001A4B94">
              <w:rPr>
                <w:b/>
                <w:sz w:val="20"/>
                <w:szCs w:val="20"/>
                <w:lang w:val="tr-TR"/>
              </w:rPr>
              <w:t>:</w:t>
            </w:r>
            <w:r w:rsidR="003C6355" w:rsidRPr="001A4B94">
              <w:rPr>
                <w:sz w:val="20"/>
                <w:szCs w:val="20"/>
                <w:lang w:val="tr-TR"/>
              </w:rPr>
              <w:t xml:space="preserve"> </w:t>
            </w:r>
            <w:r w:rsidRPr="001A4B94">
              <w:rPr>
                <w:sz w:val="20"/>
                <w:szCs w:val="20"/>
                <w:lang w:val="tr-TR"/>
              </w:rPr>
              <w:t>Yok</w:t>
            </w:r>
            <w:r w:rsidR="003C6355" w:rsidRPr="001A4B94">
              <w:rPr>
                <w:sz w:val="20"/>
                <w:szCs w:val="20"/>
                <w:lang w:val="tr-TR"/>
              </w:rPr>
              <w:t xml:space="preserve"> (2016)</w:t>
            </w:r>
          </w:p>
          <w:p w14:paraId="3C82B88C" w14:textId="73B04300" w:rsidR="003C6355" w:rsidRPr="001A4B94" w:rsidRDefault="00F05FBD" w:rsidP="003C6355">
            <w:pPr>
              <w:tabs>
                <w:tab w:val="left" w:pos="426"/>
              </w:tabs>
              <w:rPr>
                <w:sz w:val="20"/>
                <w:szCs w:val="20"/>
                <w:lang w:val="tr-TR"/>
              </w:rPr>
            </w:pPr>
            <w:r w:rsidRPr="001A4B94">
              <w:rPr>
                <w:b/>
                <w:sz w:val="20"/>
                <w:szCs w:val="20"/>
                <w:lang w:val="tr-TR"/>
              </w:rPr>
              <w:t>Hedef</w:t>
            </w:r>
            <w:r w:rsidR="003C6355" w:rsidRPr="001A4B94">
              <w:rPr>
                <w:b/>
                <w:sz w:val="20"/>
                <w:szCs w:val="20"/>
                <w:lang w:val="tr-TR"/>
              </w:rPr>
              <w:t>:</w:t>
            </w:r>
            <w:r w:rsidR="003C6355" w:rsidRPr="001A4B94">
              <w:rPr>
                <w:sz w:val="20"/>
                <w:szCs w:val="20"/>
                <w:lang w:val="tr-TR"/>
              </w:rPr>
              <w:t xml:space="preserve"> </w:t>
            </w:r>
            <w:r w:rsidRPr="001A4B94">
              <w:rPr>
                <w:sz w:val="20"/>
                <w:szCs w:val="20"/>
                <w:lang w:val="tr-TR"/>
              </w:rPr>
              <w:t>Var</w:t>
            </w:r>
            <w:r w:rsidR="003C6355" w:rsidRPr="001A4B94">
              <w:rPr>
                <w:sz w:val="20"/>
                <w:szCs w:val="20"/>
                <w:lang w:val="tr-TR"/>
              </w:rPr>
              <w:t>(2019)</w:t>
            </w:r>
          </w:p>
          <w:p w14:paraId="7DEE98C4" w14:textId="77777777" w:rsidR="003C6355" w:rsidRPr="001A4B94" w:rsidRDefault="003C6355" w:rsidP="003C6355">
            <w:pPr>
              <w:tabs>
                <w:tab w:val="left" w:pos="426"/>
              </w:tabs>
              <w:rPr>
                <w:b/>
                <w:i/>
                <w:sz w:val="20"/>
                <w:szCs w:val="20"/>
                <w:lang w:val="tr-TR"/>
              </w:rPr>
            </w:pPr>
          </w:p>
          <w:p w14:paraId="4567831A" w14:textId="6DE6CB13" w:rsidR="003C6355" w:rsidRPr="001A4B94" w:rsidRDefault="00CB766C" w:rsidP="003C6355">
            <w:pPr>
              <w:tabs>
                <w:tab w:val="left" w:pos="426"/>
              </w:tabs>
              <w:rPr>
                <w:sz w:val="20"/>
                <w:szCs w:val="20"/>
                <w:lang w:val="tr-TR"/>
              </w:rPr>
            </w:pPr>
            <w:r w:rsidRPr="001A4B94">
              <w:rPr>
                <w:sz w:val="20"/>
                <w:szCs w:val="20"/>
                <w:lang w:val="tr-TR"/>
              </w:rPr>
              <w:t xml:space="preserve">Yeni bir iç denetim strateji belgesinin yayınlanması </w:t>
            </w:r>
            <w:r w:rsidR="003C6355" w:rsidRPr="001A4B94">
              <w:rPr>
                <w:sz w:val="20"/>
                <w:szCs w:val="20"/>
                <w:lang w:val="tr-TR"/>
              </w:rPr>
              <w:t>2017-2019</w:t>
            </w:r>
          </w:p>
          <w:p w14:paraId="2F1D4580" w14:textId="5F833E38" w:rsidR="003C6355" w:rsidRPr="001A4B94" w:rsidRDefault="00CB766C" w:rsidP="003C6355">
            <w:pPr>
              <w:tabs>
                <w:tab w:val="left" w:pos="426"/>
              </w:tabs>
              <w:rPr>
                <w:sz w:val="20"/>
                <w:szCs w:val="20"/>
                <w:lang w:val="tr-TR"/>
              </w:rPr>
            </w:pPr>
            <w:r w:rsidRPr="001A4B94">
              <w:rPr>
                <w:b/>
                <w:sz w:val="20"/>
                <w:szCs w:val="20"/>
                <w:lang w:val="tr-TR"/>
              </w:rPr>
              <w:lastRenderedPageBreak/>
              <w:t>Başlangıç Durumu</w:t>
            </w:r>
            <w:r w:rsidR="003C6355" w:rsidRPr="001A4B94">
              <w:rPr>
                <w:b/>
                <w:sz w:val="20"/>
                <w:szCs w:val="20"/>
                <w:lang w:val="tr-TR"/>
              </w:rPr>
              <w:t>:</w:t>
            </w:r>
            <w:r w:rsidR="003C6355" w:rsidRPr="001A4B94">
              <w:rPr>
                <w:sz w:val="20"/>
                <w:szCs w:val="20"/>
                <w:lang w:val="tr-TR"/>
              </w:rPr>
              <w:t xml:space="preserve"> </w:t>
            </w:r>
            <w:r w:rsidRPr="001A4B94">
              <w:rPr>
                <w:sz w:val="20"/>
                <w:szCs w:val="20"/>
                <w:lang w:val="tr-TR"/>
              </w:rPr>
              <w:t xml:space="preserve">Yok </w:t>
            </w:r>
            <w:r w:rsidR="003C6355" w:rsidRPr="001A4B94">
              <w:rPr>
                <w:sz w:val="20"/>
                <w:szCs w:val="20"/>
                <w:lang w:val="tr-TR"/>
              </w:rPr>
              <w:t>(2016)</w:t>
            </w:r>
          </w:p>
          <w:p w14:paraId="20649E88" w14:textId="7C13101E" w:rsidR="003C6355" w:rsidRPr="001A4B94" w:rsidRDefault="00CB766C" w:rsidP="003C6355">
            <w:pPr>
              <w:rPr>
                <w:sz w:val="20"/>
                <w:szCs w:val="20"/>
                <w:lang w:val="tr-TR"/>
              </w:rPr>
            </w:pPr>
            <w:r w:rsidRPr="001A4B94">
              <w:rPr>
                <w:b/>
                <w:sz w:val="20"/>
                <w:szCs w:val="20"/>
                <w:lang w:val="tr-TR"/>
              </w:rPr>
              <w:t>Hedef</w:t>
            </w:r>
            <w:r w:rsidR="003C6355" w:rsidRPr="001A4B94">
              <w:rPr>
                <w:b/>
                <w:sz w:val="20"/>
                <w:szCs w:val="20"/>
                <w:lang w:val="tr-TR"/>
              </w:rPr>
              <w:t>:</w:t>
            </w:r>
            <w:r w:rsidR="003C6355" w:rsidRPr="001A4B94">
              <w:rPr>
                <w:sz w:val="20"/>
                <w:szCs w:val="20"/>
                <w:lang w:val="tr-TR"/>
              </w:rPr>
              <w:t xml:space="preserve"> </w:t>
            </w:r>
            <w:r w:rsidRPr="001A4B94">
              <w:rPr>
                <w:sz w:val="20"/>
                <w:szCs w:val="20"/>
                <w:lang w:val="tr-TR"/>
              </w:rPr>
              <w:t xml:space="preserve">Evet </w:t>
            </w:r>
            <w:r w:rsidR="003C6355" w:rsidRPr="001A4B94">
              <w:rPr>
                <w:sz w:val="20"/>
                <w:szCs w:val="20"/>
                <w:lang w:val="tr-TR"/>
              </w:rPr>
              <w:t>(2017)</w:t>
            </w:r>
          </w:p>
        </w:tc>
        <w:tc>
          <w:tcPr>
            <w:tcW w:w="4955" w:type="dxa"/>
          </w:tcPr>
          <w:p w14:paraId="22FBADE8" w14:textId="77777777" w:rsidR="00CB766C" w:rsidRPr="001A4B94" w:rsidRDefault="00CB766C" w:rsidP="00CB766C">
            <w:pPr>
              <w:rPr>
                <w:b/>
                <w:color w:val="000000"/>
                <w:sz w:val="20"/>
                <w:szCs w:val="20"/>
                <w:lang w:val="tr-TR"/>
              </w:rPr>
            </w:pPr>
            <w:r w:rsidRPr="001A4B94">
              <w:rPr>
                <w:b/>
                <w:color w:val="000000"/>
                <w:sz w:val="20"/>
                <w:szCs w:val="20"/>
                <w:lang w:val="tr-TR"/>
              </w:rPr>
              <w:lastRenderedPageBreak/>
              <w:t>Yeni finansman:</w:t>
            </w:r>
          </w:p>
          <w:p w14:paraId="3B09BC94" w14:textId="2C4B6211" w:rsidR="003C6355" w:rsidRPr="001A4B94" w:rsidRDefault="00CB766C" w:rsidP="00CB766C">
            <w:pPr>
              <w:rPr>
                <w:sz w:val="20"/>
                <w:szCs w:val="20"/>
                <w:lang w:val="tr-TR"/>
              </w:rPr>
            </w:pPr>
            <w:r w:rsidRPr="001A4B94">
              <w:rPr>
                <w:color w:val="000000"/>
                <w:sz w:val="20"/>
                <w:szCs w:val="20"/>
                <w:lang w:val="tr-TR"/>
              </w:rPr>
              <w:t xml:space="preserve">DPL dizisi </w:t>
            </w:r>
          </w:p>
          <w:p w14:paraId="7F944883" w14:textId="08EB6A68" w:rsidR="003C6355" w:rsidRPr="001A4B94" w:rsidRDefault="00A46139" w:rsidP="003C6355">
            <w:pPr>
              <w:rPr>
                <w:b/>
                <w:sz w:val="20"/>
                <w:szCs w:val="20"/>
                <w:lang w:val="tr-TR"/>
              </w:rPr>
            </w:pPr>
            <w:r w:rsidRPr="001A4B94">
              <w:rPr>
                <w:b/>
                <w:sz w:val="20"/>
                <w:szCs w:val="20"/>
                <w:lang w:val="tr-TR"/>
              </w:rPr>
              <w:t>Danışmanlık Hizmetleri ve Analitik Çalışmalar (ASA)</w:t>
            </w:r>
            <w:r w:rsidR="003C6355" w:rsidRPr="001A4B94">
              <w:rPr>
                <w:b/>
                <w:sz w:val="20"/>
                <w:szCs w:val="20"/>
                <w:lang w:val="tr-TR"/>
              </w:rPr>
              <w:t>:</w:t>
            </w:r>
          </w:p>
          <w:p w14:paraId="44EF83C9" w14:textId="77777777" w:rsidR="00CB766C" w:rsidRPr="001A4B94" w:rsidRDefault="00CB766C" w:rsidP="00CB766C">
            <w:pPr>
              <w:rPr>
                <w:color w:val="000000"/>
                <w:sz w:val="20"/>
                <w:szCs w:val="20"/>
                <w:lang w:val="tr-TR"/>
              </w:rPr>
            </w:pPr>
            <w:r w:rsidRPr="001A4B94">
              <w:rPr>
                <w:color w:val="000000"/>
                <w:sz w:val="20"/>
                <w:szCs w:val="20"/>
                <w:lang w:val="tr-TR"/>
              </w:rPr>
              <w:t xml:space="preserve">Vergi politikası danışmanlığı </w:t>
            </w:r>
          </w:p>
          <w:p w14:paraId="2E25E3D4" w14:textId="77777777" w:rsidR="00CB766C" w:rsidRPr="001A4B94" w:rsidRDefault="00CB766C" w:rsidP="00CB766C">
            <w:pPr>
              <w:rPr>
                <w:bCs/>
                <w:sz w:val="20"/>
                <w:szCs w:val="20"/>
                <w:lang w:val="tr-TR"/>
              </w:rPr>
            </w:pPr>
            <w:r w:rsidRPr="001A4B94">
              <w:rPr>
                <w:color w:val="000000"/>
                <w:sz w:val="20"/>
                <w:szCs w:val="20"/>
                <w:lang w:val="tr-TR"/>
              </w:rPr>
              <w:t>Program odaklı yönetişim TY</w:t>
            </w:r>
            <w:r w:rsidRPr="001A4B94">
              <w:rPr>
                <w:bCs/>
                <w:sz w:val="20"/>
                <w:szCs w:val="20"/>
                <w:lang w:val="tr-TR"/>
              </w:rPr>
              <w:t xml:space="preserve"> </w:t>
            </w:r>
          </w:p>
          <w:p w14:paraId="7A0C576E" w14:textId="3C2928EA" w:rsidR="003C6355" w:rsidRPr="001A4B94" w:rsidRDefault="003C6355" w:rsidP="00CB766C">
            <w:pPr>
              <w:rPr>
                <w:sz w:val="20"/>
                <w:szCs w:val="20"/>
                <w:lang w:val="tr-TR"/>
              </w:rPr>
            </w:pPr>
            <w:r w:rsidRPr="001A4B94">
              <w:rPr>
                <w:bCs/>
                <w:sz w:val="20"/>
                <w:szCs w:val="20"/>
                <w:lang w:val="tr-TR"/>
              </w:rPr>
              <w:t xml:space="preserve">ECA </w:t>
            </w:r>
            <w:r w:rsidR="00CB766C" w:rsidRPr="001A4B94">
              <w:rPr>
                <w:bCs/>
                <w:sz w:val="20"/>
                <w:szCs w:val="20"/>
                <w:lang w:val="tr-TR"/>
              </w:rPr>
              <w:t xml:space="preserve">Kamu Mali Yönetim Vakıf Fonu </w:t>
            </w:r>
          </w:p>
          <w:p w14:paraId="4F227928" w14:textId="049A572B" w:rsidR="003C6355" w:rsidRPr="001A4B94" w:rsidRDefault="00CB766C" w:rsidP="003C6355">
            <w:pPr>
              <w:rPr>
                <w:sz w:val="20"/>
                <w:szCs w:val="20"/>
                <w:lang w:val="tr-TR"/>
              </w:rPr>
            </w:pPr>
            <w:r w:rsidRPr="001A4B94">
              <w:rPr>
                <w:bCs/>
                <w:sz w:val="20"/>
                <w:szCs w:val="20"/>
                <w:lang w:val="tr-TR"/>
              </w:rPr>
              <w:t xml:space="preserve">İç denetim </w:t>
            </w:r>
            <w:r w:rsidR="003C6355" w:rsidRPr="001A4B94">
              <w:rPr>
                <w:bCs/>
                <w:sz w:val="20"/>
                <w:szCs w:val="20"/>
                <w:lang w:val="tr-TR"/>
              </w:rPr>
              <w:t xml:space="preserve">SAFE </w:t>
            </w:r>
            <w:r w:rsidRPr="001A4B94">
              <w:rPr>
                <w:bCs/>
                <w:sz w:val="20"/>
                <w:szCs w:val="20"/>
                <w:lang w:val="tr-TR"/>
              </w:rPr>
              <w:t xml:space="preserve">Vakıf Fonu </w:t>
            </w:r>
          </w:p>
        </w:tc>
      </w:tr>
      <w:tr w:rsidR="00622088" w:rsidRPr="001A4B94" w14:paraId="23FC0E9B" w14:textId="77777777" w:rsidTr="004B2181">
        <w:tc>
          <w:tcPr>
            <w:tcW w:w="13320" w:type="dxa"/>
            <w:gridSpan w:val="3"/>
            <w:shd w:val="clear" w:color="auto" w:fill="EDEDED" w:themeFill="accent3" w:themeFillTint="33"/>
          </w:tcPr>
          <w:p w14:paraId="430EA5D1" w14:textId="0C06B1EB" w:rsidR="00622088" w:rsidRPr="001A4B94" w:rsidRDefault="00622088" w:rsidP="00622088">
            <w:pPr>
              <w:tabs>
                <w:tab w:val="left" w:pos="426"/>
              </w:tabs>
              <w:spacing w:before="120" w:after="120"/>
              <w:jc w:val="center"/>
              <w:rPr>
                <w:b/>
                <w:sz w:val="22"/>
                <w:szCs w:val="22"/>
                <w:lang w:val="tr-TR"/>
              </w:rPr>
            </w:pPr>
            <w:r w:rsidRPr="001A4B94">
              <w:rPr>
                <w:b/>
                <w:sz w:val="22"/>
                <w:szCs w:val="22"/>
                <w:lang w:val="tr-TR"/>
              </w:rPr>
              <w:t xml:space="preserve">CPF </w:t>
            </w:r>
            <w:r w:rsidR="00F6456E" w:rsidRPr="001A4B94">
              <w:rPr>
                <w:b/>
                <w:sz w:val="22"/>
                <w:szCs w:val="22"/>
                <w:lang w:val="tr-TR"/>
              </w:rPr>
              <w:t>Amaç</w:t>
            </w:r>
            <w:r w:rsidRPr="001A4B94">
              <w:rPr>
                <w:b/>
                <w:sz w:val="22"/>
                <w:szCs w:val="22"/>
                <w:lang w:val="tr-TR"/>
              </w:rPr>
              <w:t xml:space="preserve"> 2:  </w:t>
            </w:r>
            <w:r w:rsidR="008C2ABC" w:rsidRPr="001A4B94">
              <w:rPr>
                <w:b/>
                <w:bCs/>
                <w:sz w:val="22"/>
                <w:szCs w:val="22"/>
                <w:lang w:val="tr-TR"/>
              </w:rPr>
              <w:t>Yetersiz Hizmet Alan Segmentler için Finansmana Erişimin Arttırılması</w:t>
            </w:r>
            <w:r w:rsidR="008C2ABC" w:rsidRPr="001A4B94">
              <w:rPr>
                <w:b/>
                <w:bCs/>
                <w:sz w:val="22"/>
                <w:szCs w:val="22"/>
                <w:u w:val="single"/>
                <w:lang w:val="tr-TR"/>
              </w:rPr>
              <w:t xml:space="preserve">  </w:t>
            </w:r>
          </w:p>
        </w:tc>
      </w:tr>
      <w:tr w:rsidR="00622088" w:rsidRPr="001A4B94" w14:paraId="24CA58D9" w14:textId="77777777" w:rsidTr="004B2181">
        <w:tc>
          <w:tcPr>
            <w:tcW w:w="13320" w:type="dxa"/>
            <w:gridSpan w:val="3"/>
          </w:tcPr>
          <w:p w14:paraId="611CB14A" w14:textId="7A5D90D8" w:rsidR="00622088" w:rsidRPr="001A4B94" w:rsidRDefault="008C2ABC" w:rsidP="00622088">
            <w:pPr>
              <w:jc w:val="both"/>
              <w:rPr>
                <w:b/>
                <w:sz w:val="22"/>
                <w:szCs w:val="22"/>
                <w:lang w:val="tr-TR"/>
              </w:rPr>
            </w:pPr>
            <w:r w:rsidRPr="001A4B94">
              <w:rPr>
                <w:b/>
                <w:iCs/>
                <w:sz w:val="21"/>
                <w:szCs w:val="21"/>
                <w:lang w:val="tr-TR"/>
              </w:rPr>
              <w:t>Müdahale Mantığı</w:t>
            </w:r>
            <w:r w:rsidR="00622088" w:rsidRPr="001A4B94">
              <w:rPr>
                <w:b/>
                <w:sz w:val="21"/>
                <w:szCs w:val="21"/>
                <w:lang w:val="tr-TR"/>
              </w:rPr>
              <w:t xml:space="preserve">: </w:t>
            </w:r>
            <w:r w:rsidRPr="001A4B94">
              <w:rPr>
                <w:sz w:val="21"/>
                <w:szCs w:val="21"/>
                <w:lang w:val="tr-TR"/>
              </w:rPr>
              <w:t>F</w:t>
            </w:r>
            <w:r w:rsidR="000F668B" w:rsidRPr="001A4B94">
              <w:rPr>
                <w:sz w:val="21"/>
                <w:szCs w:val="21"/>
                <w:lang w:val="tr-TR"/>
              </w:rPr>
              <w:t>i</w:t>
            </w:r>
            <w:r w:rsidRPr="001A4B94">
              <w:rPr>
                <w:sz w:val="21"/>
                <w:szCs w:val="21"/>
                <w:lang w:val="tr-TR"/>
              </w:rPr>
              <w:t xml:space="preserve">nansal sektörün güçlendirilmesi, daha hızlı ve özel sektörün sürüklediği bir büyüme için kritik önem taşır.  Bunun için </w:t>
            </w:r>
            <w:r w:rsidR="00A1516F" w:rsidRPr="001A4B94">
              <w:rPr>
                <w:sz w:val="21"/>
                <w:szCs w:val="21"/>
                <w:lang w:val="tr-TR"/>
              </w:rPr>
              <w:t>yapısal zorlukların aşılm</w:t>
            </w:r>
            <w:r w:rsidR="000F668B" w:rsidRPr="001A4B94">
              <w:rPr>
                <w:sz w:val="21"/>
                <w:szCs w:val="21"/>
                <w:lang w:val="tr-TR"/>
              </w:rPr>
              <w:t>a</w:t>
            </w:r>
            <w:r w:rsidR="00A1516F" w:rsidRPr="001A4B94">
              <w:rPr>
                <w:sz w:val="21"/>
                <w:szCs w:val="21"/>
                <w:lang w:val="tr-TR"/>
              </w:rPr>
              <w:t>sı</w:t>
            </w:r>
            <w:r w:rsidR="00622088" w:rsidRPr="001A4B94">
              <w:rPr>
                <w:sz w:val="21"/>
                <w:szCs w:val="21"/>
                <w:lang w:val="tr-TR"/>
              </w:rPr>
              <w:t xml:space="preserve">, </w:t>
            </w:r>
            <w:r w:rsidR="00A1516F" w:rsidRPr="001A4B94">
              <w:rPr>
                <w:sz w:val="21"/>
                <w:szCs w:val="21"/>
                <w:lang w:val="tr-TR"/>
              </w:rPr>
              <w:t>banka merkezli bir finansal sistemden uzaklaşılması</w:t>
            </w:r>
            <w:r w:rsidR="00622088" w:rsidRPr="001A4B94">
              <w:rPr>
                <w:sz w:val="21"/>
                <w:szCs w:val="21"/>
                <w:lang w:val="tr-TR"/>
              </w:rPr>
              <w:t xml:space="preserve">, </w:t>
            </w:r>
            <w:r w:rsidR="00A1516F" w:rsidRPr="001A4B94">
              <w:rPr>
                <w:sz w:val="21"/>
                <w:szCs w:val="21"/>
                <w:lang w:val="tr-TR"/>
              </w:rPr>
              <w:t>finansal piy</w:t>
            </w:r>
            <w:r w:rsidR="000F668B" w:rsidRPr="001A4B94">
              <w:rPr>
                <w:sz w:val="21"/>
                <w:szCs w:val="21"/>
                <w:lang w:val="tr-TR"/>
              </w:rPr>
              <w:t>a</w:t>
            </w:r>
            <w:r w:rsidR="00A1516F" w:rsidRPr="001A4B94">
              <w:rPr>
                <w:sz w:val="21"/>
                <w:szCs w:val="21"/>
                <w:lang w:val="tr-TR"/>
              </w:rPr>
              <w:t xml:space="preserve">saların ve sermaye piyasalarının derinleştirilmesi ve çeşitlendirilmesi, yetersiz hizmet alan kesimlere (M-KOBİ’ler ve kadınlar) ulaşabilmek için finansmana erişimin </w:t>
            </w:r>
            <w:r w:rsidR="000F668B" w:rsidRPr="001A4B94">
              <w:rPr>
                <w:sz w:val="21"/>
                <w:szCs w:val="21"/>
                <w:lang w:val="tr-TR"/>
              </w:rPr>
              <w:t xml:space="preserve">yaygınlaştırılması </w:t>
            </w:r>
            <w:r w:rsidR="00A1516F" w:rsidRPr="001A4B94">
              <w:rPr>
                <w:sz w:val="21"/>
                <w:szCs w:val="21"/>
                <w:lang w:val="tr-TR"/>
              </w:rPr>
              <w:t>gerekmektedir.</w:t>
            </w:r>
            <w:r w:rsidR="00622088" w:rsidRPr="001A4B94">
              <w:rPr>
                <w:sz w:val="21"/>
                <w:szCs w:val="21"/>
                <w:lang w:val="tr-TR"/>
              </w:rPr>
              <w:t xml:space="preserve"> </w:t>
            </w:r>
            <w:r w:rsidR="00622B45" w:rsidRPr="001A4B94">
              <w:rPr>
                <w:sz w:val="21"/>
                <w:szCs w:val="21"/>
                <w:lang w:val="tr-TR"/>
              </w:rPr>
              <w:t xml:space="preserve">CPF, hükümet </w:t>
            </w:r>
            <w:r w:rsidR="007B16F9" w:rsidRPr="001A4B94">
              <w:rPr>
                <w:sz w:val="21"/>
                <w:szCs w:val="21"/>
                <w:lang w:val="tr-TR"/>
              </w:rPr>
              <w:t>politikalarına</w:t>
            </w:r>
            <w:r w:rsidR="00622B45" w:rsidRPr="001A4B94">
              <w:rPr>
                <w:sz w:val="21"/>
                <w:szCs w:val="21"/>
                <w:lang w:val="tr-TR"/>
              </w:rPr>
              <w:t xml:space="preserve"> bilgi girdisi sağlayacak ve IBRD ve IFC’nin gelecekteki yatırımlarının temelini oluşturacak anlamlı ASA çalışmalarının sunulması üzerinde odaklanacaktır</w:t>
            </w:r>
            <w:r w:rsidR="00622088" w:rsidRPr="001A4B94">
              <w:rPr>
                <w:sz w:val="21"/>
                <w:szCs w:val="21"/>
                <w:lang w:val="tr-TR"/>
              </w:rPr>
              <w:t xml:space="preserve">.  </w:t>
            </w:r>
            <w:r w:rsidR="00622B45" w:rsidRPr="001A4B94">
              <w:rPr>
                <w:sz w:val="21"/>
                <w:szCs w:val="21"/>
                <w:lang w:val="tr-TR"/>
              </w:rPr>
              <w:t>ASA programı; finansal sektörün çeşitlendirilmesi, emeklilik sistemi, sermaye piyasasının geliştirilmesi ve sektörün karşısından esen rüzgarların ve bunlara karşı müdahalelerin analizi gibi kritik konuları kapsayacaktır</w:t>
            </w:r>
            <w:r w:rsidR="00622088" w:rsidRPr="001A4B94">
              <w:rPr>
                <w:sz w:val="21"/>
                <w:szCs w:val="21"/>
                <w:lang w:val="tr-TR"/>
              </w:rPr>
              <w:t xml:space="preserve">.  </w:t>
            </w:r>
            <w:r w:rsidR="00981854" w:rsidRPr="001A4B94">
              <w:rPr>
                <w:sz w:val="21"/>
                <w:szCs w:val="21"/>
                <w:lang w:val="tr-TR"/>
              </w:rPr>
              <w:t>IBRD özellikle finansmana erişimi arttıran, kilit sektörlerdeki yatırımcıları teşvik eden ve finansman araçlarını derinleştiren ve çeşitlendiren uzun vadeli finansal kaynaklar sunan yeni finansman operasyonları yoluyla kamu bankaları, kalkınma bankaları ve diğer finansal kuruluşlar ile çalışmaya devam edecektir</w:t>
            </w:r>
            <w:r w:rsidR="00622088" w:rsidRPr="001A4B94">
              <w:rPr>
                <w:sz w:val="21"/>
                <w:szCs w:val="21"/>
                <w:lang w:val="tr-TR"/>
              </w:rPr>
              <w:t xml:space="preserve">. </w:t>
            </w:r>
            <w:r w:rsidR="00A57546" w:rsidRPr="001A4B94">
              <w:rPr>
                <w:sz w:val="21"/>
                <w:szCs w:val="21"/>
                <w:lang w:val="tr-TR"/>
              </w:rPr>
              <w:t>IFC özellikle kırsal alanlar, kadınlara ait işletmeler ve tarımsal işletmeler üzerinde odaklanarak M-KOBİ’lere sunulan finansman olanaklarını arttırmak amacıyla finansal kuruluşlar ve aracı kuruluşlar ile birlikte çalışmaya devam edecektir</w:t>
            </w:r>
            <w:r w:rsidR="00622088" w:rsidRPr="001A4B94">
              <w:rPr>
                <w:sz w:val="21"/>
                <w:szCs w:val="21"/>
                <w:lang w:val="tr-TR"/>
              </w:rPr>
              <w:t xml:space="preserve">. </w:t>
            </w:r>
            <w:r w:rsidR="001C23CE" w:rsidRPr="001A4B94">
              <w:rPr>
                <w:sz w:val="21"/>
                <w:szCs w:val="21"/>
                <w:lang w:val="tr-TR"/>
              </w:rPr>
              <w:t xml:space="preserve">IFC, </w:t>
            </w:r>
            <w:r w:rsidR="009B1D3A" w:rsidRPr="001A4B94">
              <w:rPr>
                <w:sz w:val="21"/>
                <w:szCs w:val="21"/>
                <w:lang w:val="tr-TR"/>
              </w:rPr>
              <w:t xml:space="preserve">(i) </w:t>
            </w:r>
            <w:r w:rsidR="001C23CE" w:rsidRPr="001A4B94">
              <w:rPr>
                <w:sz w:val="21"/>
                <w:szCs w:val="21"/>
                <w:lang w:val="tr-TR"/>
              </w:rPr>
              <w:t>bankaları ve banka dışı finansal kuruluşları (BDFK) yetersiz hizmet alan veya bankacılık hizmetlerinden yararlanmayan  kesimlere sağladıkları desteklerin arttırılması amacıyla daha uzun  vadeli kaynaklar ile desteklemeye</w:t>
            </w:r>
            <w:r w:rsidR="009B1D3A" w:rsidRPr="001A4B94">
              <w:rPr>
                <w:sz w:val="21"/>
                <w:szCs w:val="21"/>
                <w:lang w:val="tr-TR"/>
              </w:rPr>
              <w:t xml:space="preserve">, (ii) </w:t>
            </w:r>
            <w:r w:rsidR="001C23CE" w:rsidRPr="001A4B94">
              <w:rPr>
                <w:sz w:val="21"/>
                <w:szCs w:val="21"/>
                <w:lang w:val="tr-TR"/>
              </w:rPr>
              <w:t>çeşitli finansman araçlarını ve  yöntemlerini kullanıma sunmay</w:t>
            </w:r>
            <w:r w:rsidR="00337EF0" w:rsidRPr="001A4B94">
              <w:rPr>
                <w:sz w:val="21"/>
                <w:szCs w:val="21"/>
                <w:lang w:val="tr-TR"/>
              </w:rPr>
              <w:t>a</w:t>
            </w:r>
            <w:r w:rsidR="009B1D3A" w:rsidRPr="001A4B94">
              <w:rPr>
                <w:sz w:val="21"/>
                <w:szCs w:val="21"/>
                <w:lang w:val="tr-TR"/>
              </w:rPr>
              <w:t xml:space="preserve">; (iii) </w:t>
            </w:r>
            <w:r w:rsidR="001C23CE" w:rsidRPr="001A4B94">
              <w:rPr>
                <w:sz w:val="21"/>
                <w:szCs w:val="21"/>
                <w:lang w:val="tr-TR"/>
              </w:rPr>
              <w:t>reel sektörden müşterileri, KÖİ yatırımları ve yüksek miktarlı dış borcu bul</w:t>
            </w:r>
            <w:r w:rsidR="008B0A1A" w:rsidRPr="001A4B94">
              <w:rPr>
                <w:sz w:val="21"/>
                <w:szCs w:val="21"/>
                <w:lang w:val="tr-TR"/>
              </w:rPr>
              <w:t>unan belediyeler için faiz oranı ve p</w:t>
            </w:r>
            <w:r w:rsidR="001C23CE" w:rsidRPr="001A4B94">
              <w:rPr>
                <w:sz w:val="21"/>
                <w:szCs w:val="21"/>
                <w:lang w:val="tr-TR"/>
              </w:rPr>
              <w:t>ara birimi takaslarından yararlanmaya</w:t>
            </w:r>
            <w:r w:rsidR="009B1D3A" w:rsidRPr="001A4B94">
              <w:rPr>
                <w:sz w:val="21"/>
                <w:szCs w:val="21"/>
                <w:lang w:val="tr-TR"/>
              </w:rPr>
              <w:t xml:space="preserve">; </w:t>
            </w:r>
            <w:r w:rsidR="008B0A1A" w:rsidRPr="001A4B94">
              <w:rPr>
                <w:sz w:val="21"/>
                <w:szCs w:val="21"/>
                <w:lang w:val="tr-TR"/>
              </w:rPr>
              <w:t xml:space="preserve">ve </w:t>
            </w:r>
            <w:r w:rsidR="009B1D3A" w:rsidRPr="001A4B94">
              <w:rPr>
                <w:sz w:val="21"/>
                <w:szCs w:val="21"/>
                <w:lang w:val="tr-TR"/>
              </w:rPr>
              <w:t xml:space="preserve">(iv) </w:t>
            </w:r>
            <w:r w:rsidR="008B0A1A" w:rsidRPr="001A4B94">
              <w:rPr>
                <w:sz w:val="21"/>
                <w:szCs w:val="21"/>
                <w:lang w:val="tr-TR"/>
              </w:rPr>
              <w:t>teminatlı tahviller, çeşitlendirilmiş ödeme hakları (DPR), yeşil tahviller, belediye tahvilleri ve KÖİ proje tahvilleri (hem avro hem de lira cinsinden)  gibi  alternatif borç araçlarını desteklemeye devam edecektir</w:t>
            </w:r>
            <w:r w:rsidR="009B1D3A" w:rsidRPr="001A4B94">
              <w:rPr>
                <w:sz w:val="21"/>
                <w:szCs w:val="21"/>
                <w:lang w:val="tr-TR"/>
              </w:rPr>
              <w:t xml:space="preserve">. </w:t>
            </w:r>
            <w:r w:rsidR="008B0A1A" w:rsidRPr="001A4B94">
              <w:rPr>
                <w:sz w:val="21"/>
                <w:szCs w:val="21"/>
                <w:lang w:val="tr-TR"/>
              </w:rPr>
              <w:t>IFC belediyelerin kredi değerliliklerinin arttırılması ve M-KOBİ’lere ve ihracat şirketlerine yönelik kredilendirme faaliyetlerinin desteklenmesi amacıyla</w:t>
            </w:r>
            <w:r w:rsidR="001D6E27" w:rsidRPr="001A4B94">
              <w:rPr>
                <w:sz w:val="21"/>
                <w:szCs w:val="21"/>
                <w:lang w:val="tr-TR"/>
              </w:rPr>
              <w:t>,</w:t>
            </w:r>
            <w:r w:rsidR="008B0A1A" w:rsidRPr="001A4B94">
              <w:rPr>
                <w:sz w:val="21"/>
                <w:szCs w:val="21"/>
                <w:lang w:val="tr-TR"/>
              </w:rPr>
              <w:t xml:space="preserve"> ticari kreditörlerin artan risk garantisi taleplerine cevap verebilmek için MIGA ile yakın bir eşgüdüm içerisinde çalışacaktır</w:t>
            </w:r>
            <w:r w:rsidR="00622088" w:rsidRPr="001A4B94">
              <w:rPr>
                <w:sz w:val="22"/>
                <w:szCs w:val="22"/>
                <w:lang w:val="tr-TR"/>
              </w:rPr>
              <w:t>.</w:t>
            </w:r>
            <w:r w:rsidR="00622088" w:rsidRPr="001A4B94">
              <w:rPr>
                <w:rFonts w:eastAsia="MS Mincho"/>
                <w:sz w:val="22"/>
                <w:szCs w:val="22"/>
                <w:lang w:val="tr-TR"/>
              </w:rPr>
              <w:t xml:space="preserve"> </w:t>
            </w:r>
          </w:p>
        </w:tc>
      </w:tr>
      <w:tr w:rsidR="001D6E27" w:rsidRPr="001A4B94" w14:paraId="3007F67A" w14:textId="77777777" w:rsidTr="004B2181">
        <w:tc>
          <w:tcPr>
            <w:tcW w:w="3955" w:type="dxa"/>
          </w:tcPr>
          <w:p w14:paraId="63A8B062" w14:textId="0CFA4EAC" w:rsidR="001D6E27" w:rsidRPr="001A4B94" w:rsidRDefault="001D6E27" w:rsidP="001D6E27">
            <w:pPr>
              <w:rPr>
                <w:i/>
                <w:sz w:val="20"/>
                <w:szCs w:val="20"/>
                <w:lang w:val="tr-TR"/>
              </w:rPr>
            </w:pPr>
            <w:r w:rsidRPr="001A4B94">
              <w:rPr>
                <w:b/>
                <w:sz w:val="20"/>
                <w:szCs w:val="20"/>
                <w:lang w:val="tr-TR"/>
              </w:rPr>
              <w:t xml:space="preserve">CPF Amaç Göstergeleri </w:t>
            </w:r>
          </w:p>
        </w:tc>
        <w:tc>
          <w:tcPr>
            <w:tcW w:w="4410" w:type="dxa"/>
          </w:tcPr>
          <w:p w14:paraId="5983826E" w14:textId="5CE87A68" w:rsidR="001D6E27" w:rsidRPr="001A4B94" w:rsidRDefault="001D6E27" w:rsidP="001D6E27">
            <w:pPr>
              <w:tabs>
                <w:tab w:val="left" w:pos="426"/>
              </w:tabs>
              <w:rPr>
                <w:sz w:val="20"/>
                <w:szCs w:val="20"/>
                <w:lang w:val="tr-TR"/>
              </w:rPr>
            </w:pPr>
            <w:r w:rsidRPr="001A4B94">
              <w:rPr>
                <w:b/>
                <w:sz w:val="20"/>
                <w:szCs w:val="20"/>
                <w:lang w:val="tr-TR"/>
              </w:rPr>
              <w:t xml:space="preserve">Destekleyici İlerleme Göstergeleri </w:t>
            </w:r>
          </w:p>
        </w:tc>
        <w:tc>
          <w:tcPr>
            <w:tcW w:w="4955" w:type="dxa"/>
          </w:tcPr>
          <w:p w14:paraId="252FA635" w14:textId="4B4CD73D" w:rsidR="001D6E27" w:rsidRPr="001A4B94" w:rsidRDefault="001D6E27" w:rsidP="001D6E27">
            <w:pPr>
              <w:rPr>
                <w:b/>
                <w:sz w:val="20"/>
                <w:szCs w:val="20"/>
                <w:lang w:val="tr-TR"/>
              </w:rPr>
            </w:pPr>
            <w:r w:rsidRPr="001A4B94">
              <w:rPr>
                <w:b/>
                <w:sz w:val="20"/>
                <w:szCs w:val="20"/>
                <w:lang w:val="tr-TR"/>
              </w:rPr>
              <w:t xml:space="preserve">DBG Programı </w:t>
            </w:r>
          </w:p>
        </w:tc>
      </w:tr>
      <w:tr w:rsidR="00622088" w:rsidRPr="001A4B94" w14:paraId="11C4C6D2" w14:textId="77777777" w:rsidTr="004B2181">
        <w:tc>
          <w:tcPr>
            <w:tcW w:w="3955" w:type="dxa"/>
          </w:tcPr>
          <w:p w14:paraId="7EE80BE3" w14:textId="73597A6C" w:rsidR="00622088" w:rsidRPr="001A4B94" w:rsidRDefault="001D6E27" w:rsidP="00622088">
            <w:pPr>
              <w:rPr>
                <w:i/>
                <w:color w:val="000000" w:themeColor="text1"/>
                <w:sz w:val="20"/>
                <w:szCs w:val="20"/>
                <w:lang w:val="tr-TR"/>
              </w:rPr>
            </w:pPr>
            <w:r w:rsidRPr="001A4B94">
              <w:rPr>
                <w:i/>
                <w:color w:val="000000" w:themeColor="text1"/>
                <w:sz w:val="20"/>
                <w:szCs w:val="20"/>
                <w:lang w:val="tr-TR"/>
              </w:rPr>
              <w:t xml:space="preserve">Finansal hizmetler ile ulaşılan insanlar, mikro, küçük ve orta büyüklükteki işletmeler (M-KOBİ) ve ihracatçılar </w:t>
            </w:r>
            <w:r w:rsidR="00622088" w:rsidRPr="001A4B94">
              <w:rPr>
                <w:i/>
                <w:color w:val="000000" w:themeColor="text1"/>
                <w:sz w:val="20"/>
                <w:szCs w:val="20"/>
                <w:lang w:val="tr-TR"/>
              </w:rPr>
              <w:t xml:space="preserve">  </w:t>
            </w:r>
          </w:p>
          <w:p w14:paraId="271CF848" w14:textId="5E834DD1" w:rsidR="00622088" w:rsidRPr="001A4B94" w:rsidRDefault="00C018DF" w:rsidP="00622088">
            <w:pPr>
              <w:rPr>
                <w:color w:val="000000" w:themeColor="text1"/>
                <w:sz w:val="20"/>
                <w:szCs w:val="20"/>
                <w:lang w:val="tr-TR"/>
              </w:rPr>
            </w:pPr>
            <w:r w:rsidRPr="001A4B94">
              <w:rPr>
                <w:b/>
                <w:bCs/>
                <w:sz w:val="20"/>
                <w:szCs w:val="20"/>
                <w:lang w:val="tr-TR"/>
              </w:rPr>
              <w:t>Başlangıç</w:t>
            </w:r>
            <w:r w:rsidR="00622088" w:rsidRPr="001A4B94">
              <w:rPr>
                <w:b/>
                <w:color w:val="000000" w:themeColor="text1"/>
                <w:sz w:val="20"/>
                <w:szCs w:val="20"/>
                <w:lang w:val="tr-TR"/>
              </w:rPr>
              <w:t>:</w:t>
            </w:r>
            <w:r w:rsidRPr="001A4B94">
              <w:rPr>
                <w:color w:val="000000" w:themeColor="text1"/>
                <w:sz w:val="20"/>
                <w:szCs w:val="20"/>
                <w:lang w:val="tr-TR"/>
              </w:rPr>
              <w:t xml:space="preserve"> 2,</w:t>
            </w:r>
            <w:r w:rsidR="00622088" w:rsidRPr="001A4B94">
              <w:rPr>
                <w:color w:val="000000" w:themeColor="text1"/>
                <w:sz w:val="20"/>
                <w:szCs w:val="20"/>
                <w:lang w:val="tr-TR"/>
              </w:rPr>
              <w:t xml:space="preserve">2 </w:t>
            </w:r>
            <w:r w:rsidRPr="001A4B94">
              <w:rPr>
                <w:color w:val="000000" w:themeColor="text1"/>
                <w:sz w:val="20"/>
                <w:szCs w:val="20"/>
                <w:lang w:val="tr-TR"/>
              </w:rPr>
              <w:t xml:space="preserve">milyon kişi </w:t>
            </w:r>
            <w:r w:rsidR="00622088" w:rsidRPr="001A4B94">
              <w:rPr>
                <w:color w:val="000000" w:themeColor="text1"/>
                <w:sz w:val="20"/>
                <w:szCs w:val="20"/>
                <w:lang w:val="tr-TR"/>
              </w:rPr>
              <w:t>(2015)</w:t>
            </w:r>
          </w:p>
          <w:p w14:paraId="1D6D9C87" w14:textId="22C859A4" w:rsidR="00622088" w:rsidRPr="001A4B94" w:rsidRDefault="00C018DF" w:rsidP="00622088">
            <w:pPr>
              <w:rPr>
                <w:sz w:val="20"/>
                <w:szCs w:val="20"/>
                <w:lang w:val="tr-TR"/>
              </w:rPr>
            </w:pPr>
            <w:r w:rsidRPr="001A4B94">
              <w:rPr>
                <w:b/>
                <w:color w:val="000000" w:themeColor="text1"/>
                <w:sz w:val="20"/>
                <w:szCs w:val="20"/>
                <w:lang w:val="tr-TR"/>
              </w:rPr>
              <w:t>Hedef</w:t>
            </w:r>
            <w:r w:rsidR="00622088" w:rsidRPr="001A4B94">
              <w:rPr>
                <w:b/>
                <w:sz w:val="20"/>
                <w:szCs w:val="20"/>
                <w:lang w:val="tr-TR"/>
              </w:rPr>
              <w:t>:</w:t>
            </w:r>
            <w:r w:rsidRPr="001A4B94">
              <w:rPr>
                <w:sz w:val="20"/>
                <w:szCs w:val="20"/>
                <w:lang w:val="tr-TR"/>
              </w:rPr>
              <w:t xml:space="preserve">  4,</w:t>
            </w:r>
            <w:r w:rsidR="00622088" w:rsidRPr="001A4B94">
              <w:rPr>
                <w:sz w:val="20"/>
                <w:szCs w:val="20"/>
                <w:lang w:val="tr-TR"/>
              </w:rPr>
              <w:t xml:space="preserve">1 </w:t>
            </w:r>
            <w:r w:rsidRPr="001A4B94">
              <w:rPr>
                <w:sz w:val="20"/>
                <w:szCs w:val="20"/>
                <w:lang w:val="tr-TR"/>
              </w:rPr>
              <w:t xml:space="preserve">milyon kişi </w:t>
            </w:r>
            <w:r w:rsidR="00622088" w:rsidRPr="001A4B94">
              <w:rPr>
                <w:sz w:val="20"/>
                <w:szCs w:val="20"/>
                <w:lang w:val="tr-TR"/>
              </w:rPr>
              <w:t>(2019)</w:t>
            </w:r>
          </w:p>
          <w:p w14:paraId="111AADA1" w14:textId="47EA90E9" w:rsidR="00622088" w:rsidRPr="001A4B94" w:rsidRDefault="00DB00B5" w:rsidP="00622088">
            <w:pPr>
              <w:rPr>
                <w:sz w:val="20"/>
                <w:szCs w:val="20"/>
                <w:lang w:val="tr-TR"/>
              </w:rPr>
            </w:pPr>
            <w:r w:rsidRPr="001A4B94">
              <w:rPr>
                <w:i/>
                <w:sz w:val="20"/>
                <w:szCs w:val="20"/>
                <w:lang w:val="tr-TR"/>
              </w:rPr>
              <w:t>Bunlara arasında ulaşılan k</w:t>
            </w:r>
            <w:r w:rsidR="009C2A00" w:rsidRPr="001A4B94">
              <w:rPr>
                <w:i/>
                <w:sz w:val="20"/>
                <w:szCs w:val="20"/>
                <w:lang w:val="tr-TR"/>
              </w:rPr>
              <w:t xml:space="preserve">adınlara </w:t>
            </w:r>
            <w:r w:rsidRPr="001A4B94">
              <w:rPr>
                <w:i/>
                <w:sz w:val="20"/>
                <w:szCs w:val="20"/>
                <w:lang w:val="tr-TR"/>
              </w:rPr>
              <w:t xml:space="preserve">ait KOBİ’ler </w:t>
            </w:r>
            <w:r w:rsidR="00622088" w:rsidRPr="001A4B94">
              <w:rPr>
                <w:i/>
                <w:sz w:val="20"/>
                <w:szCs w:val="20"/>
                <w:lang w:val="tr-TR"/>
              </w:rPr>
              <w:t>(</w:t>
            </w:r>
            <w:r w:rsidRPr="001A4B94">
              <w:rPr>
                <w:i/>
                <w:sz w:val="20"/>
                <w:szCs w:val="20"/>
                <w:lang w:val="tr-TR"/>
              </w:rPr>
              <w:t>sayı</w:t>
            </w:r>
            <w:r w:rsidR="00622088" w:rsidRPr="001A4B94">
              <w:rPr>
                <w:i/>
                <w:sz w:val="20"/>
                <w:szCs w:val="20"/>
                <w:lang w:val="tr-TR"/>
              </w:rPr>
              <w:t xml:space="preserve">)  </w:t>
            </w:r>
          </w:p>
          <w:p w14:paraId="4783B103" w14:textId="3A7A0C6D" w:rsidR="00622088" w:rsidRPr="001A4B94" w:rsidRDefault="00622088" w:rsidP="00622088">
            <w:pPr>
              <w:rPr>
                <w:sz w:val="20"/>
                <w:szCs w:val="20"/>
                <w:lang w:val="tr-TR"/>
              </w:rPr>
            </w:pPr>
            <w:r w:rsidRPr="001A4B94">
              <w:rPr>
                <w:sz w:val="20"/>
                <w:szCs w:val="20"/>
                <w:lang w:val="tr-TR"/>
              </w:rPr>
              <w:t xml:space="preserve">   </w:t>
            </w:r>
            <w:r w:rsidR="009D3C6A" w:rsidRPr="001A4B94">
              <w:rPr>
                <w:sz w:val="20"/>
                <w:szCs w:val="20"/>
                <w:lang w:val="tr-TR"/>
              </w:rPr>
              <w:t>B</w:t>
            </w:r>
            <w:r w:rsidR="009D3C6A" w:rsidRPr="001A4B94">
              <w:rPr>
                <w:b/>
                <w:sz w:val="20"/>
                <w:szCs w:val="20"/>
                <w:lang w:val="tr-TR"/>
              </w:rPr>
              <w:t>aşlangıç</w:t>
            </w:r>
            <w:r w:rsidRPr="001A4B94">
              <w:rPr>
                <w:b/>
                <w:sz w:val="20"/>
                <w:szCs w:val="20"/>
                <w:lang w:val="tr-TR"/>
              </w:rPr>
              <w:t>:</w:t>
            </w:r>
            <w:r w:rsidRPr="001A4B94">
              <w:rPr>
                <w:sz w:val="20"/>
                <w:szCs w:val="20"/>
                <w:lang w:val="tr-TR"/>
              </w:rPr>
              <w:t xml:space="preserve">  27,000 (2015)</w:t>
            </w:r>
          </w:p>
          <w:p w14:paraId="222A8A6C" w14:textId="7098977A" w:rsidR="00622088" w:rsidRPr="001A4B94" w:rsidRDefault="00622088" w:rsidP="00622088">
            <w:pPr>
              <w:rPr>
                <w:sz w:val="20"/>
                <w:szCs w:val="20"/>
                <w:lang w:val="tr-TR"/>
              </w:rPr>
            </w:pPr>
            <w:r w:rsidRPr="001A4B94">
              <w:rPr>
                <w:sz w:val="20"/>
                <w:szCs w:val="20"/>
                <w:lang w:val="tr-TR"/>
              </w:rPr>
              <w:t xml:space="preserve">   </w:t>
            </w:r>
            <w:r w:rsidR="009D3C6A" w:rsidRPr="001A4B94">
              <w:rPr>
                <w:b/>
                <w:sz w:val="20"/>
                <w:szCs w:val="20"/>
                <w:lang w:val="tr-TR"/>
              </w:rPr>
              <w:t>Hedef</w:t>
            </w:r>
            <w:r w:rsidRPr="001A4B94">
              <w:rPr>
                <w:b/>
                <w:sz w:val="20"/>
                <w:szCs w:val="20"/>
                <w:lang w:val="tr-TR"/>
              </w:rPr>
              <w:t>:</w:t>
            </w:r>
            <w:r w:rsidRPr="001A4B94">
              <w:rPr>
                <w:sz w:val="20"/>
                <w:szCs w:val="20"/>
                <w:lang w:val="tr-TR"/>
              </w:rPr>
              <w:t xml:space="preserve">  28,500 (2019)</w:t>
            </w:r>
          </w:p>
          <w:p w14:paraId="550D0BE7" w14:textId="77777777" w:rsidR="00622088" w:rsidRPr="001A4B94" w:rsidRDefault="00622088" w:rsidP="00622088">
            <w:pPr>
              <w:rPr>
                <w:b/>
                <w:sz w:val="20"/>
                <w:szCs w:val="20"/>
                <w:lang w:val="tr-TR"/>
              </w:rPr>
            </w:pPr>
          </w:p>
          <w:p w14:paraId="708E7F5F" w14:textId="624D90FF" w:rsidR="00622088" w:rsidRPr="001A4B94" w:rsidRDefault="001D6E27" w:rsidP="00622088">
            <w:pPr>
              <w:rPr>
                <w:i/>
                <w:color w:val="000000" w:themeColor="text1"/>
                <w:sz w:val="20"/>
                <w:szCs w:val="20"/>
                <w:lang w:val="tr-TR"/>
              </w:rPr>
            </w:pPr>
            <w:r w:rsidRPr="001A4B94">
              <w:rPr>
                <w:i/>
                <w:color w:val="000000" w:themeColor="text1"/>
                <w:sz w:val="20"/>
                <w:szCs w:val="20"/>
                <w:lang w:val="tr-TR"/>
              </w:rPr>
              <w:t xml:space="preserve">IBRD finansal hizmetleri ile ulaşılan M-KOBİ ve ihracatçı sayısı </w:t>
            </w:r>
          </w:p>
          <w:p w14:paraId="25B95347" w14:textId="121C0321" w:rsidR="00622088" w:rsidRPr="001A4B94" w:rsidRDefault="00622088" w:rsidP="00622088">
            <w:pPr>
              <w:rPr>
                <w:sz w:val="20"/>
                <w:szCs w:val="20"/>
                <w:lang w:val="tr-TR"/>
              </w:rPr>
            </w:pPr>
            <w:r w:rsidRPr="001A4B94">
              <w:rPr>
                <w:b/>
                <w:sz w:val="20"/>
                <w:szCs w:val="20"/>
                <w:lang w:val="tr-TR"/>
              </w:rPr>
              <w:t xml:space="preserve">IBRD </w:t>
            </w:r>
            <w:r w:rsidR="00DB00B5" w:rsidRPr="001A4B94">
              <w:rPr>
                <w:b/>
                <w:sz w:val="20"/>
                <w:szCs w:val="20"/>
                <w:lang w:val="tr-TR"/>
              </w:rPr>
              <w:t>Başlangıç Durumu</w:t>
            </w:r>
            <w:r w:rsidR="003A29D1" w:rsidRPr="001A4B94">
              <w:rPr>
                <w:sz w:val="20"/>
                <w:szCs w:val="20"/>
                <w:lang w:val="tr-TR"/>
              </w:rPr>
              <w:t>: 116.</w:t>
            </w:r>
            <w:r w:rsidRPr="001A4B94">
              <w:rPr>
                <w:sz w:val="20"/>
                <w:szCs w:val="20"/>
                <w:lang w:val="tr-TR"/>
              </w:rPr>
              <w:t>000 (2016)</w:t>
            </w:r>
          </w:p>
          <w:p w14:paraId="51BC96B2" w14:textId="2A85D7DF" w:rsidR="00622088" w:rsidRPr="001A4B94" w:rsidRDefault="00622088" w:rsidP="00622088">
            <w:pPr>
              <w:rPr>
                <w:sz w:val="20"/>
                <w:szCs w:val="20"/>
                <w:lang w:val="tr-TR"/>
              </w:rPr>
            </w:pPr>
            <w:r w:rsidRPr="001A4B94">
              <w:rPr>
                <w:b/>
                <w:sz w:val="20"/>
                <w:szCs w:val="20"/>
                <w:lang w:val="tr-TR"/>
              </w:rPr>
              <w:t xml:space="preserve">IBRD </w:t>
            </w:r>
            <w:r w:rsidR="00DB00B5" w:rsidRPr="001A4B94">
              <w:rPr>
                <w:b/>
                <w:sz w:val="20"/>
                <w:szCs w:val="20"/>
                <w:lang w:val="tr-TR"/>
              </w:rPr>
              <w:t>Hedef</w:t>
            </w:r>
            <w:r w:rsidR="003A29D1" w:rsidRPr="001A4B94">
              <w:rPr>
                <w:sz w:val="20"/>
                <w:szCs w:val="20"/>
                <w:lang w:val="tr-TR"/>
              </w:rPr>
              <w:t>: 232.</w:t>
            </w:r>
            <w:r w:rsidRPr="001A4B94">
              <w:rPr>
                <w:sz w:val="20"/>
                <w:szCs w:val="20"/>
                <w:lang w:val="tr-TR"/>
              </w:rPr>
              <w:t>000 (2020)</w:t>
            </w:r>
          </w:p>
          <w:p w14:paraId="4AEE0494" w14:textId="77777777" w:rsidR="00622088" w:rsidRPr="001A4B94" w:rsidRDefault="00622088" w:rsidP="00622088">
            <w:pPr>
              <w:rPr>
                <w:color w:val="000000" w:themeColor="text1"/>
                <w:sz w:val="20"/>
                <w:szCs w:val="20"/>
                <w:lang w:val="tr-TR"/>
              </w:rPr>
            </w:pPr>
          </w:p>
          <w:p w14:paraId="547CDB91" w14:textId="194F9F56" w:rsidR="00622088" w:rsidRPr="001A4B94" w:rsidRDefault="001D6E27" w:rsidP="00622088">
            <w:pPr>
              <w:rPr>
                <w:i/>
                <w:color w:val="000000" w:themeColor="text1"/>
                <w:sz w:val="20"/>
                <w:szCs w:val="20"/>
                <w:lang w:val="tr-TR"/>
              </w:rPr>
            </w:pPr>
            <w:r w:rsidRPr="001A4B94">
              <w:rPr>
                <w:i/>
                <w:color w:val="000000" w:themeColor="text1"/>
                <w:sz w:val="20"/>
                <w:szCs w:val="20"/>
                <w:lang w:val="tr-TR"/>
              </w:rPr>
              <w:t>Bireysel emeklilik yatırımcılarının / üyelerinin portföy büyüklüğündeki artış</w:t>
            </w:r>
          </w:p>
          <w:p w14:paraId="55003EB6" w14:textId="0D477DD3" w:rsidR="00622088" w:rsidRPr="001A4B94" w:rsidRDefault="00DB00B5" w:rsidP="00622088">
            <w:pPr>
              <w:rPr>
                <w:color w:val="000000" w:themeColor="text1"/>
                <w:sz w:val="20"/>
                <w:szCs w:val="20"/>
                <w:lang w:val="tr-TR"/>
              </w:rPr>
            </w:pPr>
            <w:r w:rsidRPr="001A4B94">
              <w:rPr>
                <w:b/>
                <w:sz w:val="20"/>
                <w:szCs w:val="20"/>
                <w:lang w:val="tr-TR"/>
              </w:rPr>
              <w:t>Başlangıç Durumu</w:t>
            </w:r>
            <w:r w:rsidR="00622088" w:rsidRPr="001A4B94">
              <w:rPr>
                <w:b/>
                <w:color w:val="000000" w:themeColor="text1"/>
                <w:sz w:val="20"/>
                <w:szCs w:val="20"/>
                <w:lang w:val="tr-TR"/>
              </w:rPr>
              <w:t>:</w:t>
            </w:r>
            <w:r w:rsidR="00622088" w:rsidRPr="001A4B94">
              <w:rPr>
                <w:color w:val="000000" w:themeColor="text1"/>
                <w:sz w:val="20"/>
                <w:szCs w:val="20"/>
                <w:lang w:val="tr-TR"/>
              </w:rPr>
              <w:t xml:space="preserve"> 2016: 6</w:t>
            </w:r>
            <w:r w:rsidRPr="001A4B94">
              <w:rPr>
                <w:color w:val="000000" w:themeColor="text1"/>
                <w:sz w:val="20"/>
                <w:szCs w:val="20"/>
                <w:lang w:val="tr-TR"/>
              </w:rPr>
              <w:t>,</w:t>
            </w:r>
            <w:r w:rsidR="00622088" w:rsidRPr="001A4B94">
              <w:rPr>
                <w:color w:val="000000" w:themeColor="text1"/>
                <w:sz w:val="20"/>
                <w:szCs w:val="20"/>
                <w:lang w:val="tr-TR"/>
              </w:rPr>
              <w:t xml:space="preserve">6 </w:t>
            </w:r>
            <w:r w:rsidRPr="001A4B94">
              <w:rPr>
                <w:color w:val="000000" w:themeColor="text1"/>
                <w:sz w:val="20"/>
                <w:szCs w:val="20"/>
                <w:lang w:val="tr-TR"/>
              </w:rPr>
              <w:t>milyon</w:t>
            </w:r>
          </w:p>
          <w:p w14:paraId="0572C1AF" w14:textId="715DE433" w:rsidR="00622088" w:rsidRPr="001A4B94" w:rsidRDefault="00DB00B5" w:rsidP="00622088">
            <w:pPr>
              <w:rPr>
                <w:color w:val="000000" w:themeColor="text1"/>
                <w:sz w:val="20"/>
                <w:szCs w:val="20"/>
                <w:lang w:val="tr-TR"/>
              </w:rPr>
            </w:pPr>
            <w:r w:rsidRPr="001A4B94">
              <w:rPr>
                <w:b/>
                <w:color w:val="000000" w:themeColor="text1"/>
                <w:sz w:val="20"/>
                <w:szCs w:val="20"/>
                <w:lang w:val="tr-TR"/>
              </w:rPr>
              <w:lastRenderedPageBreak/>
              <w:t>Hedef</w:t>
            </w:r>
            <w:r w:rsidR="00622088" w:rsidRPr="001A4B94">
              <w:rPr>
                <w:b/>
                <w:color w:val="000000" w:themeColor="text1"/>
                <w:sz w:val="20"/>
                <w:szCs w:val="20"/>
                <w:lang w:val="tr-TR"/>
              </w:rPr>
              <w:t>:</w:t>
            </w:r>
            <w:r w:rsidRPr="001A4B94">
              <w:rPr>
                <w:color w:val="000000" w:themeColor="text1"/>
                <w:sz w:val="20"/>
                <w:szCs w:val="20"/>
                <w:lang w:val="tr-TR"/>
              </w:rPr>
              <w:t xml:space="preserve">  2020: 7,</w:t>
            </w:r>
            <w:r w:rsidR="00622088" w:rsidRPr="001A4B94">
              <w:rPr>
                <w:color w:val="000000" w:themeColor="text1"/>
                <w:sz w:val="20"/>
                <w:szCs w:val="20"/>
                <w:lang w:val="tr-TR"/>
              </w:rPr>
              <w:t xml:space="preserve">5 </w:t>
            </w:r>
            <w:r w:rsidRPr="001A4B94">
              <w:rPr>
                <w:color w:val="000000" w:themeColor="text1"/>
                <w:sz w:val="20"/>
                <w:szCs w:val="20"/>
                <w:lang w:val="tr-TR"/>
              </w:rPr>
              <w:t xml:space="preserve">milyon </w:t>
            </w:r>
          </w:p>
          <w:p w14:paraId="3C877B24" w14:textId="038FCD9A" w:rsidR="00622088" w:rsidRPr="001A4B94" w:rsidRDefault="00622088" w:rsidP="00DB00B5">
            <w:pPr>
              <w:rPr>
                <w:color w:val="000000" w:themeColor="text1"/>
                <w:sz w:val="20"/>
                <w:szCs w:val="20"/>
                <w:lang w:val="tr-TR"/>
              </w:rPr>
            </w:pPr>
            <w:r w:rsidRPr="001A4B94">
              <w:rPr>
                <w:color w:val="000000" w:themeColor="text1"/>
                <w:sz w:val="20"/>
                <w:szCs w:val="20"/>
                <w:lang w:val="tr-TR"/>
              </w:rPr>
              <w:t>(</w:t>
            </w:r>
            <w:r w:rsidR="00DB00B5" w:rsidRPr="001A4B94">
              <w:rPr>
                <w:color w:val="000000" w:themeColor="text1"/>
                <w:sz w:val="20"/>
                <w:szCs w:val="20"/>
                <w:lang w:val="tr-TR"/>
              </w:rPr>
              <w:t>cinsiyet bazında ayrıştırılmış veriler toplanmaktadır ve PLR’de sunulacaktır</w:t>
            </w:r>
            <w:r w:rsidRPr="001A4B94">
              <w:rPr>
                <w:color w:val="000000" w:themeColor="text1"/>
                <w:sz w:val="20"/>
                <w:szCs w:val="20"/>
                <w:lang w:val="tr-TR"/>
              </w:rPr>
              <w:t>)</w:t>
            </w:r>
          </w:p>
        </w:tc>
        <w:tc>
          <w:tcPr>
            <w:tcW w:w="4410" w:type="dxa"/>
          </w:tcPr>
          <w:p w14:paraId="3DEEC6C8" w14:textId="1B146C32" w:rsidR="00622088" w:rsidRPr="001A4B94" w:rsidRDefault="00944FB3" w:rsidP="00622088">
            <w:pPr>
              <w:rPr>
                <w:color w:val="000000" w:themeColor="text1"/>
                <w:sz w:val="20"/>
                <w:szCs w:val="20"/>
                <w:lang w:val="tr-TR"/>
              </w:rPr>
            </w:pPr>
            <w:r w:rsidRPr="001A4B94">
              <w:rPr>
                <w:color w:val="000000" w:themeColor="text1"/>
                <w:sz w:val="20"/>
                <w:szCs w:val="20"/>
                <w:lang w:val="tr-TR"/>
              </w:rPr>
              <w:lastRenderedPageBreak/>
              <w:t xml:space="preserve">IBRD finansal sektör kredi hatlarından yararlanan şirketler için uzatılmış kredi vadeleri </w:t>
            </w:r>
          </w:p>
          <w:p w14:paraId="0C4CCC6A" w14:textId="728AAA53" w:rsidR="00622088" w:rsidRPr="001A4B94" w:rsidRDefault="00944FB3" w:rsidP="00622088">
            <w:pPr>
              <w:rPr>
                <w:color w:val="000000" w:themeColor="text1"/>
                <w:sz w:val="20"/>
                <w:szCs w:val="20"/>
                <w:lang w:val="tr-TR"/>
              </w:rPr>
            </w:pPr>
            <w:r w:rsidRPr="001A4B94">
              <w:rPr>
                <w:b/>
                <w:color w:val="000000" w:themeColor="text1"/>
                <w:sz w:val="20"/>
                <w:szCs w:val="20"/>
                <w:lang w:val="tr-TR"/>
              </w:rPr>
              <w:t>Başlangıç</w:t>
            </w:r>
            <w:r w:rsidR="00622088" w:rsidRPr="001A4B94">
              <w:rPr>
                <w:b/>
                <w:color w:val="000000" w:themeColor="text1"/>
                <w:sz w:val="20"/>
                <w:szCs w:val="20"/>
                <w:lang w:val="tr-TR"/>
              </w:rPr>
              <w:t>:</w:t>
            </w:r>
            <w:r w:rsidR="00622088" w:rsidRPr="001A4B94">
              <w:rPr>
                <w:color w:val="000000" w:themeColor="text1"/>
                <w:sz w:val="20"/>
                <w:szCs w:val="20"/>
                <w:lang w:val="tr-TR"/>
              </w:rPr>
              <w:t xml:space="preserve"> </w:t>
            </w:r>
            <w:r w:rsidRPr="001A4B94">
              <w:rPr>
                <w:color w:val="000000" w:themeColor="text1"/>
                <w:sz w:val="20"/>
                <w:szCs w:val="20"/>
                <w:lang w:val="tr-TR"/>
              </w:rPr>
              <w:t xml:space="preserve">Yok </w:t>
            </w:r>
            <w:r w:rsidR="00622088" w:rsidRPr="001A4B94">
              <w:rPr>
                <w:color w:val="000000" w:themeColor="text1"/>
                <w:sz w:val="20"/>
                <w:szCs w:val="20"/>
                <w:lang w:val="tr-TR"/>
              </w:rPr>
              <w:t>(</w:t>
            </w:r>
            <w:r w:rsidR="00332B1E" w:rsidRPr="001A4B94">
              <w:rPr>
                <w:color w:val="000000" w:themeColor="text1"/>
                <w:sz w:val="20"/>
                <w:szCs w:val="20"/>
                <w:lang w:val="tr-TR"/>
              </w:rPr>
              <w:t>gösterge uy</w:t>
            </w:r>
            <w:r w:rsidRPr="001A4B94">
              <w:rPr>
                <w:color w:val="000000" w:themeColor="text1"/>
                <w:sz w:val="20"/>
                <w:szCs w:val="20"/>
                <w:lang w:val="tr-TR"/>
              </w:rPr>
              <w:t>g</w:t>
            </w:r>
            <w:r w:rsidR="00332B1E" w:rsidRPr="001A4B94">
              <w:rPr>
                <w:color w:val="000000" w:themeColor="text1"/>
                <w:sz w:val="20"/>
                <w:szCs w:val="20"/>
                <w:lang w:val="tr-TR"/>
              </w:rPr>
              <w:t>u</w:t>
            </w:r>
            <w:r w:rsidRPr="001A4B94">
              <w:rPr>
                <w:color w:val="000000" w:themeColor="text1"/>
                <w:sz w:val="20"/>
                <w:szCs w:val="20"/>
                <w:lang w:val="tr-TR"/>
              </w:rPr>
              <w:t>lamaya gire</w:t>
            </w:r>
            <w:r w:rsidR="00332B1E" w:rsidRPr="001A4B94">
              <w:rPr>
                <w:color w:val="000000" w:themeColor="text1"/>
                <w:sz w:val="20"/>
                <w:szCs w:val="20"/>
                <w:lang w:val="tr-TR"/>
              </w:rPr>
              <w:t>n</w:t>
            </w:r>
            <w:r w:rsidRPr="001A4B94">
              <w:rPr>
                <w:color w:val="000000" w:themeColor="text1"/>
                <w:sz w:val="20"/>
                <w:szCs w:val="20"/>
                <w:lang w:val="tr-TR"/>
              </w:rPr>
              <w:t xml:space="preserve"> DB finansal sektör kredi hatları ile bağlantılı</w:t>
            </w:r>
            <w:r w:rsidR="00622088" w:rsidRPr="001A4B94">
              <w:rPr>
                <w:color w:val="000000" w:themeColor="text1"/>
                <w:sz w:val="20"/>
                <w:szCs w:val="20"/>
                <w:lang w:val="tr-TR"/>
              </w:rPr>
              <w:t>)</w:t>
            </w:r>
          </w:p>
          <w:p w14:paraId="794AA53E" w14:textId="78949A49" w:rsidR="00622088" w:rsidRPr="001A4B94" w:rsidRDefault="00944FB3" w:rsidP="00622088">
            <w:pPr>
              <w:rPr>
                <w:b/>
                <w:color w:val="000000" w:themeColor="text1"/>
                <w:sz w:val="20"/>
                <w:szCs w:val="20"/>
                <w:lang w:val="tr-TR"/>
              </w:rPr>
            </w:pPr>
            <w:r w:rsidRPr="001A4B94">
              <w:rPr>
                <w:b/>
                <w:color w:val="000000" w:themeColor="text1"/>
                <w:sz w:val="20"/>
                <w:szCs w:val="20"/>
                <w:lang w:val="tr-TR"/>
              </w:rPr>
              <w:t>Hedef</w:t>
            </w:r>
            <w:r w:rsidR="00622088" w:rsidRPr="001A4B94">
              <w:rPr>
                <w:b/>
                <w:color w:val="000000" w:themeColor="text1"/>
                <w:sz w:val="20"/>
                <w:szCs w:val="20"/>
                <w:lang w:val="tr-TR"/>
              </w:rPr>
              <w:t>: &gt;1</w:t>
            </w:r>
          </w:p>
          <w:p w14:paraId="3FB23834" w14:textId="77777777" w:rsidR="00622088" w:rsidRPr="001A4B94" w:rsidRDefault="00622088" w:rsidP="00622088">
            <w:pPr>
              <w:tabs>
                <w:tab w:val="left" w:pos="426"/>
              </w:tabs>
              <w:rPr>
                <w:sz w:val="20"/>
                <w:szCs w:val="20"/>
                <w:lang w:val="tr-TR"/>
              </w:rPr>
            </w:pPr>
          </w:p>
          <w:p w14:paraId="52E57028" w14:textId="6FD8B2EB" w:rsidR="00610E8D" w:rsidRPr="001A4B94" w:rsidRDefault="00944FB3" w:rsidP="00610E8D">
            <w:pPr>
              <w:tabs>
                <w:tab w:val="left" w:pos="426"/>
              </w:tabs>
              <w:rPr>
                <w:sz w:val="20"/>
                <w:szCs w:val="20"/>
                <w:lang w:val="tr-TR"/>
              </w:rPr>
            </w:pPr>
            <w:r w:rsidRPr="001A4B94">
              <w:rPr>
                <w:sz w:val="20"/>
                <w:szCs w:val="20"/>
                <w:lang w:val="tr-TR"/>
              </w:rPr>
              <w:t xml:space="preserve">IFC müşterilerinin ödenmemiş M-KOBİ kredi portföyünün hacmi </w:t>
            </w:r>
          </w:p>
          <w:p w14:paraId="470C8D9D" w14:textId="728E0B90" w:rsidR="00610E8D" w:rsidRPr="001A4B94" w:rsidRDefault="00610E8D" w:rsidP="00610E8D">
            <w:pPr>
              <w:tabs>
                <w:tab w:val="left" w:pos="426"/>
              </w:tabs>
              <w:rPr>
                <w:sz w:val="20"/>
                <w:szCs w:val="20"/>
                <w:lang w:val="tr-TR"/>
              </w:rPr>
            </w:pPr>
            <w:r w:rsidRPr="001A4B94">
              <w:rPr>
                <w:b/>
                <w:sz w:val="20"/>
                <w:szCs w:val="20"/>
                <w:lang w:val="tr-TR"/>
              </w:rPr>
              <w:t xml:space="preserve"> IFC</w:t>
            </w:r>
            <w:r w:rsidRPr="001A4B94">
              <w:rPr>
                <w:sz w:val="20"/>
                <w:szCs w:val="20"/>
                <w:lang w:val="tr-TR"/>
              </w:rPr>
              <w:t xml:space="preserve"> </w:t>
            </w:r>
            <w:r w:rsidR="00944FB3" w:rsidRPr="001A4B94">
              <w:rPr>
                <w:b/>
                <w:sz w:val="20"/>
                <w:szCs w:val="20"/>
                <w:lang w:val="tr-TR"/>
              </w:rPr>
              <w:t>Başlangıç</w:t>
            </w:r>
            <w:r w:rsidRPr="001A4B94">
              <w:rPr>
                <w:b/>
                <w:sz w:val="20"/>
                <w:szCs w:val="20"/>
                <w:lang w:val="tr-TR"/>
              </w:rPr>
              <w:t>:</w:t>
            </w:r>
            <w:r w:rsidRPr="001A4B94">
              <w:rPr>
                <w:sz w:val="20"/>
                <w:szCs w:val="20"/>
                <w:lang w:val="tr-TR"/>
              </w:rPr>
              <w:t xml:space="preserve">  30</w:t>
            </w:r>
            <w:r w:rsidR="00944FB3" w:rsidRPr="001A4B94">
              <w:rPr>
                <w:sz w:val="20"/>
                <w:szCs w:val="20"/>
                <w:lang w:val="tr-TR"/>
              </w:rPr>
              <w:t>,</w:t>
            </w:r>
            <w:r w:rsidRPr="001A4B94">
              <w:rPr>
                <w:sz w:val="20"/>
                <w:szCs w:val="20"/>
                <w:lang w:val="tr-TR"/>
              </w:rPr>
              <w:t xml:space="preserve">5 </w:t>
            </w:r>
            <w:r w:rsidR="00944FB3" w:rsidRPr="001A4B94">
              <w:rPr>
                <w:sz w:val="20"/>
                <w:szCs w:val="20"/>
                <w:lang w:val="tr-TR"/>
              </w:rPr>
              <w:t xml:space="preserve">milyar $ </w:t>
            </w:r>
            <w:r w:rsidRPr="001A4B94">
              <w:rPr>
                <w:sz w:val="20"/>
                <w:szCs w:val="20"/>
                <w:lang w:val="tr-TR"/>
              </w:rPr>
              <w:t>(2015)</w:t>
            </w:r>
          </w:p>
          <w:p w14:paraId="47A1AD21" w14:textId="2B00D61E" w:rsidR="00610E8D" w:rsidRPr="001A4B94" w:rsidRDefault="00610E8D" w:rsidP="00610E8D">
            <w:pPr>
              <w:tabs>
                <w:tab w:val="left" w:pos="426"/>
              </w:tabs>
              <w:rPr>
                <w:sz w:val="20"/>
                <w:szCs w:val="20"/>
                <w:lang w:val="tr-TR"/>
              </w:rPr>
            </w:pPr>
            <w:r w:rsidRPr="001A4B94">
              <w:rPr>
                <w:b/>
                <w:sz w:val="20"/>
                <w:szCs w:val="20"/>
                <w:lang w:val="tr-TR"/>
              </w:rPr>
              <w:t xml:space="preserve"> IFC </w:t>
            </w:r>
            <w:r w:rsidR="00944FB3" w:rsidRPr="001A4B94">
              <w:rPr>
                <w:b/>
                <w:sz w:val="20"/>
                <w:szCs w:val="20"/>
                <w:lang w:val="tr-TR"/>
              </w:rPr>
              <w:t>Hedef</w:t>
            </w:r>
            <w:r w:rsidRPr="001A4B94">
              <w:rPr>
                <w:b/>
                <w:sz w:val="20"/>
                <w:szCs w:val="20"/>
                <w:lang w:val="tr-TR"/>
              </w:rPr>
              <w:t>:</w:t>
            </w:r>
            <w:r w:rsidRPr="001A4B94">
              <w:rPr>
                <w:sz w:val="20"/>
                <w:szCs w:val="20"/>
                <w:lang w:val="tr-TR"/>
              </w:rPr>
              <w:t xml:space="preserve">  60 </w:t>
            </w:r>
            <w:r w:rsidR="00944FB3" w:rsidRPr="001A4B94">
              <w:rPr>
                <w:sz w:val="20"/>
                <w:szCs w:val="20"/>
                <w:lang w:val="tr-TR"/>
              </w:rPr>
              <w:t xml:space="preserve">milyar $ </w:t>
            </w:r>
            <w:r w:rsidRPr="001A4B94">
              <w:rPr>
                <w:sz w:val="20"/>
                <w:szCs w:val="20"/>
                <w:lang w:val="tr-TR"/>
              </w:rPr>
              <w:t>(2019)</w:t>
            </w:r>
          </w:p>
          <w:p w14:paraId="207BB6D0" w14:textId="48AC564E" w:rsidR="00610E8D" w:rsidRPr="001A4B94" w:rsidRDefault="00944FB3" w:rsidP="00610E8D">
            <w:pPr>
              <w:tabs>
                <w:tab w:val="left" w:pos="426"/>
              </w:tabs>
              <w:rPr>
                <w:i/>
                <w:sz w:val="20"/>
                <w:szCs w:val="20"/>
                <w:lang w:val="tr-TR"/>
              </w:rPr>
            </w:pPr>
            <w:r w:rsidRPr="001A4B94">
              <w:rPr>
                <w:i/>
                <w:sz w:val="20"/>
                <w:szCs w:val="20"/>
                <w:lang w:val="tr-TR"/>
              </w:rPr>
              <w:t>Bunun içinde kadınlara ait M-KOBİ’ler</w:t>
            </w:r>
            <w:r w:rsidR="00337EF0" w:rsidRPr="001A4B94">
              <w:rPr>
                <w:i/>
                <w:sz w:val="20"/>
                <w:szCs w:val="20"/>
                <w:lang w:val="tr-TR"/>
              </w:rPr>
              <w:t>;</w:t>
            </w:r>
            <w:r w:rsidRPr="001A4B94">
              <w:rPr>
                <w:i/>
                <w:sz w:val="20"/>
                <w:szCs w:val="20"/>
                <w:lang w:val="tr-TR"/>
              </w:rPr>
              <w:t xml:space="preserve"> </w:t>
            </w:r>
          </w:p>
          <w:p w14:paraId="45210BA6" w14:textId="450439D5" w:rsidR="00610E8D" w:rsidRPr="001A4B94" w:rsidRDefault="00944FB3" w:rsidP="00610E8D">
            <w:pPr>
              <w:rPr>
                <w:sz w:val="20"/>
                <w:szCs w:val="20"/>
                <w:lang w:val="tr-TR"/>
              </w:rPr>
            </w:pPr>
            <w:r w:rsidRPr="001A4B94">
              <w:rPr>
                <w:b/>
                <w:sz w:val="20"/>
                <w:szCs w:val="20"/>
                <w:lang w:val="tr-TR"/>
              </w:rPr>
              <w:t>Başlangıç</w:t>
            </w:r>
            <w:r w:rsidR="00610E8D" w:rsidRPr="001A4B94">
              <w:rPr>
                <w:b/>
                <w:sz w:val="20"/>
                <w:szCs w:val="20"/>
                <w:lang w:val="tr-TR"/>
              </w:rPr>
              <w:t>:</w:t>
            </w:r>
            <w:r w:rsidR="00610E8D" w:rsidRPr="001A4B94">
              <w:rPr>
                <w:sz w:val="20"/>
                <w:szCs w:val="20"/>
                <w:lang w:val="tr-TR"/>
              </w:rPr>
              <w:t xml:space="preserve">  </w:t>
            </w:r>
            <w:r w:rsidRPr="001A4B94">
              <w:rPr>
                <w:sz w:val="20"/>
                <w:szCs w:val="20"/>
                <w:lang w:val="tr-TR"/>
              </w:rPr>
              <w:t xml:space="preserve">130 milyon </w:t>
            </w:r>
            <w:r w:rsidR="00610E8D" w:rsidRPr="001A4B94">
              <w:rPr>
                <w:sz w:val="20"/>
                <w:szCs w:val="20"/>
                <w:lang w:val="tr-TR"/>
              </w:rPr>
              <w:t>$</w:t>
            </w:r>
            <w:r w:rsidRPr="001A4B94">
              <w:rPr>
                <w:sz w:val="20"/>
                <w:szCs w:val="20"/>
                <w:lang w:val="tr-TR"/>
              </w:rPr>
              <w:t xml:space="preserve"> </w:t>
            </w:r>
            <w:r w:rsidR="00610E8D" w:rsidRPr="001A4B94">
              <w:rPr>
                <w:sz w:val="20"/>
                <w:szCs w:val="20"/>
                <w:lang w:val="tr-TR"/>
              </w:rPr>
              <w:t xml:space="preserve"> (2015)</w:t>
            </w:r>
          </w:p>
          <w:p w14:paraId="1FC8C117" w14:textId="71093679" w:rsidR="00610E8D" w:rsidRPr="001A4B94" w:rsidRDefault="00944FB3" w:rsidP="00610E8D">
            <w:pPr>
              <w:rPr>
                <w:sz w:val="20"/>
                <w:szCs w:val="20"/>
                <w:lang w:val="tr-TR"/>
              </w:rPr>
            </w:pPr>
            <w:r w:rsidRPr="001A4B94">
              <w:rPr>
                <w:b/>
                <w:sz w:val="20"/>
                <w:szCs w:val="20"/>
                <w:lang w:val="tr-TR"/>
              </w:rPr>
              <w:t>Hedef</w:t>
            </w:r>
            <w:r w:rsidR="00610E8D" w:rsidRPr="001A4B94">
              <w:rPr>
                <w:b/>
                <w:sz w:val="20"/>
                <w:szCs w:val="20"/>
                <w:lang w:val="tr-TR"/>
              </w:rPr>
              <w:t>:</w:t>
            </w:r>
            <w:r w:rsidR="00610E8D" w:rsidRPr="001A4B94">
              <w:rPr>
                <w:sz w:val="20"/>
                <w:szCs w:val="20"/>
                <w:lang w:val="tr-TR"/>
              </w:rPr>
              <w:t xml:space="preserve">    </w:t>
            </w:r>
            <w:r w:rsidRPr="001A4B94">
              <w:rPr>
                <w:sz w:val="20"/>
                <w:szCs w:val="20"/>
                <w:lang w:val="tr-TR"/>
              </w:rPr>
              <w:t xml:space="preserve">220 milyon </w:t>
            </w:r>
            <w:r w:rsidR="00610E8D" w:rsidRPr="001A4B94">
              <w:rPr>
                <w:sz w:val="20"/>
                <w:szCs w:val="20"/>
                <w:lang w:val="tr-TR"/>
              </w:rPr>
              <w:t>$</w:t>
            </w:r>
            <w:r w:rsidRPr="001A4B94">
              <w:rPr>
                <w:sz w:val="20"/>
                <w:szCs w:val="20"/>
                <w:lang w:val="tr-TR"/>
              </w:rPr>
              <w:t xml:space="preserve"> </w:t>
            </w:r>
            <w:r w:rsidR="00610E8D" w:rsidRPr="001A4B94">
              <w:rPr>
                <w:sz w:val="20"/>
                <w:szCs w:val="20"/>
                <w:lang w:val="tr-TR"/>
              </w:rPr>
              <w:t xml:space="preserve"> (2019)</w:t>
            </w:r>
          </w:p>
          <w:p w14:paraId="73A44467" w14:textId="77777777" w:rsidR="00610E8D" w:rsidRPr="001A4B94" w:rsidRDefault="00610E8D" w:rsidP="00610E8D">
            <w:pPr>
              <w:rPr>
                <w:sz w:val="20"/>
                <w:szCs w:val="20"/>
                <w:lang w:val="tr-TR"/>
              </w:rPr>
            </w:pPr>
          </w:p>
          <w:p w14:paraId="7FE11455" w14:textId="33E959CD" w:rsidR="00610E8D" w:rsidRPr="001A4B94" w:rsidRDefault="009819EE" w:rsidP="00610E8D">
            <w:pPr>
              <w:rPr>
                <w:sz w:val="20"/>
                <w:szCs w:val="20"/>
                <w:lang w:val="tr-TR"/>
              </w:rPr>
            </w:pPr>
            <w:r w:rsidRPr="001A4B94">
              <w:rPr>
                <w:sz w:val="20"/>
                <w:szCs w:val="20"/>
                <w:lang w:val="tr-TR"/>
              </w:rPr>
              <w:t>IBRD müşteril</w:t>
            </w:r>
            <w:r w:rsidR="00332B1E" w:rsidRPr="001A4B94">
              <w:rPr>
                <w:sz w:val="20"/>
                <w:szCs w:val="20"/>
                <w:lang w:val="tr-TR"/>
              </w:rPr>
              <w:t>e</w:t>
            </w:r>
            <w:r w:rsidRPr="001A4B94">
              <w:rPr>
                <w:sz w:val="20"/>
                <w:szCs w:val="20"/>
                <w:lang w:val="tr-TR"/>
              </w:rPr>
              <w:t>rinin öden</w:t>
            </w:r>
            <w:r w:rsidR="00332B1E" w:rsidRPr="001A4B94">
              <w:rPr>
                <w:sz w:val="20"/>
                <w:szCs w:val="20"/>
                <w:lang w:val="tr-TR"/>
              </w:rPr>
              <w:t>m</w:t>
            </w:r>
            <w:r w:rsidRPr="001A4B94">
              <w:rPr>
                <w:sz w:val="20"/>
                <w:szCs w:val="20"/>
                <w:lang w:val="tr-TR"/>
              </w:rPr>
              <w:t xml:space="preserve">emiş M-KOBİ kredi portföyünün ve ihracat kredi portföyünün hacmi </w:t>
            </w:r>
          </w:p>
          <w:p w14:paraId="78D5F6E3" w14:textId="6483975C" w:rsidR="00610E8D" w:rsidRPr="001A4B94" w:rsidRDefault="00610E8D" w:rsidP="00610E8D">
            <w:pPr>
              <w:rPr>
                <w:sz w:val="20"/>
                <w:szCs w:val="20"/>
                <w:lang w:val="tr-TR"/>
              </w:rPr>
            </w:pPr>
            <w:r w:rsidRPr="001A4B94">
              <w:rPr>
                <w:b/>
                <w:sz w:val="20"/>
                <w:szCs w:val="20"/>
                <w:lang w:val="tr-TR"/>
              </w:rPr>
              <w:t xml:space="preserve">IBRD </w:t>
            </w:r>
            <w:r w:rsidR="009819EE" w:rsidRPr="001A4B94">
              <w:rPr>
                <w:b/>
                <w:sz w:val="20"/>
                <w:szCs w:val="20"/>
                <w:lang w:val="tr-TR"/>
              </w:rPr>
              <w:t>Başlangıç</w:t>
            </w:r>
            <w:r w:rsidR="009819EE" w:rsidRPr="001A4B94">
              <w:rPr>
                <w:sz w:val="20"/>
                <w:szCs w:val="20"/>
                <w:lang w:val="tr-TR"/>
              </w:rPr>
              <w:t xml:space="preserve">: </w:t>
            </w:r>
            <w:r w:rsidRPr="001A4B94">
              <w:rPr>
                <w:sz w:val="20"/>
                <w:szCs w:val="20"/>
                <w:lang w:val="tr-TR"/>
              </w:rPr>
              <w:t>14</w:t>
            </w:r>
            <w:r w:rsidR="00332B1E" w:rsidRPr="001A4B94">
              <w:rPr>
                <w:sz w:val="20"/>
                <w:szCs w:val="20"/>
                <w:lang w:val="tr-TR"/>
              </w:rPr>
              <w:t>,</w:t>
            </w:r>
            <w:r w:rsidRPr="001A4B94">
              <w:rPr>
                <w:sz w:val="20"/>
                <w:szCs w:val="20"/>
                <w:lang w:val="tr-TR"/>
              </w:rPr>
              <w:t xml:space="preserve">5 </w:t>
            </w:r>
            <w:r w:rsidR="009819EE" w:rsidRPr="001A4B94">
              <w:rPr>
                <w:sz w:val="20"/>
                <w:szCs w:val="20"/>
                <w:lang w:val="tr-TR"/>
              </w:rPr>
              <w:t xml:space="preserve">milyar </w:t>
            </w:r>
            <w:r w:rsidR="009819EE" w:rsidRPr="001A4B94">
              <w:rPr>
                <w:b/>
                <w:sz w:val="20"/>
                <w:szCs w:val="20"/>
                <w:lang w:val="tr-TR"/>
              </w:rPr>
              <w:t>$</w:t>
            </w:r>
            <w:r w:rsidR="009819EE" w:rsidRPr="001A4B94">
              <w:rPr>
                <w:sz w:val="20"/>
                <w:szCs w:val="20"/>
                <w:lang w:val="tr-TR"/>
              </w:rPr>
              <w:t xml:space="preserve"> </w:t>
            </w:r>
            <w:r w:rsidRPr="001A4B94">
              <w:rPr>
                <w:sz w:val="20"/>
                <w:szCs w:val="20"/>
                <w:lang w:val="tr-TR"/>
              </w:rPr>
              <w:t>(</w:t>
            </w:r>
            <w:r w:rsidR="009819EE" w:rsidRPr="001A4B94">
              <w:rPr>
                <w:sz w:val="20"/>
                <w:szCs w:val="20"/>
                <w:lang w:val="tr-TR"/>
              </w:rPr>
              <w:t xml:space="preserve">Ocak </w:t>
            </w:r>
            <w:r w:rsidRPr="001A4B94">
              <w:rPr>
                <w:sz w:val="20"/>
                <w:szCs w:val="20"/>
                <w:lang w:val="tr-TR"/>
              </w:rPr>
              <w:t>2016)</w:t>
            </w:r>
          </w:p>
          <w:p w14:paraId="436D65F7" w14:textId="736A4AB7" w:rsidR="00610E8D" w:rsidRPr="001A4B94" w:rsidRDefault="00610E8D" w:rsidP="00610E8D">
            <w:pPr>
              <w:rPr>
                <w:b/>
                <w:sz w:val="20"/>
                <w:szCs w:val="20"/>
                <w:lang w:val="tr-TR"/>
              </w:rPr>
            </w:pPr>
            <w:r w:rsidRPr="001A4B94">
              <w:rPr>
                <w:b/>
                <w:sz w:val="20"/>
                <w:szCs w:val="20"/>
                <w:lang w:val="tr-TR"/>
              </w:rPr>
              <w:t xml:space="preserve">IBRD </w:t>
            </w:r>
            <w:r w:rsidR="009819EE" w:rsidRPr="001A4B94">
              <w:rPr>
                <w:b/>
                <w:sz w:val="20"/>
                <w:szCs w:val="20"/>
                <w:lang w:val="tr-TR"/>
              </w:rPr>
              <w:t>Hedef</w:t>
            </w:r>
            <w:r w:rsidRPr="001A4B94">
              <w:rPr>
                <w:b/>
                <w:sz w:val="20"/>
                <w:szCs w:val="20"/>
                <w:lang w:val="tr-TR"/>
              </w:rPr>
              <w:t xml:space="preserve">:  </w:t>
            </w:r>
            <w:r w:rsidRPr="001A4B94">
              <w:rPr>
                <w:sz w:val="20"/>
                <w:szCs w:val="20"/>
                <w:lang w:val="tr-TR"/>
              </w:rPr>
              <w:t xml:space="preserve">29 </w:t>
            </w:r>
            <w:r w:rsidR="009819EE" w:rsidRPr="001A4B94">
              <w:rPr>
                <w:sz w:val="20"/>
                <w:szCs w:val="20"/>
                <w:lang w:val="tr-TR"/>
              </w:rPr>
              <w:t xml:space="preserve">milyar </w:t>
            </w:r>
            <w:r w:rsidR="009819EE" w:rsidRPr="001A4B94">
              <w:rPr>
                <w:b/>
                <w:sz w:val="20"/>
                <w:szCs w:val="20"/>
                <w:lang w:val="tr-TR"/>
              </w:rPr>
              <w:t>$</w:t>
            </w:r>
            <w:r w:rsidR="009819EE" w:rsidRPr="001A4B94">
              <w:rPr>
                <w:sz w:val="20"/>
                <w:szCs w:val="20"/>
                <w:lang w:val="tr-TR"/>
              </w:rPr>
              <w:t xml:space="preserve">  </w:t>
            </w:r>
            <w:r w:rsidRPr="001A4B94">
              <w:rPr>
                <w:sz w:val="20"/>
                <w:szCs w:val="20"/>
                <w:lang w:val="tr-TR"/>
              </w:rPr>
              <w:t>(2020)</w:t>
            </w:r>
          </w:p>
          <w:p w14:paraId="61B6530D" w14:textId="0D7602E5" w:rsidR="00622088" w:rsidRPr="001A4B94" w:rsidRDefault="009819EE" w:rsidP="00622088">
            <w:pPr>
              <w:rPr>
                <w:color w:val="000000" w:themeColor="text1"/>
                <w:sz w:val="20"/>
                <w:szCs w:val="20"/>
                <w:lang w:val="tr-TR"/>
              </w:rPr>
            </w:pPr>
            <w:r w:rsidRPr="001A4B94">
              <w:rPr>
                <w:color w:val="000000" w:themeColor="text1"/>
                <w:sz w:val="20"/>
                <w:szCs w:val="20"/>
                <w:lang w:val="tr-TR"/>
              </w:rPr>
              <w:lastRenderedPageBreak/>
              <w:t>Ödenmemiş şirket borçlanma senetleri portf</w:t>
            </w:r>
            <w:r w:rsidR="00332B1E" w:rsidRPr="001A4B94">
              <w:rPr>
                <w:color w:val="000000" w:themeColor="text1"/>
                <w:sz w:val="20"/>
                <w:szCs w:val="20"/>
                <w:lang w:val="tr-TR"/>
              </w:rPr>
              <w:t xml:space="preserve">öyünde </w:t>
            </w:r>
            <w:r w:rsidRPr="001A4B94">
              <w:rPr>
                <w:color w:val="000000" w:themeColor="text1"/>
                <w:sz w:val="20"/>
                <w:szCs w:val="20"/>
                <w:lang w:val="tr-TR"/>
              </w:rPr>
              <w:t xml:space="preserve">artış </w:t>
            </w:r>
            <w:r w:rsidR="00622088" w:rsidRPr="001A4B94">
              <w:rPr>
                <w:color w:val="000000" w:themeColor="text1"/>
                <w:sz w:val="20"/>
                <w:szCs w:val="20"/>
                <w:lang w:val="tr-TR"/>
              </w:rPr>
              <w:t>(</w:t>
            </w:r>
            <w:r w:rsidRPr="001A4B94">
              <w:rPr>
                <w:color w:val="000000" w:themeColor="text1"/>
                <w:sz w:val="20"/>
                <w:szCs w:val="20"/>
                <w:lang w:val="tr-TR"/>
              </w:rPr>
              <w:t>milyar ABD$</w:t>
            </w:r>
            <w:r w:rsidR="00622088" w:rsidRPr="001A4B94">
              <w:rPr>
                <w:color w:val="000000" w:themeColor="text1"/>
                <w:sz w:val="20"/>
                <w:szCs w:val="20"/>
                <w:lang w:val="tr-TR"/>
              </w:rPr>
              <w:t>)</w:t>
            </w:r>
          </w:p>
          <w:p w14:paraId="2A9CFCB4" w14:textId="57988EF4" w:rsidR="00622088" w:rsidRPr="001A4B94" w:rsidRDefault="009819EE" w:rsidP="00622088">
            <w:pPr>
              <w:rPr>
                <w:color w:val="000000" w:themeColor="text1"/>
                <w:sz w:val="20"/>
                <w:szCs w:val="20"/>
                <w:lang w:val="tr-TR"/>
              </w:rPr>
            </w:pPr>
            <w:r w:rsidRPr="001A4B94">
              <w:rPr>
                <w:b/>
                <w:sz w:val="20"/>
                <w:szCs w:val="20"/>
                <w:lang w:val="tr-TR"/>
              </w:rPr>
              <w:t>Başlangıç</w:t>
            </w:r>
            <w:r w:rsidR="00622088" w:rsidRPr="001A4B94">
              <w:rPr>
                <w:b/>
                <w:color w:val="000000" w:themeColor="text1"/>
                <w:sz w:val="20"/>
                <w:szCs w:val="20"/>
                <w:lang w:val="tr-TR"/>
              </w:rPr>
              <w:t>:</w:t>
            </w:r>
            <w:r w:rsidR="00622088" w:rsidRPr="001A4B94">
              <w:rPr>
                <w:color w:val="000000" w:themeColor="text1"/>
                <w:sz w:val="20"/>
                <w:szCs w:val="20"/>
                <w:lang w:val="tr-TR"/>
              </w:rPr>
              <w:t xml:space="preserve"> 2016: </w:t>
            </w:r>
            <w:r w:rsidRPr="001A4B94">
              <w:rPr>
                <w:color w:val="000000" w:themeColor="text1"/>
                <w:sz w:val="20"/>
                <w:szCs w:val="20"/>
                <w:lang w:val="tr-TR"/>
              </w:rPr>
              <w:t>58 milyar ABD</w:t>
            </w:r>
            <w:r w:rsidR="00622088" w:rsidRPr="001A4B94">
              <w:rPr>
                <w:color w:val="000000" w:themeColor="text1"/>
                <w:sz w:val="20"/>
                <w:szCs w:val="20"/>
                <w:lang w:val="tr-TR"/>
              </w:rPr>
              <w:t>$</w:t>
            </w:r>
          </w:p>
          <w:p w14:paraId="63975D34" w14:textId="5C437A2E" w:rsidR="00622088" w:rsidRPr="001A4B94" w:rsidRDefault="009819EE" w:rsidP="00622088">
            <w:pPr>
              <w:tabs>
                <w:tab w:val="left" w:pos="426"/>
              </w:tabs>
              <w:rPr>
                <w:b/>
                <w:sz w:val="20"/>
                <w:szCs w:val="20"/>
                <w:lang w:val="tr-TR"/>
              </w:rPr>
            </w:pPr>
            <w:r w:rsidRPr="001A4B94">
              <w:rPr>
                <w:b/>
                <w:sz w:val="20"/>
                <w:szCs w:val="20"/>
                <w:lang w:val="tr-TR"/>
              </w:rPr>
              <w:t>Hedef</w:t>
            </w:r>
            <w:r w:rsidR="00622088" w:rsidRPr="001A4B94">
              <w:rPr>
                <w:b/>
                <w:color w:val="000000" w:themeColor="text1"/>
                <w:sz w:val="20"/>
                <w:szCs w:val="20"/>
                <w:lang w:val="tr-TR"/>
              </w:rPr>
              <w:t xml:space="preserve">: </w:t>
            </w:r>
            <w:r w:rsidR="00622088" w:rsidRPr="001A4B94">
              <w:rPr>
                <w:color w:val="000000" w:themeColor="text1"/>
                <w:sz w:val="20"/>
                <w:szCs w:val="20"/>
                <w:lang w:val="tr-TR"/>
              </w:rPr>
              <w:t xml:space="preserve">2020: </w:t>
            </w:r>
            <w:r w:rsidRPr="001A4B94">
              <w:rPr>
                <w:color w:val="000000" w:themeColor="text1"/>
                <w:sz w:val="20"/>
                <w:szCs w:val="20"/>
                <w:lang w:val="tr-TR"/>
              </w:rPr>
              <w:t xml:space="preserve">70 milyar ABD$ </w:t>
            </w:r>
          </w:p>
          <w:p w14:paraId="5B94B626" w14:textId="77777777" w:rsidR="00622088" w:rsidRPr="001A4B94" w:rsidRDefault="00622088" w:rsidP="00622088">
            <w:pPr>
              <w:rPr>
                <w:color w:val="000000" w:themeColor="text1"/>
                <w:sz w:val="20"/>
                <w:szCs w:val="20"/>
                <w:lang w:val="tr-TR"/>
              </w:rPr>
            </w:pPr>
          </w:p>
          <w:p w14:paraId="731CBA46" w14:textId="622B315C" w:rsidR="00622088" w:rsidRPr="001A4B94" w:rsidRDefault="00332B1E" w:rsidP="00A32EDB">
            <w:pPr>
              <w:ind w:right="-99"/>
              <w:rPr>
                <w:color w:val="000000" w:themeColor="text1"/>
                <w:sz w:val="20"/>
                <w:szCs w:val="20"/>
                <w:lang w:val="tr-TR"/>
              </w:rPr>
            </w:pPr>
            <w:r w:rsidRPr="001A4B94">
              <w:rPr>
                <w:color w:val="000000" w:themeColor="text1"/>
                <w:sz w:val="20"/>
                <w:szCs w:val="20"/>
                <w:lang w:val="tr-TR"/>
              </w:rPr>
              <w:t xml:space="preserve">Hisseleri borsada işlem gören şirket sayısındaki artış </w:t>
            </w:r>
          </w:p>
          <w:p w14:paraId="302313E7" w14:textId="5A7B1C90" w:rsidR="00622088" w:rsidRPr="001A4B94" w:rsidRDefault="009819EE" w:rsidP="00622088">
            <w:pPr>
              <w:rPr>
                <w:color w:val="000000" w:themeColor="text1"/>
                <w:sz w:val="20"/>
                <w:szCs w:val="20"/>
                <w:lang w:val="tr-TR"/>
              </w:rPr>
            </w:pPr>
            <w:r w:rsidRPr="001A4B94">
              <w:rPr>
                <w:b/>
                <w:sz w:val="20"/>
                <w:szCs w:val="20"/>
                <w:lang w:val="tr-TR"/>
              </w:rPr>
              <w:t>Başlangıç</w:t>
            </w:r>
            <w:r w:rsidR="00622088" w:rsidRPr="001A4B94">
              <w:rPr>
                <w:b/>
                <w:color w:val="000000" w:themeColor="text1"/>
                <w:sz w:val="20"/>
                <w:szCs w:val="20"/>
                <w:lang w:val="tr-TR"/>
              </w:rPr>
              <w:t xml:space="preserve">: </w:t>
            </w:r>
            <w:r w:rsidR="00622088" w:rsidRPr="001A4B94">
              <w:rPr>
                <w:color w:val="000000" w:themeColor="text1"/>
                <w:sz w:val="20"/>
                <w:szCs w:val="20"/>
                <w:lang w:val="tr-TR"/>
              </w:rPr>
              <w:t>2016: 381</w:t>
            </w:r>
          </w:p>
          <w:p w14:paraId="4CBF6427" w14:textId="2A944B62" w:rsidR="00622088" w:rsidRPr="001A4B94" w:rsidRDefault="009819EE" w:rsidP="00622088">
            <w:pPr>
              <w:rPr>
                <w:color w:val="000000" w:themeColor="text1"/>
                <w:sz w:val="20"/>
                <w:szCs w:val="20"/>
                <w:lang w:val="tr-TR"/>
              </w:rPr>
            </w:pPr>
            <w:r w:rsidRPr="001A4B94">
              <w:rPr>
                <w:b/>
                <w:sz w:val="20"/>
                <w:szCs w:val="20"/>
                <w:lang w:val="tr-TR"/>
              </w:rPr>
              <w:t>Hedef</w:t>
            </w:r>
            <w:r w:rsidR="00622088" w:rsidRPr="001A4B94">
              <w:rPr>
                <w:b/>
                <w:color w:val="000000" w:themeColor="text1"/>
                <w:sz w:val="20"/>
                <w:szCs w:val="20"/>
                <w:lang w:val="tr-TR"/>
              </w:rPr>
              <w:t>:</w:t>
            </w:r>
            <w:r w:rsidR="00622088" w:rsidRPr="001A4B94">
              <w:rPr>
                <w:color w:val="000000" w:themeColor="text1"/>
                <w:sz w:val="20"/>
                <w:szCs w:val="20"/>
                <w:lang w:val="tr-TR"/>
              </w:rPr>
              <w:t xml:space="preserve">  2020: 450</w:t>
            </w:r>
          </w:p>
          <w:p w14:paraId="6196F552" w14:textId="77777777" w:rsidR="00622088" w:rsidRPr="001A4B94" w:rsidRDefault="00622088" w:rsidP="00622088">
            <w:pPr>
              <w:rPr>
                <w:color w:val="000000" w:themeColor="text1"/>
                <w:sz w:val="20"/>
                <w:szCs w:val="20"/>
                <w:lang w:val="tr-TR"/>
              </w:rPr>
            </w:pPr>
          </w:p>
          <w:p w14:paraId="774E33FC" w14:textId="4D8389AC" w:rsidR="00622088" w:rsidRPr="001A4B94" w:rsidRDefault="00332B1E" w:rsidP="00622088">
            <w:pPr>
              <w:rPr>
                <w:color w:val="000000" w:themeColor="text1"/>
                <w:sz w:val="20"/>
                <w:szCs w:val="20"/>
                <w:lang w:val="tr-TR"/>
              </w:rPr>
            </w:pPr>
            <w:r w:rsidRPr="001A4B94">
              <w:rPr>
                <w:color w:val="000000" w:themeColor="text1"/>
                <w:sz w:val="20"/>
                <w:szCs w:val="20"/>
                <w:lang w:val="tr-TR"/>
              </w:rPr>
              <w:t xml:space="preserve">Kurumsal yatırımcıların portföy büyüklüğündeki artış </w:t>
            </w:r>
          </w:p>
          <w:p w14:paraId="0E2D4BA7" w14:textId="448815A7" w:rsidR="00622088" w:rsidRPr="001A4B94" w:rsidRDefault="009819EE" w:rsidP="00622088">
            <w:pPr>
              <w:rPr>
                <w:color w:val="000000" w:themeColor="text1"/>
                <w:sz w:val="20"/>
                <w:szCs w:val="20"/>
                <w:lang w:val="tr-TR"/>
              </w:rPr>
            </w:pPr>
            <w:r w:rsidRPr="001A4B94">
              <w:rPr>
                <w:b/>
                <w:sz w:val="20"/>
                <w:szCs w:val="20"/>
                <w:lang w:val="tr-TR"/>
              </w:rPr>
              <w:t>Başlangıç</w:t>
            </w:r>
            <w:r w:rsidR="00622088" w:rsidRPr="001A4B94">
              <w:rPr>
                <w:b/>
                <w:color w:val="000000" w:themeColor="text1"/>
                <w:sz w:val="20"/>
                <w:szCs w:val="20"/>
                <w:lang w:val="tr-TR"/>
              </w:rPr>
              <w:t>:</w:t>
            </w:r>
            <w:r w:rsidR="00622088" w:rsidRPr="001A4B94">
              <w:rPr>
                <w:color w:val="000000" w:themeColor="text1"/>
                <w:sz w:val="20"/>
                <w:szCs w:val="20"/>
                <w:lang w:val="tr-TR"/>
              </w:rPr>
              <w:t xml:space="preserve"> 2016: 105 </w:t>
            </w:r>
            <w:r w:rsidR="00332B1E" w:rsidRPr="001A4B94">
              <w:rPr>
                <w:color w:val="000000" w:themeColor="text1"/>
                <w:sz w:val="20"/>
                <w:szCs w:val="20"/>
                <w:lang w:val="tr-TR"/>
              </w:rPr>
              <w:t xml:space="preserve">milyar TL </w:t>
            </w:r>
          </w:p>
          <w:p w14:paraId="318FDDD3" w14:textId="3B2F47F7" w:rsidR="00622088" w:rsidRPr="001A4B94" w:rsidRDefault="009819EE" w:rsidP="00AF1944">
            <w:pPr>
              <w:rPr>
                <w:sz w:val="20"/>
                <w:szCs w:val="20"/>
                <w:lang w:val="tr-TR"/>
              </w:rPr>
            </w:pPr>
            <w:r w:rsidRPr="001A4B94">
              <w:rPr>
                <w:b/>
                <w:sz w:val="20"/>
                <w:szCs w:val="20"/>
                <w:lang w:val="tr-TR"/>
              </w:rPr>
              <w:t>Hedef</w:t>
            </w:r>
            <w:r w:rsidR="00622088" w:rsidRPr="001A4B94">
              <w:rPr>
                <w:b/>
                <w:color w:val="000000" w:themeColor="text1"/>
                <w:sz w:val="20"/>
                <w:szCs w:val="20"/>
                <w:lang w:val="tr-TR"/>
              </w:rPr>
              <w:t>:</w:t>
            </w:r>
            <w:r w:rsidR="00622088" w:rsidRPr="001A4B94">
              <w:rPr>
                <w:color w:val="000000" w:themeColor="text1"/>
                <w:sz w:val="20"/>
                <w:szCs w:val="20"/>
                <w:lang w:val="tr-TR"/>
              </w:rPr>
              <w:t xml:space="preserve">  2020: 150 </w:t>
            </w:r>
            <w:r w:rsidR="00332B1E" w:rsidRPr="001A4B94">
              <w:rPr>
                <w:color w:val="000000" w:themeColor="text1"/>
                <w:sz w:val="20"/>
                <w:szCs w:val="20"/>
                <w:lang w:val="tr-TR"/>
              </w:rPr>
              <w:t>milyar TL</w:t>
            </w:r>
          </w:p>
          <w:p w14:paraId="348BDF3B" w14:textId="77777777" w:rsidR="00622088" w:rsidRPr="001A4B94" w:rsidRDefault="00622088" w:rsidP="00622088">
            <w:pPr>
              <w:tabs>
                <w:tab w:val="left" w:pos="426"/>
              </w:tabs>
              <w:rPr>
                <w:sz w:val="20"/>
                <w:szCs w:val="20"/>
                <w:lang w:val="tr-TR"/>
              </w:rPr>
            </w:pPr>
          </w:p>
        </w:tc>
        <w:tc>
          <w:tcPr>
            <w:tcW w:w="4955" w:type="dxa"/>
          </w:tcPr>
          <w:p w14:paraId="773DBDD1" w14:textId="16828A4F" w:rsidR="00622088" w:rsidRPr="001A4B94" w:rsidRDefault="00AF1944" w:rsidP="00622088">
            <w:pPr>
              <w:tabs>
                <w:tab w:val="left" w:pos="426"/>
              </w:tabs>
              <w:rPr>
                <w:b/>
                <w:sz w:val="20"/>
                <w:szCs w:val="20"/>
                <w:lang w:val="tr-TR"/>
              </w:rPr>
            </w:pPr>
            <w:r w:rsidRPr="001A4B94">
              <w:rPr>
                <w:b/>
                <w:bCs/>
                <w:sz w:val="20"/>
                <w:szCs w:val="20"/>
                <w:lang w:val="tr-TR"/>
              </w:rPr>
              <w:lastRenderedPageBreak/>
              <w:t>Devam eden finansman</w:t>
            </w:r>
            <w:r w:rsidR="00622088" w:rsidRPr="001A4B94">
              <w:rPr>
                <w:b/>
                <w:bCs/>
                <w:sz w:val="20"/>
                <w:szCs w:val="20"/>
                <w:lang w:val="tr-TR"/>
              </w:rPr>
              <w:t>:</w:t>
            </w:r>
          </w:p>
          <w:p w14:paraId="16A7F6C9" w14:textId="24F039AC" w:rsidR="00622088" w:rsidRPr="001A4B94" w:rsidRDefault="00AF1944" w:rsidP="00622088">
            <w:pPr>
              <w:tabs>
                <w:tab w:val="left" w:pos="426"/>
              </w:tabs>
              <w:rPr>
                <w:sz w:val="20"/>
                <w:szCs w:val="20"/>
                <w:lang w:val="tr-TR"/>
              </w:rPr>
            </w:pPr>
            <w:r w:rsidRPr="001A4B94">
              <w:rPr>
                <w:sz w:val="20"/>
                <w:szCs w:val="20"/>
                <w:lang w:val="tr-TR"/>
              </w:rPr>
              <w:t xml:space="preserve">Yenilikçi Finansmana Erişim </w:t>
            </w:r>
          </w:p>
          <w:p w14:paraId="44B33A3C" w14:textId="65285D07" w:rsidR="00622088" w:rsidRPr="001A4B94" w:rsidRDefault="00AF1944" w:rsidP="00622088">
            <w:pPr>
              <w:tabs>
                <w:tab w:val="left" w:pos="426"/>
              </w:tabs>
              <w:rPr>
                <w:sz w:val="20"/>
                <w:szCs w:val="20"/>
                <w:lang w:val="tr-TR"/>
              </w:rPr>
            </w:pPr>
            <w:r w:rsidRPr="001A4B94">
              <w:rPr>
                <w:sz w:val="20"/>
                <w:szCs w:val="20"/>
                <w:lang w:val="tr-TR"/>
              </w:rPr>
              <w:t>KOBİ</w:t>
            </w:r>
            <w:r w:rsidR="001126EB" w:rsidRPr="001A4B94">
              <w:rPr>
                <w:sz w:val="20"/>
                <w:szCs w:val="20"/>
                <w:lang w:val="tr-TR"/>
              </w:rPr>
              <w:t xml:space="preserve"> </w:t>
            </w:r>
            <w:r w:rsidR="00622088" w:rsidRPr="001A4B94">
              <w:rPr>
                <w:sz w:val="20"/>
                <w:szCs w:val="20"/>
                <w:lang w:val="tr-TR"/>
              </w:rPr>
              <w:t xml:space="preserve">III </w:t>
            </w:r>
          </w:p>
          <w:p w14:paraId="2ACDF8FF" w14:textId="33041481" w:rsidR="00622088" w:rsidRPr="001A4B94" w:rsidRDefault="00AF1944" w:rsidP="00622088">
            <w:pPr>
              <w:tabs>
                <w:tab w:val="left" w:pos="426"/>
              </w:tabs>
              <w:rPr>
                <w:sz w:val="20"/>
                <w:szCs w:val="20"/>
                <w:lang w:val="tr-TR"/>
              </w:rPr>
            </w:pPr>
            <w:r w:rsidRPr="001A4B94">
              <w:rPr>
                <w:sz w:val="20"/>
                <w:szCs w:val="20"/>
                <w:lang w:val="tr-TR"/>
              </w:rPr>
              <w:t xml:space="preserve">Uzun Vadeli İhracat </w:t>
            </w:r>
            <w:r w:rsidR="00A32EDB" w:rsidRPr="001A4B94">
              <w:rPr>
                <w:sz w:val="20"/>
                <w:szCs w:val="20"/>
                <w:lang w:val="tr-TR"/>
              </w:rPr>
              <w:t>Finansmanı</w:t>
            </w:r>
            <w:r w:rsidRPr="001A4B94">
              <w:rPr>
                <w:sz w:val="20"/>
                <w:szCs w:val="20"/>
                <w:lang w:val="tr-TR"/>
              </w:rPr>
              <w:t xml:space="preserve"> </w:t>
            </w:r>
          </w:p>
          <w:p w14:paraId="3AD62960" w14:textId="77777777" w:rsidR="00622088" w:rsidRPr="001A4B94" w:rsidRDefault="00622088" w:rsidP="00622088">
            <w:pPr>
              <w:tabs>
                <w:tab w:val="left" w:pos="426"/>
              </w:tabs>
              <w:rPr>
                <w:b/>
                <w:bCs/>
                <w:sz w:val="20"/>
                <w:szCs w:val="20"/>
                <w:lang w:val="tr-TR"/>
              </w:rPr>
            </w:pPr>
          </w:p>
          <w:p w14:paraId="44FE2071" w14:textId="0BE07BB0" w:rsidR="00622088" w:rsidRPr="001A4B94" w:rsidRDefault="00A2748E" w:rsidP="00622088">
            <w:pPr>
              <w:tabs>
                <w:tab w:val="left" w:pos="426"/>
              </w:tabs>
              <w:rPr>
                <w:b/>
                <w:sz w:val="20"/>
                <w:szCs w:val="20"/>
                <w:lang w:val="tr-TR"/>
              </w:rPr>
            </w:pPr>
            <w:r w:rsidRPr="001A4B94">
              <w:rPr>
                <w:b/>
                <w:bCs/>
                <w:sz w:val="20"/>
                <w:szCs w:val="20"/>
                <w:lang w:val="tr-TR"/>
              </w:rPr>
              <w:t>Yeni</w:t>
            </w:r>
            <w:r w:rsidR="00AF1944" w:rsidRPr="001A4B94">
              <w:rPr>
                <w:b/>
                <w:bCs/>
                <w:sz w:val="20"/>
                <w:szCs w:val="20"/>
                <w:lang w:val="tr-TR"/>
              </w:rPr>
              <w:t xml:space="preserve"> finansman</w:t>
            </w:r>
            <w:r w:rsidR="00622088" w:rsidRPr="001A4B94">
              <w:rPr>
                <w:b/>
                <w:bCs/>
                <w:sz w:val="20"/>
                <w:szCs w:val="20"/>
                <w:lang w:val="tr-TR"/>
              </w:rPr>
              <w:t>:</w:t>
            </w:r>
          </w:p>
          <w:p w14:paraId="642F5D59" w14:textId="180B7B6F" w:rsidR="00622088" w:rsidRPr="001A4B94" w:rsidRDefault="00622088" w:rsidP="00622088">
            <w:pPr>
              <w:rPr>
                <w:color w:val="000000"/>
                <w:sz w:val="20"/>
                <w:szCs w:val="20"/>
                <w:lang w:val="tr-TR"/>
              </w:rPr>
            </w:pPr>
            <w:r w:rsidRPr="001A4B94">
              <w:rPr>
                <w:color w:val="000000"/>
                <w:sz w:val="20"/>
                <w:szCs w:val="20"/>
                <w:lang w:val="tr-TR"/>
              </w:rPr>
              <w:t xml:space="preserve">DPL </w:t>
            </w:r>
            <w:r w:rsidR="00AF1944" w:rsidRPr="001A4B94">
              <w:rPr>
                <w:color w:val="000000"/>
                <w:sz w:val="20"/>
                <w:szCs w:val="20"/>
                <w:lang w:val="tr-TR"/>
              </w:rPr>
              <w:t xml:space="preserve">dizisi </w:t>
            </w:r>
          </w:p>
          <w:p w14:paraId="081D186B" w14:textId="7A883B84" w:rsidR="00622088" w:rsidRPr="001A4B94" w:rsidRDefault="00AF1944" w:rsidP="00622088">
            <w:pPr>
              <w:tabs>
                <w:tab w:val="left" w:pos="426"/>
              </w:tabs>
              <w:rPr>
                <w:sz w:val="20"/>
                <w:szCs w:val="20"/>
                <w:lang w:val="tr-TR"/>
              </w:rPr>
            </w:pPr>
            <w:r w:rsidRPr="001A4B94">
              <w:rPr>
                <w:sz w:val="20"/>
                <w:szCs w:val="20"/>
                <w:lang w:val="tr-TR"/>
              </w:rPr>
              <w:t xml:space="preserve">Yeni Finansal Sektör projesi </w:t>
            </w:r>
          </w:p>
          <w:p w14:paraId="5F3E88BA" w14:textId="77777777" w:rsidR="00622088" w:rsidRPr="001A4B94" w:rsidRDefault="00622088" w:rsidP="00622088">
            <w:pPr>
              <w:tabs>
                <w:tab w:val="left" w:pos="426"/>
              </w:tabs>
              <w:rPr>
                <w:b/>
                <w:sz w:val="20"/>
                <w:szCs w:val="20"/>
                <w:lang w:val="tr-TR"/>
              </w:rPr>
            </w:pPr>
          </w:p>
          <w:p w14:paraId="7D1028D3" w14:textId="344ECC3C" w:rsidR="00622088" w:rsidRPr="001A4B94" w:rsidRDefault="00A46139" w:rsidP="00622088">
            <w:pPr>
              <w:tabs>
                <w:tab w:val="left" w:pos="426"/>
              </w:tabs>
              <w:rPr>
                <w:b/>
                <w:sz w:val="20"/>
                <w:szCs w:val="20"/>
                <w:lang w:val="tr-TR"/>
              </w:rPr>
            </w:pPr>
            <w:r w:rsidRPr="001A4B94">
              <w:rPr>
                <w:b/>
                <w:sz w:val="20"/>
                <w:szCs w:val="20"/>
                <w:lang w:val="tr-TR"/>
              </w:rPr>
              <w:t>Danışmanlık Hizmetleri ve Analitik Çalışmalar (ASA)</w:t>
            </w:r>
            <w:r w:rsidR="00622088" w:rsidRPr="001A4B94">
              <w:rPr>
                <w:b/>
                <w:sz w:val="20"/>
                <w:szCs w:val="20"/>
                <w:lang w:val="tr-TR"/>
              </w:rPr>
              <w:t>:</w:t>
            </w:r>
          </w:p>
          <w:p w14:paraId="6FFB1E03" w14:textId="2ADBE1A8" w:rsidR="00622088" w:rsidRPr="001A4B94" w:rsidRDefault="00AF1944" w:rsidP="00622088">
            <w:pPr>
              <w:tabs>
                <w:tab w:val="left" w:pos="426"/>
              </w:tabs>
              <w:rPr>
                <w:sz w:val="20"/>
                <w:szCs w:val="20"/>
                <w:lang w:val="tr-TR"/>
              </w:rPr>
            </w:pPr>
            <w:r w:rsidRPr="001A4B94">
              <w:rPr>
                <w:sz w:val="20"/>
                <w:szCs w:val="20"/>
                <w:lang w:val="tr-TR"/>
              </w:rPr>
              <w:t xml:space="preserve">Finansal </w:t>
            </w:r>
            <w:r w:rsidR="00A32EDB" w:rsidRPr="001A4B94">
              <w:rPr>
                <w:sz w:val="20"/>
                <w:szCs w:val="20"/>
                <w:lang w:val="tr-TR"/>
              </w:rPr>
              <w:t>sektörün</w:t>
            </w:r>
            <w:r w:rsidRPr="001A4B94">
              <w:rPr>
                <w:sz w:val="20"/>
                <w:szCs w:val="20"/>
                <w:lang w:val="tr-TR"/>
              </w:rPr>
              <w:t xml:space="preserve"> derinleştirilmesi hakkında TY</w:t>
            </w:r>
            <w:r w:rsidR="00622088" w:rsidRPr="001A4B94">
              <w:rPr>
                <w:sz w:val="20"/>
                <w:szCs w:val="20"/>
                <w:lang w:val="tr-TR"/>
              </w:rPr>
              <w:t xml:space="preserve">: </w:t>
            </w:r>
            <w:r w:rsidR="00A32EDB" w:rsidRPr="001A4B94">
              <w:rPr>
                <w:sz w:val="20"/>
                <w:szCs w:val="20"/>
                <w:lang w:val="tr-TR"/>
              </w:rPr>
              <w:t>uzun vadeli altyapı yatırımlarının finansmanı için kira sertifikası (</w:t>
            </w:r>
            <w:r w:rsidR="00622088" w:rsidRPr="001A4B94">
              <w:rPr>
                <w:i/>
                <w:sz w:val="20"/>
                <w:szCs w:val="20"/>
                <w:lang w:val="tr-TR"/>
              </w:rPr>
              <w:t>sukuk</w:t>
            </w:r>
            <w:r w:rsidR="00A32EDB" w:rsidRPr="001A4B94">
              <w:rPr>
                <w:i/>
                <w:sz w:val="20"/>
                <w:szCs w:val="20"/>
                <w:lang w:val="tr-TR"/>
              </w:rPr>
              <w:t>)</w:t>
            </w:r>
            <w:r w:rsidR="00622088" w:rsidRPr="001A4B94">
              <w:rPr>
                <w:sz w:val="20"/>
                <w:szCs w:val="20"/>
                <w:lang w:val="tr-TR"/>
              </w:rPr>
              <w:t xml:space="preserve"> </w:t>
            </w:r>
            <w:r w:rsidR="00A32EDB" w:rsidRPr="001A4B94">
              <w:rPr>
                <w:sz w:val="20"/>
                <w:szCs w:val="20"/>
                <w:lang w:val="tr-TR"/>
              </w:rPr>
              <w:t xml:space="preserve">ve alternatif sermaye piyasası araçları üzerinde odaklanacak </w:t>
            </w:r>
          </w:p>
          <w:p w14:paraId="0FBB4092" w14:textId="25D4BED8" w:rsidR="00622088" w:rsidRPr="001A4B94" w:rsidRDefault="00D8092C" w:rsidP="00622088">
            <w:pPr>
              <w:tabs>
                <w:tab w:val="left" w:pos="426"/>
              </w:tabs>
              <w:rPr>
                <w:sz w:val="20"/>
                <w:szCs w:val="20"/>
                <w:lang w:val="tr-TR"/>
              </w:rPr>
            </w:pPr>
            <w:r w:rsidRPr="001A4B94">
              <w:rPr>
                <w:sz w:val="20"/>
                <w:szCs w:val="20"/>
                <w:lang w:val="tr-TR"/>
              </w:rPr>
              <w:t xml:space="preserve">Finansal </w:t>
            </w:r>
            <w:r w:rsidR="00A2748E" w:rsidRPr="001A4B94">
              <w:rPr>
                <w:sz w:val="20"/>
                <w:szCs w:val="20"/>
                <w:lang w:val="tr-TR"/>
              </w:rPr>
              <w:t>S</w:t>
            </w:r>
            <w:r w:rsidRPr="001A4B94">
              <w:rPr>
                <w:sz w:val="20"/>
                <w:szCs w:val="20"/>
                <w:lang w:val="tr-TR"/>
              </w:rPr>
              <w:t>ektör Değerlendirmesi taki</w:t>
            </w:r>
            <w:r w:rsidR="00A2748E" w:rsidRPr="001A4B94">
              <w:rPr>
                <w:sz w:val="20"/>
                <w:szCs w:val="20"/>
                <w:lang w:val="tr-TR"/>
              </w:rPr>
              <w:t>p TY</w:t>
            </w:r>
            <w:r w:rsidR="00622088" w:rsidRPr="001A4B94">
              <w:rPr>
                <w:sz w:val="20"/>
                <w:szCs w:val="20"/>
                <w:lang w:val="tr-TR"/>
              </w:rPr>
              <w:t xml:space="preserve">: </w:t>
            </w:r>
            <w:r w:rsidR="00A2748E" w:rsidRPr="001A4B94">
              <w:rPr>
                <w:sz w:val="20"/>
                <w:szCs w:val="20"/>
                <w:lang w:val="tr-TR"/>
              </w:rPr>
              <w:t xml:space="preserve">Finansal sektörün denetlenmesi, izlenmesi, dayanıklılığı arttırmak için sistematik risk ve kriz yönetimi üzerinde odaklanacak </w:t>
            </w:r>
          </w:p>
          <w:p w14:paraId="700D67B6" w14:textId="596B5DC0" w:rsidR="00622088" w:rsidRPr="001A4B94" w:rsidRDefault="00622088" w:rsidP="004B2181">
            <w:pPr>
              <w:spacing w:after="80"/>
              <w:ind w:right="-57"/>
              <w:contextualSpacing/>
              <w:rPr>
                <w:b/>
                <w:sz w:val="20"/>
                <w:szCs w:val="20"/>
                <w:lang w:val="tr-TR"/>
              </w:rPr>
            </w:pPr>
            <w:r w:rsidRPr="001A4B94">
              <w:rPr>
                <w:b/>
                <w:sz w:val="20"/>
                <w:szCs w:val="20"/>
                <w:lang w:val="tr-TR"/>
              </w:rPr>
              <w:t xml:space="preserve">IFC </w:t>
            </w:r>
            <w:r w:rsidR="00A2748E" w:rsidRPr="001A4B94">
              <w:rPr>
                <w:b/>
                <w:sz w:val="20"/>
                <w:szCs w:val="20"/>
                <w:lang w:val="tr-TR"/>
              </w:rPr>
              <w:t>finansmanı</w:t>
            </w:r>
            <w:r w:rsidRPr="001A4B94">
              <w:rPr>
                <w:b/>
                <w:sz w:val="20"/>
                <w:szCs w:val="20"/>
                <w:lang w:val="tr-TR"/>
              </w:rPr>
              <w:t>:</w:t>
            </w:r>
          </w:p>
          <w:p w14:paraId="309DA905" w14:textId="222556CF" w:rsidR="009B1D3A" w:rsidRPr="001A4B94" w:rsidRDefault="00914C41" w:rsidP="004B2181">
            <w:pPr>
              <w:spacing w:after="80"/>
              <w:ind w:right="-57"/>
              <w:contextualSpacing/>
              <w:rPr>
                <w:sz w:val="20"/>
                <w:szCs w:val="20"/>
                <w:lang w:val="tr-TR"/>
              </w:rPr>
            </w:pPr>
            <w:r w:rsidRPr="001A4B94">
              <w:rPr>
                <w:sz w:val="20"/>
                <w:szCs w:val="20"/>
                <w:lang w:val="tr-TR"/>
              </w:rPr>
              <w:lastRenderedPageBreak/>
              <w:t>Sermaye piyasasının geliştirilmesi –</w:t>
            </w:r>
            <w:r w:rsidR="009B1D3A" w:rsidRPr="001A4B94">
              <w:rPr>
                <w:sz w:val="20"/>
                <w:szCs w:val="20"/>
                <w:lang w:val="tr-TR"/>
              </w:rPr>
              <w:t xml:space="preserve"> </w:t>
            </w:r>
            <w:r w:rsidRPr="001A4B94">
              <w:rPr>
                <w:sz w:val="20"/>
                <w:szCs w:val="20"/>
                <w:lang w:val="tr-TR"/>
              </w:rPr>
              <w:t>belediye, Eurobond ve yerel para birimi tahvil piyasalarına yatırım</w:t>
            </w:r>
            <w:r w:rsidR="009B1D3A" w:rsidRPr="001A4B94">
              <w:rPr>
                <w:sz w:val="20"/>
                <w:szCs w:val="20"/>
                <w:lang w:val="tr-TR"/>
              </w:rPr>
              <w:t>.</w:t>
            </w:r>
          </w:p>
          <w:p w14:paraId="2B69FCB5" w14:textId="521BD292" w:rsidR="009B1D3A" w:rsidRPr="001A4B94" w:rsidRDefault="00914C41" w:rsidP="004B2181">
            <w:pPr>
              <w:spacing w:after="80"/>
              <w:ind w:right="-57"/>
              <w:contextualSpacing/>
              <w:rPr>
                <w:sz w:val="20"/>
                <w:szCs w:val="20"/>
                <w:lang w:val="tr-TR"/>
              </w:rPr>
            </w:pPr>
            <w:r w:rsidRPr="001A4B94">
              <w:rPr>
                <w:sz w:val="20"/>
                <w:szCs w:val="20"/>
                <w:lang w:val="tr-TR"/>
              </w:rPr>
              <w:t>Ba</w:t>
            </w:r>
            <w:r w:rsidR="00A97645" w:rsidRPr="001A4B94">
              <w:rPr>
                <w:sz w:val="20"/>
                <w:szCs w:val="20"/>
                <w:lang w:val="tr-TR"/>
              </w:rPr>
              <w:t>n</w:t>
            </w:r>
            <w:r w:rsidRPr="001A4B94">
              <w:rPr>
                <w:sz w:val="20"/>
                <w:szCs w:val="20"/>
                <w:lang w:val="tr-TR"/>
              </w:rPr>
              <w:t>kacılık sektöründe derinliği ve rekabeti arttırmaya yönelik s</w:t>
            </w:r>
            <w:r w:rsidR="009B1D3A" w:rsidRPr="001A4B94">
              <w:rPr>
                <w:sz w:val="20"/>
                <w:szCs w:val="20"/>
                <w:lang w:val="tr-TR"/>
              </w:rPr>
              <w:t>e</w:t>
            </w:r>
            <w:r w:rsidRPr="001A4B94">
              <w:rPr>
                <w:sz w:val="20"/>
                <w:szCs w:val="20"/>
                <w:lang w:val="tr-TR"/>
              </w:rPr>
              <w:t>kür</w:t>
            </w:r>
            <w:r w:rsidR="00A97645" w:rsidRPr="001A4B94">
              <w:rPr>
                <w:sz w:val="20"/>
                <w:szCs w:val="20"/>
                <w:lang w:val="tr-TR"/>
              </w:rPr>
              <w:t>i</w:t>
            </w:r>
            <w:r w:rsidRPr="001A4B94">
              <w:rPr>
                <w:sz w:val="20"/>
                <w:szCs w:val="20"/>
                <w:lang w:val="tr-TR"/>
              </w:rPr>
              <w:t>tüzasyon ürünleri</w:t>
            </w:r>
            <w:r w:rsidR="009B1D3A" w:rsidRPr="001A4B94">
              <w:rPr>
                <w:sz w:val="20"/>
                <w:szCs w:val="20"/>
                <w:lang w:val="tr-TR"/>
              </w:rPr>
              <w:t xml:space="preserve">. </w:t>
            </w:r>
          </w:p>
          <w:p w14:paraId="1C108811" w14:textId="1340022E" w:rsidR="009B1D3A" w:rsidRPr="001A4B94" w:rsidRDefault="00914C41" w:rsidP="004B2181">
            <w:pPr>
              <w:spacing w:after="80"/>
              <w:ind w:right="-57"/>
              <w:contextualSpacing/>
              <w:rPr>
                <w:sz w:val="20"/>
                <w:szCs w:val="20"/>
                <w:lang w:val="tr-TR"/>
              </w:rPr>
            </w:pPr>
            <w:r w:rsidRPr="001A4B94">
              <w:rPr>
                <w:sz w:val="20"/>
                <w:szCs w:val="20"/>
                <w:lang w:val="tr-TR"/>
              </w:rPr>
              <w:t>Faiz oranı ve para birimi riskini azaltm</w:t>
            </w:r>
            <w:r w:rsidR="00A27D8B" w:rsidRPr="001A4B94">
              <w:rPr>
                <w:sz w:val="20"/>
                <w:szCs w:val="20"/>
                <w:lang w:val="tr-TR"/>
              </w:rPr>
              <w:t>aya yönelik riskten</w:t>
            </w:r>
            <w:r w:rsidRPr="001A4B94">
              <w:rPr>
                <w:sz w:val="20"/>
                <w:szCs w:val="20"/>
                <w:lang w:val="tr-TR"/>
              </w:rPr>
              <w:t xml:space="preserve"> korunma araçları</w:t>
            </w:r>
            <w:r w:rsidR="009B1D3A" w:rsidRPr="001A4B94">
              <w:rPr>
                <w:sz w:val="20"/>
                <w:szCs w:val="20"/>
                <w:lang w:val="tr-TR"/>
              </w:rPr>
              <w:t xml:space="preserve">. </w:t>
            </w:r>
            <w:r w:rsidRPr="001A4B94">
              <w:rPr>
                <w:sz w:val="20"/>
                <w:szCs w:val="20"/>
                <w:lang w:val="tr-TR"/>
              </w:rPr>
              <w:t>Yerli ve ulusl</w:t>
            </w:r>
            <w:r w:rsidR="00A27D8B" w:rsidRPr="001A4B94">
              <w:rPr>
                <w:sz w:val="20"/>
                <w:szCs w:val="20"/>
                <w:lang w:val="tr-TR"/>
              </w:rPr>
              <w:t>a</w:t>
            </w:r>
            <w:r w:rsidRPr="001A4B94">
              <w:rPr>
                <w:sz w:val="20"/>
                <w:szCs w:val="20"/>
                <w:lang w:val="tr-TR"/>
              </w:rPr>
              <w:t>rarası bankalar için ri</w:t>
            </w:r>
            <w:r w:rsidR="00B11C9C" w:rsidRPr="001A4B94">
              <w:rPr>
                <w:sz w:val="20"/>
                <w:szCs w:val="20"/>
                <w:lang w:val="tr-TR"/>
              </w:rPr>
              <w:t>sk azaltma ve sermaye rahatlatm</w:t>
            </w:r>
            <w:r w:rsidRPr="001A4B94">
              <w:rPr>
                <w:sz w:val="20"/>
                <w:szCs w:val="20"/>
                <w:lang w:val="tr-TR"/>
              </w:rPr>
              <w:t xml:space="preserve">a </w:t>
            </w:r>
            <w:r w:rsidR="00B11C9C" w:rsidRPr="001A4B94">
              <w:rPr>
                <w:sz w:val="20"/>
                <w:szCs w:val="20"/>
                <w:lang w:val="tr-TR"/>
              </w:rPr>
              <w:t>araçları</w:t>
            </w:r>
            <w:r w:rsidR="009B1D3A" w:rsidRPr="001A4B94">
              <w:rPr>
                <w:sz w:val="20"/>
                <w:szCs w:val="20"/>
                <w:lang w:val="tr-TR"/>
              </w:rPr>
              <w:t xml:space="preserve">. </w:t>
            </w:r>
          </w:p>
          <w:p w14:paraId="6CEA4F9B" w14:textId="181720A5" w:rsidR="009B1D3A" w:rsidRPr="001A4B94" w:rsidRDefault="00B11C9C" w:rsidP="004B2181">
            <w:pPr>
              <w:spacing w:after="80"/>
              <w:ind w:right="-57"/>
              <w:contextualSpacing/>
              <w:rPr>
                <w:sz w:val="20"/>
                <w:szCs w:val="20"/>
                <w:lang w:val="tr-TR"/>
              </w:rPr>
            </w:pPr>
            <w:r w:rsidRPr="001A4B94">
              <w:rPr>
                <w:sz w:val="20"/>
                <w:szCs w:val="20"/>
                <w:lang w:val="tr-TR"/>
              </w:rPr>
              <w:t xml:space="preserve">Bankalara ve BDFK’lara </w:t>
            </w:r>
            <w:r w:rsidR="009B1D3A" w:rsidRPr="001A4B94">
              <w:rPr>
                <w:sz w:val="20"/>
                <w:szCs w:val="20"/>
                <w:lang w:val="tr-TR"/>
              </w:rPr>
              <w:t>(</w:t>
            </w:r>
            <w:r w:rsidR="00A27D8B" w:rsidRPr="001A4B94">
              <w:rPr>
                <w:sz w:val="20"/>
                <w:szCs w:val="20"/>
                <w:lang w:val="tr-TR"/>
              </w:rPr>
              <w:t>kiralama ve faktöring şirketleri ve sıkıntıdaki varlık platformları</w:t>
            </w:r>
            <w:r w:rsidR="009B1D3A" w:rsidRPr="001A4B94">
              <w:rPr>
                <w:sz w:val="20"/>
                <w:szCs w:val="20"/>
                <w:lang w:val="tr-TR"/>
              </w:rPr>
              <w:t xml:space="preserve">) </w:t>
            </w:r>
            <w:r w:rsidR="00FB7188" w:rsidRPr="001A4B94">
              <w:rPr>
                <w:sz w:val="20"/>
                <w:szCs w:val="20"/>
                <w:lang w:val="tr-TR"/>
              </w:rPr>
              <w:t>yetersiz hizmet alan kesimlere sa</w:t>
            </w:r>
            <w:r w:rsidR="00A27D8B" w:rsidRPr="001A4B94">
              <w:rPr>
                <w:sz w:val="20"/>
                <w:szCs w:val="20"/>
                <w:lang w:val="tr-TR"/>
              </w:rPr>
              <w:t>ğ</w:t>
            </w:r>
            <w:r w:rsidR="00FB7188" w:rsidRPr="001A4B94">
              <w:rPr>
                <w:sz w:val="20"/>
                <w:szCs w:val="20"/>
                <w:lang w:val="tr-TR"/>
              </w:rPr>
              <w:t>ladıkl</w:t>
            </w:r>
            <w:r w:rsidR="00A27D8B" w:rsidRPr="001A4B94">
              <w:rPr>
                <w:sz w:val="20"/>
                <w:szCs w:val="20"/>
                <w:lang w:val="tr-TR"/>
              </w:rPr>
              <w:t>a</w:t>
            </w:r>
            <w:r w:rsidR="00FB7188" w:rsidRPr="001A4B94">
              <w:rPr>
                <w:sz w:val="20"/>
                <w:szCs w:val="20"/>
                <w:lang w:val="tr-TR"/>
              </w:rPr>
              <w:t xml:space="preserve">rı finansmanı arttırabilmeleri için uzun vadeli finansman </w:t>
            </w:r>
          </w:p>
          <w:p w14:paraId="494D4B0B" w14:textId="2DF5CB8A" w:rsidR="009B1D3A" w:rsidRPr="001A4B94" w:rsidRDefault="00C12FEE" w:rsidP="004B2181">
            <w:pPr>
              <w:spacing w:after="80"/>
              <w:ind w:right="-57"/>
              <w:contextualSpacing/>
              <w:rPr>
                <w:sz w:val="20"/>
                <w:szCs w:val="20"/>
                <w:lang w:val="tr-TR"/>
              </w:rPr>
            </w:pPr>
            <w:r w:rsidRPr="001A4B94">
              <w:rPr>
                <w:sz w:val="20"/>
                <w:szCs w:val="20"/>
                <w:lang w:val="tr-TR"/>
              </w:rPr>
              <w:t xml:space="preserve">Tedarik zinciri finansman </w:t>
            </w:r>
            <w:r w:rsidR="00A97645" w:rsidRPr="001A4B94">
              <w:rPr>
                <w:sz w:val="20"/>
                <w:szCs w:val="20"/>
                <w:lang w:val="tr-TR"/>
              </w:rPr>
              <w:t>çöz</w:t>
            </w:r>
            <w:r w:rsidR="00A27D8B" w:rsidRPr="001A4B94">
              <w:rPr>
                <w:sz w:val="20"/>
                <w:szCs w:val="20"/>
                <w:lang w:val="tr-TR"/>
              </w:rPr>
              <w:t>ü</w:t>
            </w:r>
            <w:r w:rsidR="00A97645" w:rsidRPr="001A4B94">
              <w:rPr>
                <w:sz w:val="20"/>
                <w:szCs w:val="20"/>
                <w:lang w:val="tr-TR"/>
              </w:rPr>
              <w:t xml:space="preserve">mleri </w:t>
            </w:r>
          </w:p>
          <w:p w14:paraId="330A06A9" w14:textId="570F3390" w:rsidR="00622088" w:rsidRPr="001A4B94" w:rsidRDefault="00622088" w:rsidP="004B2181">
            <w:pPr>
              <w:pStyle w:val="Default"/>
              <w:spacing w:after="80"/>
              <w:ind w:right="-57"/>
              <w:rPr>
                <w:b/>
                <w:color w:val="auto"/>
                <w:sz w:val="20"/>
                <w:szCs w:val="20"/>
                <w:lang w:val="tr-TR"/>
              </w:rPr>
            </w:pPr>
            <w:r w:rsidRPr="001A4B94">
              <w:rPr>
                <w:b/>
                <w:color w:val="auto"/>
                <w:sz w:val="20"/>
                <w:szCs w:val="20"/>
                <w:lang w:val="tr-TR"/>
              </w:rPr>
              <w:t xml:space="preserve">IFC </w:t>
            </w:r>
            <w:r w:rsidR="00A97645" w:rsidRPr="001A4B94">
              <w:rPr>
                <w:b/>
                <w:color w:val="auto"/>
                <w:sz w:val="20"/>
                <w:szCs w:val="20"/>
                <w:lang w:val="tr-TR"/>
              </w:rPr>
              <w:t>danışmanlık hizmetleri</w:t>
            </w:r>
            <w:r w:rsidRPr="001A4B94">
              <w:rPr>
                <w:b/>
                <w:color w:val="auto"/>
                <w:sz w:val="20"/>
                <w:szCs w:val="20"/>
                <w:lang w:val="tr-TR"/>
              </w:rPr>
              <w:t xml:space="preserve">: </w:t>
            </w:r>
            <w:r w:rsidR="00A97645" w:rsidRPr="001A4B94">
              <w:rPr>
                <w:color w:val="auto"/>
                <w:sz w:val="20"/>
                <w:szCs w:val="20"/>
                <w:lang w:val="tr-TR"/>
              </w:rPr>
              <w:t>Belediye tahvil piyas</w:t>
            </w:r>
            <w:r w:rsidR="00A27D8B" w:rsidRPr="001A4B94">
              <w:rPr>
                <w:color w:val="auto"/>
                <w:sz w:val="20"/>
                <w:szCs w:val="20"/>
                <w:lang w:val="tr-TR"/>
              </w:rPr>
              <w:t>a</w:t>
            </w:r>
            <w:r w:rsidR="00A97645" w:rsidRPr="001A4B94">
              <w:rPr>
                <w:color w:val="auto"/>
                <w:sz w:val="20"/>
                <w:szCs w:val="20"/>
                <w:lang w:val="tr-TR"/>
              </w:rPr>
              <w:t xml:space="preserve">sının geliştirilmesi </w:t>
            </w:r>
            <w:r w:rsidRPr="001A4B94">
              <w:rPr>
                <w:color w:val="auto"/>
                <w:sz w:val="20"/>
                <w:szCs w:val="20"/>
                <w:lang w:val="tr-TR"/>
              </w:rPr>
              <w:t>(IBRD</w:t>
            </w:r>
            <w:r w:rsidR="00A97645" w:rsidRPr="001A4B94">
              <w:rPr>
                <w:color w:val="auto"/>
                <w:sz w:val="20"/>
                <w:szCs w:val="20"/>
                <w:lang w:val="tr-TR"/>
              </w:rPr>
              <w:t xml:space="preserve"> ile birlikte</w:t>
            </w:r>
            <w:r w:rsidRPr="001A4B94">
              <w:rPr>
                <w:color w:val="auto"/>
                <w:sz w:val="20"/>
                <w:szCs w:val="20"/>
                <w:lang w:val="tr-TR"/>
              </w:rPr>
              <w:t>)</w:t>
            </w:r>
          </w:p>
          <w:p w14:paraId="74FFBB63" w14:textId="32BA2632" w:rsidR="00622088" w:rsidRPr="001A4B94" w:rsidRDefault="00622088" w:rsidP="004B2181">
            <w:pPr>
              <w:ind w:right="-57"/>
              <w:rPr>
                <w:b/>
                <w:sz w:val="20"/>
                <w:szCs w:val="20"/>
                <w:lang w:val="tr-TR"/>
              </w:rPr>
            </w:pPr>
            <w:r w:rsidRPr="001A4B94">
              <w:rPr>
                <w:b/>
                <w:sz w:val="20"/>
                <w:szCs w:val="20"/>
                <w:lang w:val="tr-TR"/>
              </w:rPr>
              <w:t xml:space="preserve">MIGA: </w:t>
            </w:r>
            <w:r w:rsidR="00A97645" w:rsidRPr="001A4B94">
              <w:rPr>
                <w:sz w:val="20"/>
                <w:szCs w:val="20"/>
                <w:lang w:val="tr-TR"/>
              </w:rPr>
              <w:t>Türk Exi</w:t>
            </w:r>
            <w:r w:rsidR="00A27D8B" w:rsidRPr="001A4B94">
              <w:rPr>
                <w:sz w:val="20"/>
                <w:szCs w:val="20"/>
                <w:lang w:val="tr-TR"/>
              </w:rPr>
              <w:t>m</w:t>
            </w:r>
            <w:r w:rsidR="00A97645" w:rsidRPr="001A4B94">
              <w:rPr>
                <w:sz w:val="20"/>
                <w:szCs w:val="20"/>
                <w:lang w:val="tr-TR"/>
              </w:rPr>
              <w:t>ba</w:t>
            </w:r>
            <w:r w:rsidR="00A27D8B" w:rsidRPr="001A4B94">
              <w:rPr>
                <w:sz w:val="20"/>
                <w:szCs w:val="20"/>
                <w:lang w:val="tr-TR"/>
              </w:rPr>
              <w:t>n</w:t>
            </w:r>
            <w:r w:rsidR="00A97645" w:rsidRPr="001A4B94">
              <w:rPr>
                <w:sz w:val="20"/>
                <w:szCs w:val="20"/>
                <w:lang w:val="tr-TR"/>
              </w:rPr>
              <w:t>k için, bir kamu iktisadi teşebbüsünün finansal bir yükümlülüğünü yerine getirmemesi durumuna karşı garanti sağlanması</w:t>
            </w:r>
            <w:r w:rsidR="00A97645" w:rsidRPr="001A4B94">
              <w:rPr>
                <w:b/>
                <w:sz w:val="20"/>
                <w:szCs w:val="20"/>
                <w:lang w:val="tr-TR"/>
              </w:rPr>
              <w:t xml:space="preserve"> </w:t>
            </w:r>
            <w:r w:rsidRPr="001A4B94">
              <w:rPr>
                <w:sz w:val="20"/>
                <w:szCs w:val="20"/>
                <w:lang w:val="tr-TR"/>
              </w:rPr>
              <w:t xml:space="preserve">(NHFO-SOE) </w:t>
            </w:r>
          </w:p>
        </w:tc>
      </w:tr>
      <w:tr w:rsidR="00622088" w:rsidRPr="001A4B94" w14:paraId="72268BAC" w14:textId="77777777" w:rsidTr="004B2181">
        <w:tc>
          <w:tcPr>
            <w:tcW w:w="13320" w:type="dxa"/>
            <w:gridSpan w:val="3"/>
            <w:shd w:val="clear" w:color="auto" w:fill="EDEDED" w:themeFill="accent3" w:themeFillTint="33"/>
          </w:tcPr>
          <w:p w14:paraId="460969A4" w14:textId="0CDF55F3" w:rsidR="00622088" w:rsidRPr="001A4B94" w:rsidRDefault="00622088" w:rsidP="00622088">
            <w:pPr>
              <w:tabs>
                <w:tab w:val="left" w:pos="426"/>
              </w:tabs>
              <w:spacing w:before="120" w:after="120"/>
              <w:jc w:val="center"/>
              <w:rPr>
                <w:b/>
                <w:sz w:val="22"/>
                <w:szCs w:val="22"/>
                <w:lang w:val="tr-TR"/>
              </w:rPr>
            </w:pPr>
            <w:r w:rsidRPr="001A4B94">
              <w:rPr>
                <w:b/>
                <w:sz w:val="22"/>
                <w:szCs w:val="22"/>
                <w:lang w:val="tr-TR"/>
              </w:rPr>
              <w:t xml:space="preserve">CPF </w:t>
            </w:r>
            <w:r w:rsidR="00A27D8B" w:rsidRPr="001A4B94">
              <w:rPr>
                <w:b/>
                <w:sz w:val="22"/>
                <w:szCs w:val="22"/>
                <w:lang w:val="tr-TR"/>
              </w:rPr>
              <w:t xml:space="preserve">Amacı </w:t>
            </w:r>
            <w:r w:rsidRPr="001A4B94">
              <w:rPr>
                <w:b/>
                <w:sz w:val="22"/>
                <w:szCs w:val="22"/>
                <w:lang w:val="tr-TR"/>
              </w:rPr>
              <w:t xml:space="preserve">3: </w:t>
            </w:r>
            <w:r w:rsidR="00A27D8B" w:rsidRPr="001A4B94">
              <w:rPr>
                <w:b/>
                <w:bCs/>
                <w:sz w:val="22"/>
                <w:szCs w:val="22"/>
                <w:lang w:val="tr-TR"/>
              </w:rPr>
              <w:t>Seçilen Sektörlerde  Rekabet Gücünün ve İstihdamın Arttırılması</w:t>
            </w:r>
            <w:r w:rsidR="00A27D8B" w:rsidRPr="001A4B94">
              <w:rPr>
                <w:b/>
                <w:bCs/>
                <w:sz w:val="22"/>
                <w:szCs w:val="22"/>
                <w:u w:val="single"/>
                <w:lang w:val="tr-TR"/>
              </w:rPr>
              <w:t xml:space="preserve"> </w:t>
            </w:r>
          </w:p>
        </w:tc>
      </w:tr>
      <w:tr w:rsidR="00622088" w:rsidRPr="001A4B94" w14:paraId="0D0F2DD9" w14:textId="77777777" w:rsidTr="004B2181">
        <w:tc>
          <w:tcPr>
            <w:tcW w:w="13320" w:type="dxa"/>
            <w:gridSpan w:val="3"/>
          </w:tcPr>
          <w:p w14:paraId="7B9668E4" w14:textId="77777777" w:rsidR="004B2181" w:rsidRPr="001A4B94" w:rsidRDefault="00A27D8B" w:rsidP="004B2181">
            <w:pPr>
              <w:pStyle w:val="ListeParagraf"/>
              <w:tabs>
                <w:tab w:val="left" w:pos="426"/>
                <w:tab w:val="left" w:pos="2970"/>
              </w:tabs>
              <w:autoSpaceDE w:val="0"/>
              <w:autoSpaceDN w:val="0"/>
              <w:adjustRightInd w:val="0"/>
              <w:spacing w:after="120" w:line="240" w:lineRule="auto"/>
              <w:ind w:left="0"/>
              <w:jc w:val="both"/>
              <w:rPr>
                <w:rFonts w:ascii="Times New Roman" w:hAnsi="Times New Roman"/>
                <w:sz w:val="21"/>
                <w:szCs w:val="21"/>
                <w:lang w:val="tr-TR"/>
              </w:rPr>
            </w:pPr>
            <w:r w:rsidRPr="001A4B94">
              <w:rPr>
                <w:rFonts w:ascii="Times New Roman" w:hAnsi="Times New Roman"/>
                <w:b/>
                <w:lang w:val="tr-TR"/>
              </w:rPr>
              <w:t>Müdahale Mantığı</w:t>
            </w:r>
            <w:r w:rsidR="00622088" w:rsidRPr="001A4B94">
              <w:rPr>
                <w:rFonts w:ascii="Times New Roman" w:hAnsi="Times New Roman"/>
                <w:b/>
                <w:lang w:val="tr-TR"/>
              </w:rPr>
              <w:t>:</w:t>
            </w:r>
            <w:r w:rsidR="00622088" w:rsidRPr="001A4B94">
              <w:rPr>
                <w:rFonts w:ascii="Times New Roman" w:hAnsi="Times New Roman"/>
                <w:lang w:val="tr-TR"/>
              </w:rPr>
              <w:t xml:space="preserve">  </w:t>
            </w:r>
            <w:r w:rsidRPr="001A4B94">
              <w:rPr>
                <w:rFonts w:ascii="Times New Roman" w:hAnsi="Times New Roman"/>
                <w:sz w:val="21"/>
                <w:szCs w:val="21"/>
                <w:lang w:val="tr-TR"/>
              </w:rPr>
              <w:t>Sistematik Ülke Değerlendirmesi, Türkiye’deki işletmelerin  yenilikçilik yaparak, üretkenliklerini arttırarak ve değer zincirinde daha yüksek seviyelere tırmanarak rekabet güçlerini arttırmaları gerektiğini ortaya koymuştur</w:t>
            </w:r>
            <w:r w:rsidR="00EB2CF9" w:rsidRPr="001A4B94">
              <w:rPr>
                <w:rFonts w:ascii="Times New Roman" w:hAnsi="Times New Roman"/>
                <w:sz w:val="21"/>
                <w:szCs w:val="21"/>
                <w:lang w:val="tr-TR"/>
              </w:rPr>
              <w:t xml:space="preserve">.  IBRD’nin </w:t>
            </w:r>
            <w:r w:rsidR="00622088" w:rsidRPr="001A4B94">
              <w:rPr>
                <w:rFonts w:ascii="Times New Roman" w:hAnsi="Times New Roman"/>
                <w:sz w:val="21"/>
                <w:szCs w:val="21"/>
                <w:lang w:val="tr-TR"/>
              </w:rPr>
              <w:t>program</w:t>
            </w:r>
            <w:r w:rsidR="00EB2CF9" w:rsidRPr="001A4B94">
              <w:rPr>
                <w:rFonts w:ascii="Times New Roman" w:hAnsi="Times New Roman"/>
                <w:sz w:val="21"/>
                <w:szCs w:val="21"/>
                <w:lang w:val="tr-TR"/>
              </w:rPr>
              <w:t>ı</w:t>
            </w:r>
            <w:r w:rsidR="00622088" w:rsidRPr="001A4B94">
              <w:rPr>
                <w:rFonts w:ascii="Times New Roman" w:hAnsi="Times New Roman"/>
                <w:sz w:val="21"/>
                <w:szCs w:val="21"/>
                <w:lang w:val="tr-TR"/>
              </w:rPr>
              <w:t xml:space="preserve"> </w:t>
            </w:r>
            <w:r w:rsidR="00EB2CF9" w:rsidRPr="001A4B94">
              <w:rPr>
                <w:rFonts w:ascii="Times New Roman" w:hAnsi="Times New Roman"/>
                <w:sz w:val="21"/>
                <w:szCs w:val="21"/>
                <w:lang w:val="tr-TR"/>
              </w:rPr>
              <w:t>Hük</w:t>
            </w:r>
            <w:r w:rsidR="00447756" w:rsidRPr="001A4B94">
              <w:rPr>
                <w:rFonts w:ascii="Times New Roman" w:hAnsi="Times New Roman"/>
                <w:sz w:val="21"/>
                <w:szCs w:val="21"/>
                <w:lang w:val="tr-TR"/>
              </w:rPr>
              <w:t>ü</w:t>
            </w:r>
            <w:r w:rsidR="00EB2CF9" w:rsidRPr="001A4B94">
              <w:rPr>
                <w:rFonts w:ascii="Times New Roman" w:hAnsi="Times New Roman"/>
                <w:sz w:val="21"/>
                <w:szCs w:val="21"/>
                <w:lang w:val="tr-TR"/>
              </w:rPr>
              <w:t xml:space="preserve">metin rekabetçilik, </w:t>
            </w:r>
            <w:r w:rsidR="00447756" w:rsidRPr="001A4B94">
              <w:rPr>
                <w:rFonts w:ascii="Times New Roman" w:hAnsi="Times New Roman"/>
                <w:sz w:val="21"/>
                <w:szCs w:val="21"/>
                <w:lang w:val="tr-TR"/>
              </w:rPr>
              <w:t>ticaretin serbestleştirilmesi</w:t>
            </w:r>
            <w:r w:rsidR="00EB2CF9" w:rsidRPr="001A4B94">
              <w:rPr>
                <w:rFonts w:ascii="Times New Roman" w:hAnsi="Times New Roman"/>
                <w:sz w:val="21"/>
                <w:szCs w:val="21"/>
                <w:lang w:val="tr-TR"/>
              </w:rPr>
              <w:t xml:space="preserve">, </w:t>
            </w:r>
            <w:r w:rsidR="00447756" w:rsidRPr="001A4B94">
              <w:rPr>
                <w:rFonts w:ascii="Times New Roman" w:hAnsi="Times New Roman"/>
                <w:sz w:val="21"/>
                <w:szCs w:val="21"/>
                <w:lang w:val="tr-TR"/>
              </w:rPr>
              <w:t>ihracat kalitesi</w:t>
            </w:r>
            <w:r w:rsidR="00EB2CF9" w:rsidRPr="001A4B94">
              <w:rPr>
                <w:rFonts w:ascii="Times New Roman" w:hAnsi="Times New Roman"/>
                <w:sz w:val="21"/>
                <w:szCs w:val="21"/>
                <w:lang w:val="tr-TR"/>
              </w:rPr>
              <w:t xml:space="preserve">, </w:t>
            </w:r>
            <w:r w:rsidR="00447756" w:rsidRPr="001A4B94">
              <w:rPr>
                <w:rFonts w:ascii="Times New Roman" w:hAnsi="Times New Roman"/>
                <w:sz w:val="21"/>
                <w:szCs w:val="21"/>
                <w:lang w:val="tr-TR"/>
              </w:rPr>
              <w:t>yenilikçilik</w:t>
            </w:r>
            <w:r w:rsidR="00EB2CF9" w:rsidRPr="001A4B94">
              <w:rPr>
                <w:rFonts w:ascii="Times New Roman" w:hAnsi="Times New Roman"/>
                <w:sz w:val="21"/>
                <w:szCs w:val="21"/>
                <w:lang w:val="tr-TR"/>
              </w:rPr>
              <w:t xml:space="preserve">, </w:t>
            </w:r>
            <w:r w:rsidR="00447756" w:rsidRPr="001A4B94">
              <w:rPr>
                <w:rFonts w:ascii="Times New Roman" w:hAnsi="Times New Roman"/>
                <w:sz w:val="21"/>
                <w:szCs w:val="21"/>
                <w:lang w:val="tr-TR"/>
              </w:rPr>
              <w:t>değ</w:t>
            </w:r>
            <w:r w:rsidR="007108C8" w:rsidRPr="001A4B94">
              <w:rPr>
                <w:rFonts w:ascii="Times New Roman" w:hAnsi="Times New Roman"/>
                <w:sz w:val="21"/>
                <w:szCs w:val="21"/>
                <w:lang w:val="tr-TR"/>
              </w:rPr>
              <w:t>er zin</w:t>
            </w:r>
            <w:r w:rsidR="00447756" w:rsidRPr="001A4B94">
              <w:rPr>
                <w:rFonts w:ascii="Times New Roman" w:hAnsi="Times New Roman"/>
                <w:sz w:val="21"/>
                <w:szCs w:val="21"/>
                <w:lang w:val="tr-TR"/>
              </w:rPr>
              <w:t>cirinin ilerletilmesi</w:t>
            </w:r>
            <w:r w:rsidR="00EB2CF9" w:rsidRPr="001A4B94">
              <w:rPr>
                <w:rFonts w:ascii="Times New Roman" w:hAnsi="Times New Roman"/>
                <w:sz w:val="21"/>
                <w:szCs w:val="21"/>
                <w:lang w:val="tr-TR"/>
              </w:rPr>
              <w:t xml:space="preserve">, </w:t>
            </w:r>
            <w:r w:rsidR="00447756" w:rsidRPr="001A4B94">
              <w:rPr>
                <w:rFonts w:ascii="Times New Roman" w:hAnsi="Times New Roman"/>
                <w:sz w:val="21"/>
                <w:szCs w:val="21"/>
                <w:lang w:val="tr-TR"/>
              </w:rPr>
              <w:t xml:space="preserve">doğrudan yabancı yatırım (DYY) çekme yeteneği ve bölgesel yatırım ortamları ile ilgili </w:t>
            </w:r>
            <w:r w:rsidR="00EB2CF9" w:rsidRPr="001A4B94">
              <w:rPr>
                <w:rFonts w:ascii="Times New Roman" w:hAnsi="Times New Roman"/>
                <w:sz w:val="21"/>
                <w:szCs w:val="21"/>
                <w:lang w:val="tr-TR"/>
              </w:rPr>
              <w:t xml:space="preserve">çabalarını destekleyen bir </w:t>
            </w:r>
            <w:r w:rsidR="00447756" w:rsidRPr="001A4B94">
              <w:rPr>
                <w:rFonts w:ascii="Times New Roman" w:hAnsi="Times New Roman"/>
                <w:sz w:val="21"/>
                <w:szCs w:val="21"/>
                <w:lang w:val="tr-TR"/>
              </w:rPr>
              <w:t>Ülke Ekonomik Memorandumu (</w:t>
            </w:r>
            <w:r w:rsidR="00EB2CF9" w:rsidRPr="001A4B94">
              <w:rPr>
                <w:rFonts w:ascii="Times New Roman" w:hAnsi="Times New Roman"/>
                <w:sz w:val="21"/>
                <w:szCs w:val="21"/>
                <w:lang w:val="tr-TR"/>
              </w:rPr>
              <w:t>CEM</w:t>
            </w:r>
            <w:r w:rsidR="00447756" w:rsidRPr="001A4B94">
              <w:rPr>
                <w:rFonts w:ascii="Times New Roman" w:hAnsi="Times New Roman"/>
                <w:sz w:val="21"/>
                <w:szCs w:val="21"/>
                <w:lang w:val="tr-TR"/>
              </w:rPr>
              <w:t>)</w:t>
            </w:r>
            <w:r w:rsidR="00EB2CF9" w:rsidRPr="001A4B94">
              <w:rPr>
                <w:rFonts w:ascii="Times New Roman" w:hAnsi="Times New Roman"/>
                <w:sz w:val="21"/>
                <w:szCs w:val="21"/>
                <w:lang w:val="tr-TR"/>
              </w:rPr>
              <w:t xml:space="preserve"> yoluyla</w:t>
            </w:r>
            <w:r w:rsidR="00447756" w:rsidRPr="001A4B94">
              <w:rPr>
                <w:rFonts w:ascii="Times New Roman" w:hAnsi="Times New Roman"/>
                <w:sz w:val="21"/>
                <w:szCs w:val="21"/>
                <w:lang w:val="tr-TR"/>
              </w:rPr>
              <w:t xml:space="preserve"> </w:t>
            </w:r>
            <w:r w:rsidR="00EB2CF9" w:rsidRPr="001A4B94">
              <w:rPr>
                <w:rFonts w:ascii="Times New Roman" w:hAnsi="Times New Roman"/>
                <w:sz w:val="21"/>
                <w:szCs w:val="21"/>
                <w:lang w:val="tr-TR"/>
              </w:rPr>
              <w:t>derinlemesine bir tanılama çalı</w:t>
            </w:r>
            <w:r w:rsidR="00447756" w:rsidRPr="001A4B94">
              <w:rPr>
                <w:rFonts w:ascii="Times New Roman" w:hAnsi="Times New Roman"/>
                <w:sz w:val="21"/>
                <w:szCs w:val="21"/>
                <w:lang w:val="tr-TR"/>
              </w:rPr>
              <w:t>ş</w:t>
            </w:r>
            <w:r w:rsidR="00EB2CF9" w:rsidRPr="001A4B94">
              <w:rPr>
                <w:rFonts w:ascii="Times New Roman" w:hAnsi="Times New Roman"/>
                <w:sz w:val="21"/>
                <w:szCs w:val="21"/>
                <w:lang w:val="tr-TR"/>
              </w:rPr>
              <w:t>ması üzerin</w:t>
            </w:r>
            <w:r w:rsidR="00447756" w:rsidRPr="001A4B94">
              <w:rPr>
                <w:rFonts w:ascii="Times New Roman" w:hAnsi="Times New Roman"/>
                <w:sz w:val="21"/>
                <w:szCs w:val="21"/>
                <w:lang w:val="tr-TR"/>
              </w:rPr>
              <w:t>d</w:t>
            </w:r>
            <w:r w:rsidR="00EB2CF9" w:rsidRPr="001A4B94">
              <w:rPr>
                <w:rFonts w:ascii="Times New Roman" w:hAnsi="Times New Roman"/>
                <w:sz w:val="21"/>
                <w:szCs w:val="21"/>
                <w:lang w:val="tr-TR"/>
              </w:rPr>
              <w:t>e odaklanacaktır.</w:t>
            </w:r>
            <w:r w:rsidR="00622088" w:rsidRPr="001A4B94">
              <w:rPr>
                <w:rFonts w:ascii="Times New Roman" w:hAnsi="Times New Roman"/>
                <w:sz w:val="21"/>
                <w:szCs w:val="21"/>
                <w:lang w:val="tr-TR"/>
              </w:rPr>
              <w:t xml:space="preserve"> </w:t>
            </w:r>
            <w:r w:rsidR="00447756" w:rsidRPr="001A4B94">
              <w:rPr>
                <w:rFonts w:ascii="Times New Roman" w:hAnsi="Times New Roman"/>
                <w:sz w:val="21"/>
                <w:szCs w:val="21"/>
                <w:lang w:val="tr-TR"/>
              </w:rPr>
              <w:t>Bunu tamamlayıcı olarak, özellikle Organize Sanayi Bö</w:t>
            </w:r>
            <w:r w:rsidR="00C0436D" w:rsidRPr="001A4B94">
              <w:rPr>
                <w:rFonts w:ascii="Times New Roman" w:hAnsi="Times New Roman"/>
                <w:sz w:val="21"/>
                <w:szCs w:val="21"/>
                <w:lang w:val="tr-TR"/>
              </w:rPr>
              <w:t>lgeleri (OSB) üzerinde odaklanarak</w:t>
            </w:r>
            <w:r w:rsidR="00447756" w:rsidRPr="001A4B94">
              <w:rPr>
                <w:rFonts w:ascii="Times New Roman" w:hAnsi="Times New Roman"/>
                <w:sz w:val="21"/>
                <w:szCs w:val="21"/>
                <w:lang w:val="tr-TR"/>
              </w:rPr>
              <w:t xml:space="preserve">,  </w:t>
            </w:r>
            <w:r w:rsidR="00C0436D" w:rsidRPr="001A4B94">
              <w:rPr>
                <w:rFonts w:ascii="Times New Roman" w:hAnsi="Times New Roman"/>
                <w:sz w:val="21"/>
                <w:szCs w:val="21"/>
                <w:lang w:val="tr-TR"/>
              </w:rPr>
              <w:t xml:space="preserve">rekabet gücünün </w:t>
            </w:r>
            <w:r w:rsidR="00447756" w:rsidRPr="001A4B94">
              <w:rPr>
                <w:rFonts w:ascii="Times New Roman" w:hAnsi="Times New Roman"/>
                <w:sz w:val="21"/>
                <w:szCs w:val="21"/>
                <w:lang w:val="tr-TR"/>
              </w:rPr>
              <w:t xml:space="preserve">kaynak verimliliği ve daha temiz üretim ile ilgili </w:t>
            </w:r>
            <w:r w:rsidR="00C0436D" w:rsidRPr="001A4B94">
              <w:rPr>
                <w:rFonts w:ascii="Times New Roman" w:hAnsi="Times New Roman"/>
                <w:sz w:val="21"/>
                <w:szCs w:val="21"/>
                <w:lang w:val="tr-TR"/>
              </w:rPr>
              <w:t xml:space="preserve">boyutlarının ve düzenleyici ortamın iyileştirilmesine yönelik  </w:t>
            </w:r>
            <w:r w:rsidR="00447756" w:rsidRPr="001A4B94">
              <w:rPr>
                <w:rFonts w:ascii="Times New Roman" w:hAnsi="Times New Roman"/>
                <w:sz w:val="21"/>
                <w:szCs w:val="21"/>
                <w:lang w:val="tr-TR"/>
              </w:rPr>
              <w:t xml:space="preserve">teknik yardım faaliyetleri  </w:t>
            </w:r>
            <w:r w:rsidR="00C0436D" w:rsidRPr="001A4B94">
              <w:rPr>
                <w:rFonts w:ascii="Times New Roman" w:hAnsi="Times New Roman"/>
                <w:sz w:val="21"/>
                <w:szCs w:val="21"/>
                <w:lang w:val="tr-TR"/>
              </w:rPr>
              <w:t>gerçekleştirilecektir</w:t>
            </w:r>
            <w:r w:rsidR="00622088" w:rsidRPr="001A4B94">
              <w:rPr>
                <w:rFonts w:ascii="Times New Roman" w:hAnsi="Times New Roman"/>
                <w:sz w:val="21"/>
                <w:szCs w:val="21"/>
                <w:lang w:val="tr-TR"/>
              </w:rPr>
              <w:t xml:space="preserve">. </w:t>
            </w:r>
            <w:r w:rsidR="00C0436D" w:rsidRPr="001A4B94">
              <w:rPr>
                <w:rFonts w:ascii="Times New Roman" w:hAnsi="Times New Roman"/>
                <w:sz w:val="21"/>
                <w:szCs w:val="21"/>
                <w:lang w:val="tr-TR"/>
              </w:rPr>
              <w:t xml:space="preserve">Bu ASA faaliyetleri gelecekteki DPL dizilerinde ele alınabilecek ilgili reformların temelini oluşturacak ve potansiyel olarak hızlı büyüyen veya yenilikçi KOBİ’lerin hedeflenmesine yardımcı olacaktır (bu da CPF’in 2 no’lu amacı kapsamında sağlanacak finansal sektör desteği yoluyla hedeflenebilecektir).  </w:t>
            </w:r>
            <w:r w:rsidR="007108C8" w:rsidRPr="001A4B94">
              <w:rPr>
                <w:rFonts w:ascii="Times New Roman" w:hAnsi="Times New Roman"/>
                <w:sz w:val="21"/>
                <w:szCs w:val="21"/>
                <w:lang w:val="tr-TR"/>
              </w:rPr>
              <w:t>Bu güçlendirilen çerçevenin, IFC ve MIGA desteği ile birlikte özel sektör yatırımlarının arttırılmasını sağlaması beklenmektedir.   CPF döneminin daha sonraki aşamalarında, IBRD müşteri talebine bağlı olarak, yenilikçiliği, teknoloji emilimini, daha temiz üretimi ve iyileştirilen iş ortamını destekleyici kredileri arttırabilir; bu husus PLR’de yansıtılacaktır</w:t>
            </w:r>
            <w:r w:rsidR="00622088" w:rsidRPr="001A4B94">
              <w:rPr>
                <w:rFonts w:ascii="Times New Roman" w:hAnsi="Times New Roman"/>
                <w:sz w:val="21"/>
                <w:szCs w:val="21"/>
                <w:lang w:val="tr-TR"/>
              </w:rPr>
              <w:t xml:space="preserve">.  </w:t>
            </w:r>
          </w:p>
          <w:p w14:paraId="3CAE7D71" w14:textId="5BE0F30E" w:rsidR="00306D96" w:rsidRPr="001A4B94" w:rsidRDefault="007108C8" w:rsidP="004B2181">
            <w:pPr>
              <w:pStyle w:val="ListeParagraf"/>
              <w:tabs>
                <w:tab w:val="left" w:pos="426"/>
                <w:tab w:val="left" w:pos="2970"/>
              </w:tabs>
              <w:autoSpaceDE w:val="0"/>
              <w:autoSpaceDN w:val="0"/>
              <w:adjustRightInd w:val="0"/>
              <w:spacing w:after="120" w:line="240" w:lineRule="auto"/>
              <w:ind w:left="0"/>
              <w:jc w:val="both"/>
              <w:rPr>
                <w:b/>
                <w:lang w:val="tr-TR"/>
              </w:rPr>
            </w:pPr>
            <w:r w:rsidRPr="001A4B94">
              <w:rPr>
                <w:rFonts w:ascii="Times New Roman" w:hAnsi="Times New Roman"/>
                <w:sz w:val="21"/>
                <w:szCs w:val="21"/>
                <w:lang w:val="tr-TR"/>
              </w:rPr>
              <w:t xml:space="preserve">Finansal aracılar ve reel sektör şirketleri ile doğrudan birlikte çalışma yoluyla, </w:t>
            </w:r>
            <w:r w:rsidR="008B0421" w:rsidRPr="001A4B94">
              <w:rPr>
                <w:rFonts w:ascii="Times New Roman" w:hAnsi="Times New Roman"/>
                <w:sz w:val="21"/>
                <w:szCs w:val="21"/>
                <w:lang w:val="tr-TR"/>
              </w:rPr>
              <w:t xml:space="preserve">IFC yeni teknolojileri, yenilikçiliği ve daha iyi yönetişimi destekleyen yatırımlar yoluyla  </w:t>
            </w:r>
            <w:r w:rsidRPr="001A4B94">
              <w:rPr>
                <w:rFonts w:ascii="Times New Roman" w:hAnsi="Times New Roman"/>
                <w:sz w:val="21"/>
                <w:szCs w:val="21"/>
                <w:lang w:val="tr-TR"/>
              </w:rPr>
              <w:t>Türkiye’deki şirketlerin rekabetçiliklerinin güçlendirilmesine yardımcı olacak ve bölgesel ve uluslararası ölçekte büyümelerini destekleyecektir</w:t>
            </w:r>
            <w:r w:rsidR="009B1D3A" w:rsidRPr="001A4B94">
              <w:rPr>
                <w:rFonts w:ascii="Times New Roman" w:hAnsi="Times New Roman"/>
                <w:sz w:val="21"/>
                <w:szCs w:val="21"/>
                <w:lang w:val="tr-TR"/>
              </w:rPr>
              <w:t xml:space="preserve">. </w:t>
            </w:r>
            <w:r w:rsidR="008B0421" w:rsidRPr="001A4B94">
              <w:rPr>
                <w:rFonts w:ascii="Times New Roman" w:hAnsi="Times New Roman"/>
                <w:sz w:val="21"/>
                <w:szCs w:val="21"/>
                <w:lang w:val="tr-TR"/>
              </w:rPr>
              <w:t xml:space="preserve">IFC yerel girişimciliği, rekabetçiliği ve yenilikçiliği teşvik eden sermaye fonlarına yatırım yapmaya devam edecek, aynı zamanda hızlı büyüyen ve yüksek katma değerli sektörlerde istihdamı destekleyecektir  </w:t>
            </w:r>
            <w:r w:rsidR="007247C3" w:rsidRPr="001A4B94">
              <w:rPr>
                <w:rFonts w:ascii="Times New Roman" w:hAnsi="Times New Roman"/>
                <w:sz w:val="21"/>
                <w:szCs w:val="21"/>
                <w:lang w:val="tr-TR"/>
              </w:rPr>
              <w:t>(</w:t>
            </w:r>
            <w:r w:rsidR="008B0421" w:rsidRPr="001A4B94">
              <w:rPr>
                <w:rFonts w:ascii="Times New Roman" w:hAnsi="Times New Roman"/>
                <w:sz w:val="21"/>
                <w:szCs w:val="21"/>
                <w:lang w:val="tr-TR"/>
              </w:rPr>
              <w:t>örneğin imalat, telekomünikasyon, teknoloji, tarımsal işletme</w:t>
            </w:r>
            <w:r w:rsidR="007247C3" w:rsidRPr="001A4B94">
              <w:rPr>
                <w:rFonts w:ascii="Times New Roman" w:hAnsi="Times New Roman"/>
                <w:sz w:val="21"/>
                <w:szCs w:val="21"/>
                <w:lang w:val="tr-TR"/>
              </w:rPr>
              <w:t>)</w:t>
            </w:r>
            <w:r w:rsidR="009B1D3A" w:rsidRPr="001A4B94">
              <w:rPr>
                <w:rFonts w:ascii="Times New Roman" w:hAnsi="Times New Roman"/>
                <w:sz w:val="21"/>
                <w:szCs w:val="21"/>
                <w:lang w:val="tr-TR"/>
              </w:rPr>
              <w:t>. IFC</w:t>
            </w:r>
            <w:r w:rsidR="008B0421" w:rsidRPr="001A4B94">
              <w:rPr>
                <w:rFonts w:ascii="Times New Roman" w:hAnsi="Times New Roman"/>
                <w:sz w:val="21"/>
                <w:szCs w:val="21"/>
                <w:lang w:val="tr-TR"/>
              </w:rPr>
              <w:t xml:space="preserve"> ayrıca</w:t>
            </w:r>
            <w:r w:rsidR="009B1D3A" w:rsidRPr="001A4B94">
              <w:rPr>
                <w:rFonts w:ascii="Times New Roman" w:hAnsi="Times New Roman"/>
                <w:sz w:val="21"/>
                <w:szCs w:val="21"/>
                <w:lang w:val="tr-TR"/>
              </w:rPr>
              <w:t xml:space="preserve"> </w:t>
            </w:r>
            <w:r w:rsidR="008B0421" w:rsidRPr="001A4B94">
              <w:rPr>
                <w:rFonts w:ascii="Times New Roman" w:hAnsi="Times New Roman"/>
                <w:sz w:val="21"/>
                <w:szCs w:val="21"/>
                <w:lang w:val="tr-TR"/>
              </w:rPr>
              <w:t>ticaret finansmanı sağlayan bankalara garantiler sağlayarak riskleri azaltan Küresel Ticaret Finansmanı programını genişletecektir.</w:t>
            </w:r>
            <w:r w:rsidR="009B1D3A" w:rsidRPr="001A4B94">
              <w:rPr>
                <w:rFonts w:ascii="Times New Roman" w:hAnsi="Times New Roman"/>
                <w:sz w:val="21"/>
                <w:szCs w:val="21"/>
                <w:lang w:val="tr-TR"/>
              </w:rPr>
              <w:t xml:space="preserve"> IFC </w:t>
            </w:r>
            <w:r w:rsidR="004B2181" w:rsidRPr="001A4B94">
              <w:rPr>
                <w:rFonts w:ascii="Times New Roman" w:hAnsi="Times New Roman"/>
                <w:sz w:val="21"/>
                <w:szCs w:val="21"/>
                <w:lang w:val="tr-TR"/>
              </w:rPr>
              <w:t>Tük şirketlerine kurumsal yönetişim danışmanlık hizmetleri ile birlikte KOBİ’ler ve hızlı büyüyen değer zincirleri arasındaki bağlantıları iyileştirmeye yönelik teknik yardım sağlayacaktır</w:t>
            </w:r>
            <w:r w:rsidR="009B1D3A" w:rsidRPr="001A4B94">
              <w:rPr>
                <w:rFonts w:ascii="Times New Roman" w:hAnsi="Times New Roman"/>
                <w:sz w:val="21"/>
                <w:szCs w:val="21"/>
                <w:lang w:val="tr-TR"/>
              </w:rPr>
              <w:t>.</w:t>
            </w:r>
          </w:p>
        </w:tc>
      </w:tr>
    </w:tbl>
    <w:p w14:paraId="5CA45B0B" w14:textId="77777777" w:rsidR="00306D96" w:rsidRPr="001A4B94" w:rsidRDefault="00306D96">
      <w:pPr>
        <w:rPr>
          <w:lang w:val="tr-TR"/>
        </w:rPr>
      </w:pPr>
      <w:r w:rsidRPr="001A4B94">
        <w:rPr>
          <w:lang w:val="tr-TR"/>
        </w:rPr>
        <w:br w:type="page"/>
      </w:r>
    </w:p>
    <w:tbl>
      <w:tblPr>
        <w:tblStyle w:val="TabloKlavuzu"/>
        <w:tblW w:w="13225" w:type="dxa"/>
        <w:tblLook w:val="04A0" w:firstRow="1" w:lastRow="0" w:firstColumn="1" w:lastColumn="0" w:noHBand="0" w:noVBand="1"/>
      </w:tblPr>
      <w:tblGrid>
        <w:gridCol w:w="3955"/>
        <w:gridCol w:w="4410"/>
        <w:gridCol w:w="4860"/>
      </w:tblGrid>
      <w:tr w:rsidR="00036A23" w:rsidRPr="001A4B94" w14:paraId="089D7ED9" w14:textId="77777777" w:rsidTr="00622088">
        <w:tc>
          <w:tcPr>
            <w:tcW w:w="3955" w:type="dxa"/>
          </w:tcPr>
          <w:p w14:paraId="1A5E9EDF" w14:textId="6483486A" w:rsidR="00036A23" w:rsidRPr="001A4B94" w:rsidRDefault="00036A23" w:rsidP="00036A23">
            <w:pPr>
              <w:rPr>
                <w:i/>
                <w:sz w:val="20"/>
                <w:szCs w:val="20"/>
                <w:lang w:val="tr-TR"/>
              </w:rPr>
            </w:pPr>
            <w:bookmarkStart w:id="22" w:name="_Hlk494854957"/>
            <w:r w:rsidRPr="001A4B94">
              <w:rPr>
                <w:b/>
                <w:sz w:val="20"/>
                <w:szCs w:val="20"/>
                <w:lang w:val="tr-TR"/>
              </w:rPr>
              <w:lastRenderedPageBreak/>
              <w:t xml:space="preserve">CPF Amaç Göstergeleri </w:t>
            </w:r>
          </w:p>
        </w:tc>
        <w:tc>
          <w:tcPr>
            <w:tcW w:w="4410" w:type="dxa"/>
          </w:tcPr>
          <w:p w14:paraId="3B019DF7" w14:textId="4CE3BFFF" w:rsidR="00036A23" w:rsidRPr="001A4B94" w:rsidRDefault="00036A23" w:rsidP="00036A23">
            <w:pPr>
              <w:tabs>
                <w:tab w:val="left" w:pos="426"/>
              </w:tabs>
              <w:rPr>
                <w:sz w:val="20"/>
                <w:szCs w:val="20"/>
                <w:lang w:val="tr-TR"/>
              </w:rPr>
            </w:pPr>
            <w:r w:rsidRPr="001A4B94">
              <w:rPr>
                <w:b/>
                <w:sz w:val="20"/>
                <w:szCs w:val="20"/>
                <w:lang w:val="tr-TR"/>
              </w:rPr>
              <w:t xml:space="preserve">Destekleyici İlerleme Göstergeleri </w:t>
            </w:r>
          </w:p>
        </w:tc>
        <w:tc>
          <w:tcPr>
            <w:tcW w:w="4860" w:type="dxa"/>
          </w:tcPr>
          <w:p w14:paraId="4815D51C" w14:textId="15B4976D" w:rsidR="00036A23" w:rsidRPr="001A4B94" w:rsidRDefault="00036A23" w:rsidP="00036A23">
            <w:pPr>
              <w:rPr>
                <w:b/>
                <w:sz w:val="20"/>
                <w:szCs w:val="20"/>
                <w:lang w:val="tr-TR"/>
              </w:rPr>
            </w:pPr>
            <w:r w:rsidRPr="001A4B94">
              <w:rPr>
                <w:b/>
                <w:sz w:val="20"/>
                <w:szCs w:val="20"/>
                <w:lang w:val="tr-TR"/>
              </w:rPr>
              <w:t xml:space="preserve">DBG Programı </w:t>
            </w:r>
          </w:p>
        </w:tc>
      </w:tr>
      <w:bookmarkEnd w:id="22"/>
      <w:tr w:rsidR="00622088" w:rsidRPr="001A4B94" w14:paraId="131EBCF9" w14:textId="77777777" w:rsidTr="002267E6">
        <w:tc>
          <w:tcPr>
            <w:tcW w:w="3955" w:type="dxa"/>
            <w:tcBorders>
              <w:bottom w:val="single" w:sz="4" w:space="0" w:color="auto"/>
            </w:tcBorders>
          </w:tcPr>
          <w:p w14:paraId="539885A9" w14:textId="5AADAF1B" w:rsidR="00622088" w:rsidRPr="001A4B94" w:rsidRDefault="00036A23" w:rsidP="00622088">
            <w:pPr>
              <w:tabs>
                <w:tab w:val="left" w:pos="426"/>
              </w:tabs>
              <w:rPr>
                <w:i/>
                <w:color w:val="000000" w:themeColor="text1"/>
                <w:sz w:val="20"/>
                <w:szCs w:val="20"/>
                <w:lang w:val="tr-TR"/>
              </w:rPr>
            </w:pPr>
            <w:r w:rsidRPr="001A4B94">
              <w:rPr>
                <w:i/>
                <w:color w:val="000000" w:themeColor="text1"/>
                <w:sz w:val="20"/>
                <w:szCs w:val="20"/>
                <w:lang w:val="tr-TR"/>
              </w:rPr>
              <w:t>IFC müşterileri tarafından desteklenen  istihdam</w:t>
            </w:r>
            <w:r w:rsidR="00622088" w:rsidRPr="001A4B94">
              <w:rPr>
                <w:i/>
                <w:color w:val="000000" w:themeColor="text1"/>
                <w:sz w:val="20"/>
                <w:szCs w:val="20"/>
                <w:lang w:val="tr-TR"/>
              </w:rPr>
              <w:t xml:space="preserve"> (</w:t>
            </w:r>
            <w:r w:rsidRPr="001A4B94">
              <w:rPr>
                <w:i/>
                <w:color w:val="000000" w:themeColor="text1"/>
                <w:sz w:val="20"/>
                <w:szCs w:val="20"/>
                <w:lang w:val="tr-TR"/>
              </w:rPr>
              <w:t>imalat</w:t>
            </w:r>
            <w:r w:rsidR="00622088" w:rsidRPr="001A4B94">
              <w:rPr>
                <w:i/>
                <w:color w:val="000000" w:themeColor="text1"/>
                <w:sz w:val="20"/>
                <w:szCs w:val="20"/>
                <w:lang w:val="tr-TR"/>
              </w:rPr>
              <w:t xml:space="preserve">, </w:t>
            </w:r>
            <w:r w:rsidRPr="001A4B94">
              <w:rPr>
                <w:i/>
                <w:color w:val="000000" w:themeColor="text1"/>
                <w:sz w:val="20"/>
                <w:szCs w:val="20"/>
                <w:lang w:val="tr-TR"/>
              </w:rPr>
              <w:t>telekom</w:t>
            </w:r>
            <w:r w:rsidR="00622088" w:rsidRPr="001A4B94">
              <w:rPr>
                <w:i/>
                <w:color w:val="000000" w:themeColor="text1"/>
                <w:sz w:val="20"/>
                <w:szCs w:val="20"/>
                <w:lang w:val="tr-TR"/>
              </w:rPr>
              <w:t xml:space="preserve">, </w:t>
            </w:r>
            <w:r w:rsidRPr="001A4B94">
              <w:rPr>
                <w:i/>
                <w:color w:val="000000" w:themeColor="text1"/>
                <w:sz w:val="20"/>
                <w:szCs w:val="20"/>
                <w:lang w:val="tr-TR"/>
              </w:rPr>
              <w:t>teknoloji</w:t>
            </w:r>
            <w:r w:rsidR="00622088" w:rsidRPr="001A4B94">
              <w:rPr>
                <w:i/>
                <w:color w:val="000000" w:themeColor="text1"/>
                <w:sz w:val="20"/>
                <w:szCs w:val="20"/>
                <w:lang w:val="tr-TR"/>
              </w:rPr>
              <w:t xml:space="preserve">, </w:t>
            </w:r>
            <w:r w:rsidRPr="001A4B94">
              <w:rPr>
                <w:i/>
                <w:color w:val="000000" w:themeColor="text1"/>
                <w:sz w:val="20"/>
                <w:szCs w:val="20"/>
                <w:lang w:val="tr-TR"/>
              </w:rPr>
              <w:t>tarımsal işletme</w:t>
            </w:r>
            <w:r w:rsidR="00622088" w:rsidRPr="001A4B94">
              <w:rPr>
                <w:i/>
                <w:color w:val="000000" w:themeColor="text1"/>
                <w:sz w:val="20"/>
                <w:szCs w:val="20"/>
                <w:lang w:val="tr-TR"/>
              </w:rPr>
              <w:t>)</w:t>
            </w:r>
          </w:p>
          <w:p w14:paraId="1D4C7984" w14:textId="2C4FD654" w:rsidR="00622088" w:rsidRPr="001A4B94" w:rsidRDefault="00036A23" w:rsidP="00622088">
            <w:pPr>
              <w:tabs>
                <w:tab w:val="left" w:pos="426"/>
              </w:tabs>
              <w:rPr>
                <w:color w:val="000000" w:themeColor="text1"/>
                <w:sz w:val="20"/>
                <w:szCs w:val="20"/>
                <w:lang w:val="tr-TR"/>
              </w:rPr>
            </w:pPr>
            <w:r w:rsidRPr="001A4B94">
              <w:rPr>
                <w:b/>
                <w:sz w:val="20"/>
                <w:szCs w:val="20"/>
                <w:lang w:val="tr-TR"/>
              </w:rPr>
              <w:t>Başlangıç Durumu</w:t>
            </w:r>
            <w:r w:rsidR="00622088" w:rsidRPr="001A4B94">
              <w:rPr>
                <w:b/>
                <w:color w:val="000000" w:themeColor="text1"/>
                <w:sz w:val="20"/>
                <w:szCs w:val="20"/>
                <w:lang w:val="tr-TR"/>
              </w:rPr>
              <w:t>:</w:t>
            </w:r>
            <w:r w:rsidRPr="001A4B94">
              <w:rPr>
                <w:color w:val="000000" w:themeColor="text1"/>
                <w:sz w:val="20"/>
                <w:szCs w:val="20"/>
                <w:lang w:val="tr-TR"/>
              </w:rPr>
              <w:t xml:space="preserve">  39.</w:t>
            </w:r>
            <w:r w:rsidR="00622088" w:rsidRPr="001A4B94">
              <w:rPr>
                <w:color w:val="000000" w:themeColor="text1"/>
                <w:sz w:val="20"/>
                <w:szCs w:val="20"/>
                <w:lang w:val="tr-TR"/>
              </w:rPr>
              <w:t>400  (2015)</w:t>
            </w:r>
          </w:p>
          <w:p w14:paraId="19DE7D9E" w14:textId="3E63EA60" w:rsidR="00622088" w:rsidRPr="001A4B94" w:rsidRDefault="00036A23" w:rsidP="00622088">
            <w:pPr>
              <w:tabs>
                <w:tab w:val="left" w:pos="426"/>
              </w:tabs>
              <w:rPr>
                <w:color w:val="000000" w:themeColor="text1"/>
                <w:sz w:val="20"/>
                <w:szCs w:val="20"/>
                <w:lang w:val="tr-TR"/>
              </w:rPr>
            </w:pPr>
            <w:r w:rsidRPr="001A4B94">
              <w:rPr>
                <w:b/>
                <w:color w:val="000000" w:themeColor="text1"/>
                <w:sz w:val="20"/>
                <w:szCs w:val="20"/>
                <w:lang w:val="tr-TR"/>
              </w:rPr>
              <w:t>Hedef</w:t>
            </w:r>
            <w:r w:rsidR="00622088" w:rsidRPr="001A4B94">
              <w:rPr>
                <w:b/>
                <w:color w:val="000000" w:themeColor="text1"/>
                <w:sz w:val="20"/>
                <w:szCs w:val="20"/>
                <w:lang w:val="tr-TR"/>
              </w:rPr>
              <w:t>:</w:t>
            </w:r>
            <w:r w:rsidR="00622088" w:rsidRPr="001A4B94">
              <w:rPr>
                <w:color w:val="000000" w:themeColor="text1"/>
                <w:sz w:val="20"/>
                <w:szCs w:val="20"/>
                <w:lang w:val="tr-TR"/>
              </w:rPr>
              <w:t xml:space="preserve">      59</w:t>
            </w:r>
            <w:r w:rsidRPr="001A4B94">
              <w:rPr>
                <w:color w:val="000000" w:themeColor="text1"/>
                <w:sz w:val="20"/>
                <w:szCs w:val="20"/>
                <w:lang w:val="tr-TR"/>
              </w:rPr>
              <w:t>.</w:t>
            </w:r>
            <w:r w:rsidR="00622088" w:rsidRPr="001A4B94">
              <w:rPr>
                <w:color w:val="000000" w:themeColor="text1"/>
                <w:sz w:val="20"/>
                <w:szCs w:val="20"/>
                <w:lang w:val="tr-TR"/>
              </w:rPr>
              <w:t>000   (2019)</w:t>
            </w:r>
          </w:p>
          <w:p w14:paraId="4BFF640D" w14:textId="1C7F8887" w:rsidR="009B1D3A" w:rsidRPr="001A4B94" w:rsidRDefault="00036A23" w:rsidP="009B1D3A">
            <w:pPr>
              <w:rPr>
                <w:i/>
                <w:iCs/>
                <w:color w:val="000000"/>
                <w:sz w:val="20"/>
                <w:szCs w:val="20"/>
                <w:lang w:val="tr-TR"/>
              </w:rPr>
            </w:pPr>
            <w:r w:rsidRPr="001A4B94">
              <w:rPr>
                <w:i/>
                <w:iCs/>
                <w:color w:val="000000"/>
                <w:sz w:val="20"/>
                <w:szCs w:val="20"/>
                <w:lang w:val="tr-TR"/>
              </w:rPr>
              <w:t xml:space="preserve">Desteklenen kadın istihdamı </w:t>
            </w:r>
          </w:p>
          <w:p w14:paraId="1FAE206A" w14:textId="0A76B41C" w:rsidR="009B1D3A" w:rsidRPr="001A4B94" w:rsidRDefault="00036A23" w:rsidP="009B1D3A">
            <w:pPr>
              <w:rPr>
                <w:color w:val="000000"/>
                <w:sz w:val="20"/>
                <w:szCs w:val="20"/>
                <w:lang w:val="tr-TR"/>
              </w:rPr>
            </w:pPr>
            <w:r w:rsidRPr="001A4B94">
              <w:rPr>
                <w:b/>
                <w:sz w:val="20"/>
                <w:szCs w:val="20"/>
                <w:lang w:val="tr-TR"/>
              </w:rPr>
              <w:t>Başlangıç Durumu</w:t>
            </w:r>
            <w:r w:rsidR="009B1D3A" w:rsidRPr="001A4B94">
              <w:rPr>
                <w:b/>
                <w:bCs/>
                <w:color w:val="000000"/>
                <w:sz w:val="20"/>
                <w:szCs w:val="20"/>
                <w:lang w:val="tr-TR"/>
              </w:rPr>
              <w:t>:</w:t>
            </w:r>
            <w:r w:rsidR="009B1D3A" w:rsidRPr="001A4B94">
              <w:rPr>
                <w:color w:val="000000"/>
                <w:sz w:val="20"/>
                <w:szCs w:val="20"/>
                <w:lang w:val="tr-TR"/>
              </w:rPr>
              <w:t>  11</w:t>
            </w:r>
            <w:r w:rsidRPr="001A4B94">
              <w:rPr>
                <w:color w:val="000000"/>
                <w:sz w:val="20"/>
                <w:szCs w:val="20"/>
                <w:lang w:val="tr-TR"/>
              </w:rPr>
              <w:t>.</w:t>
            </w:r>
            <w:r w:rsidR="009B1D3A" w:rsidRPr="001A4B94">
              <w:rPr>
                <w:color w:val="000000"/>
                <w:sz w:val="20"/>
                <w:szCs w:val="20"/>
                <w:lang w:val="tr-TR"/>
              </w:rPr>
              <w:t>000  (2015)</w:t>
            </w:r>
          </w:p>
          <w:p w14:paraId="761E463D" w14:textId="1A328EF6" w:rsidR="009B1D3A" w:rsidRPr="001A4B94" w:rsidRDefault="00036A23" w:rsidP="009B1D3A">
            <w:pPr>
              <w:rPr>
                <w:color w:val="000000"/>
                <w:sz w:val="20"/>
                <w:szCs w:val="20"/>
                <w:lang w:val="tr-TR"/>
              </w:rPr>
            </w:pPr>
            <w:r w:rsidRPr="001A4B94">
              <w:rPr>
                <w:b/>
                <w:bCs/>
                <w:color w:val="000000"/>
                <w:sz w:val="20"/>
                <w:szCs w:val="20"/>
                <w:lang w:val="tr-TR"/>
              </w:rPr>
              <w:t>Hedef</w:t>
            </w:r>
            <w:r w:rsidR="009B1D3A" w:rsidRPr="001A4B94">
              <w:rPr>
                <w:b/>
                <w:bCs/>
                <w:color w:val="000000"/>
                <w:sz w:val="20"/>
                <w:szCs w:val="20"/>
                <w:lang w:val="tr-TR"/>
              </w:rPr>
              <w:t>:</w:t>
            </w:r>
            <w:r w:rsidR="009B1D3A" w:rsidRPr="001A4B94">
              <w:rPr>
                <w:color w:val="000000"/>
                <w:sz w:val="20"/>
                <w:szCs w:val="20"/>
                <w:lang w:val="tr-TR"/>
              </w:rPr>
              <w:t>      12</w:t>
            </w:r>
            <w:r w:rsidRPr="001A4B94">
              <w:rPr>
                <w:color w:val="000000"/>
                <w:sz w:val="20"/>
                <w:szCs w:val="20"/>
                <w:lang w:val="tr-TR"/>
              </w:rPr>
              <w:t>.</w:t>
            </w:r>
            <w:r w:rsidR="009B1D3A" w:rsidRPr="001A4B94">
              <w:rPr>
                <w:color w:val="000000"/>
                <w:sz w:val="20"/>
                <w:szCs w:val="20"/>
                <w:lang w:val="tr-TR"/>
              </w:rPr>
              <w:t>000   (2019)</w:t>
            </w:r>
          </w:p>
          <w:p w14:paraId="0785E6E0" w14:textId="77777777" w:rsidR="00622088" w:rsidRPr="001A4B94" w:rsidRDefault="00622088" w:rsidP="00622088">
            <w:pPr>
              <w:tabs>
                <w:tab w:val="left" w:pos="426"/>
              </w:tabs>
              <w:rPr>
                <w:b/>
                <w:i/>
                <w:color w:val="000000" w:themeColor="text1"/>
                <w:sz w:val="20"/>
                <w:szCs w:val="20"/>
                <w:lang w:val="tr-TR"/>
              </w:rPr>
            </w:pPr>
          </w:p>
          <w:p w14:paraId="36F6D600" w14:textId="40579EEF" w:rsidR="00622088" w:rsidRPr="001A4B94" w:rsidRDefault="00036A23" w:rsidP="00622088">
            <w:pPr>
              <w:tabs>
                <w:tab w:val="left" w:pos="426"/>
              </w:tabs>
              <w:rPr>
                <w:i/>
                <w:sz w:val="20"/>
                <w:szCs w:val="20"/>
                <w:lang w:val="tr-TR"/>
              </w:rPr>
            </w:pPr>
            <w:r w:rsidRPr="001A4B94">
              <w:rPr>
                <w:i/>
                <w:sz w:val="20"/>
                <w:szCs w:val="20"/>
                <w:lang w:val="tr-TR"/>
              </w:rPr>
              <w:t xml:space="preserve">IFC’nin desteklediği sermaye fonları tarafından desteklenen istihdam </w:t>
            </w:r>
            <w:r w:rsidR="00622088" w:rsidRPr="001A4B94">
              <w:rPr>
                <w:i/>
                <w:sz w:val="20"/>
                <w:szCs w:val="20"/>
                <w:lang w:val="tr-TR"/>
              </w:rPr>
              <w:t>(#)</w:t>
            </w:r>
          </w:p>
          <w:p w14:paraId="367C8170" w14:textId="699BEC61" w:rsidR="00622088" w:rsidRPr="001A4B94" w:rsidRDefault="00036A23" w:rsidP="00622088">
            <w:pPr>
              <w:tabs>
                <w:tab w:val="left" w:pos="426"/>
              </w:tabs>
              <w:rPr>
                <w:sz w:val="20"/>
                <w:szCs w:val="20"/>
                <w:lang w:val="tr-TR"/>
              </w:rPr>
            </w:pPr>
            <w:r w:rsidRPr="001A4B94">
              <w:rPr>
                <w:b/>
                <w:sz w:val="20"/>
                <w:szCs w:val="20"/>
                <w:lang w:val="tr-TR"/>
              </w:rPr>
              <w:t>Başlangıç Durumu</w:t>
            </w:r>
            <w:r w:rsidR="00622088" w:rsidRPr="001A4B94">
              <w:rPr>
                <w:b/>
                <w:sz w:val="20"/>
                <w:szCs w:val="20"/>
                <w:lang w:val="tr-TR"/>
              </w:rPr>
              <w:t>:</w:t>
            </w:r>
            <w:r w:rsidR="00622088" w:rsidRPr="001A4B94">
              <w:rPr>
                <w:sz w:val="20"/>
                <w:szCs w:val="20"/>
                <w:lang w:val="tr-TR"/>
              </w:rPr>
              <w:t xml:space="preserve">    15</w:t>
            </w:r>
            <w:r w:rsidRPr="001A4B94">
              <w:rPr>
                <w:sz w:val="20"/>
                <w:szCs w:val="20"/>
                <w:lang w:val="tr-TR"/>
              </w:rPr>
              <w:t>.</w:t>
            </w:r>
            <w:r w:rsidR="00622088" w:rsidRPr="001A4B94">
              <w:rPr>
                <w:sz w:val="20"/>
                <w:szCs w:val="20"/>
                <w:lang w:val="tr-TR"/>
              </w:rPr>
              <w:t>000 (2015)</w:t>
            </w:r>
          </w:p>
          <w:p w14:paraId="1D17FEFC" w14:textId="40187B49" w:rsidR="00622088" w:rsidRPr="001A4B94" w:rsidRDefault="00036A23" w:rsidP="00622088">
            <w:pPr>
              <w:rPr>
                <w:i/>
                <w:sz w:val="20"/>
                <w:szCs w:val="20"/>
                <w:lang w:val="tr-TR"/>
              </w:rPr>
            </w:pPr>
            <w:r w:rsidRPr="001A4B94">
              <w:rPr>
                <w:b/>
                <w:sz w:val="20"/>
                <w:szCs w:val="20"/>
                <w:lang w:val="tr-TR"/>
              </w:rPr>
              <w:t>Hedef</w:t>
            </w:r>
            <w:r w:rsidR="00622088" w:rsidRPr="001A4B94">
              <w:rPr>
                <w:b/>
                <w:sz w:val="20"/>
                <w:szCs w:val="20"/>
                <w:lang w:val="tr-TR"/>
              </w:rPr>
              <w:t>:</w:t>
            </w:r>
            <w:r w:rsidR="00622088" w:rsidRPr="001A4B94">
              <w:rPr>
                <w:sz w:val="20"/>
                <w:szCs w:val="20"/>
                <w:lang w:val="tr-TR"/>
              </w:rPr>
              <w:t xml:space="preserve">      17</w:t>
            </w:r>
            <w:r w:rsidRPr="001A4B94">
              <w:rPr>
                <w:sz w:val="20"/>
                <w:szCs w:val="20"/>
                <w:lang w:val="tr-TR"/>
              </w:rPr>
              <w:t>.</w:t>
            </w:r>
            <w:r w:rsidR="00622088" w:rsidRPr="001A4B94">
              <w:rPr>
                <w:sz w:val="20"/>
                <w:szCs w:val="20"/>
                <w:lang w:val="tr-TR"/>
              </w:rPr>
              <w:t>000 (2019)</w:t>
            </w:r>
          </w:p>
        </w:tc>
        <w:tc>
          <w:tcPr>
            <w:tcW w:w="4410" w:type="dxa"/>
            <w:tcBorders>
              <w:bottom w:val="single" w:sz="4" w:space="0" w:color="auto"/>
            </w:tcBorders>
          </w:tcPr>
          <w:p w14:paraId="49ECD260" w14:textId="4BB2B678" w:rsidR="00622088" w:rsidRPr="001A4B94" w:rsidRDefault="00036A23" w:rsidP="00622088">
            <w:pPr>
              <w:tabs>
                <w:tab w:val="left" w:pos="426"/>
              </w:tabs>
              <w:rPr>
                <w:sz w:val="20"/>
                <w:szCs w:val="20"/>
                <w:lang w:val="tr-TR"/>
              </w:rPr>
            </w:pPr>
            <w:r w:rsidRPr="001A4B94">
              <w:rPr>
                <w:color w:val="000000" w:themeColor="text1"/>
                <w:sz w:val="20"/>
                <w:szCs w:val="20"/>
                <w:lang w:val="tr-TR"/>
              </w:rPr>
              <w:t>IFC müşterileri</w:t>
            </w:r>
            <w:r w:rsidR="000120AA" w:rsidRPr="001A4B94">
              <w:rPr>
                <w:color w:val="000000" w:themeColor="text1"/>
                <w:sz w:val="20"/>
                <w:szCs w:val="20"/>
                <w:lang w:val="tr-TR"/>
              </w:rPr>
              <w:t>nin</w:t>
            </w:r>
            <w:r w:rsidRPr="001A4B94">
              <w:rPr>
                <w:color w:val="000000" w:themeColor="text1"/>
                <w:sz w:val="20"/>
                <w:szCs w:val="20"/>
                <w:lang w:val="tr-TR"/>
              </w:rPr>
              <w:t xml:space="preserve"> ulaştığı öğrenciler</w:t>
            </w:r>
            <w:r w:rsidR="00622088" w:rsidRPr="001A4B94">
              <w:rPr>
                <w:sz w:val="20"/>
                <w:szCs w:val="20"/>
                <w:lang w:val="tr-TR"/>
              </w:rPr>
              <w:t>:</w:t>
            </w:r>
          </w:p>
          <w:p w14:paraId="1D4F7E2D" w14:textId="5D9817B8" w:rsidR="00622088" w:rsidRPr="001A4B94" w:rsidRDefault="00036A23" w:rsidP="00622088">
            <w:pPr>
              <w:tabs>
                <w:tab w:val="left" w:pos="426"/>
              </w:tabs>
              <w:rPr>
                <w:sz w:val="20"/>
                <w:szCs w:val="20"/>
                <w:lang w:val="tr-TR"/>
              </w:rPr>
            </w:pPr>
            <w:r w:rsidRPr="001A4B94">
              <w:rPr>
                <w:b/>
                <w:sz w:val="20"/>
                <w:szCs w:val="20"/>
                <w:lang w:val="tr-TR"/>
              </w:rPr>
              <w:t>Başlangıç Durumu</w:t>
            </w:r>
            <w:r w:rsidR="00622088" w:rsidRPr="001A4B94">
              <w:rPr>
                <w:b/>
                <w:sz w:val="20"/>
                <w:szCs w:val="20"/>
                <w:lang w:val="tr-TR"/>
              </w:rPr>
              <w:t>:</w:t>
            </w:r>
            <w:r w:rsidRPr="001A4B94">
              <w:rPr>
                <w:sz w:val="20"/>
                <w:szCs w:val="20"/>
                <w:lang w:val="tr-TR"/>
              </w:rPr>
              <w:t xml:space="preserve">  11.</w:t>
            </w:r>
            <w:r w:rsidR="00622088" w:rsidRPr="001A4B94">
              <w:rPr>
                <w:sz w:val="20"/>
                <w:szCs w:val="20"/>
                <w:lang w:val="tr-TR"/>
              </w:rPr>
              <w:t>500 (2015)</w:t>
            </w:r>
          </w:p>
          <w:p w14:paraId="0DA83AE6" w14:textId="25EF35FF" w:rsidR="00622088" w:rsidRPr="001A4B94" w:rsidRDefault="00036A23" w:rsidP="00622088">
            <w:pPr>
              <w:tabs>
                <w:tab w:val="left" w:pos="426"/>
              </w:tabs>
              <w:rPr>
                <w:sz w:val="20"/>
                <w:szCs w:val="20"/>
                <w:lang w:val="tr-TR"/>
              </w:rPr>
            </w:pPr>
            <w:r w:rsidRPr="001A4B94">
              <w:rPr>
                <w:b/>
                <w:sz w:val="20"/>
                <w:szCs w:val="20"/>
                <w:lang w:val="tr-TR"/>
              </w:rPr>
              <w:t>Hedef</w:t>
            </w:r>
            <w:r w:rsidR="00622088" w:rsidRPr="001A4B94">
              <w:rPr>
                <w:b/>
                <w:sz w:val="20"/>
                <w:szCs w:val="20"/>
                <w:lang w:val="tr-TR"/>
              </w:rPr>
              <w:t>:</w:t>
            </w:r>
            <w:r w:rsidRPr="001A4B94">
              <w:rPr>
                <w:sz w:val="20"/>
                <w:szCs w:val="20"/>
                <w:lang w:val="tr-TR"/>
              </w:rPr>
              <w:t xml:space="preserve">  19.</w:t>
            </w:r>
            <w:r w:rsidR="00622088" w:rsidRPr="001A4B94">
              <w:rPr>
                <w:sz w:val="20"/>
                <w:szCs w:val="20"/>
                <w:lang w:val="tr-TR"/>
              </w:rPr>
              <w:t>700 (2019)</w:t>
            </w:r>
          </w:p>
          <w:p w14:paraId="20D3D566" w14:textId="616C3C27" w:rsidR="009B1D3A" w:rsidRPr="001A4B94" w:rsidRDefault="00036A23" w:rsidP="009B1D3A">
            <w:pPr>
              <w:tabs>
                <w:tab w:val="left" w:pos="426"/>
              </w:tabs>
              <w:rPr>
                <w:sz w:val="20"/>
                <w:szCs w:val="20"/>
                <w:lang w:val="tr-TR"/>
              </w:rPr>
            </w:pPr>
            <w:r w:rsidRPr="001A4B94">
              <w:rPr>
                <w:sz w:val="20"/>
                <w:szCs w:val="20"/>
                <w:lang w:val="tr-TR"/>
              </w:rPr>
              <w:t xml:space="preserve">Ulaşılan kız öğrenciler </w:t>
            </w:r>
          </w:p>
          <w:p w14:paraId="79AE7E7F" w14:textId="3D101777" w:rsidR="009B1D3A" w:rsidRPr="001A4B94" w:rsidRDefault="00036A23" w:rsidP="009B1D3A">
            <w:pPr>
              <w:rPr>
                <w:sz w:val="20"/>
                <w:szCs w:val="20"/>
                <w:lang w:val="tr-TR"/>
              </w:rPr>
            </w:pPr>
            <w:r w:rsidRPr="001A4B94">
              <w:rPr>
                <w:b/>
                <w:sz w:val="20"/>
                <w:szCs w:val="20"/>
                <w:lang w:val="tr-TR"/>
              </w:rPr>
              <w:t>Başlangıç Durumu</w:t>
            </w:r>
            <w:r w:rsidR="009B1D3A" w:rsidRPr="001A4B94">
              <w:rPr>
                <w:b/>
                <w:bCs/>
                <w:sz w:val="20"/>
                <w:szCs w:val="20"/>
                <w:lang w:val="tr-TR"/>
              </w:rPr>
              <w:t>:</w:t>
            </w:r>
            <w:r w:rsidRPr="001A4B94">
              <w:rPr>
                <w:sz w:val="20"/>
                <w:szCs w:val="20"/>
                <w:lang w:val="tr-TR"/>
              </w:rPr>
              <w:t>  6.</w:t>
            </w:r>
            <w:r w:rsidR="009B1D3A" w:rsidRPr="001A4B94">
              <w:rPr>
                <w:sz w:val="20"/>
                <w:szCs w:val="20"/>
                <w:lang w:val="tr-TR"/>
              </w:rPr>
              <w:t>200 (2015)</w:t>
            </w:r>
          </w:p>
          <w:p w14:paraId="3637C32D" w14:textId="443851BF" w:rsidR="009B1D3A" w:rsidRPr="001A4B94" w:rsidRDefault="00036A23" w:rsidP="009B1D3A">
            <w:pPr>
              <w:rPr>
                <w:sz w:val="20"/>
                <w:szCs w:val="20"/>
                <w:lang w:val="tr-TR"/>
              </w:rPr>
            </w:pPr>
            <w:r w:rsidRPr="001A4B94">
              <w:rPr>
                <w:b/>
                <w:sz w:val="20"/>
                <w:szCs w:val="20"/>
                <w:lang w:val="tr-TR"/>
              </w:rPr>
              <w:t>Hedef</w:t>
            </w:r>
            <w:r w:rsidR="009B1D3A" w:rsidRPr="001A4B94">
              <w:rPr>
                <w:b/>
                <w:bCs/>
                <w:sz w:val="20"/>
                <w:szCs w:val="20"/>
                <w:lang w:val="tr-TR"/>
              </w:rPr>
              <w:t>:</w:t>
            </w:r>
            <w:r w:rsidRPr="001A4B94">
              <w:rPr>
                <w:sz w:val="20"/>
                <w:szCs w:val="20"/>
                <w:lang w:val="tr-TR"/>
              </w:rPr>
              <w:t>  8.</w:t>
            </w:r>
            <w:r w:rsidR="009B1D3A" w:rsidRPr="001A4B94">
              <w:rPr>
                <w:sz w:val="20"/>
                <w:szCs w:val="20"/>
                <w:lang w:val="tr-TR"/>
              </w:rPr>
              <w:t>800 (2019)</w:t>
            </w:r>
          </w:p>
          <w:p w14:paraId="2ED31E0F" w14:textId="77777777" w:rsidR="00622088" w:rsidRPr="001A4B94" w:rsidRDefault="00622088" w:rsidP="00622088">
            <w:pPr>
              <w:tabs>
                <w:tab w:val="left" w:pos="426"/>
              </w:tabs>
              <w:rPr>
                <w:sz w:val="20"/>
                <w:szCs w:val="20"/>
                <w:lang w:val="tr-TR"/>
              </w:rPr>
            </w:pPr>
          </w:p>
          <w:p w14:paraId="30C24517" w14:textId="1E0E085E" w:rsidR="00622088" w:rsidRPr="001A4B94" w:rsidRDefault="00036A23" w:rsidP="00622088">
            <w:pPr>
              <w:tabs>
                <w:tab w:val="left" w:pos="426"/>
              </w:tabs>
              <w:rPr>
                <w:sz w:val="20"/>
                <w:szCs w:val="20"/>
                <w:lang w:val="tr-TR"/>
              </w:rPr>
            </w:pPr>
            <w:r w:rsidRPr="001A4B94">
              <w:rPr>
                <w:sz w:val="20"/>
                <w:szCs w:val="20"/>
                <w:lang w:val="tr-TR"/>
              </w:rPr>
              <w:t>IFC’nin tarımsal işletme müşteril</w:t>
            </w:r>
            <w:r w:rsidR="001F01B9" w:rsidRPr="001A4B94">
              <w:rPr>
                <w:sz w:val="20"/>
                <w:szCs w:val="20"/>
                <w:lang w:val="tr-TR"/>
              </w:rPr>
              <w:t>e</w:t>
            </w:r>
            <w:r w:rsidRPr="001A4B94">
              <w:rPr>
                <w:sz w:val="20"/>
                <w:szCs w:val="20"/>
                <w:lang w:val="tr-TR"/>
              </w:rPr>
              <w:t>rinin ulaştığı çiftçiler</w:t>
            </w:r>
            <w:r w:rsidR="00622088" w:rsidRPr="001A4B94">
              <w:rPr>
                <w:sz w:val="20"/>
                <w:szCs w:val="20"/>
                <w:lang w:val="tr-TR"/>
              </w:rPr>
              <w:t>:</w:t>
            </w:r>
          </w:p>
          <w:p w14:paraId="27E14E83" w14:textId="210CBD99" w:rsidR="00622088" w:rsidRPr="001A4B94" w:rsidRDefault="00036A23" w:rsidP="00622088">
            <w:pPr>
              <w:tabs>
                <w:tab w:val="left" w:pos="426"/>
              </w:tabs>
              <w:rPr>
                <w:sz w:val="20"/>
                <w:szCs w:val="20"/>
                <w:lang w:val="tr-TR"/>
              </w:rPr>
            </w:pPr>
            <w:r w:rsidRPr="001A4B94">
              <w:rPr>
                <w:b/>
                <w:sz w:val="20"/>
                <w:szCs w:val="20"/>
                <w:lang w:val="tr-TR"/>
              </w:rPr>
              <w:t>Başlangıç Durumu</w:t>
            </w:r>
            <w:r w:rsidR="00622088" w:rsidRPr="001A4B94">
              <w:rPr>
                <w:b/>
                <w:sz w:val="20"/>
                <w:szCs w:val="20"/>
                <w:lang w:val="tr-TR"/>
              </w:rPr>
              <w:t>:</w:t>
            </w:r>
            <w:r w:rsidR="00622088" w:rsidRPr="001A4B94">
              <w:rPr>
                <w:sz w:val="20"/>
                <w:szCs w:val="20"/>
                <w:lang w:val="tr-TR"/>
              </w:rPr>
              <w:t xml:space="preserve">  5</w:t>
            </w:r>
            <w:r w:rsidRPr="001A4B94">
              <w:rPr>
                <w:sz w:val="20"/>
                <w:szCs w:val="20"/>
                <w:lang w:val="tr-TR"/>
              </w:rPr>
              <w:t>.</w:t>
            </w:r>
            <w:r w:rsidR="00622088" w:rsidRPr="001A4B94">
              <w:rPr>
                <w:sz w:val="20"/>
                <w:szCs w:val="20"/>
                <w:lang w:val="tr-TR"/>
              </w:rPr>
              <w:t>400 (2015)</w:t>
            </w:r>
          </w:p>
          <w:p w14:paraId="3C9DCD35" w14:textId="682F9F48" w:rsidR="00622088" w:rsidRPr="001A4B94" w:rsidRDefault="00036A23" w:rsidP="00622088">
            <w:pPr>
              <w:tabs>
                <w:tab w:val="left" w:pos="426"/>
              </w:tabs>
              <w:rPr>
                <w:sz w:val="20"/>
                <w:szCs w:val="20"/>
                <w:lang w:val="tr-TR"/>
              </w:rPr>
            </w:pPr>
            <w:r w:rsidRPr="001A4B94">
              <w:rPr>
                <w:b/>
                <w:sz w:val="20"/>
                <w:szCs w:val="20"/>
                <w:lang w:val="tr-TR"/>
              </w:rPr>
              <w:t>Hedef</w:t>
            </w:r>
            <w:r w:rsidR="00622088" w:rsidRPr="001A4B94">
              <w:rPr>
                <w:b/>
                <w:sz w:val="20"/>
                <w:szCs w:val="20"/>
                <w:lang w:val="tr-TR"/>
              </w:rPr>
              <w:t>:</w:t>
            </w:r>
            <w:r w:rsidR="00622088" w:rsidRPr="001A4B94">
              <w:rPr>
                <w:sz w:val="20"/>
                <w:szCs w:val="20"/>
                <w:lang w:val="tr-TR"/>
              </w:rPr>
              <w:t xml:space="preserve">  10</w:t>
            </w:r>
            <w:r w:rsidRPr="001A4B94">
              <w:rPr>
                <w:sz w:val="20"/>
                <w:szCs w:val="20"/>
                <w:lang w:val="tr-TR"/>
              </w:rPr>
              <w:t>.</w:t>
            </w:r>
            <w:r w:rsidR="00622088" w:rsidRPr="001A4B94">
              <w:rPr>
                <w:sz w:val="20"/>
                <w:szCs w:val="20"/>
                <w:lang w:val="tr-TR"/>
              </w:rPr>
              <w:t>900 (2019)</w:t>
            </w:r>
          </w:p>
        </w:tc>
        <w:tc>
          <w:tcPr>
            <w:tcW w:w="4860" w:type="dxa"/>
            <w:tcBorders>
              <w:bottom w:val="single" w:sz="4" w:space="0" w:color="auto"/>
            </w:tcBorders>
          </w:tcPr>
          <w:p w14:paraId="1BF99090" w14:textId="7BF692DA" w:rsidR="00622088" w:rsidRPr="001A4B94" w:rsidRDefault="001F01B9" w:rsidP="00636F6C">
            <w:pPr>
              <w:tabs>
                <w:tab w:val="left" w:pos="426"/>
              </w:tabs>
              <w:ind w:right="-57"/>
              <w:rPr>
                <w:b/>
                <w:sz w:val="20"/>
                <w:szCs w:val="20"/>
                <w:lang w:val="tr-TR"/>
              </w:rPr>
            </w:pPr>
            <w:r w:rsidRPr="001A4B94">
              <w:rPr>
                <w:b/>
                <w:bCs/>
                <w:sz w:val="20"/>
                <w:szCs w:val="20"/>
                <w:lang w:val="tr-TR"/>
              </w:rPr>
              <w:t>Yeni Finansman</w:t>
            </w:r>
            <w:r w:rsidR="00622088" w:rsidRPr="001A4B94">
              <w:rPr>
                <w:b/>
                <w:bCs/>
                <w:sz w:val="20"/>
                <w:szCs w:val="20"/>
                <w:lang w:val="tr-TR"/>
              </w:rPr>
              <w:t>:</w:t>
            </w:r>
            <w:r w:rsidR="00622088" w:rsidRPr="001A4B94">
              <w:rPr>
                <w:b/>
                <w:sz w:val="20"/>
                <w:szCs w:val="20"/>
                <w:lang w:val="tr-TR"/>
              </w:rPr>
              <w:t xml:space="preserve"> </w:t>
            </w:r>
          </w:p>
          <w:p w14:paraId="502BB5D5" w14:textId="08889BEA" w:rsidR="00622088" w:rsidRPr="001A4B94" w:rsidRDefault="00622088" w:rsidP="00636F6C">
            <w:pPr>
              <w:ind w:right="-57"/>
              <w:rPr>
                <w:color w:val="000000"/>
                <w:sz w:val="20"/>
                <w:szCs w:val="20"/>
                <w:lang w:val="tr-TR"/>
              </w:rPr>
            </w:pPr>
            <w:r w:rsidRPr="001A4B94">
              <w:rPr>
                <w:color w:val="000000"/>
                <w:sz w:val="20"/>
                <w:szCs w:val="20"/>
                <w:lang w:val="tr-TR"/>
              </w:rPr>
              <w:t xml:space="preserve">DPL </w:t>
            </w:r>
            <w:r w:rsidR="001F01B9" w:rsidRPr="001A4B94">
              <w:rPr>
                <w:color w:val="000000"/>
                <w:sz w:val="20"/>
                <w:szCs w:val="20"/>
                <w:lang w:val="tr-TR"/>
              </w:rPr>
              <w:t>dizisi</w:t>
            </w:r>
          </w:p>
          <w:p w14:paraId="37EB9E32" w14:textId="67CABF70" w:rsidR="00622088" w:rsidRPr="001A4B94" w:rsidRDefault="001F01B9" w:rsidP="00636F6C">
            <w:pPr>
              <w:tabs>
                <w:tab w:val="left" w:pos="426"/>
              </w:tabs>
              <w:ind w:right="-57"/>
              <w:rPr>
                <w:sz w:val="20"/>
                <w:szCs w:val="20"/>
                <w:lang w:val="tr-TR"/>
              </w:rPr>
            </w:pPr>
            <w:r w:rsidRPr="001A4B94">
              <w:rPr>
                <w:sz w:val="20"/>
                <w:szCs w:val="20"/>
                <w:lang w:val="tr-TR"/>
              </w:rPr>
              <w:t xml:space="preserve">Yenilikçilik Projesi </w:t>
            </w:r>
          </w:p>
          <w:p w14:paraId="6520BAA1" w14:textId="77777777" w:rsidR="00622088" w:rsidRPr="001A4B94" w:rsidRDefault="00622088" w:rsidP="00636F6C">
            <w:pPr>
              <w:tabs>
                <w:tab w:val="left" w:pos="426"/>
              </w:tabs>
              <w:ind w:right="-57"/>
              <w:rPr>
                <w:sz w:val="20"/>
                <w:szCs w:val="20"/>
                <w:lang w:val="tr-TR"/>
              </w:rPr>
            </w:pPr>
          </w:p>
          <w:p w14:paraId="33A4A3DB" w14:textId="44D03685" w:rsidR="00622088" w:rsidRPr="001A4B94" w:rsidRDefault="00A46139" w:rsidP="00636F6C">
            <w:pPr>
              <w:tabs>
                <w:tab w:val="left" w:pos="426"/>
              </w:tabs>
              <w:ind w:right="-57"/>
              <w:rPr>
                <w:b/>
                <w:sz w:val="20"/>
                <w:szCs w:val="20"/>
                <w:lang w:val="tr-TR"/>
              </w:rPr>
            </w:pPr>
            <w:r w:rsidRPr="001A4B94">
              <w:rPr>
                <w:b/>
                <w:sz w:val="20"/>
                <w:szCs w:val="20"/>
                <w:lang w:val="tr-TR"/>
              </w:rPr>
              <w:t>Danışmanlık Hizmetleri ve Analitik Çalışmalar (ASA)</w:t>
            </w:r>
            <w:r w:rsidR="00622088" w:rsidRPr="001A4B94">
              <w:rPr>
                <w:b/>
                <w:sz w:val="20"/>
                <w:szCs w:val="20"/>
                <w:lang w:val="tr-TR"/>
              </w:rPr>
              <w:t>:</w:t>
            </w:r>
          </w:p>
          <w:p w14:paraId="4E2EDB94" w14:textId="49AF238D" w:rsidR="00622088" w:rsidRPr="001A4B94" w:rsidRDefault="001F01B9" w:rsidP="00636F6C">
            <w:pPr>
              <w:tabs>
                <w:tab w:val="left" w:pos="426"/>
              </w:tabs>
              <w:ind w:right="-57"/>
              <w:rPr>
                <w:sz w:val="20"/>
                <w:szCs w:val="20"/>
                <w:lang w:val="tr-TR"/>
              </w:rPr>
            </w:pPr>
            <w:r w:rsidRPr="001A4B94">
              <w:rPr>
                <w:sz w:val="20"/>
                <w:szCs w:val="20"/>
                <w:lang w:val="tr-TR"/>
              </w:rPr>
              <w:t>Üretkenlik konulu Ülke Ekonomik Memorandumu (</w:t>
            </w:r>
            <w:r w:rsidR="00622088" w:rsidRPr="001A4B94">
              <w:rPr>
                <w:sz w:val="20"/>
                <w:szCs w:val="20"/>
                <w:lang w:val="tr-TR"/>
              </w:rPr>
              <w:t>CEM</w:t>
            </w:r>
            <w:r w:rsidRPr="001A4B94">
              <w:rPr>
                <w:sz w:val="20"/>
                <w:szCs w:val="20"/>
                <w:lang w:val="tr-TR"/>
              </w:rPr>
              <w:t>)</w:t>
            </w:r>
            <w:r w:rsidR="00622088" w:rsidRPr="001A4B94">
              <w:rPr>
                <w:sz w:val="20"/>
                <w:szCs w:val="20"/>
                <w:lang w:val="tr-TR"/>
              </w:rPr>
              <w:t xml:space="preserve"> </w:t>
            </w:r>
          </w:p>
          <w:p w14:paraId="76AAA07E" w14:textId="5FAA4F0A" w:rsidR="00622088" w:rsidRPr="001A4B94" w:rsidRDefault="001F01B9" w:rsidP="00636F6C">
            <w:pPr>
              <w:tabs>
                <w:tab w:val="left" w:pos="426"/>
              </w:tabs>
              <w:ind w:right="-57"/>
              <w:rPr>
                <w:sz w:val="20"/>
                <w:szCs w:val="20"/>
                <w:lang w:val="tr-TR"/>
              </w:rPr>
            </w:pPr>
            <w:r w:rsidRPr="001A4B94">
              <w:rPr>
                <w:sz w:val="20"/>
                <w:szCs w:val="20"/>
                <w:lang w:val="tr-TR"/>
              </w:rPr>
              <w:t>İş ortamı ve DYY</w:t>
            </w:r>
            <w:r w:rsidR="00622088" w:rsidRPr="001A4B94">
              <w:rPr>
                <w:sz w:val="20"/>
                <w:szCs w:val="20"/>
                <w:lang w:val="tr-TR"/>
              </w:rPr>
              <w:t>-</w:t>
            </w:r>
            <w:r w:rsidRPr="001A4B94">
              <w:rPr>
                <w:sz w:val="20"/>
                <w:szCs w:val="20"/>
                <w:lang w:val="tr-TR"/>
              </w:rPr>
              <w:t xml:space="preserve">yerel şirket bağlantıları </w:t>
            </w:r>
          </w:p>
          <w:p w14:paraId="0ADBF8EA" w14:textId="5824EF3C" w:rsidR="00622088" w:rsidRPr="001A4B94" w:rsidRDefault="001F01B9" w:rsidP="00636F6C">
            <w:pPr>
              <w:tabs>
                <w:tab w:val="left" w:pos="426"/>
              </w:tabs>
              <w:ind w:right="-57"/>
              <w:rPr>
                <w:sz w:val="20"/>
                <w:szCs w:val="20"/>
                <w:lang w:val="tr-TR"/>
              </w:rPr>
            </w:pPr>
            <w:r w:rsidRPr="001A4B94">
              <w:rPr>
                <w:sz w:val="20"/>
                <w:szCs w:val="20"/>
                <w:lang w:val="tr-TR"/>
              </w:rPr>
              <w:t>Yönetim kalitesi</w:t>
            </w:r>
            <w:r w:rsidR="00622088" w:rsidRPr="001A4B94">
              <w:rPr>
                <w:sz w:val="20"/>
                <w:szCs w:val="20"/>
                <w:lang w:val="tr-TR"/>
              </w:rPr>
              <w:t xml:space="preserve">, </w:t>
            </w:r>
            <w:r w:rsidRPr="001A4B94">
              <w:rPr>
                <w:sz w:val="20"/>
                <w:szCs w:val="20"/>
                <w:lang w:val="tr-TR"/>
              </w:rPr>
              <w:t xml:space="preserve">yenilikçilik ve hizmet ticareti </w:t>
            </w:r>
          </w:p>
          <w:p w14:paraId="33E8D54B" w14:textId="4A972F4B" w:rsidR="00622088" w:rsidRPr="001A4B94" w:rsidRDefault="001F01B9" w:rsidP="00636F6C">
            <w:pPr>
              <w:tabs>
                <w:tab w:val="left" w:pos="426"/>
              </w:tabs>
              <w:ind w:right="-57"/>
              <w:rPr>
                <w:sz w:val="20"/>
                <w:szCs w:val="20"/>
                <w:lang w:val="tr-TR"/>
              </w:rPr>
            </w:pPr>
            <w:r w:rsidRPr="001A4B94">
              <w:rPr>
                <w:sz w:val="20"/>
                <w:szCs w:val="20"/>
                <w:lang w:val="tr-TR"/>
              </w:rPr>
              <w:t xml:space="preserve">Düzenleyici ortam ve GKSS’lerden etkilenen bölgelerde iş fırsatları </w:t>
            </w:r>
          </w:p>
          <w:p w14:paraId="064B5F23" w14:textId="24592C11" w:rsidR="00622088" w:rsidRPr="001A4B94" w:rsidRDefault="001F01B9" w:rsidP="00636F6C">
            <w:pPr>
              <w:tabs>
                <w:tab w:val="left" w:pos="426"/>
              </w:tabs>
              <w:ind w:right="-57"/>
              <w:rPr>
                <w:sz w:val="20"/>
                <w:szCs w:val="20"/>
                <w:lang w:val="tr-TR"/>
              </w:rPr>
            </w:pPr>
            <w:r w:rsidRPr="001A4B94">
              <w:rPr>
                <w:sz w:val="20"/>
                <w:szCs w:val="20"/>
                <w:lang w:val="tr-TR"/>
              </w:rPr>
              <w:t>Rekabet gücünün arttırılm</w:t>
            </w:r>
            <w:r w:rsidR="00636F6C" w:rsidRPr="001A4B94">
              <w:rPr>
                <w:sz w:val="20"/>
                <w:szCs w:val="20"/>
                <w:lang w:val="tr-TR"/>
              </w:rPr>
              <w:t>a</w:t>
            </w:r>
            <w:r w:rsidRPr="001A4B94">
              <w:rPr>
                <w:sz w:val="20"/>
                <w:szCs w:val="20"/>
                <w:lang w:val="tr-TR"/>
              </w:rPr>
              <w:t xml:space="preserve">sı ve OSB’lerin daha yeşil hale getirilmesi </w:t>
            </w:r>
          </w:p>
          <w:p w14:paraId="1390568F" w14:textId="6DB9C2A9" w:rsidR="00622088" w:rsidRPr="001A4B94" w:rsidRDefault="00622088" w:rsidP="00636F6C">
            <w:pPr>
              <w:tabs>
                <w:tab w:val="left" w:pos="426"/>
              </w:tabs>
              <w:ind w:right="-57"/>
              <w:rPr>
                <w:sz w:val="20"/>
                <w:szCs w:val="20"/>
                <w:lang w:val="tr-TR"/>
              </w:rPr>
            </w:pPr>
            <w:r w:rsidRPr="001A4B94">
              <w:rPr>
                <w:sz w:val="20"/>
                <w:szCs w:val="20"/>
                <w:lang w:val="tr-TR"/>
              </w:rPr>
              <w:t xml:space="preserve">IFC </w:t>
            </w:r>
            <w:r w:rsidR="001F01B9" w:rsidRPr="001A4B94">
              <w:rPr>
                <w:sz w:val="20"/>
                <w:szCs w:val="20"/>
                <w:lang w:val="tr-TR"/>
              </w:rPr>
              <w:t xml:space="preserve">Kurumsal Yönetişim danışmanlık projesi </w:t>
            </w:r>
          </w:p>
          <w:p w14:paraId="23557083" w14:textId="77777777" w:rsidR="00622088" w:rsidRPr="001A4B94" w:rsidRDefault="00622088" w:rsidP="00636F6C">
            <w:pPr>
              <w:tabs>
                <w:tab w:val="left" w:pos="426"/>
              </w:tabs>
              <w:ind w:right="-57"/>
              <w:rPr>
                <w:b/>
                <w:bCs/>
                <w:sz w:val="20"/>
                <w:szCs w:val="20"/>
                <w:lang w:val="tr-TR"/>
              </w:rPr>
            </w:pPr>
          </w:p>
          <w:p w14:paraId="1FCA0CC9" w14:textId="15AA94E8" w:rsidR="00622088" w:rsidRPr="001A4B94" w:rsidRDefault="00622088" w:rsidP="00636F6C">
            <w:pPr>
              <w:tabs>
                <w:tab w:val="left" w:pos="426"/>
              </w:tabs>
              <w:ind w:right="-57"/>
              <w:rPr>
                <w:b/>
                <w:bCs/>
                <w:sz w:val="20"/>
                <w:szCs w:val="20"/>
                <w:lang w:val="tr-TR"/>
              </w:rPr>
            </w:pPr>
            <w:r w:rsidRPr="001A4B94">
              <w:rPr>
                <w:b/>
                <w:bCs/>
                <w:sz w:val="20"/>
                <w:szCs w:val="20"/>
                <w:lang w:val="tr-TR"/>
              </w:rPr>
              <w:t xml:space="preserve">IFC </w:t>
            </w:r>
            <w:r w:rsidR="001F01B9" w:rsidRPr="001A4B94">
              <w:rPr>
                <w:b/>
                <w:bCs/>
                <w:sz w:val="20"/>
                <w:szCs w:val="20"/>
                <w:lang w:val="tr-TR"/>
              </w:rPr>
              <w:t>yatırımları</w:t>
            </w:r>
            <w:r w:rsidRPr="001A4B94">
              <w:rPr>
                <w:b/>
                <w:bCs/>
                <w:sz w:val="20"/>
                <w:szCs w:val="20"/>
                <w:lang w:val="tr-TR"/>
              </w:rPr>
              <w:t xml:space="preserve">: </w:t>
            </w:r>
          </w:p>
          <w:p w14:paraId="0CD644EC" w14:textId="67C4FD85" w:rsidR="00622088" w:rsidRPr="001A4B94" w:rsidRDefault="001F01B9" w:rsidP="00636F6C">
            <w:pPr>
              <w:ind w:right="-57"/>
              <w:rPr>
                <w:b/>
                <w:sz w:val="20"/>
                <w:szCs w:val="20"/>
                <w:lang w:val="tr-TR"/>
              </w:rPr>
            </w:pPr>
            <w:r w:rsidRPr="001A4B94">
              <w:rPr>
                <w:bCs/>
                <w:sz w:val="20"/>
                <w:szCs w:val="20"/>
                <w:lang w:val="tr-TR"/>
              </w:rPr>
              <w:t>İmalat</w:t>
            </w:r>
            <w:r w:rsidR="009B1D3A" w:rsidRPr="001A4B94">
              <w:rPr>
                <w:bCs/>
                <w:sz w:val="20"/>
                <w:szCs w:val="20"/>
                <w:lang w:val="tr-TR"/>
              </w:rPr>
              <w:t>, tele</w:t>
            </w:r>
            <w:r w:rsidRPr="001A4B94">
              <w:rPr>
                <w:bCs/>
                <w:sz w:val="20"/>
                <w:szCs w:val="20"/>
                <w:lang w:val="tr-TR"/>
              </w:rPr>
              <w:t>k</w:t>
            </w:r>
            <w:r w:rsidR="009B1D3A" w:rsidRPr="001A4B94">
              <w:rPr>
                <w:bCs/>
                <w:sz w:val="20"/>
                <w:szCs w:val="20"/>
                <w:lang w:val="tr-TR"/>
              </w:rPr>
              <w:t xml:space="preserve">om </w:t>
            </w:r>
            <w:r w:rsidRPr="001A4B94">
              <w:rPr>
                <w:bCs/>
                <w:sz w:val="20"/>
                <w:szCs w:val="20"/>
                <w:lang w:val="tr-TR"/>
              </w:rPr>
              <w:t>ve BT</w:t>
            </w:r>
            <w:r w:rsidR="009B1D3A" w:rsidRPr="001A4B94">
              <w:rPr>
                <w:bCs/>
                <w:sz w:val="20"/>
                <w:szCs w:val="20"/>
                <w:lang w:val="tr-TR"/>
              </w:rPr>
              <w:t xml:space="preserve">, </w:t>
            </w:r>
            <w:r w:rsidRPr="001A4B94">
              <w:rPr>
                <w:bCs/>
                <w:sz w:val="20"/>
                <w:szCs w:val="20"/>
                <w:lang w:val="tr-TR"/>
              </w:rPr>
              <w:t>tarımsal işletme sektörlerine yapılacak yatırımlar</w:t>
            </w:r>
            <w:r w:rsidR="009B1D3A" w:rsidRPr="001A4B94">
              <w:rPr>
                <w:bCs/>
                <w:sz w:val="20"/>
                <w:szCs w:val="20"/>
                <w:lang w:val="tr-TR"/>
              </w:rPr>
              <w:t xml:space="preserve">. </w:t>
            </w:r>
            <w:r w:rsidR="00636F6C" w:rsidRPr="001A4B94">
              <w:rPr>
                <w:bCs/>
                <w:sz w:val="20"/>
                <w:szCs w:val="20"/>
                <w:lang w:val="tr-TR"/>
              </w:rPr>
              <w:t>Mesleki eğitim desteği. Özel sermaye fonlarına ve diğer toplu yatırım araçlarına yapılacak ve hızlı büyüyen ve yüksek katma değerli sektörler üzerinde odaklanan yatırımlar.</w:t>
            </w:r>
            <w:r w:rsidR="000F0805" w:rsidRPr="001A4B94">
              <w:rPr>
                <w:bCs/>
                <w:sz w:val="20"/>
                <w:szCs w:val="20"/>
                <w:lang w:val="tr-TR"/>
              </w:rPr>
              <w:t xml:space="preserve"> </w:t>
            </w:r>
            <w:r w:rsidR="00636F6C" w:rsidRPr="001A4B94">
              <w:rPr>
                <w:bCs/>
                <w:sz w:val="20"/>
                <w:szCs w:val="20"/>
                <w:lang w:val="tr-TR"/>
              </w:rPr>
              <w:t>Ticaret finansmanı</w:t>
            </w:r>
            <w:r w:rsidR="00F24800" w:rsidRPr="001A4B94">
              <w:rPr>
                <w:bCs/>
                <w:sz w:val="20"/>
                <w:szCs w:val="20"/>
                <w:lang w:val="tr-TR"/>
              </w:rPr>
              <w:t>.</w:t>
            </w:r>
            <w:r w:rsidR="00622088" w:rsidRPr="001A4B94">
              <w:rPr>
                <w:bCs/>
                <w:sz w:val="20"/>
                <w:szCs w:val="20"/>
                <w:lang w:val="tr-TR"/>
              </w:rPr>
              <w:t xml:space="preserve"> </w:t>
            </w:r>
          </w:p>
        </w:tc>
      </w:tr>
      <w:tr w:rsidR="00622088" w:rsidRPr="001A4B94" w14:paraId="6A95B74B" w14:textId="77777777" w:rsidTr="00BA590B">
        <w:tc>
          <w:tcPr>
            <w:tcW w:w="13225"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24339988" w14:textId="1B8CAFD4" w:rsidR="00622088" w:rsidRPr="001A4B94" w:rsidRDefault="001273BF" w:rsidP="002267E6">
            <w:pPr>
              <w:jc w:val="center"/>
              <w:rPr>
                <w:b/>
                <w:sz w:val="22"/>
                <w:szCs w:val="22"/>
                <w:lang w:val="tr-TR"/>
              </w:rPr>
            </w:pPr>
            <w:r w:rsidRPr="001A4B94">
              <w:rPr>
                <w:b/>
                <w:sz w:val="22"/>
                <w:szCs w:val="22"/>
                <w:lang w:val="tr-TR"/>
              </w:rPr>
              <w:t>ODAK ALANI</w:t>
            </w:r>
            <w:r w:rsidR="00622088" w:rsidRPr="001A4B94">
              <w:rPr>
                <w:b/>
                <w:sz w:val="22"/>
                <w:szCs w:val="22"/>
                <w:lang w:val="tr-TR"/>
              </w:rPr>
              <w:t xml:space="preserve"> 2: </w:t>
            </w:r>
            <w:r w:rsidRPr="001A4B94">
              <w:rPr>
                <w:b/>
                <w:sz w:val="22"/>
                <w:szCs w:val="22"/>
                <w:lang w:val="tr-TR"/>
              </w:rPr>
              <w:t>KAPSAMA</w:t>
            </w:r>
          </w:p>
        </w:tc>
      </w:tr>
      <w:tr w:rsidR="00622088" w:rsidRPr="001A4B94" w14:paraId="5B948541" w14:textId="77777777" w:rsidTr="00BA590B">
        <w:tc>
          <w:tcPr>
            <w:tcW w:w="13225"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4374314F" w14:textId="76674AC5" w:rsidR="00622088" w:rsidRPr="001A4B94" w:rsidRDefault="001273BF" w:rsidP="002267E6">
            <w:pPr>
              <w:jc w:val="both"/>
              <w:rPr>
                <w:b/>
                <w:sz w:val="21"/>
                <w:szCs w:val="21"/>
                <w:lang w:val="tr-TR"/>
              </w:rPr>
            </w:pPr>
            <w:r w:rsidRPr="001A4B94">
              <w:rPr>
                <w:iCs/>
                <w:sz w:val="21"/>
                <w:szCs w:val="21"/>
                <w:lang w:val="tr-TR"/>
              </w:rPr>
              <w:t>Bu alandaki Dünya Bankası Grubu desteği bir yandan Türkiye’nin ikiz hedeflere ulaşma doğrultusundaki başarısını konsolide etmeyi, diğer yandan geride kalanlara ulaşma yönündeki çabaları desteklemeyi amaçlamaktadır</w:t>
            </w:r>
            <w:r w:rsidR="00622088" w:rsidRPr="001A4B94">
              <w:rPr>
                <w:iCs/>
                <w:sz w:val="21"/>
                <w:szCs w:val="21"/>
                <w:lang w:val="tr-TR"/>
              </w:rPr>
              <w:t xml:space="preserve">.  </w:t>
            </w:r>
            <w:r w:rsidRPr="001A4B94">
              <w:rPr>
                <w:iCs/>
                <w:sz w:val="21"/>
                <w:szCs w:val="21"/>
                <w:lang w:val="tr-TR"/>
              </w:rPr>
              <w:t>Bunun için, giderek artan sayıdaki işgücü için iyi işler yaratarak demografik avantajdan yararlanmak ve bu kapsamda kadınların, gençlerin ve GKSS’lerin işgücüne daha iyi bir şekilde entegre edilmesi, devam etmekte olan cinsiyet eşitsizliklerinin azaltılması (özellikle ekonomik fırsatlara erişimde), bölgeler arası işgücü piyasası eşitsizliklerinin azaltılması ve öğrenme seviyelerinin yükseltilmesi gerekmektedir</w:t>
            </w:r>
            <w:r w:rsidR="00622088" w:rsidRPr="001A4B94">
              <w:rPr>
                <w:iCs/>
                <w:sz w:val="21"/>
                <w:szCs w:val="21"/>
                <w:lang w:val="tr-TR"/>
              </w:rPr>
              <w:t xml:space="preserve">. </w:t>
            </w:r>
            <w:r w:rsidRPr="001A4B94">
              <w:rPr>
                <w:iCs/>
                <w:sz w:val="21"/>
                <w:szCs w:val="21"/>
                <w:lang w:val="tr-TR"/>
              </w:rPr>
              <w:t xml:space="preserve">Dünya Bankası Grubu’nun bu odak alanında bugüne kadar uyguladığı program hükümet </w:t>
            </w:r>
            <w:r w:rsidR="00323F48" w:rsidRPr="001A4B94">
              <w:rPr>
                <w:iCs/>
                <w:sz w:val="21"/>
                <w:szCs w:val="21"/>
                <w:lang w:val="tr-TR"/>
              </w:rPr>
              <w:t xml:space="preserve">politikaları </w:t>
            </w:r>
            <w:r w:rsidRPr="001A4B94">
              <w:rPr>
                <w:iCs/>
                <w:sz w:val="21"/>
                <w:szCs w:val="21"/>
                <w:lang w:val="tr-TR"/>
              </w:rPr>
              <w:t>ve DPL’ler için bilgi girdisi sağlayan ASA faaliyetleri üzerinde odaklanmaktaydı</w:t>
            </w:r>
            <w:r w:rsidR="00622088" w:rsidRPr="001A4B94">
              <w:rPr>
                <w:iCs/>
                <w:sz w:val="21"/>
                <w:szCs w:val="21"/>
                <w:lang w:val="tr-TR"/>
              </w:rPr>
              <w:t xml:space="preserve">. </w:t>
            </w:r>
            <w:r w:rsidR="00323F48" w:rsidRPr="001A4B94">
              <w:rPr>
                <w:iCs/>
                <w:sz w:val="21"/>
                <w:szCs w:val="21"/>
                <w:lang w:val="tr-TR"/>
              </w:rPr>
              <w:t>Sadece bu Odak Alanını değil Dünya Bank</w:t>
            </w:r>
            <w:r w:rsidR="00F9564F" w:rsidRPr="001A4B94">
              <w:rPr>
                <w:iCs/>
                <w:sz w:val="21"/>
                <w:szCs w:val="21"/>
                <w:lang w:val="tr-TR"/>
              </w:rPr>
              <w:t>a</w:t>
            </w:r>
            <w:r w:rsidR="00323F48" w:rsidRPr="001A4B94">
              <w:rPr>
                <w:iCs/>
                <w:sz w:val="21"/>
                <w:szCs w:val="21"/>
                <w:lang w:val="tr-TR"/>
              </w:rPr>
              <w:t>sı Grubu programını tamamını kapsayan eşitlik, kırılganlık ve bölgesel eşitsizlikler gibi geniş kapsamlı konular, muhtemelen gelecekteki bir CEM veya başka bir ayrıntılı tanılama çalışması yoluyla derinlemesine ASA çalışmalarının konusu olmaya devam edecektir</w:t>
            </w:r>
            <w:r w:rsidR="00622088" w:rsidRPr="001A4B94">
              <w:rPr>
                <w:iCs/>
                <w:sz w:val="21"/>
                <w:szCs w:val="21"/>
                <w:lang w:val="tr-TR"/>
              </w:rPr>
              <w:t xml:space="preserve">. </w:t>
            </w:r>
            <w:r w:rsidR="00323F48" w:rsidRPr="001A4B94">
              <w:rPr>
                <w:iCs/>
                <w:sz w:val="21"/>
                <w:szCs w:val="21"/>
                <w:lang w:val="tr-TR"/>
              </w:rPr>
              <w:t>DBG programının bu alandaki önemli bir değişikliği AB’nin Türkiye’deki Sığınmacılara yönelik Fonu (FRiT) ile finanse edilen yeni yatırım operasyonlarının uygulamaya konulması olmuştur</w:t>
            </w:r>
            <w:r w:rsidR="00F362A1" w:rsidRPr="001A4B94">
              <w:rPr>
                <w:iCs/>
                <w:sz w:val="21"/>
                <w:szCs w:val="21"/>
                <w:lang w:val="tr-TR"/>
              </w:rPr>
              <w:t xml:space="preserve">. </w:t>
            </w:r>
            <w:r w:rsidR="00F362A1" w:rsidRPr="001A4B94">
              <w:rPr>
                <w:sz w:val="21"/>
                <w:szCs w:val="21"/>
                <w:lang w:val="tr-TR"/>
              </w:rPr>
              <w:t>FRiT finansmanı, FRiT  projelerinin tasarımı ve uygulaması yoluyla, DBG’nin ASA faaliyetlerini yatırım projeleri yoluyla daha derinlemesine bir destek ile tamamlamasına olanak tanımıştır</w:t>
            </w:r>
            <w:r w:rsidR="00622088" w:rsidRPr="001A4B94">
              <w:rPr>
                <w:iCs/>
                <w:sz w:val="21"/>
                <w:szCs w:val="21"/>
                <w:lang w:val="tr-TR"/>
              </w:rPr>
              <w:t>.</w:t>
            </w:r>
          </w:p>
        </w:tc>
      </w:tr>
      <w:tr w:rsidR="00622088" w:rsidRPr="001A4B94" w14:paraId="3407F95F" w14:textId="77777777" w:rsidTr="002267E6">
        <w:tc>
          <w:tcPr>
            <w:tcW w:w="13225" w:type="dxa"/>
            <w:gridSpan w:val="3"/>
            <w:tcBorders>
              <w:top w:val="single" w:sz="4" w:space="0" w:color="auto"/>
            </w:tcBorders>
            <w:shd w:val="clear" w:color="auto" w:fill="EDEDED" w:themeFill="accent3" w:themeFillTint="33"/>
          </w:tcPr>
          <w:p w14:paraId="6699C42E" w14:textId="7D1B4AAB" w:rsidR="00622088" w:rsidRPr="001A4B94" w:rsidRDefault="00622088" w:rsidP="001C5E7F">
            <w:pPr>
              <w:tabs>
                <w:tab w:val="left" w:pos="426"/>
              </w:tabs>
              <w:spacing w:before="120" w:after="120"/>
              <w:jc w:val="center"/>
              <w:rPr>
                <w:b/>
                <w:sz w:val="22"/>
                <w:szCs w:val="22"/>
                <w:lang w:val="tr-TR"/>
              </w:rPr>
            </w:pPr>
            <w:r w:rsidRPr="001A4B94">
              <w:rPr>
                <w:b/>
                <w:sz w:val="22"/>
                <w:szCs w:val="22"/>
                <w:lang w:val="tr-TR"/>
              </w:rPr>
              <w:t xml:space="preserve">CPF </w:t>
            </w:r>
            <w:r w:rsidR="00F362A1" w:rsidRPr="001A4B94">
              <w:rPr>
                <w:b/>
                <w:sz w:val="22"/>
                <w:szCs w:val="22"/>
                <w:lang w:val="tr-TR"/>
              </w:rPr>
              <w:t>Amacı</w:t>
            </w:r>
            <w:r w:rsidRPr="001A4B94">
              <w:rPr>
                <w:b/>
                <w:sz w:val="22"/>
                <w:szCs w:val="22"/>
                <w:lang w:val="tr-TR"/>
              </w:rPr>
              <w:t xml:space="preserve"> 4: </w:t>
            </w:r>
            <w:r w:rsidR="00F362A1" w:rsidRPr="001A4B94">
              <w:rPr>
                <w:b/>
                <w:sz w:val="22"/>
                <w:szCs w:val="22"/>
                <w:lang w:val="tr-TR"/>
              </w:rPr>
              <w:t xml:space="preserve">Sosyal Yardımların Etkililiğinin Arttırılması  </w:t>
            </w:r>
          </w:p>
        </w:tc>
      </w:tr>
      <w:tr w:rsidR="00622088" w:rsidRPr="001A4B94" w14:paraId="78B49D76" w14:textId="77777777" w:rsidTr="00622088">
        <w:tc>
          <w:tcPr>
            <w:tcW w:w="13225" w:type="dxa"/>
            <w:gridSpan w:val="3"/>
          </w:tcPr>
          <w:p w14:paraId="422AA2CE" w14:textId="31BBA9DC" w:rsidR="00622088" w:rsidRPr="001A4B94" w:rsidRDefault="00F362A1" w:rsidP="00622088">
            <w:pPr>
              <w:rPr>
                <w:b/>
                <w:sz w:val="21"/>
                <w:szCs w:val="21"/>
                <w:lang w:val="tr-TR"/>
              </w:rPr>
            </w:pPr>
            <w:r w:rsidRPr="001A4B94">
              <w:rPr>
                <w:b/>
                <w:sz w:val="21"/>
                <w:szCs w:val="21"/>
                <w:lang w:val="tr-TR"/>
              </w:rPr>
              <w:t>Müdahale Mantığı</w:t>
            </w:r>
            <w:r w:rsidR="00622088" w:rsidRPr="001A4B94">
              <w:rPr>
                <w:b/>
                <w:sz w:val="21"/>
                <w:szCs w:val="21"/>
                <w:lang w:val="tr-TR"/>
              </w:rPr>
              <w:t>:</w:t>
            </w:r>
            <w:r w:rsidR="00622088" w:rsidRPr="001A4B94">
              <w:rPr>
                <w:sz w:val="21"/>
                <w:szCs w:val="21"/>
                <w:lang w:val="tr-TR"/>
              </w:rPr>
              <w:t xml:space="preserve">  </w:t>
            </w:r>
            <w:r w:rsidRPr="001A4B94">
              <w:rPr>
                <w:sz w:val="21"/>
                <w:szCs w:val="21"/>
                <w:lang w:val="tr-TR"/>
              </w:rPr>
              <w:tab/>
              <w:t>Bu CPF amacı, sosyal yardımların etkililiğini ve etkinliğini arttırmayı, bölgeler arasındaki farkların azaltılmasına yönelik politikalar için kanıt tabanının güçlendirilmesini ve kırılgan grupların daha fazla kapsanmasını sağlamayı hedeflemektedir</w:t>
            </w:r>
            <w:r w:rsidR="00622088" w:rsidRPr="001A4B94">
              <w:rPr>
                <w:bCs/>
                <w:sz w:val="21"/>
                <w:szCs w:val="21"/>
                <w:lang w:val="tr-TR"/>
              </w:rPr>
              <w:t>.</w:t>
            </w:r>
            <w:r w:rsidR="00622088" w:rsidRPr="001A4B94">
              <w:rPr>
                <w:sz w:val="21"/>
                <w:szCs w:val="21"/>
                <w:lang w:val="tr-TR"/>
              </w:rPr>
              <w:t xml:space="preserve">  </w:t>
            </w:r>
            <w:r w:rsidR="00DD427F" w:rsidRPr="001A4B94">
              <w:rPr>
                <w:sz w:val="21"/>
                <w:szCs w:val="21"/>
                <w:lang w:val="tr-TR"/>
              </w:rPr>
              <w:t>Bu bağlamda</w:t>
            </w:r>
            <w:r w:rsidR="00622088" w:rsidRPr="001A4B94">
              <w:rPr>
                <w:sz w:val="21"/>
                <w:szCs w:val="21"/>
                <w:lang w:val="tr-TR"/>
              </w:rPr>
              <w:t xml:space="preserve">, </w:t>
            </w:r>
            <w:r w:rsidR="00DD427F" w:rsidRPr="001A4B94">
              <w:rPr>
                <w:sz w:val="21"/>
                <w:szCs w:val="21"/>
                <w:lang w:val="tr-TR"/>
              </w:rPr>
              <w:t>D</w:t>
            </w:r>
            <w:r w:rsidR="00622088" w:rsidRPr="001A4B94">
              <w:rPr>
                <w:sz w:val="21"/>
                <w:szCs w:val="21"/>
                <w:lang w:val="tr-TR"/>
              </w:rPr>
              <w:t xml:space="preserve">BG </w:t>
            </w:r>
            <w:r w:rsidR="00DD427F" w:rsidRPr="001A4B94">
              <w:rPr>
                <w:sz w:val="21"/>
                <w:szCs w:val="21"/>
                <w:lang w:val="tr-TR"/>
              </w:rPr>
              <w:t>sosyal yardım s</w:t>
            </w:r>
            <w:r w:rsidR="00A24376" w:rsidRPr="001A4B94">
              <w:rPr>
                <w:sz w:val="21"/>
                <w:szCs w:val="21"/>
                <w:lang w:val="tr-TR"/>
              </w:rPr>
              <w:t>i</w:t>
            </w:r>
            <w:r w:rsidR="00DD427F" w:rsidRPr="001A4B94">
              <w:rPr>
                <w:sz w:val="21"/>
                <w:szCs w:val="21"/>
                <w:lang w:val="tr-TR"/>
              </w:rPr>
              <w:t>steminin etkililiğini ve etkinliğini arttırma yönü</w:t>
            </w:r>
            <w:r w:rsidR="00A24376" w:rsidRPr="001A4B94">
              <w:rPr>
                <w:sz w:val="21"/>
                <w:szCs w:val="21"/>
                <w:lang w:val="tr-TR"/>
              </w:rPr>
              <w:t>n</w:t>
            </w:r>
            <w:r w:rsidR="00DD427F" w:rsidRPr="001A4B94">
              <w:rPr>
                <w:sz w:val="21"/>
                <w:szCs w:val="21"/>
                <w:lang w:val="tr-TR"/>
              </w:rPr>
              <w:t>deki desteklerini sürdürecektir.</w:t>
            </w:r>
            <w:r w:rsidR="00622088" w:rsidRPr="001A4B94">
              <w:rPr>
                <w:sz w:val="21"/>
                <w:szCs w:val="21"/>
                <w:lang w:val="tr-TR"/>
              </w:rPr>
              <w:t xml:space="preserve">  </w:t>
            </w:r>
            <w:r w:rsidR="00DD427F" w:rsidRPr="001A4B94">
              <w:rPr>
                <w:sz w:val="21"/>
                <w:szCs w:val="21"/>
                <w:lang w:val="tr-TR"/>
              </w:rPr>
              <w:t xml:space="preserve">ASA programı,  fırsat eşitliği ve çok boyutlu yoksulluk dahil olmak üzere, refah ve kapsayıcılık ile ilgili parasal ve parasal olmayan göstergeler üretmeye ve yaygınlaştırmaya devam edecektir. Ayrıca Aile ve Sosyal </w:t>
            </w:r>
            <w:r w:rsidR="00DD427F" w:rsidRPr="001A4B94">
              <w:rPr>
                <w:sz w:val="21"/>
                <w:szCs w:val="21"/>
                <w:lang w:val="tr-TR"/>
              </w:rPr>
              <w:lastRenderedPageBreak/>
              <w:t>Politikalar Bakanlığı’nın (ASPB) Yoksullu</w:t>
            </w:r>
            <w:r w:rsidR="000120AA" w:rsidRPr="001A4B94">
              <w:rPr>
                <w:sz w:val="21"/>
                <w:szCs w:val="21"/>
                <w:lang w:val="tr-TR"/>
              </w:rPr>
              <w:t>ğu</w:t>
            </w:r>
            <w:r w:rsidR="00DD427F" w:rsidRPr="001A4B94">
              <w:rPr>
                <w:sz w:val="21"/>
                <w:szCs w:val="21"/>
                <w:lang w:val="tr-TR"/>
              </w:rPr>
              <w:t xml:space="preserve"> Azaltma Stratejisi ve So</w:t>
            </w:r>
            <w:r w:rsidR="00A24376" w:rsidRPr="001A4B94">
              <w:rPr>
                <w:sz w:val="21"/>
                <w:szCs w:val="21"/>
                <w:lang w:val="tr-TR"/>
              </w:rPr>
              <w:t>syal Yardım Reformu girişimin</w:t>
            </w:r>
            <w:r w:rsidR="00DD427F" w:rsidRPr="001A4B94">
              <w:rPr>
                <w:sz w:val="21"/>
                <w:szCs w:val="21"/>
                <w:lang w:val="tr-TR"/>
              </w:rPr>
              <w:t>e teknik yardım sağlayacaktır.</w:t>
            </w:r>
            <w:r w:rsidR="00622088" w:rsidRPr="001A4B94">
              <w:rPr>
                <w:sz w:val="21"/>
                <w:szCs w:val="21"/>
                <w:lang w:val="tr-TR"/>
              </w:rPr>
              <w:t xml:space="preserve"> </w:t>
            </w:r>
            <w:r w:rsidR="00B95AB0" w:rsidRPr="001A4B94">
              <w:rPr>
                <w:sz w:val="21"/>
                <w:szCs w:val="21"/>
                <w:lang w:val="tr-TR"/>
              </w:rPr>
              <w:t>Engelliler ve yaşlılar gibi nispeten kırılgan nüfus gruplarını korumak için uygulanan sosyal yardım ve destek programlarının yeterliliğini belirlemek amacıyla, bu kesimlere yönelik sosyal destek sisteminin bir değerlendirmesi yapılacaktır</w:t>
            </w:r>
            <w:r w:rsidR="00622088" w:rsidRPr="001A4B94">
              <w:rPr>
                <w:sz w:val="21"/>
                <w:szCs w:val="21"/>
                <w:lang w:val="tr-TR"/>
              </w:rPr>
              <w:t xml:space="preserve">. </w:t>
            </w:r>
          </w:p>
        </w:tc>
      </w:tr>
      <w:tr w:rsidR="00B95AB0" w:rsidRPr="001A4B94" w14:paraId="4DE9A1DA" w14:textId="77777777" w:rsidTr="00622088">
        <w:tc>
          <w:tcPr>
            <w:tcW w:w="3955" w:type="dxa"/>
          </w:tcPr>
          <w:p w14:paraId="4409B5E6" w14:textId="7D3D6AD3" w:rsidR="00B95AB0" w:rsidRPr="001A4B94" w:rsidRDefault="00B95AB0" w:rsidP="00B95AB0">
            <w:pPr>
              <w:rPr>
                <w:i/>
                <w:sz w:val="22"/>
                <w:szCs w:val="22"/>
                <w:lang w:val="tr-TR"/>
              </w:rPr>
            </w:pPr>
            <w:r w:rsidRPr="001A4B94">
              <w:rPr>
                <w:b/>
                <w:sz w:val="22"/>
                <w:szCs w:val="20"/>
                <w:lang w:val="tr-TR"/>
              </w:rPr>
              <w:t xml:space="preserve">CPF Amaç Göstergeleri </w:t>
            </w:r>
          </w:p>
        </w:tc>
        <w:tc>
          <w:tcPr>
            <w:tcW w:w="4410" w:type="dxa"/>
          </w:tcPr>
          <w:p w14:paraId="4394001C" w14:textId="5C09669D" w:rsidR="00B95AB0" w:rsidRPr="001A4B94" w:rsidRDefault="00B95AB0" w:rsidP="00B95AB0">
            <w:pPr>
              <w:tabs>
                <w:tab w:val="left" w:pos="426"/>
              </w:tabs>
              <w:rPr>
                <w:sz w:val="22"/>
                <w:szCs w:val="22"/>
                <w:lang w:val="tr-TR"/>
              </w:rPr>
            </w:pPr>
            <w:r w:rsidRPr="001A4B94">
              <w:rPr>
                <w:b/>
                <w:sz w:val="22"/>
                <w:szCs w:val="20"/>
                <w:lang w:val="tr-TR"/>
              </w:rPr>
              <w:t xml:space="preserve">Destekleyici İlerleme Göstergeleri </w:t>
            </w:r>
          </w:p>
        </w:tc>
        <w:tc>
          <w:tcPr>
            <w:tcW w:w="4860" w:type="dxa"/>
          </w:tcPr>
          <w:p w14:paraId="1FD51DEC" w14:textId="2B8AF697" w:rsidR="00B95AB0" w:rsidRPr="001A4B94" w:rsidRDefault="00B95AB0" w:rsidP="00B95AB0">
            <w:pPr>
              <w:rPr>
                <w:b/>
                <w:sz w:val="22"/>
                <w:szCs w:val="22"/>
                <w:lang w:val="tr-TR"/>
              </w:rPr>
            </w:pPr>
            <w:r w:rsidRPr="001A4B94">
              <w:rPr>
                <w:b/>
                <w:sz w:val="22"/>
                <w:szCs w:val="20"/>
                <w:lang w:val="tr-TR"/>
              </w:rPr>
              <w:t xml:space="preserve">DBG Programı </w:t>
            </w:r>
          </w:p>
        </w:tc>
      </w:tr>
      <w:tr w:rsidR="00622088" w:rsidRPr="001A4B94" w14:paraId="4EECBE6C" w14:textId="77777777" w:rsidTr="00622088">
        <w:tc>
          <w:tcPr>
            <w:tcW w:w="3955" w:type="dxa"/>
          </w:tcPr>
          <w:p w14:paraId="6D895791" w14:textId="0DFB4A07" w:rsidR="00622088" w:rsidRPr="001A4B94" w:rsidRDefault="00B95AB0" w:rsidP="00622088">
            <w:pPr>
              <w:tabs>
                <w:tab w:val="left" w:pos="1142"/>
              </w:tabs>
              <w:ind w:left="-28"/>
              <w:rPr>
                <w:i/>
                <w:sz w:val="20"/>
                <w:szCs w:val="20"/>
                <w:lang w:val="tr-TR"/>
              </w:rPr>
            </w:pPr>
            <w:r w:rsidRPr="001A4B94">
              <w:rPr>
                <w:i/>
                <w:iCs/>
                <w:sz w:val="20"/>
                <w:szCs w:val="20"/>
                <w:lang w:val="tr-TR"/>
              </w:rPr>
              <w:t>Sosyal yardımların yoksulluk uçurumu üzerindeki etkisinde kaydedilen artış</w:t>
            </w:r>
            <w:r w:rsidR="00622088" w:rsidRPr="001A4B94">
              <w:rPr>
                <w:i/>
                <w:sz w:val="20"/>
                <w:szCs w:val="20"/>
                <w:lang w:val="tr-TR"/>
              </w:rPr>
              <w:t>.</w:t>
            </w:r>
          </w:p>
          <w:p w14:paraId="48F13882" w14:textId="4ECD3D84" w:rsidR="00622088" w:rsidRPr="001A4B94" w:rsidRDefault="00B95AB0" w:rsidP="00622088">
            <w:pPr>
              <w:tabs>
                <w:tab w:val="left" w:pos="1142"/>
              </w:tabs>
              <w:ind w:left="-28"/>
              <w:rPr>
                <w:sz w:val="20"/>
                <w:szCs w:val="20"/>
                <w:lang w:val="tr-TR"/>
              </w:rPr>
            </w:pPr>
            <w:r w:rsidRPr="001A4B94">
              <w:rPr>
                <w:b/>
                <w:sz w:val="20"/>
                <w:szCs w:val="20"/>
                <w:lang w:val="tr-TR"/>
              </w:rPr>
              <w:t>Başlangıç Durumu</w:t>
            </w:r>
            <w:r w:rsidR="00622088" w:rsidRPr="001A4B94">
              <w:rPr>
                <w:b/>
                <w:sz w:val="20"/>
                <w:szCs w:val="20"/>
                <w:lang w:val="tr-TR"/>
              </w:rPr>
              <w:t>:</w:t>
            </w:r>
            <w:r w:rsidR="00622088" w:rsidRPr="001A4B94">
              <w:rPr>
                <w:sz w:val="20"/>
                <w:szCs w:val="20"/>
                <w:lang w:val="tr-TR"/>
              </w:rPr>
              <w:t xml:space="preserve"> </w:t>
            </w:r>
            <w:r w:rsidR="00A46139" w:rsidRPr="001A4B94">
              <w:rPr>
                <w:sz w:val="20"/>
                <w:szCs w:val="20"/>
                <w:lang w:val="tr-TR"/>
              </w:rPr>
              <w:t xml:space="preserve">Yoksulluk uçurumunun yüzde 9,9’una ulaşılıyor </w:t>
            </w:r>
          </w:p>
          <w:p w14:paraId="69119D2E" w14:textId="0EACD9A7" w:rsidR="00622088" w:rsidRPr="001A4B94" w:rsidRDefault="00A46139" w:rsidP="00622088">
            <w:pPr>
              <w:tabs>
                <w:tab w:val="left" w:pos="1142"/>
              </w:tabs>
              <w:ind w:left="-28"/>
              <w:rPr>
                <w:sz w:val="20"/>
                <w:szCs w:val="20"/>
                <w:lang w:val="tr-TR"/>
              </w:rPr>
            </w:pPr>
            <w:r w:rsidRPr="001A4B94">
              <w:rPr>
                <w:b/>
                <w:sz w:val="20"/>
                <w:szCs w:val="20"/>
                <w:lang w:val="tr-TR"/>
              </w:rPr>
              <w:t>Hedef</w:t>
            </w:r>
            <w:r w:rsidR="00622088" w:rsidRPr="001A4B94">
              <w:rPr>
                <w:b/>
                <w:sz w:val="20"/>
                <w:szCs w:val="20"/>
                <w:lang w:val="tr-TR"/>
              </w:rPr>
              <w:t>:</w:t>
            </w:r>
            <w:r w:rsidR="00622088" w:rsidRPr="001A4B94">
              <w:rPr>
                <w:sz w:val="20"/>
                <w:szCs w:val="20"/>
                <w:lang w:val="tr-TR"/>
              </w:rPr>
              <w:t xml:space="preserve"> </w:t>
            </w:r>
            <w:r w:rsidRPr="001A4B94">
              <w:rPr>
                <w:sz w:val="20"/>
                <w:szCs w:val="20"/>
                <w:lang w:val="tr-TR"/>
              </w:rPr>
              <w:t xml:space="preserve">Yoksulluk uçurumunun yüzde </w:t>
            </w:r>
            <w:r w:rsidR="00622088" w:rsidRPr="001A4B94">
              <w:rPr>
                <w:sz w:val="20"/>
                <w:szCs w:val="20"/>
                <w:lang w:val="tr-TR"/>
              </w:rPr>
              <w:t>20</w:t>
            </w:r>
            <w:r w:rsidRPr="001A4B94">
              <w:rPr>
                <w:sz w:val="20"/>
                <w:szCs w:val="20"/>
                <w:lang w:val="tr-TR"/>
              </w:rPr>
              <w:t xml:space="preserve">’sine ulaşılması </w:t>
            </w:r>
          </w:p>
          <w:p w14:paraId="63C7D243" w14:textId="77777777" w:rsidR="00622088" w:rsidRPr="001A4B94" w:rsidRDefault="00622088" w:rsidP="00622088">
            <w:pPr>
              <w:tabs>
                <w:tab w:val="left" w:pos="1142"/>
              </w:tabs>
              <w:ind w:left="-28"/>
              <w:rPr>
                <w:i/>
                <w:sz w:val="20"/>
                <w:szCs w:val="20"/>
                <w:lang w:val="tr-TR"/>
              </w:rPr>
            </w:pPr>
          </w:p>
          <w:p w14:paraId="1F1282E9" w14:textId="5CB3BDE2" w:rsidR="00306D96" w:rsidRPr="001A4B94" w:rsidRDefault="00B95AB0" w:rsidP="00306D96">
            <w:pPr>
              <w:jc w:val="both"/>
              <w:rPr>
                <w:b/>
                <w:bCs/>
                <w:i/>
                <w:sz w:val="20"/>
                <w:szCs w:val="20"/>
                <w:lang w:val="tr-TR"/>
              </w:rPr>
            </w:pPr>
            <w:r w:rsidRPr="001A4B94">
              <w:rPr>
                <w:i/>
                <w:iCs/>
                <w:sz w:val="20"/>
                <w:szCs w:val="20"/>
                <w:lang w:val="tr-TR"/>
              </w:rPr>
              <w:t>Refah ve kapsayıcılık ile ilgili parasal ve parasal olmayan göstergelerdeki artış</w:t>
            </w:r>
            <w:r w:rsidR="00306D96" w:rsidRPr="001A4B94">
              <w:rPr>
                <w:b/>
                <w:bCs/>
                <w:i/>
                <w:sz w:val="20"/>
                <w:szCs w:val="20"/>
                <w:lang w:val="tr-TR"/>
              </w:rPr>
              <w:t xml:space="preserve"> </w:t>
            </w:r>
          </w:p>
          <w:p w14:paraId="2434D4D3" w14:textId="19C06457" w:rsidR="00306D96" w:rsidRPr="001A4B94" w:rsidRDefault="00B95AB0" w:rsidP="00306D96">
            <w:pPr>
              <w:rPr>
                <w:b/>
                <w:bCs/>
                <w:sz w:val="20"/>
                <w:szCs w:val="20"/>
                <w:lang w:val="tr-TR"/>
              </w:rPr>
            </w:pPr>
            <w:r w:rsidRPr="001A4B94">
              <w:rPr>
                <w:b/>
                <w:sz w:val="20"/>
                <w:szCs w:val="20"/>
                <w:lang w:val="tr-TR"/>
              </w:rPr>
              <w:t>Başlangıç Durumu</w:t>
            </w:r>
            <w:r w:rsidR="00306D96" w:rsidRPr="001A4B94">
              <w:rPr>
                <w:b/>
                <w:sz w:val="20"/>
                <w:szCs w:val="20"/>
                <w:lang w:val="tr-TR"/>
              </w:rPr>
              <w:t xml:space="preserve">: </w:t>
            </w:r>
            <w:r w:rsidR="00A46139" w:rsidRPr="001A4B94">
              <w:rPr>
                <w:sz w:val="20"/>
                <w:szCs w:val="20"/>
                <w:lang w:val="tr-TR"/>
              </w:rPr>
              <w:t xml:space="preserve">Gösterge mevcut değil </w:t>
            </w:r>
          </w:p>
          <w:p w14:paraId="16F30E1A" w14:textId="2855230F" w:rsidR="00622088" w:rsidRPr="001A4B94" w:rsidRDefault="00A46139" w:rsidP="000F0805">
            <w:pPr>
              <w:rPr>
                <w:i/>
                <w:sz w:val="20"/>
                <w:szCs w:val="20"/>
                <w:lang w:val="tr-TR"/>
              </w:rPr>
            </w:pPr>
            <w:r w:rsidRPr="001A4B94">
              <w:rPr>
                <w:b/>
                <w:sz w:val="20"/>
                <w:szCs w:val="20"/>
                <w:lang w:val="tr-TR"/>
              </w:rPr>
              <w:t>Hedef</w:t>
            </w:r>
            <w:r w:rsidR="00306D96" w:rsidRPr="001A4B94">
              <w:rPr>
                <w:b/>
                <w:sz w:val="20"/>
                <w:szCs w:val="20"/>
                <w:lang w:val="tr-TR"/>
              </w:rPr>
              <w:t>:</w:t>
            </w:r>
            <w:r w:rsidR="00306D96" w:rsidRPr="001A4B94">
              <w:rPr>
                <w:sz w:val="20"/>
                <w:szCs w:val="20"/>
                <w:lang w:val="tr-TR"/>
              </w:rPr>
              <w:t xml:space="preserve"> 10 </w:t>
            </w:r>
            <w:r w:rsidRPr="001A4B94">
              <w:rPr>
                <w:sz w:val="20"/>
                <w:szCs w:val="20"/>
                <w:lang w:val="tr-TR"/>
              </w:rPr>
              <w:t xml:space="preserve">farklı parasal </w:t>
            </w:r>
            <w:r w:rsidR="00306D96" w:rsidRPr="001A4B94">
              <w:rPr>
                <w:sz w:val="20"/>
                <w:szCs w:val="20"/>
                <w:lang w:val="tr-TR"/>
              </w:rPr>
              <w:t>/</w:t>
            </w:r>
            <w:r w:rsidRPr="001A4B94">
              <w:rPr>
                <w:sz w:val="20"/>
                <w:szCs w:val="20"/>
                <w:lang w:val="tr-TR"/>
              </w:rPr>
              <w:t xml:space="preserve"> parasal olmayan göstergenin mevcut olması </w:t>
            </w:r>
          </w:p>
        </w:tc>
        <w:tc>
          <w:tcPr>
            <w:tcW w:w="4410" w:type="dxa"/>
          </w:tcPr>
          <w:p w14:paraId="7929A6F9" w14:textId="77777777" w:rsidR="00622088" w:rsidRPr="001A4B94" w:rsidRDefault="00622088" w:rsidP="00622088">
            <w:pPr>
              <w:tabs>
                <w:tab w:val="left" w:pos="426"/>
              </w:tabs>
              <w:rPr>
                <w:b/>
                <w:sz w:val="20"/>
                <w:szCs w:val="20"/>
                <w:lang w:val="tr-TR"/>
              </w:rPr>
            </w:pPr>
          </w:p>
          <w:p w14:paraId="4DF79930" w14:textId="77777777" w:rsidR="00622088" w:rsidRPr="001A4B94" w:rsidRDefault="00622088" w:rsidP="00622088">
            <w:pPr>
              <w:tabs>
                <w:tab w:val="left" w:pos="426"/>
              </w:tabs>
              <w:rPr>
                <w:b/>
                <w:sz w:val="20"/>
                <w:szCs w:val="20"/>
                <w:lang w:val="tr-TR"/>
              </w:rPr>
            </w:pPr>
          </w:p>
          <w:p w14:paraId="2EBCB4A9" w14:textId="77777777" w:rsidR="00622088" w:rsidRPr="001A4B94" w:rsidRDefault="00622088" w:rsidP="00622088">
            <w:pPr>
              <w:tabs>
                <w:tab w:val="left" w:pos="426"/>
              </w:tabs>
              <w:rPr>
                <w:b/>
                <w:sz w:val="20"/>
                <w:szCs w:val="20"/>
                <w:lang w:val="tr-TR"/>
              </w:rPr>
            </w:pPr>
          </w:p>
          <w:p w14:paraId="186B724A" w14:textId="77777777" w:rsidR="00622088" w:rsidRPr="001A4B94" w:rsidRDefault="00622088" w:rsidP="00622088">
            <w:pPr>
              <w:tabs>
                <w:tab w:val="left" w:pos="426"/>
              </w:tabs>
              <w:rPr>
                <w:b/>
                <w:sz w:val="20"/>
                <w:szCs w:val="20"/>
                <w:lang w:val="tr-TR"/>
              </w:rPr>
            </w:pPr>
          </w:p>
          <w:p w14:paraId="6D0C51E1" w14:textId="77777777" w:rsidR="00622088" w:rsidRPr="001A4B94" w:rsidRDefault="00622088" w:rsidP="00622088">
            <w:pPr>
              <w:tabs>
                <w:tab w:val="left" w:pos="426"/>
              </w:tabs>
              <w:rPr>
                <w:b/>
                <w:sz w:val="20"/>
                <w:szCs w:val="20"/>
                <w:lang w:val="tr-TR"/>
              </w:rPr>
            </w:pPr>
          </w:p>
          <w:p w14:paraId="0570B020" w14:textId="77777777" w:rsidR="00622088" w:rsidRPr="001A4B94" w:rsidRDefault="00622088" w:rsidP="00622088">
            <w:pPr>
              <w:tabs>
                <w:tab w:val="left" w:pos="426"/>
              </w:tabs>
              <w:rPr>
                <w:sz w:val="20"/>
                <w:szCs w:val="20"/>
                <w:lang w:val="tr-TR"/>
              </w:rPr>
            </w:pPr>
          </w:p>
        </w:tc>
        <w:tc>
          <w:tcPr>
            <w:tcW w:w="4860" w:type="dxa"/>
          </w:tcPr>
          <w:p w14:paraId="0CAE0C25" w14:textId="1D3E56C7" w:rsidR="00622088" w:rsidRPr="001A4B94" w:rsidRDefault="00A46139" w:rsidP="00622088">
            <w:pPr>
              <w:tabs>
                <w:tab w:val="left" w:pos="426"/>
              </w:tabs>
              <w:rPr>
                <w:b/>
                <w:sz w:val="20"/>
                <w:szCs w:val="20"/>
                <w:lang w:val="tr-TR"/>
              </w:rPr>
            </w:pPr>
            <w:r w:rsidRPr="001A4B94">
              <w:rPr>
                <w:b/>
                <w:bCs/>
                <w:sz w:val="20"/>
                <w:szCs w:val="20"/>
                <w:lang w:val="tr-TR"/>
              </w:rPr>
              <w:t>Yeni Finansman</w:t>
            </w:r>
            <w:r w:rsidR="00622088" w:rsidRPr="001A4B94">
              <w:rPr>
                <w:b/>
                <w:bCs/>
                <w:sz w:val="20"/>
                <w:szCs w:val="20"/>
                <w:lang w:val="tr-TR"/>
              </w:rPr>
              <w:t>:</w:t>
            </w:r>
          </w:p>
          <w:p w14:paraId="0C148E08" w14:textId="7FA18B8E" w:rsidR="00622088" w:rsidRPr="001A4B94" w:rsidRDefault="00622088" w:rsidP="00622088">
            <w:pPr>
              <w:rPr>
                <w:color w:val="000000"/>
                <w:sz w:val="20"/>
                <w:szCs w:val="20"/>
                <w:lang w:val="tr-TR"/>
              </w:rPr>
            </w:pPr>
            <w:r w:rsidRPr="001A4B94">
              <w:rPr>
                <w:color w:val="000000"/>
                <w:sz w:val="20"/>
                <w:szCs w:val="20"/>
                <w:lang w:val="tr-TR"/>
              </w:rPr>
              <w:t xml:space="preserve">DPL </w:t>
            </w:r>
            <w:r w:rsidR="00A46139" w:rsidRPr="001A4B94">
              <w:rPr>
                <w:color w:val="000000"/>
                <w:sz w:val="20"/>
                <w:szCs w:val="20"/>
                <w:lang w:val="tr-TR"/>
              </w:rPr>
              <w:t xml:space="preserve">dizisi </w:t>
            </w:r>
          </w:p>
          <w:p w14:paraId="0B99914A" w14:textId="47BB0612" w:rsidR="00622088" w:rsidRPr="001A4B94" w:rsidRDefault="00A46139" w:rsidP="00622088">
            <w:pPr>
              <w:rPr>
                <w:color w:val="000000"/>
                <w:sz w:val="20"/>
                <w:szCs w:val="20"/>
                <w:lang w:val="tr-TR"/>
              </w:rPr>
            </w:pPr>
            <w:r w:rsidRPr="001A4B94">
              <w:rPr>
                <w:color w:val="000000"/>
                <w:sz w:val="20"/>
                <w:szCs w:val="20"/>
                <w:lang w:val="tr-TR"/>
              </w:rPr>
              <w:t xml:space="preserve">Sosyal kapsama projesi </w:t>
            </w:r>
          </w:p>
          <w:p w14:paraId="1D678932" w14:textId="77777777" w:rsidR="00622088" w:rsidRPr="001A4B94" w:rsidRDefault="00622088" w:rsidP="00622088">
            <w:pPr>
              <w:tabs>
                <w:tab w:val="left" w:pos="426"/>
              </w:tabs>
              <w:rPr>
                <w:sz w:val="20"/>
                <w:szCs w:val="20"/>
                <w:lang w:val="tr-TR"/>
              </w:rPr>
            </w:pPr>
          </w:p>
          <w:p w14:paraId="2806F751" w14:textId="77146529" w:rsidR="00622088" w:rsidRPr="001A4B94" w:rsidRDefault="00A46139" w:rsidP="00A46139">
            <w:pPr>
              <w:tabs>
                <w:tab w:val="left" w:pos="426"/>
              </w:tabs>
              <w:ind w:right="-57"/>
              <w:rPr>
                <w:b/>
                <w:sz w:val="20"/>
                <w:szCs w:val="20"/>
                <w:lang w:val="tr-TR"/>
              </w:rPr>
            </w:pPr>
            <w:r w:rsidRPr="001A4B94">
              <w:rPr>
                <w:b/>
                <w:sz w:val="20"/>
                <w:szCs w:val="20"/>
                <w:lang w:val="tr-TR"/>
              </w:rPr>
              <w:t>Danışmanlık Hizmetleri ve Analitik Çalışmalar (</w:t>
            </w:r>
            <w:r w:rsidR="00622088" w:rsidRPr="001A4B94">
              <w:rPr>
                <w:b/>
                <w:sz w:val="20"/>
                <w:szCs w:val="20"/>
                <w:lang w:val="tr-TR"/>
              </w:rPr>
              <w:t>ASA</w:t>
            </w:r>
            <w:r w:rsidRPr="001A4B94">
              <w:rPr>
                <w:b/>
                <w:sz w:val="20"/>
                <w:szCs w:val="20"/>
                <w:lang w:val="tr-TR"/>
              </w:rPr>
              <w:t>)</w:t>
            </w:r>
            <w:r w:rsidR="00622088" w:rsidRPr="001A4B94">
              <w:rPr>
                <w:b/>
                <w:sz w:val="20"/>
                <w:szCs w:val="20"/>
                <w:lang w:val="tr-TR"/>
              </w:rPr>
              <w:t>:</w:t>
            </w:r>
          </w:p>
          <w:p w14:paraId="2E4AA216" w14:textId="2764AB67" w:rsidR="00622088" w:rsidRPr="001A4B94" w:rsidRDefault="00855184" w:rsidP="00622088">
            <w:pPr>
              <w:tabs>
                <w:tab w:val="left" w:pos="426"/>
              </w:tabs>
              <w:rPr>
                <w:sz w:val="20"/>
                <w:szCs w:val="20"/>
                <w:lang w:val="tr-TR"/>
              </w:rPr>
            </w:pPr>
            <w:r w:rsidRPr="001A4B94">
              <w:rPr>
                <w:sz w:val="20"/>
                <w:szCs w:val="20"/>
                <w:lang w:val="tr-TR"/>
              </w:rPr>
              <w:t xml:space="preserve">Yoksulluğu Azaltma Stratejisi ve Sosyal Yardım Reformu </w:t>
            </w:r>
            <w:r w:rsidR="00622088" w:rsidRPr="001A4B94">
              <w:rPr>
                <w:sz w:val="20"/>
                <w:szCs w:val="20"/>
                <w:lang w:val="tr-TR"/>
              </w:rPr>
              <w:t>T</w:t>
            </w:r>
            <w:r w:rsidRPr="001A4B94">
              <w:rPr>
                <w:sz w:val="20"/>
                <w:szCs w:val="20"/>
                <w:lang w:val="tr-TR"/>
              </w:rPr>
              <w:t>Y</w:t>
            </w:r>
            <w:r w:rsidR="00622088" w:rsidRPr="001A4B94">
              <w:rPr>
                <w:sz w:val="20"/>
                <w:szCs w:val="20"/>
                <w:lang w:val="tr-TR"/>
              </w:rPr>
              <w:t xml:space="preserve"> </w:t>
            </w:r>
            <w:r w:rsidRPr="001A4B94">
              <w:rPr>
                <w:sz w:val="20"/>
                <w:szCs w:val="20"/>
                <w:lang w:val="tr-TR"/>
              </w:rPr>
              <w:t xml:space="preserve"> - çok boyutlu yoksulluk ve eşitsizlik göstergeleri hakkında </w:t>
            </w:r>
          </w:p>
          <w:p w14:paraId="003900A9" w14:textId="589BDD34" w:rsidR="00622088" w:rsidRPr="001A4B94" w:rsidRDefault="00855184" w:rsidP="00622088">
            <w:pPr>
              <w:tabs>
                <w:tab w:val="left" w:pos="426"/>
              </w:tabs>
              <w:rPr>
                <w:sz w:val="20"/>
                <w:szCs w:val="20"/>
                <w:lang w:val="tr-TR"/>
              </w:rPr>
            </w:pPr>
            <w:r w:rsidRPr="001A4B94">
              <w:rPr>
                <w:sz w:val="20"/>
                <w:szCs w:val="20"/>
                <w:lang w:val="tr-TR"/>
              </w:rPr>
              <w:t xml:space="preserve">Engellilik ve yaşlanma çalışması </w:t>
            </w:r>
          </w:p>
          <w:p w14:paraId="4F216356" w14:textId="77777777" w:rsidR="00622088" w:rsidRPr="001A4B94" w:rsidRDefault="00622088" w:rsidP="00622088">
            <w:pPr>
              <w:rPr>
                <w:b/>
                <w:sz w:val="20"/>
                <w:szCs w:val="20"/>
                <w:lang w:val="tr-TR"/>
              </w:rPr>
            </w:pPr>
          </w:p>
        </w:tc>
      </w:tr>
      <w:tr w:rsidR="001C5E7F" w:rsidRPr="001A4B94" w14:paraId="63DEBFA2" w14:textId="77777777" w:rsidTr="00BA590B">
        <w:tc>
          <w:tcPr>
            <w:tcW w:w="13225" w:type="dxa"/>
            <w:gridSpan w:val="3"/>
            <w:shd w:val="clear" w:color="auto" w:fill="EDEDED" w:themeFill="accent3" w:themeFillTint="33"/>
          </w:tcPr>
          <w:p w14:paraId="7DEF6410" w14:textId="17854BDB" w:rsidR="001C5E7F" w:rsidRPr="001A4B94" w:rsidRDefault="001C5E7F" w:rsidP="00BA590B">
            <w:pPr>
              <w:tabs>
                <w:tab w:val="left" w:pos="426"/>
              </w:tabs>
              <w:spacing w:before="120" w:after="120"/>
              <w:jc w:val="center"/>
              <w:rPr>
                <w:b/>
                <w:sz w:val="22"/>
                <w:szCs w:val="22"/>
                <w:lang w:val="tr-TR"/>
              </w:rPr>
            </w:pPr>
            <w:r w:rsidRPr="001A4B94">
              <w:rPr>
                <w:b/>
                <w:sz w:val="22"/>
                <w:szCs w:val="22"/>
                <w:lang w:val="tr-TR"/>
              </w:rPr>
              <w:t xml:space="preserve">CPF </w:t>
            </w:r>
            <w:r w:rsidR="00855184" w:rsidRPr="001A4B94">
              <w:rPr>
                <w:b/>
                <w:sz w:val="22"/>
                <w:szCs w:val="22"/>
                <w:lang w:val="tr-TR"/>
              </w:rPr>
              <w:t>Amacı</w:t>
            </w:r>
            <w:r w:rsidRPr="001A4B94">
              <w:rPr>
                <w:b/>
                <w:sz w:val="22"/>
                <w:szCs w:val="22"/>
                <w:lang w:val="tr-TR"/>
              </w:rPr>
              <w:t xml:space="preserve"> 5: </w:t>
            </w:r>
            <w:r w:rsidR="00087073" w:rsidRPr="001A4B94">
              <w:rPr>
                <w:b/>
                <w:sz w:val="22"/>
                <w:szCs w:val="22"/>
                <w:lang w:val="tr-TR"/>
              </w:rPr>
              <w:t>Kadınlar ve Kırılgan Gruplar için İşgücüne Katılımın Arttırılması</w:t>
            </w:r>
          </w:p>
        </w:tc>
      </w:tr>
      <w:tr w:rsidR="001C5E7F" w:rsidRPr="001A4B94" w14:paraId="603F40C9" w14:textId="77777777" w:rsidTr="00747261">
        <w:tc>
          <w:tcPr>
            <w:tcW w:w="13225" w:type="dxa"/>
            <w:gridSpan w:val="3"/>
          </w:tcPr>
          <w:p w14:paraId="0749CBEE" w14:textId="0770247B" w:rsidR="001C5E7F" w:rsidRPr="001A4B94" w:rsidRDefault="00087073" w:rsidP="001C5E7F">
            <w:pPr>
              <w:jc w:val="both"/>
              <w:rPr>
                <w:sz w:val="21"/>
                <w:szCs w:val="21"/>
                <w:lang w:val="tr-TR"/>
              </w:rPr>
            </w:pPr>
            <w:r w:rsidRPr="001A4B94">
              <w:rPr>
                <w:b/>
                <w:sz w:val="21"/>
                <w:szCs w:val="21"/>
                <w:lang w:val="tr-TR"/>
              </w:rPr>
              <w:t>Müdahale Mantığı</w:t>
            </w:r>
            <w:r w:rsidR="001C5E7F" w:rsidRPr="001A4B94">
              <w:rPr>
                <w:b/>
                <w:sz w:val="21"/>
                <w:szCs w:val="21"/>
                <w:lang w:val="tr-TR"/>
              </w:rPr>
              <w:t xml:space="preserve">:  </w:t>
            </w:r>
            <w:r w:rsidRPr="001A4B94">
              <w:rPr>
                <w:sz w:val="21"/>
                <w:szCs w:val="21"/>
                <w:lang w:val="tr-TR"/>
              </w:rPr>
              <w:t>Bu amaç kapsamındaki Dünya Bankası Grubu desteği, özellikle kadınlar ve gençler olmak üzere daha fazla insanı kayıtlı işgücü piyasasına dahil etmeyi hedeflemektedir</w:t>
            </w:r>
            <w:r w:rsidR="001C5E7F" w:rsidRPr="001A4B94">
              <w:rPr>
                <w:sz w:val="21"/>
                <w:szCs w:val="21"/>
                <w:lang w:val="tr-TR"/>
              </w:rPr>
              <w:t xml:space="preserve">. </w:t>
            </w:r>
            <w:r w:rsidRPr="001A4B94">
              <w:rPr>
                <w:sz w:val="21"/>
                <w:szCs w:val="21"/>
                <w:lang w:val="tr-TR"/>
              </w:rPr>
              <w:t xml:space="preserve">Banka, kapsamlı bir ASA paketi sunma </w:t>
            </w:r>
            <w:r w:rsidR="00D72BA0" w:rsidRPr="001A4B94">
              <w:rPr>
                <w:sz w:val="21"/>
                <w:szCs w:val="21"/>
                <w:lang w:val="tr-TR"/>
              </w:rPr>
              <w:t xml:space="preserve">ve Hükümet’in karar verme süreçleri için bilgi girdisi sağlayabilecek ve sonrasında DPL’ler yoluyla desteklenebilecek reform tavsiyeleri önerme </w:t>
            </w:r>
            <w:r w:rsidRPr="001A4B94">
              <w:rPr>
                <w:sz w:val="21"/>
                <w:szCs w:val="21"/>
                <w:lang w:val="tr-TR"/>
              </w:rPr>
              <w:t xml:space="preserve">rolünü devam </w:t>
            </w:r>
            <w:r w:rsidR="00D72BA0" w:rsidRPr="001A4B94">
              <w:rPr>
                <w:sz w:val="21"/>
                <w:szCs w:val="21"/>
                <w:lang w:val="tr-TR"/>
              </w:rPr>
              <w:t>ettirmek istemektedir</w:t>
            </w:r>
            <w:r w:rsidR="001C5E7F" w:rsidRPr="001A4B94">
              <w:rPr>
                <w:sz w:val="21"/>
                <w:szCs w:val="21"/>
                <w:lang w:val="tr-TR"/>
              </w:rPr>
              <w:t xml:space="preserve">. </w:t>
            </w:r>
            <w:r w:rsidR="00AD054A" w:rsidRPr="001A4B94">
              <w:rPr>
                <w:sz w:val="21"/>
                <w:szCs w:val="21"/>
                <w:lang w:val="tr-TR"/>
              </w:rPr>
              <w:t>GKSS akışı özellikle bu grupların yoğun olarak bulunduğu güneydoğuda olmak üzere işgücü için yeni zorluklar yaratmıştır</w:t>
            </w:r>
            <w:r w:rsidR="001C5E7F" w:rsidRPr="001A4B94">
              <w:rPr>
                <w:sz w:val="21"/>
                <w:szCs w:val="21"/>
                <w:lang w:val="tr-TR"/>
              </w:rPr>
              <w:t xml:space="preserve">. </w:t>
            </w:r>
            <w:r w:rsidR="00AD054A" w:rsidRPr="001A4B94">
              <w:rPr>
                <w:sz w:val="21"/>
                <w:szCs w:val="21"/>
                <w:lang w:val="tr-TR"/>
              </w:rPr>
              <w:t>DBG politik</w:t>
            </w:r>
            <w:r w:rsidR="006322DA" w:rsidRPr="001A4B94">
              <w:rPr>
                <w:sz w:val="21"/>
                <w:szCs w:val="21"/>
                <w:lang w:val="tr-TR"/>
              </w:rPr>
              <w:t>a</w:t>
            </w:r>
            <w:r w:rsidR="00AD054A" w:rsidRPr="001A4B94">
              <w:rPr>
                <w:sz w:val="21"/>
                <w:szCs w:val="21"/>
                <w:lang w:val="tr-TR"/>
              </w:rPr>
              <w:t xml:space="preserve"> danışmanlığı (AB ve SIDA vakıf fonlarının desteği ile)  ve çeşitli proje müdahaleleri yoluyla bu sorunların ele alınmasına yardımcı olacaktır</w:t>
            </w:r>
            <w:r w:rsidR="001C5E7F" w:rsidRPr="001A4B94">
              <w:rPr>
                <w:sz w:val="21"/>
                <w:szCs w:val="21"/>
                <w:lang w:val="tr-TR"/>
              </w:rPr>
              <w:t xml:space="preserve">. </w:t>
            </w:r>
            <w:r w:rsidR="00AD054A" w:rsidRPr="001A4B94">
              <w:rPr>
                <w:sz w:val="21"/>
                <w:szCs w:val="21"/>
                <w:lang w:val="tr-TR"/>
              </w:rPr>
              <w:t xml:space="preserve">FRiT tarafından finanse edilen bir işgücü piyasası kapsama projesi (50 milyon €, şu anda hazırlanmaktadır ve 2017 </w:t>
            </w:r>
            <w:r w:rsidR="003F23E0" w:rsidRPr="001A4B94">
              <w:rPr>
                <w:sz w:val="21"/>
                <w:szCs w:val="21"/>
                <w:lang w:val="tr-TR"/>
              </w:rPr>
              <w:t>o</w:t>
            </w:r>
            <w:r w:rsidR="00AD054A" w:rsidRPr="001A4B94">
              <w:rPr>
                <w:sz w:val="21"/>
                <w:szCs w:val="21"/>
                <w:lang w:val="tr-TR"/>
              </w:rPr>
              <w:t>rtasında onaylanm</w:t>
            </w:r>
            <w:r w:rsidR="003F23E0" w:rsidRPr="001A4B94">
              <w:rPr>
                <w:sz w:val="21"/>
                <w:szCs w:val="21"/>
                <w:lang w:val="tr-TR"/>
              </w:rPr>
              <w:t>a</w:t>
            </w:r>
            <w:r w:rsidR="00AD054A" w:rsidRPr="001A4B94">
              <w:rPr>
                <w:sz w:val="21"/>
                <w:szCs w:val="21"/>
                <w:lang w:val="tr-TR"/>
              </w:rPr>
              <w:t>sı beklenmektedir) AİPP’lere erişimin arttırılması yoluyla GKSS’lerin işgücü piyasasına katılımlarını arttırmayı hedeflemektedir</w:t>
            </w:r>
            <w:r w:rsidR="001C5E7F" w:rsidRPr="001A4B94">
              <w:rPr>
                <w:sz w:val="21"/>
                <w:szCs w:val="21"/>
                <w:lang w:val="tr-TR"/>
              </w:rPr>
              <w:t xml:space="preserve">. </w:t>
            </w:r>
            <w:r w:rsidR="003F23E0" w:rsidRPr="001A4B94">
              <w:rPr>
                <w:sz w:val="21"/>
                <w:szCs w:val="21"/>
                <w:lang w:val="tr-TR"/>
              </w:rPr>
              <w:t>Bunu tamamlayıcı olarak, FRiT  tarafından, GKSS’lerin etkilediği bölgelerde istihdam ve girişimcilik fırsatlarını desteklemeye yönelik IBRD danışmanlık çalışmaları için 5 milyon €’luk bir finansman sağlanmıştır</w:t>
            </w:r>
            <w:r w:rsidR="001C5E7F" w:rsidRPr="001A4B94">
              <w:rPr>
                <w:sz w:val="21"/>
                <w:szCs w:val="21"/>
                <w:lang w:val="tr-TR"/>
              </w:rPr>
              <w:t xml:space="preserve">.  </w:t>
            </w:r>
            <w:r w:rsidR="003F23E0" w:rsidRPr="001A4B94">
              <w:rPr>
                <w:sz w:val="21"/>
                <w:szCs w:val="21"/>
                <w:lang w:val="tr-TR"/>
              </w:rPr>
              <w:t>Müşteri talebinin olduğu ve ikiz hedefler ile bağlantının kurulabildiği yerlerde daha fazla IBRD ve/veya AB yatırımları düşünülecektir;</w:t>
            </w:r>
            <w:r w:rsidR="001C5E7F" w:rsidRPr="001A4B94">
              <w:rPr>
                <w:sz w:val="21"/>
                <w:szCs w:val="21"/>
                <w:lang w:val="tr-TR"/>
              </w:rPr>
              <w:t xml:space="preserve"> </w:t>
            </w:r>
            <w:r w:rsidR="003F23E0" w:rsidRPr="001A4B94">
              <w:rPr>
                <w:sz w:val="21"/>
                <w:szCs w:val="21"/>
                <w:lang w:val="tr-TR"/>
              </w:rPr>
              <w:t>görüşülmekte olan bir alan, tarımsal-gıda sektöründe GKSS’lere yönelik geçim desteği sağlanmasıdır</w:t>
            </w:r>
            <w:r w:rsidR="001C5E7F" w:rsidRPr="001A4B94">
              <w:rPr>
                <w:sz w:val="21"/>
                <w:szCs w:val="21"/>
                <w:lang w:val="tr-TR"/>
              </w:rPr>
              <w:t xml:space="preserve">. </w:t>
            </w:r>
            <w:r w:rsidR="003F23E0" w:rsidRPr="001A4B94">
              <w:rPr>
                <w:sz w:val="21"/>
                <w:szCs w:val="21"/>
                <w:lang w:val="tr-TR"/>
              </w:rPr>
              <w:t>D</w:t>
            </w:r>
            <w:r w:rsidR="001C5E7F" w:rsidRPr="001A4B94">
              <w:rPr>
                <w:sz w:val="21"/>
                <w:szCs w:val="21"/>
                <w:lang w:val="tr-TR"/>
              </w:rPr>
              <w:t xml:space="preserve">BG </w:t>
            </w:r>
            <w:r w:rsidR="003F23E0" w:rsidRPr="001A4B94">
              <w:rPr>
                <w:sz w:val="21"/>
                <w:szCs w:val="21"/>
                <w:lang w:val="tr-TR"/>
              </w:rPr>
              <w:t>aynı zamanda işgücü piyasasında göçün yöneti</w:t>
            </w:r>
            <w:r w:rsidR="00E10B33" w:rsidRPr="001A4B94">
              <w:rPr>
                <w:sz w:val="21"/>
                <w:szCs w:val="21"/>
                <w:lang w:val="tr-TR"/>
              </w:rPr>
              <w:t>l</w:t>
            </w:r>
            <w:r w:rsidR="003F23E0" w:rsidRPr="001A4B94">
              <w:rPr>
                <w:sz w:val="21"/>
                <w:szCs w:val="21"/>
                <w:lang w:val="tr-TR"/>
              </w:rPr>
              <w:t xml:space="preserve">mesine yönelik kapsamlı </w:t>
            </w:r>
            <w:r w:rsidR="00E10B33" w:rsidRPr="001A4B94">
              <w:rPr>
                <w:sz w:val="21"/>
                <w:szCs w:val="21"/>
                <w:lang w:val="tr-TR"/>
              </w:rPr>
              <w:t>bir stratejinin oluşturulmasına destek sağlamaktadır</w:t>
            </w:r>
            <w:r w:rsidR="001C5E7F" w:rsidRPr="001A4B94">
              <w:rPr>
                <w:sz w:val="21"/>
                <w:szCs w:val="21"/>
                <w:lang w:val="tr-TR"/>
              </w:rPr>
              <w:t xml:space="preserve">.  </w:t>
            </w:r>
          </w:p>
          <w:p w14:paraId="200E50D2" w14:textId="74344810" w:rsidR="001C5E7F" w:rsidRPr="001A4B94" w:rsidRDefault="00E10B33" w:rsidP="001C5E7F">
            <w:pPr>
              <w:jc w:val="both"/>
              <w:rPr>
                <w:b/>
                <w:sz w:val="22"/>
                <w:szCs w:val="22"/>
                <w:lang w:val="tr-TR"/>
              </w:rPr>
            </w:pPr>
            <w:r w:rsidRPr="001A4B94">
              <w:rPr>
                <w:sz w:val="21"/>
                <w:szCs w:val="21"/>
                <w:lang w:val="tr-TR"/>
              </w:rPr>
              <w:t>Bu amaç kapsamında, IFC, kırılgan ve yetersiz hizmet alan grupların hizmetlere, istihdama ve finansmana erişimlerinde daha fazla eşitlik sağlayan projelere yatırım yapmayı amaçlamaktadır</w:t>
            </w:r>
            <w:r w:rsidR="009B1D3A" w:rsidRPr="001A4B94">
              <w:rPr>
                <w:sz w:val="21"/>
                <w:szCs w:val="21"/>
                <w:lang w:val="tr-TR"/>
              </w:rPr>
              <w:t xml:space="preserve">. </w:t>
            </w:r>
            <w:r w:rsidRPr="001A4B94">
              <w:rPr>
                <w:sz w:val="21"/>
                <w:szCs w:val="21"/>
                <w:lang w:val="tr-TR"/>
              </w:rPr>
              <w:t>IFC kadın girişimcilere ve çiftçilere yönelik KOBİ finansmanlarının ölçeğini yükseltecek ve BDFK’ların bu gruplara yönelik finansmana erişimi arttırmaları için kaldıraç etkisi yaratacaktır. Aynı zamanda bölgede istihdamı desteklemek amacıyla, Türkiye’nin güneydoğusunda faaliyet gösteren kilit imalat şirketlerine de yatırım yapacaktır. Yetersiz hizmet alan nüfus gruplarının daha iyi kentsel hizmetlere erişebilmelerine yardımcı olmak için, IFC ikinci kademede yer alan daha az gelişmiş bölgelerde ticari açıdan sürdürülebilir kentsel altyapı projelerine yatırım yapma imkanlarını araştıracaktır. Ayrıca, kadın istihdamını ve girişimciliğini destekleyen toplumsal cinsiyet programları geliştirmelerine yardımcı olmak için, Türk şirketlerine danışmanlık hizmetleri sunacaktır.</w:t>
            </w:r>
            <w:r w:rsidRPr="001A4B94">
              <w:rPr>
                <w:sz w:val="23"/>
                <w:szCs w:val="23"/>
                <w:lang w:val="tr-TR"/>
              </w:rPr>
              <w:t xml:space="preserve"> </w:t>
            </w:r>
          </w:p>
        </w:tc>
      </w:tr>
      <w:tr w:rsidR="00E7177F" w:rsidRPr="001A4B94" w14:paraId="0C9BB65B" w14:textId="77777777" w:rsidTr="00622088">
        <w:tc>
          <w:tcPr>
            <w:tcW w:w="3955" w:type="dxa"/>
          </w:tcPr>
          <w:p w14:paraId="52812349" w14:textId="208E7071" w:rsidR="00E7177F" w:rsidRPr="001A4B94" w:rsidRDefault="00E7177F" w:rsidP="00E7177F">
            <w:pPr>
              <w:rPr>
                <w:i/>
                <w:sz w:val="20"/>
                <w:szCs w:val="20"/>
                <w:lang w:val="tr-TR"/>
              </w:rPr>
            </w:pPr>
            <w:r w:rsidRPr="001A4B94">
              <w:rPr>
                <w:b/>
                <w:sz w:val="22"/>
                <w:szCs w:val="20"/>
                <w:lang w:val="tr-TR"/>
              </w:rPr>
              <w:t xml:space="preserve">CPF Amaç Göstergeleri </w:t>
            </w:r>
          </w:p>
        </w:tc>
        <w:tc>
          <w:tcPr>
            <w:tcW w:w="4410" w:type="dxa"/>
          </w:tcPr>
          <w:p w14:paraId="3F3378F8" w14:textId="273F8B22" w:rsidR="00E7177F" w:rsidRPr="001A4B94" w:rsidRDefault="00E7177F" w:rsidP="00E7177F">
            <w:pPr>
              <w:tabs>
                <w:tab w:val="left" w:pos="426"/>
              </w:tabs>
              <w:rPr>
                <w:sz w:val="20"/>
                <w:szCs w:val="20"/>
                <w:lang w:val="tr-TR"/>
              </w:rPr>
            </w:pPr>
            <w:r w:rsidRPr="001A4B94">
              <w:rPr>
                <w:b/>
                <w:sz w:val="22"/>
                <w:szCs w:val="20"/>
                <w:lang w:val="tr-TR"/>
              </w:rPr>
              <w:t xml:space="preserve">Destekleyici İlerleme Göstergeleri </w:t>
            </w:r>
          </w:p>
        </w:tc>
        <w:tc>
          <w:tcPr>
            <w:tcW w:w="4860" w:type="dxa"/>
          </w:tcPr>
          <w:p w14:paraId="34B48694" w14:textId="08CEE493" w:rsidR="00E7177F" w:rsidRPr="001A4B94" w:rsidRDefault="00E7177F" w:rsidP="00E7177F">
            <w:pPr>
              <w:rPr>
                <w:b/>
                <w:sz w:val="20"/>
                <w:szCs w:val="20"/>
                <w:lang w:val="tr-TR"/>
              </w:rPr>
            </w:pPr>
            <w:r w:rsidRPr="001A4B94">
              <w:rPr>
                <w:b/>
                <w:sz w:val="22"/>
                <w:szCs w:val="20"/>
                <w:lang w:val="tr-TR"/>
              </w:rPr>
              <w:t xml:space="preserve">DBG Programı </w:t>
            </w:r>
          </w:p>
        </w:tc>
      </w:tr>
      <w:tr w:rsidR="001C5E7F" w:rsidRPr="001A4B94" w14:paraId="7EDDA959" w14:textId="77777777" w:rsidTr="00622088">
        <w:tc>
          <w:tcPr>
            <w:tcW w:w="3955" w:type="dxa"/>
          </w:tcPr>
          <w:p w14:paraId="143F7E0E" w14:textId="77777777" w:rsidR="000F0805" w:rsidRPr="001A4B94" w:rsidRDefault="000F0805" w:rsidP="001C5E7F">
            <w:pPr>
              <w:rPr>
                <w:i/>
                <w:sz w:val="20"/>
                <w:szCs w:val="20"/>
                <w:lang w:val="tr-TR"/>
              </w:rPr>
            </w:pPr>
          </w:p>
          <w:p w14:paraId="6BACFFD4" w14:textId="7C65BC00" w:rsidR="001C5E7F" w:rsidRPr="001A4B94" w:rsidRDefault="00E7177F" w:rsidP="001C5E7F">
            <w:pPr>
              <w:rPr>
                <w:b/>
                <w:i/>
                <w:sz w:val="20"/>
                <w:szCs w:val="20"/>
                <w:lang w:val="tr-TR"/>
              </w:rPr>
            </w:pPr>
            <w:r w:rsidRPr="001A4B94">
              <w:rPr>
                <w:i/>
                <w:sz w:val="20"/>
                <w:szCs w:val="20"/>
                <w:lang w:val="tr-TR"/>
              </w:rPr>
              <w:lastRenderedPageBreak/>
              <w:t>Kadınların işgücüne katılımında artış</w:t>
            </w:r>
          </w:p>
          <w:p w14:paraId="66DF50D7" w14:textId="6CB2A87B" w:rsidR="001C5E7F" w:rsidRPr="001A4B94" w:rsidRDefault="006736E0" w:rsidP="001C5E7F">
            <w:pPr>
              <w:rPr>
                <w:i/>
                <w:sz w:val="20"/>
                <w:szCs w:val="20"/>
                <w:lang w:val="tr-TR"/>
              </w:rPr>
            </w:pPr>
            <w:r w:rsidRPr="001A4B94">
              <w:rPr>
                <w:b/>
                <w:i/>
                <w:sz w:val="20"/>
                <w:szCs w:val="20"/>
                <w:lang w:val="tr-TR"/>
              </w:rPr>
              <w:t>Başlangıç Durumu</w:t>
            </w:r>
            <w:r w:rsidR="001C5E7F" w:rsidRPr="001A4B94">
              <w:rPr>
                <w:i/>
                <w:sz w:val="20"/>
                <w:szCs w:val="20"/>
                <w:lang w:val="tr-TR"/>
              </w:rPr>
              <w:t>:</w:t>
            </w:r>
            <w:r w:rsidRPr="001A4B94">
              <w:rPr>
                <w:i/>
                <w:sz w:val="20"/>
                <w:szCs w:val="20"/>
                <w:lang w:val="tr-TR"/>
              </w:rPr>
              <w:t xml:space="preserve"> 2015 yılında %</w:t>
            </w:r>
            <w:r w:rsidR="001C5E7F" w:rsidRPr="001A4B94">
              <w:rPr>
                <w:i/>
                <w:sz w:val="20"/>
                <w:szCs w:val="20"/>
                <w:lang w:val="tr-TR"/>
              </w:rPr>
              <w:t xml:space="preserve"> 31</w:t>
            </w:r>
            <w:r w:rsidRPr="001A4B94">
              <w:rPr>
                <w:i/>
                <w:sz w:val="20"/>
                <w:szCs w:val="20"/>
                <w:lang w:val="tr-TR"/>
              </w:rPr>
              <w:t>,</w:t>
            </w:r>
            <w:r w:rsidR="001C5E7F" w:rsidRPr="001A4B94">
              <w:rPr>
                <w:i/>
                <w:sz w:val="20"/>
                <w:szCs w:val="20"/>
                <w:lang w:val="tr-TR"/>
              </w:rPr>
              <w:t>5</w:t>
            </w:r>
          </w:p>
          <w:p w14:paraId="202D2671" w14:textId="1F8481BB" w:rsidR="001C5E7F" w:rsidRPr="001A4B94" w:rsidRDefault="006736E0" w:rsidP="001C5E7F">
            <w:pPr>
              <w:rPr>
                <w:i/>
                <w:sz w:val="20"/>
                <w:szCs w:val="20"/>
                <w:lang w:val="tr-TR"/>
              </w:rPr>
            </w:pPr>
            <w:r w:rsidRPr="001A4B94">
              <w:rPr>
                <w:b/>
                <w:i/>
                <w:sz w:val="20"/>
                <w:szCs w:val="20"/>
                <w:lang w:val="tr-TR"/>
              </w:rPr>
              <w:t>Hedef</w:t>
            </w:r>
            <w:r w:rsidR="001C5E7F" w:rsidRPr="001A4B94">
              <w:rPr>
                <w:b/>
                <w:i/>
                <w:sz w:val="20"/>
                <w:szCs w:val="20"/>
                <w:lang w:val="tr-TR"/>
              </w:rPr>
              <w:t>:</w:t>
            </w:r>
            <w:r w:rsidR="001C5E7F" w:rsidRPr="001A4B94">
              <w:rPr>
                <w:i/>
                <w:sz w:val="20"/>
                <w:szCs w:val="20"/>
                <w:lang w:val="tr-TR"/>
              </w:rPr>
              <w:t xml:space="preserve"> </w:t>
            </w:r>
            <w:r w:rsidRPr="001A4B94">
              <w:rPr>
                <w:i/>
                <w:sz w:val="20"/>
                <w:szCs w:val="20"/>
                <w:lang w:val="tr-TR"/>
              </w:rPr>
              <w:t xml:space="preserve">2018 yılında % </w:t>
            </w:r>
            <w:r w:rsidR="001C5E7F" w:rsidRPr="001A4B94">
              <w:rPr>
                <w:i/>
                <w:sz w:val="20"/>
                <w:szCs w:val="20"/>
                <w:lang w:val="tr-TR"/>
              </w:rPr>
              <w:t>35</w:t>
            </w:r>
            <w:r w:rsidRPr="001A4B94">
              <w:rPr>
                <w:i/>
                <w:sz w:val="20"/>
                <w:szCs w:val="20"/>
                <w:lang w:val="tr-TR"/>
              </w:rPr>
              <w:t xml:space="preserve"> </w:t>
            </w:r>
            <w:r w:rsidR="001C5E7F" w:rsidRPr="001A4B94">
              <w:rPr>
                <w:i/>
                <w:sz w:val="20"/>
                <w:szCs w:val="20"/>
                <w:lang w:val="tr-TR"/>
              </w:rPr>
              <w:t xml:space="preserve"> (10</w:t>
            </w:r>
            <w:r w:rsidRPr="001A4B94">
              <w:rPr>
                <w:i/>
                <w:sz w:val="20"/>
                <w:szCs w:val="20"/>
                <w:lang w:val="tr-TR"/>
              </w:rPr>
              <w:t>. KP hedefi</w:t>
            </w:r>
            <w:r w:rsidR="000F0805" w:rsidRPr="001A4B94">
              <w:rPr>
                <w:i/>
                <w:sz w:val="20"/>
                <w:szCs w:val="20"/>
                <w:lang w:val="tr-TR"/>
              </w:rPr>
              <w:t xml:space="preserve">), </w:t>
            </w:r>
            <w:r w:rsidRPr="001A4B94">
              <w:rPr>
                <w:i/>
                <w:sz w:val="20"/>
                <w:szCs w:val="20"/>
                <w:lang w:val="tr-TR"/>
              </w:rPr>
              <w:t xml:space="preserve">2023 yılında % </w:t>
            </w:r>
            <w:r w:rsidR="000F0805" w:rsidRPr="001A4B94">
              <w:rPr>
                <w:i/>
                <w:sz w:val="20"/>
                <w:szCs w:val="20"/>
                <w:lang w:val="tr-TR"/>
              </w:rPr>
              <w:t>41</w:t>
            </w:r>
            <w:r w:rsidRPr="001A4B94">
              <w:rPr>
                <w:i/>
                <w:sz w:val="20"/>
                <w:szCs w:val="20"/>
                <w:lang w:val="tr-TR"/>
              </w:rPr>
              <w:t xml:space="preserve"> </w:t>
            </w:r>
            <w:r w:rsidR="001C5E7F" w:rsidRPr="001A4B94">
              <w:rPr>
                <w:i/>
                <w:sz w:val="20"/>
                <w:szCs w:val="20"/>
                <w:lang w:val="tr-TR"/>
              </w:rPr>
              <w:t xml:space="preserve"> (</w:t>
            </w:r>
            <w:r w:rsidRPr="001A4B94">
              <w:rPr>
                <w:i/>
                <w:sz w:val="20"/>
                <w:szCs w:val="20"/>
                <w:lang w:val="tr-TR"/>
              </w:rPr>
              <w:t>Ulusal İstihdam Stratejisi hedefi</w:t>
            </w:r>
            <w:r w:rsidR="001C5E7F" w:rsidRPr="001A4B94">
              <w:rPr>
                <w:i/>
                <w:sz w:val="20"/>
                <w:szCs w:val="20"/>
                <w:lang w:val="tr-TR"/>
              </w:rPr>
              <w:t>)</w:t>
            </w:r>
          </w:p>
          <w:p w14:paraId="1470CF4F" w14:textId="77777777" w:rsidR="000F0805" w:rsidRPr="001A4B94" w:rsidRDefault="000F0805" w:rsidP="001C5E7F">
            <w:pPr>
              <w:rPr>
                <w:i/>
                <w:sz w:val="20"/>
                <w:szCs w:val="20"/>
                <w:lang w:val="tr-TR"/>
              </w:rPr>
            </w:pPr>
          </w:p>
          <w:p w14:paraId="02CABD48" w14:textId="28F59202" w:rsidR="001C5E7F" w:rsidRPr="001A4B94" w:rsidRDefault="00E7177F" w:rsidP="001C5E7F">
            <w:pPr>
              <w:rPr>
                <w:i/>
                <w:sz w:val="20"/>
                <w:szCs w:val="20"/>
                <w:lang w:val="tr-TR"/>
              </w:rPr>
            </w:pPr>
            <w:r w:rsidRPr="001A4B94">
              <w:rPr>
                <w:i/>
                <w:sz w:val="20"/>
                <w:szCs w:val="20"/>
                <w:lang w:val="tr-TR"/>
              </w:rPr>
              <w:t xml:space="preserve">Gençlerin işgücüne katılımında artış  </w:t>
            </w:r>
          </w:p>
          <w:p w14:paraId="36CC3252" w14:textId="3AB7C1C7" w:rsidR="001C5E7F" w:rsidRPr="001A4B94" w:rsidRDefault="006736E0" w:rsidP="001C5E7F">
            <w:pPr>
              <w:rPr>
                <w:i/>
                <w:sz w:val="20"/>
                <w:szCs w:val="20"/>
                <w:lang w:val="tr-TR"/>
              </w:rPr>
            </w:pPr>
            <w:r w:rsidRPr="001A4B94">
              <w:rPr>
                <w:b/>
                <w:i/>
                <w:sz w:val="20"/>
                <w:szCs w:val="20"/>
                <w:lang w:val="tr-TR"/>
              </w:rPr>
              <w:t>Başlangıç Durumu</w:t>
            </w:r>
            <w:r w:rsidR="001C5E7F" w:rsidRPr="001A4B94">
              <w:rPr>
                <w:i/>
                <w:sz w:val="20"/>
                <w:szCs w:val="20"/>
                <w:lang w:val="tr-TR"/>
              </w:rPr>
              <w:t xml:space="preserve">: </w:t>
            </w:r>
            <w:r w:rsidRPr="001A4B94">
              <w:rPr>
                <w:i/>
                <w:sz w:val="20"/>
                <w:szCs w:val="20"/>
                <w:lang w:val="tr-TR"/>
              </w:rPr>
              <w:t xml:space="preserve">Eğitimde, İstihdamda veya Mesleki Eğitimde olmayan Gençler </w:t>
            </w:r>
            <w:r w:rsidR="001C5E7F" w:rsidRPr="001A4B94">
              <w:rPr>
                <w:i/>
                <w:sz w:val="20"/>
                <w:szCs w:val="20"/>
                <w:lang w:val="tr-TR"/>
              </w:rPr>
              <w:t>(15-19</w:t>
            </w:r>
            <w:r w:rsidRPr="001A4B94">
              <w:rPr>
                <w:i/>
                <w:sz w:val="20"/>
                <w:szCs w:val="20"/>
                <w:lang w:val="tr-TR"/>
              </w:rPr>
              <w:t xml:space="preserve"> yaş</w:t>
            </w:r>
            <w:r w:rsidR="001C5E7F" w:rsidRPr="001A4B94">
              <w:rPr>
                <w:i/>
                <w:sz w:val="20"/>
                <w:szCs w:val="20"/>
                <w:lang w:val="tr-TR"/>
              </w:rPr>
              <w:t xml:space="preserve">): </w:t>
            </w:r>
            <w:r w:rsidRPr="001A4B94">
              <w:rPr>
                <w:i/>
                <w:sz w:val="20"/>
                <w:szCs w:val="20"/>
                <w:lang w:val="tr-TR"/>
              </w:rPr>
              <w:t>Erkekler %</w:t>
            </w:r>
            <w:r w:rsidR="001C5E7F" w:rsidRPr="001A4B94">
              <w:rPr>
                <w:i/>
                <w:sz w:val="20"/>
                <w:szCs w:val="20"/>
                <w:lang w:val="tr-TR"/>
              </w:rPr>
              <w:t>11</w:t>
            </w:r>
            <w:r w:rsidRPr="001A4B94">
              <w:rPr>
                <w:i/>
                <w:sz w:val="20"/>
                <w:szCs w:val="20"/>
                <w:lang w:val="tr-TR"/>
              </w:rPr>
              <w:t>,</w:t>
            </w:r>
            <w:r w:rsidR="001C5E7F" w:rsidRPr="001A4B94">
              <w:rPr>
                <w:i/>
                <w:sz w:val="20"/>
                <w:szCs w:val="20"/>
                <w:lang w:val="tr-TR"/>
              </w:rPr>
              <w:t xml:space="preserve">3, </w:t>
            </w:r>
            <w:r w:rsidRPr="001A4B94">
              <w:rPr>
                <w:i/>
                <w:sz w:val="20"/>
                <w:szCs w:val="20"/>
                <w:lang w:val="tr-TR"/>
              </w:rPr>
              <w:t>Kızlar %</w:t>
            </w:r>
            <w:r w:rsidR="001C5E7F" w:rsidRPr="001A4B94">
              <w:rPr>
                <w:i/>
                <w:sz w:val="20"/>
                <w:szCs w:val="20"/>
                <w:lang w:val="tr-TR"/>
              </w:rPr>
              <w:t>21</w:t>
            </w:r>
            <w:r w:rsidRPr="001A4B94">
              <w:rPr>
                <w:i/>
                <w:sz w:val="20"/>
                <w:szCs w:val="20"/>
                <w:lang w:val="tr-TR"/>
              </w:rPr>
              <w:t>,</w:t>
            </w:r>
            <w:r w:rsidR="001C5E7F" w:rsidRPr="001A4B94">
              <w:rPr>
                <w:i/>
                <w:sz w:val="20"/>
                <w:szCs w:val="20"/>
                <w:lang w:val="tr-TR"/>
              </w:rPr>
              <w:t>9 (2015)</w:t>
            </w:r>
          </w:p>
          <w:p w14:paraId="52B3525A" w14:textId="5F846180" w:rsidR="001C5E7F" w:rsidRPr="001A4B94" w:rsidRDefault="006736E0" w:rsidP="001C5E7F">
            <w:pPr>
              <w:rPr>
                <w:i/>
                <w:sz w:val="20"/>
                <w:szCs w:val="20"/>
                <w:lang w:val="tr-TR"/>
              </w:rPr>
            </w:pPr>
            <w:r w:rsidRPr="001A4B94">
              <w:rPr>
                <w:b/>
                <w:i/>
                <w:sz w:val="20"/>
                <w:szCs w:val="20"/>
                <w:lang w:val="tr-TR"/>
              </w:rPr>
              <w:t>Hedef</w:t>
            </w:r>
            <w:r w:rsidR="001C5E7F" w:rsidRPr="001A4B94">
              <w:rPr>
                <w:b/>
                <w:i/>
                <w:sz w:val="20"/>
                <w:szCs w:val="20"/>
                <w:lang w:val="tr-TR"/>
              </w:rPr>
              <w:t>:</w:t>
            </w:r>
            <w:r w:rsidR="001C5E7F" w:rsidRPr="001A4B94">
              <w:rPr>
                <w:i/>
                <w:sz w:val="20"/>
                <w:szCs w:val="20"/>
                <w:lang w:val="tr-TR"/>
              </w:rPr>
              <w:t xml:space="preserve"> </w:t>
            </w:r>
            <w:r w:rsidRPr="001A4B94">
              <w:rPr>
                <w:i/>
                <w:sz w:val="20"/>
                <w:szCs w:val="20"/>
                <w:lang w:val="tr-TR"/>
              </w:rPr>
              <w:t xml:space="preserve">Bu oranın yüzde 10 düşürülmesi </w:t>
            </w:r>
          </w:p>
          <w:p w14:paraId="446B1A04" w14:textId="77777777" w:rsidR="001C5E7F" w:rsidRPr="001A4B94" w:rsidRDefault="001C5E7F" w:rsidP="001C5E7F">
            <w:pPr>
              <w:rPr>
                <w:b/>
                <w:i/>
                <w:sz w:val="20"/>
                <w:szCs w:val="20"/>
                <w:lang w:val="tr-TR"/>
              </w:rPr>
            </w:pPr>
          </w:p>
          <w:p w14:paraId="5BD1E4B1" w14:textId="3629F9E4" w:rsidR="001C5E7F" w:rsidRPr="001A4B94" w:rsidRDefault="00E7177F" w:rsidP="001C5E7F">
            <w:pPr>
              <w:rPr>
                <w:i/>
                <w:sz w:val="20"/>
                <w:szCs w:val="20"/>
                <w:lang w:val="tr-TR"/>
              </w:rPr>
            </w:pPr>
            <w:r w:rsidRPr="001A4B94">
              <w:rPr>
                <w:i/>
                <w:sz w:val="20"/>
                <w:szCs w:val="20"/>
                <w:lang w:val="tr-TR"/>
              </w:rPr>
              <w:t xml:space="preserve">Çalışma çağındaki uygun GKSS nüfusu içerisinde çalışma izni olanların sayısında artış </w:t>
            </w:r>
            <w:r w:rsidR="001C5E7F" w:rsidRPr="001A4B94">
              <w:rPr>
                <w:i/>
                <w:sz w:val="20"/>
                <w:szCs w:val="20"/>
                <w:lang w:val="tr-TR"/>
              </w:rPr>
              <w:t>(</w:t>
            </w:r>
            <w:r w:rsidRPr="001A4B94">
              <w:rPr>
                <w:i/>
                <w:sz w:val="20"/>
                <w:szCs w:val="20"/>
                <w:lang w:val="tr-TR"/>
              </w:rPr>
              <w:t>cinsiyet ayrımı bazında</w:t>
            </w:r>
            <w:r w:rsidR="001C5E7F" w:rsidRPr="001A4B94">
              <w:rPr>
                <w:i/>
                <w:sz w:val="20"/>
                <w:szCs w:val="20"/>
                <w:lang w:val="tr-TR"/>
              </w:rPr>
              <w:t>)</w:t>
            </w:r>
          </w:p>
          <w:p w14:paraId="1E3F40F4" w14:textId="14BD95A9" w:rsidR="001C5E7F" w:rsidRPr="001A4B94" w:rsidRDefault="006736E0" w:rsidP="001C5E7F">
            <w:pPr>
              <w:rPr>
                <w:i/>
                <w:sz w:val="20"/>
                <w:szCs w:val="20"/>
                <w:lang w:val="tr-TR"/>
              </w:rPr>
            </w:pPr>
            <w:r w:rsidRPr="001A4B94">
              <w:rPr>
                <w:b/>
                <w:i/>
                <w:sz w:val="20"/>
                <w:szCs w:val="20"/>
                <w:lang w:val="tr-TR"/>
              </w:rPr>
              <w:t>Başlangıç Durumu</w:t>
            </w:r>
            <w:r w:rsidR="001C5E7F" w:rsidRPr="001A4B94">
              <w:rPr>
                <w:b/>
                <w:i/>
                <w:sz w:val="20"/>
                <w:szCs w:val="20"/>
                <w:lang w:val="tr-TR"/>
              </w:rPr>
              <w:t>:</w:t>
            </w:r>
            <w:r w:rsidR="001C5E7F" w:rsidRPr="001A4B94">
              <w:rPr>
                <w:i/>
                <w:sz w:val="20"/>
                <w:szCs w:val="20"/>
                <w:lang w:val="tr-TR"/>
              </w:rPr>
              <w:t xml:space="preserve"> </w:t>
            </w:r>
            <w:r w:rsidR="00DA4695" w:rsidRPr="001A4B94">
              <w:rPr>
                <w:i/>
                <w:sz w:val="20"/>
                <w:szCs w:val="20"/>
                <w:lang w:val="tr-TR"/>
              </w:rPr>
              <w:t xml:space="preserve">Çalışma çağındaki 900.000 uygun GKSS içerisinde </w:t>
            </w:r>
            <w:r w:rsidR="001C5E7F" w:rsidRPr="001A4B94">
              <w:rPr>
                <w:i/>
                <w:sz w:val="20"/>
                <w:szCs w:val="20"/>
                <w:lang w:val="tr-TR"/>
              </w:rPr>
              <w:t>8</w:t>
            </w:r>
            <w:r w:rsidR="00DA4695" w:rsidRPr="001A4B94">
              <w:rPr>
                <w:i/>
                <w:sz w:val="20"/>
                <w:szCs w:val="20"/>
                <w:lang w:val="tr-TR"/>
              </w:rPr>
              <w:t>.</w:t>
            </w:r>
            <w:r w:rsidR="001C5E7F" w:rsidRPr="001A4B94">
              <w:rPr>
                <w:i/>
                <w:sz w:val="20"/>
                <w:szCs w:val="20"/>
                <w:lang w:val="tr-TR"/>
              </w:rPr>
              <w:t xml:space="preserve">000 </w:t>
            </w:r>
            <w:r w:rsidR="00DA4695" w:rsidRPr="001A4B94">
              <w:rPr>
                <w:i/>
                <w:sz w:val="20"/>
                <w:szCs w:val="20"/>
                <w:lang w:val="tr-TR"/>
              </w:rPr>
              <w:t xml:space="preserve">kişi </w:t>
            </w:r>
            <w:r w:rsidR="001C5E7F" w:rsidRPr="001A4B94">
              <w:rPr>
                <w:i/>
                <w:sz w:val="20"/>
                <w:szCs w:val="20"/>
                <w:lang w:val="tr-TR"/>
              </w:rPr>
              <w:t xml:space="preserve"> (&lt;</w:t>
            </w:r>
            <w:r w:rsidR="00DA4695" w:rsidRPr="001A4B94">
              <w:rPr>
                <w:i/>
                <w:sz w:val="20"/>
                <w:szCs w:val="20"/>
                <w:lang w:val="tr-TR"/>
              </w:rPr>
              <w:t>%</w:t>
            </w:r>
            <w:r w:rsidR="001C5E7F" w:rsidRPr="001A4B94">
              <w:rPr>
                <w:i/>
                <w:sz w:val="20"/>
                <w:szCs w:val="20"/>
                <w:lang w:val="tr-TR"/>
              </w:rPr>
              <w:t xml:space="preserve">1) </w:t>
            </w:r>
            <w:r w:rsidR="00DA4695" w:rsidRPr="001A4B94">
              <w:rPr>
                <w:i/>
                <w:sz w:val="20"/>
                <w:szCs w:val="20"/>
                <w:lang w:val="tr-TR"/>
              </w:rPr>
              <w:t xml:space="preserve">çalışma iznine sahip </w:t>
            </w:r>
            <w:r w:rsidR="001C5E7F" w:rsidRPr="001A4B94">
              <w:rPr>
                <w:i/>
                <w:sz w:val="20"/>
                <w:szCs w:val="20"/>
                <w:lang w:val="tr-TR"/>
              </w:rPr>
              <w:t>(2016)</w:t>
            </w:r>
          </w:p>
          <w:p w14:paraId="7BABA4A2" w14:textId="02AAE8D7" w:rsidR="001C5E7F" w:rsidRPr="001A4B94" w:rsidRDefault="006736E0" w:rsidP="001C5E7F">
            <w:pPr>
              <w:rPr>
                <w:i/>
                <w:sz w:val="20"/>
                <w:szCs w:val="20"/>
                <w:lang w:val="tr-TR"/>
              </w:rPr>
            </w:pPr>
            <w:r w:rsidRPr="001A4B94">
              <w:rPr>
                <w:b/>
                <w:i/>
                <w:sz w:val="20"/>
                <w:szCs w:val="20"/>
                <w:lang w:val="tr-TR"/>
              </w:rPr>
              <w:t>Hedef</w:t>
            </w:r>
            <w:r w:rsidR="001C5E7F" w:rsidRPr="001A4B94">
              <w:rPr>
                <w:b/>
                <w:i/>
                <w:sz w:val="20"/>
                <w:szCs w:val="20"/>
                <w:lang w:val="tr-TR"/>
              </w:rPr>
              <w:t>:</w:t>
            </w:r>
            <w:r w:rsidR="001C5E7F" w:rsidRPr="001A4B94">
              <w:rPr>
                <w:i/>
                <w:sz w:val="20"/>
                <w:szCs w:val="20"/>
                <w:lang w:val="tr-TR"/>
              </w:rPr>
              <w:t xml:space="preserve"> </w:t>
            </w:r>
            <w:r w:rsidR="00DA4695" w:rsidRPr="001A4B94">
              <w:rPr>
                <w:i/>
                <w:sz w:val="20"/>
                <w:szCs w:val="20"/>
                <w:lang w:val="tr-TR"/>
              </w:rPr>
              <w:t>%</w:t>
            </w:r>
            <w:r w:rsidR="001C5E7F" w:rsidRPr="001A4B94">
              <w:rPr>
                <w:i/>
                <w:sz w:val="20"/>
                <w:szCs w:val="20"/>
                <w:lang w:val="tr-TR"/>
              </w:rPr>
              <w:t>5</w:t>
            </w:r>
            <w:r w:rsidR="004334FC" w:rsidRPr="001A4B94">
              <w:rPr>
                <w:i/>
                <w:sz w:val="20"/>
                <w:szCs w:val="20"/>
                <w:lang w:val="tr-TR"/>
              </w:rPr>
              <w:t xml:space="preserve"> </w:t>
            </w:r>
            <w:r w:rsidR="00DA4695" w:rsidRPr="001A4B94">
              <w:rPr>
                <w:i/>
                <w:sz w:val="20"/>
                <w:szCs w:val="20"/>
                <w:lang w:val="tr-TR"/>
              </w:rPr>
              <w:t xml:space="preserve">artış </w:t>
            </w:r>
            <w:r w:rsidR="001C5E7F" w:rsidRPr="001A4B94">
              <w:rPr>
                <w:i/>
                <w:sz w:val="20"/>
                <w:szCs w:val="20"/>
                <w:lang w:val="tr-TR"/>
              </w:rPr>
              <w:t xml:space="preserve">(2021), </w:t>
            </w:r>
            <w:r w:rsidR="00DA4695" w:rsidRPr="001A4B94">
              <w:rPr>
                <w:i/>
                <w:sz w:val="20"/>
                <w:szCs w:val="20"/>
                <w:lang w:val="tr-TR"/>
              </w:rPr>
              <w:t xml:space="preserve">bunun yüzde 25’i kadın </w:t>
            </w:r>
          </w:p>
          <w:p w14:paraId="02D7CC72" w14:textId="77777777" w:rsidR="001C5E7F" w:rsidRPr="001A4B94" w:rsidRDefault="001C5E7F" w:rsidP="001C5E7F">
            <w:pPr>
              <w:rPr>
                <w:i/>
                <w:sz w:val="20"/>
                <w:szCs w:val="20"/>
                <w:lang w:val="tr-TR"/>
              </w:rPr>
            </w:pPr>
          </w:p>
          <w:p w14:paraId="0E200EA6" w14:textId="72CC3FCB" w:rsidR="001C5E7F" w:rsidRPr="001A4B94" w:rsidRDefault="006736E0" w:rsidP="001C5E7F">
            <w:pPr>
              <w:rPr>
                <w:i/>
                <w:sz w:val="20"/>
                <w:szCs w:val="20"/>
                <w:lang w:val="tr-TR"/>
              </w:rPr>
            </w:pPr>
            <w:r w:rsidRPr="001A4B94">
              <w:rPr>
                <w:i/>
                <w:sz w:val="20"/>
                <w:szCs w:val="20"/>
                <w:lang w:val="tr-TR"/>
              </w:rPr>
              <w:t xml:space="preserve">IFC’nin imalat sektöründeki müşterileri tarafından güneydoğuda doğrudan desteklenen istihdam </w:t>
            </w:r>
            <w:r w:rsidR="001C5E7F" w:rsidRPr="001A4B94">
              <w:rPr>
                <w:i/>
                <w:sz w:val="20"/>
                <w:szCs w:val="20"/>
                <w:lang w:val="tr-TR"/>
              </w:rPr>
              <w:t xml:space="preserve"> </w:t>
            </w:r>
          </w:p>
          <w:p w14:paraId="7EDE9CE4" w14:textId="3C9D293C" w:rsidR="001C5E7F" w:rsidRPr="001A4B94" w:rsidRDefault="006736E0" w:rsidP="001C5E7F">
            <w:pPr>
              <w:rPr>
                <w:i/>
                <w:sz w:val="20"/>
                <w:szCs w:val="20"/>
                <w:lang w:val="tr-TR"/>
              </w:rPr>
            </w:pPr>
            <w:r w:rsidRPr="001A4B94">
              <w:rPr>
                <w:b/>
                <w:i/>
                <w:sz w:val="20"/>
                <w:szCs w:val="20"/>
                <w:lang w:val="tr-TR"/>
              </w:rPr>
              <w:t>Başlangıç Durumu</w:t>
            </w:r>
            <w:r w:rsidR="001C5E7F" w:rsidRPr="001A4B94">
              <w:rPr>
                <w:i/>
                <w:sz w:val="20"/>
                <w:szCs w:val="20"/>
                <w:lang w:val="tr-TR"/>
              </w:rPr>
              <w:t>:  38</w:t>
            </w:r>
            <w:r w:rsidR="00DA4695" w:rsidRPr="001A4B94">
              <w:rPr>
                <w:i/>
                <w:sz w:val="20"/>
                <w:szCs w:val="20"/>
                <w:lang w:val="tr-TR"/>
              </w:rPr>
              <w:t>.</w:t>
            </w:r>
            <w:r w:rsidR="001C5E7F" w:rsidRPr="001A4B94">
              <w:rPr>
                <w:i/>
                <w:sz w:val="20"/>
                <w:szCs w:val="20"/>
                <w:lang w:val="tr-TR"/>
              </w:rPr>
              <w:t>000 (2015)</w:t>
            </w:r>
          </w:p>
          <w:p w14:paraId="3D35C593" w14:textId="2E1C71C9" w:rsidR="001C5E7F" w:rsidRPr="001A4B94" w:rsidRDefault="006736E0" w:rsidP="001C5E7F">
            <w:pPr>
              <w:rPr>
                <w:i/>
                <w:sz w:val="20"/>
                <w:szCs w:val="20"/>
                <w:lang w:val="tr-TR"/>
              </w:rPr>
            </w:pPr>
            <w:r w:rsidRPr="001A4B94">
              <w:rPr>
                <w:b/>
                <w:i/>
                <w:sz w:val="20"/>
                <w:szCs w:val="20"/>
                <w:lang w:val="tr-TR"/>
              </w:rPr>
              <w:t>Hedef</w:t>
            </w:r>
            <w:r w:rsidR="001C5E7F" w:rsidRPr="001A4B94">
              <w:rPr>
                <w:i/>
                <w:sz w:val="20"/>
                <w:szCs w:val="20"/>
                <w:lang w:val="tr-TR"/>
              </w:rPr>
              <w:t>:  43</w:t>
            </w:r>
            <w:r w:rsidR="00DA4695" w:rsidRPr="001A4B94">
              <w:rPr>
                <w:i/>
                <w:sz w:val="20"/>
                <w:szCs w:val="20"/>
                <w:lang w:val="tr-TR"/>
              </w:rPr>
              <w:t>.</w:t>
            </w:r>
            <w:r w:rsidR="001C5E7F" w:rsidRPr="001A4B94">
              <w:rPr>
                <w:i/>
                <w:sz w:val="20"/>
                <w:szCs w:val="20"/>
                <w:lang w:val="tr-TR"/>
              </w:rPr>
              <w:t>000 (2019)</w:t>
            </w:r>
          </w:p>
          <w:p w14:paraId="5CAD58EE" w14:textId="0B7432E4" w:rsidR="001C5E7F" w:rsidRPr="001A4B94" w:rsidRDefault="001C5E7F" w:rsidP="001C5E7F">
            <w:pPr>
              <w:rPr>
                <w:i/>
                <w:sz w:val="20"/>
                <w:szCs w:val="20"/>
                <w:lang w:val="tr-TR"/>
              </w:rPr>
            </w:pPr>
            <w:r w:rsidRPr="001A4B94">
              <w:rPr>
                <w:i/>
                <w:sz w:val="20"/>
                <w:szCs w:val="20"/>
                <w:lang w:val="tr-TR"/>
              </w:rPr>
              <w:t>(</w:t>
            </w:r>
            <w:r w:rsidR="00DA4695" w:rsidRPr="001A4B94">
              <w:rPr>
                <w:i/>
                <w:sz w:val="20"/>
                <w:szCs w:val="20"/>
                <w:lang w:val="tr-TR"/>
              </w:rPr>
              <w:t>cinsiyet bazında ayrıştırılmış veriler toplanıyor</w:t>
            </w:r>
            <w:r w:rsidRPr="001A4B94">
              <w:rPr>
                <w:i/>
                <w:sz w:val="20"/>
                <w:szCs w:val="20"/>
                <w:lang w:val="tr-TR"/>
              </w:rPr>
              <w:t>)</w:t>
            </w:r>
          </w:p>
        </w:tc>
        <w:tc>
          <w:tcPr>
            <w:tcW w:w="4410" w:type="dxa"/>
          </w:tcPr>
          <w:p w14:paraId="69CA0E8F" w14:textId="77777777" w:rsidR="000F0805" w:rsidRPr="001A4B94" w:rsidRDefault="000F0805" w:rsidP="001C5E7F">
            <w:pPr>
              <w:tabs>
                <w:tab w:val="left" w:pos="426"/>
              </w:tabs>
              <w:rPr>
                <w:sz w:val="20"/>
                <w:szCs w:val="20"/>
                <w:lang w:val="tr-TR"/>
              </w:rPr>
            </w:pPr>
          </w:p>
          <w:p w14:paraId="733768F6" w14:textId="37E16989" w:rsidR="001C5E7F" w:rsidRPr="001A4B94" w:rsidRDefault="00DA4695" w:rsidP="001C5E7F">
            <w:pPr>
              <w:tabs>
                <w:tab w:val="left" w:pos="426"/>
              </w:tabs>
              <w:rPr>
                <w:sz w:val="20"/>
                <w:szCs w:val="20"/>
                <w:lang w:val="tr-TR"/>
              </w:rPr>
            </w:pPr>
            <w:r w:rsidRPr="001A4B94">
              <w:rPr>
                <w:sz w:val="20"/>
                <w:szCs w:val="20"/>
                <w:lang w:val="tr-TR"/>
              </w:rPr>
              <w:lastRenderedPageBreak/>
              <w:t xml:space="preserve">Erken çocukluk eğitimi ve kreş kayıt oranları </w:t>
            </w:r>
          </w:p>
          <w:p w14:paraId="2FC2A3D9" w14:textId="7A9F8B13" w:rsidR="001C5E7F" w:rsidRPr="001A4B94" w:rsidRDefault="00DA4695" w:rsidP="001C5E7F">
            <w:pPr>
              <w:tabs>
                <w:tab w:val="left" w:pos="426"/>
              </w:tabs>
              <w:rPr>
                <w:sz w:val="20"/>
                <w:szCs w:val="20"/>
                <w:lang w:val="tr-TR"/>
              </w:rPr>
            </w:pPr>
            <w:r w:rsidRPr="001A4B94">
              <w:rPr>
                <w:b/>
                <w:sz w:val="20"/>
                <w:szCs w:val="20"/>
                <w:lang w:val="tr-TR"/>
              </w:rPr>
              <w:t>Başlangıç Durumu</w:t>
            </w:r>
            <w:r w:rsidR="001C5E7F" w:rsidRPr="001A4B94">
              <w:rPr>
                <w:b/>
                <w:sz w:val="20"/>
                <w:szCs w:val="20"/>
                <w:lang w:val="tr-TR"/>
              </w:rPr>
              <w:t>:</w:t>
            </w:r>
            <w:r w:rsidRPr="001A4B94">
              <w:rPr>
                <w:sz w:val="20"/>
                <w:szCs w:val="20"/>
                <w:lang w:val="tr-TR"/>
              </w:rPr>
              <w:t xml:space="preserve">  1.</w:t>
            </w:r>
            <w:r w:rsidR="004334FC" w:rsidRPr="001A4B94">
              <w:rPr>
                <w:sz w:val="20"/>
                <w:szCs w:val="20"/>
                <w:lang w:val="tr-TR"/>
              </w:rPr>
              <w:t>209</w:t>
            </w:r>
            <w:r w:rsidRPr="001A4B94">
              <w:rPr>
                <w:sz w:val="20"/>
                <w:szCs w:val="20"/>
                <w:lang w:val="tr-TR"/>
              </w:rPr>
              <w:t>.</w:t>
            </w:r>
            <w:r w:rsidR="004334FC" w:rsidRPr="001A4B94">
              <w:rPr>
                <w:sz w:val="20"/>
                <w:szCs w:val="20"/>
                <w:lang w:val="tr-TR"/>
              </w:rPr>
              <w:t>106</w:t>
            </w:r>
            <w:r w:rsidR="001C5E7F" w:rsidRPr="001A4B94">
              <w:rPr>
                <w:sz w:val="20"/>
                <w:szCs w:val="20"/>
                <w:lang w:val="tr-TR"/>
              </w:rPr>
              <w:t xml:space="preserve"> (</w:t>
            </w:r>
            <w:r w:rsidRPr="001A4B94">
              <w:rPr>
                <w:sz w:val="20"/>
                <w:szCs w:val="20"/>
                <w:lang w:val="tr-TR"/>
              </w:rPr>
              <w:t>Ulusal Eğitim İstatistikleri</w:t>
            </w:r>
            <w:r w:rsidR="001C5E7F" w:rsidRPr="001A4B94">
              <w:rPr>
                <w:sz w:val="20"/>
                <w:szCs w:val="20"/>
                <w:lang w:val="tr-TR"/>
              </w:rPr>
              <w:t xml:space="preserve">, </w:t>
            </w:r>
            <w:r w:rsidRPr="001A4B94">
              <w:rPr>
                <w:sz w:val="20"/>
                <w:szCs w:val="20"/>
                <w:lang w:val="tr-TR"/>
              </w:rPr>
              <w:t xml:space="preserve">Örgün Eğitim, </w:t>
            </w:r>
            <w:r w:rsidR="001C5E7F" w:rsidRPr="001A4B94">
              <w:rPr>
                <w:sz w:val="20"/>
                <w:szCs w:val="20"/>
                <w:lang w:val="tr-TR"/>
              </w:rPr>
              <w:t>2015</w:t>
            </w:r>
            <w:r w:rsidR="004334FC" w:rsidRPr="001A4B94">
              <w:rPr>
                <w:sz w:val="20"/>
                <w:szCs w:val="20"/>
                <w:lang w:val="tr-TR"/>
              </w:rPr>
              <w:t>/16</w:t>
            </w:r>
            <w:r w:rsidR="001C5E7F" w:rsidRPr="001A4B94">
              <w:rPr>
                <w:sz w:val="20"/>
                <w:szCs w:val="20"/>
                <w:lang w:val="tr-TR"/>
              </w:rPr>
              <w:t>)</w:t>
            </w:r>
          </w:p>
          <w:p w14:paraId="591486AF" w14:textId="0DF3E7EA" w:rsidR="001C5E7F" w:rsidRPr="001A4B94" w:rsidRDefault="00DA4695" w:rsidP="001C5E7F">
            <w:pPr>
              <w:tabs>
                <w:tab w:val="left" w:pos="426"/>
              </w:tabs>
              <w:rPr>
                <w:b/>
                <w:sz w:val="20"/>
                <w:szCs w:val="20"/>
                <w:lang w:val="tr-TR"/>
              </w:rPr>
            </w:pPr>
            <w:r w:rsidRPr="001A4B94">
              <w:rPr>
                <w:b/>
                <w:sz w:val="20"/>
                <w:szCs w:val="20"/>
                <w:lang w:val="tr-TR"/>
              </w:rPr>
              <w:t>Hedef</w:t>
            </w:r>
            <w:r w:rsidR="001C5E7F" w:rsidRPr="001A4B94">
              <w:rPr>
                <w:b/>
                <w:sz w:val="20"/>
                <w:szCs w:val="20"/>
                <w:lang w:val="tr-TR"/>
              </w:rPr>
              <w:t xml:space="preserve">:  </w:t>
            </w:r>
            <w:r w:rsidRPr="001A4B94">
              <w:rPr>
                <w:sz w:val="20"/>
                <w:szCs w:val="20"/>
                <w:lang w:val="tr-TR"/>
              </w:rPr>
              <w:t>Başlangıç düzeyine göre %10 artış</w:t>
            </w:r>
            <w:r w:rsidRPr="001A4B94">
              <w:rPr>
                <w:b/>
                <w:sz w:val="20"/>
                <w:szCs w:val="20"/>
                <w:lang w:val="tr-TR"/>
              </w:rPr>
              <w:t xml:space="preserve"> </w:t>
            </w:r>
          </w:p>
          <w:p w14:paraId="037FD307" w14:textId="77777777" w:rsidR="001C5E7F" w:rsidRPr="001A4B94" w:rsidRDefault="001C5E7F" w:rsidP="001C5E7F">
            <w:pPr>
              <w:tabs>
                <w:tab w:val="left" w:pos="426"/>
              </w:tabs>
              <w:rPr>
                <w:b/>
                <w:sz w:val="20"/>
                <w:szCs w:val="20"/>
                <w:lang w:val="tr-TR"/>
              </w:rPr>
            </w:pPr>
          </w:p>
          <w:p w14:paraId="51F02752" w14:textId="77777777" w:rsidR="000F0805" w:rsidRPr="001A4B94" w:rsidRDefault="000F0805" w:rsidP="001C5E7F">
            <w:pPr>
              <w:tabs>
                <w:tab w:val="left" w:pos="426"/>
              </w:tabs>
              <w:rPr>
                <w:b/>
                <w:sz w:val="20"/>
                <w:szCs w:val="20"/>
                <w:lang w:val="tr-TR"/>
              </w:rPr>
            </w:pPr>
          </w:p>
          <w:p w14:paraId="59CF52C9" w14:textId="09BAB5AF" w:rsidR="001C5E7F" w:rsidRPr="001A4B94" w:rsidRDefault="00C80DF1" w:rsidP="001C5E7F">
            <w:pPr>
              <w:tabs>
                <w:tab w:val="left" w:pos="426"/>
              </w:tabs>
              <w:rPr>
                <w:b/>
                <w:sz w:val="20"/>
                <w:szCs w:val="20"/>
                <w:lang w:val="tr-TR"/>
              </w:rPr>
            </w:pPr>
            <w:r w:rsidRPr="001A4B94">
              <w:rPr>
                <w:sz w:val="20"/>
                <w:szCs w:val="20"/>
                <w:lang w:val="tr-TR"/>
              </w:rPr>
              <w:t xml:space="preserve">AİPP’lere katılan gençlerin sayısı </w:t>
            </w:r>
          </w:p>
          <w:p w14:paraId="01A7DF69" w14:textId="0066AD35" w:rsidR="001C5E7F" w:rsidRPr="001A4B94" w:rsidRDefault="00DA4695" w:rsidP="001C5E7F">
            <w:pPr>
              <w:tabs>
                <w:tab w:val="left" w:pos="426"/>
              </w:tabs>
              <w:rPr>
                <w:sz w:val="20"/>
                <w:szCs w:val="20"/>
                <w:lang w:val="tr-TR"/>
              </w:rPr>
            </w:pPr>
            <w:r w:rsidRPr="001A4B94">
              <w:rPr>
                <w:b/>
                <w:sz w:val="20"/>
                <w:szCs w:val="20"/>
                <w:lang w:val="tr-TR"/>
              </w:rPr>
              <w:t>Başlangıç Durumu</w:t>
            </w:r>
            <w:r w:rsidR="001C5E7F" w:rsidRPr="001A4B94">
              <w:rPr>
                <w:b/>
                <w:sz w:val="20"/>
                <w:szCs w:val="20"/>
                <w:lang w:val="tr-TR"/>
              </w:rPr>
              <w:t xml:space="preserve">: </w:t>
            </w:r>
            <w:r w:rsidR="001C5E7F" w:rsidRPr="001A4B94">
              <w:rPr>
                <w:sz w:val="20"/>
                <w:szCs w:val="20"/>
                <w:lang w:val="tr-TR"/>
              </w:rPr>
              <w:t>74</w:t>
            </w:r>
            <w:r w:rsidR="00C80DF1" w:rsidRPr="001A4B94">
              <w:rPr>
                <w:sz w:val="20"/>
                <w:szCs w:val="20"/>
                <w:lang w:val="tr-TR"/>
              </w:rPr>
              <w:t>.</w:t>
            </w:r>
            <w:r w:rsidR="001C5E7F" w:rsidRPr="001A4B94">
              <w:rPr>
                <w:sz w:val="20"/>
                <w:szCs w:val="20"/>
                <w:lang w:val="tr-TR"/>
              </w:rPr>
              <w:t xml:space="preserve">748 </w:t>
            </w:r>
            <w:r w:rsidR="00C80DF1" w:rsidRPr="001A4B94">
              <w:rPr>
                <w:sz w:val="20"/>
                <w:szCs w:val="20"/>
                <w:lang w:val="tr-TR"/>
              </w:rPr>
              <w:t xml:space="preserve">erkek ve </w:t>
            </w:r>
            <w:r w:rsidR="001C5E7F" w:rsidRPr="001A4B94">
              <w:rPr>
                <w:sz w:val="20"/>
                <w:szCs w:val="20"/>
                <w:lang w:val="tr-TR"/>
              </w:rPr>
              <w:t>76</w:t>
            </w:r>
            <w:r w:rsidR="00C80DF1" w:rsidRPr="001A4B94">
              <w:rPr>
                <w:sz w:val="20"/>
                <w:szCs w:val="20"/>
                <w:lang w:val="tr-TR"/>
              </w:rPr>
              <w:t>.</w:t>
            </w:r>
            <w:r w:rsidR="001C5E7F" w:rsidRPr="001A4B94">
              <w:rPr>
                <w:sz w:val="20"/>
                <w:szCs w:val="20"/>
                <w:lang w:val="tr-TR"/>
              </w:rPr>
              <w:t xml:space="preserve">172 </w:t>
            </w:r>
            <w:r w:rsidR="00C80DF1" w:rsidRPr="001A4B94">
              <w:rPr>
                <w:sz w:val="20"/>
                <w:szCs w:val="20"/>
                <w:lang w:val="tr-TR"/>
              </w:rPr>
              <w:t xml:space="preserve">kız </w:t>
            </w:r>
            <w:r w:rsidR="001C5E7F" w:rsidRPr="001A4B94">
              <w:rPr>
                <w:sz w:val="20"/>
                <w:szCs w:val="20"/>
                <w:lang w:val="tr-TR"/>
              </w:rPr>
              <w:t xml:space="preserve">(15-24) </w:t>
            </w:r>
            <w:r w:rsidR="00C80DF1" w:rsidRPr="001A4B94">
              <w:rPr>
                <w:sz w:val="20"/>
                <w:szCs w:val="20"/>
                <w:lang w:val="tr-TR"/>
              </w:rPr>
              <w:t xml:space="preserve">şu anda AİPP’lere katılıyor </w:t>
            </w:r>
            <w:r w:rsidR="001C5E7F" w:rsidRPr="001A4B94">
              <w:rPr>
                <w:sz w:val="20"/>
                <w:szCs w:val="20"/>
                <w:lang w:val="tr-TR"/>
              </w:rPr>
              <w:t>(2015)</w:t>
            </w:r>
          </w:p>
          <w:p w14:paraId="20327253" w14:textId="7FB9AC5A" w:rsidR="001C5E7F" w:rsidRPr="001A4B94" w:rsidRDefault="00DA4695" w:rsidP="001C5E7F">
            <w:pPr>
              <w:tabs>
                <w:tab w:val="left" w:pos="426"/>
              </w:tabs>
              <w:rPr>
                <w:b/>
                <w:sz w:val="20"/>
                <w:szCs w:val="20"/>
                <w:lang w:val="tr-TR"/>
              </w:rPr>
            </w:pPr>
            <w:r w:rsidRPr="001A4B94">
              <w:rPr>
                <w:b/>
                <w:sz w:val="20"/>
                <w:szCs w:val="20"/>
                <w:lang w:val="tr-TR"/>
              </w:rPr>
              <w:t>Hedef</w:t>
            </w:r>
            <w:r w:rsidR="001C5E7F" w:rsidRPr="001A4B94">
              <w:rPr>
                <w:sz w:val="20"/>
                <w:szCs w:val="20"/>
                <w:lang w:val="tr-TR"/>
              </w:rPr>
              <w:t xml:space="preserve">:  </w:t>
            </w:r>
            <w:r w:rsidR="00C80DF1" w:rsidRPr="001A4B94">
              <w:rPr>
                <w:sz w:val="20"/>
                <w:szCs w:val="20"/>
                <w:lang w:val="tr-TR"/>
              </w:rPr>
              <w:t>Başlangıç düzeyine göre %10 artış</w:t>
            </w:r>
          </w:p>
          <w:p w14:paraId="4A588FF4" w14:textId="77777777" w:rsidR="001C5E7F" w:rsidRPr="001A4B94" w:rsidRDefault="001C5E7F" w:rsidP="001C5E7F">
            <w:pPr>
              <w:tabs>
                <w:tab w:val="left" w:pos="426"/>
              </w:tabs>
              <w:rPr>
                <w:b/>
                <w:sz w:val="20"/>
                <w:szCs w:val="20"/>
                <w:lang w:val="tr-TR"/>
              </w:rPr>
            </w:pPr>
          </w:p>
          <w:p w14:paraId="01398692" w14:textId="78E127B0" w:rsidR="001C5E7F" w:rsidRPr="001A4B94" w:rsidRDefault="001C5E7F" w:rsidP="001C5E7F">
            <w:pPr>
              <w:tabs>
                <w:tab w:val="left" w:pos="426"/>
              </w:tabs>
              <w:rPr>
                <w:sz w:val="20"/>
                <w:szCs w:val="20"/>
                <w:lang w:val="tr-TR"/>
              </w:rPr>
            </w:pPr>
          </w:p>
        </w:tc>
        <w:tc>
          <w:tcPr>
            <w:tcW w:w="4860" w:type="dxa"/>
          </w:tcPr>
          <w:p w14:paraId="079D7CBD" w14:textId="77777777" w:rsidR="000F0805" w:rsidRPr="001A4B94" w:rsidRDefault="000F0805" w:rsidP="001C5E7F">
            <w:pPr>
              <w:tabs>
                <w:tab w:val="left" w:pos="426"/>
              </w:tabs>
              <w:rPr>
                <w:b/>
                <w:bCs/>
                <w:sz w:val="20"/>
                <w:szCs w:val="20"/>
                <w:lang w:val="tr-TR"/>
              </w:rPr>
            </w:pPr>
          </w:p>
          <w:p w14:paraId="6D81FA84" w14:textId="46F7B69A" w:rsidR="001C5E7F" w:rsidRPr="001A4B94" w:rsidRDefault="00C80DF1" w:rsidP="001C5E7F">
            <w:pPr>
              <w:tabs>
                <w:tab w:val="left" w:pos="426"/>
              </w:tabs>
              <w:rPr>
                <w:b/>
                <w:sz w:val="20"/>
                <w:szCs w:val="20"/>
                <w:lang w:val="tr-TR"/>
              </w:rPr>
            </w:pPr>
            <w:r w:rsidRPr="001A4B94">
              <w:rPr>
                <w:b/>
                <w:bCs/>
                <w:sz w:val="20"/>
                <w:szCs w:val="20"/>
                <w:lang w:val="tr-TR"/>
              </w:rPr>
              <w:lastRenderedPageBreak/>
              <w:t>Yeni Finansman</w:t>
            </w:r>
            <w:r w:rsidR="001C5E7F" w:rsidRPr="001A4B94">
              <w:rPr>
                <w:b/>
                <w:bCs/>
                <w:sz w:val="20"/>
                <w:szCs w:val="20"/>
                <w:lang w:val="tr-TR"/>
              </w:rPr>
              <w:t>:</w:t>
            </w:r>
          </w:p>
          <w:p w14:paraId="2E7492D0" w14:textId="4B2E25B4" w:rsidR="001C5E7F" w:rsidRPr="001A4B94" w:rsidRDefault="001C5E7F" w:rsidP="001C5E7F">
            <w:pPr>
              <w:rPr>
                <w:color w:val="000000"/>
                <w:sz w:val="20"/>
                <w:szCs w:val="20"/>
                <w:lang w:val="tr-TR"/>
              </w:rPr>
            </w:pPr>
            <w:r w:rsidRPr="001A4B94">
              <w:rPr>
                <w:color w:val="000000"/>
                <w:sz w:val="20"/>
                <w:szCs w:val="20"/>
                <w:lang w:val="tr-TR"/>
              </w:rPr>
              <w:t xml:space="preserve">DPL </w:t>
            </w:r>
            <w:r w:rsidR="00C80DF1" w:rsidRPr="001A4B94">
              <w:rPr>
                <w:color w:val="000000"/>
                <w:sz w:val="20"/>
                <w:szCs w:val="20"/>
                <w:lang w:val="tr-TR"/>
              </w:rPr>
              <w:t>dizisi</w:t>
            </w:r>
          </w:p>
          <w:p w14:paraId="49310EF4" w14:textId="0D1009FB" w:rsidR="001C5E7F" w:rsidRPr="001A4B94" w:rsidRDefault="001C5E7F" w:rsidP="001C5E7F">
            <w:pPr>
              <w:tabs>
                <w:tab w:val="left" w:pos="426"/>
              </w:tabs>
              <w:rPr>
                <w:color w:val="000000"/>
                <w:sz w:val="20"/>
                <w:szCs w:val="20"/>
                <w:lang w:val="tr-TR"/>
              </w:rPr>
            </w:pPr>
            <w:r w:rsidRPr="001A4B94">
              <w:rPr>
                <w:color w:val="000000"/>
                <w:sz w:val="20"/>
                <w:szCs w:val="20"/>
                <w:lang w:val="tr-TR"/>
              </w:rPr>
              <w:t xml:space="preserve">EU FRIT </w:t>
            </w:r>
            <w:r w:rsidR="00C80DF1" w:rsidRPr="001A4B94">
              <w:rPr>
                <w:color w:val="000000"/>
                <w:sz w:val="20"/>
                <w:szCs w:val="20"/>
                <w:lang w:val="tr-TR"/>
              </w:rPr>
              <w:t>İşgücü Piyasası Projesi</w:t>
            </w:r>
          </w:p>
          <w:p w14:paraId="7A1774DD" w14:textId="0DEFF9F9" w:rsidR="001C5E7F" w:rsidRPr="001A4B94" w:rsidRDefault="001C5E7F" w:rsidP="001C5E7F">
            <w:pPr>
              <w:tabs>
                <w:tab w:val="left" w:pos="426"/>
              </w:tabs>
              <w:rPr>
                <w:color w:val="000000"/>
                <w:sz w:val="20"/>
                <w:szCs w:val="20"/>
                <w:lang w:val="tr-TR"/>
              </w:rPr>
            </w:pPr>
            <w:r w:rsidRPr="001A4B94">
              <w:rPr>
                <w:color w:val="000000"/>
                <w:sz w:val="20"/>
                <w:szCs w:val="20"/>
                <w:lang w:val="tr-TR"/>
              </w:rPr>
              <w:t xml:space="preserve">EU FRIT </w:t>
            </w:r>
            <w:r w:rsidR="00C80DF1" w:rsidRPr="001A4B94">
              <w:rPr>
                <w:color w:val="000000"/>
                <w:sz w:val="20"/>
                <w:szCs w:val="20"/>
                <w:lang w:val="tr-TR"/>
              </w:rPr>
              <w:t xml:space="preserve">Eğitim </w:t>
            </w:r>
            <w:r w:rsidRPr="001A4B94">
              <w:rPr>
                <w:color w:val="000000"/>
                <w:sz w:val="20"/>
                <w:szCs w:val="20"/>
                <w:lang w:val="tr-TR"/>
              </w:rPr>
              <w:t>Proje</w:t>
            </w:r>
            <w:r w:rsidR="00C80DF1" w:rsidRPr="001A4B94">
              <w:rPr>
                <w:color w:val="000000"/>
                <w:sz w:val="20"/>
                <w:szCs w:val="20"/>
                <w:lang w:val="tr-TR"/>
              </w:rPr>
              <w:t>si</w:t>
            </w:r>
          </w:p>
          <w:p w14:paraId="70EB3466" w14:textId="6E373D26" w:rsidR="001C5E7F" w:rsidRPr="001A4B94" w:rsidRDefault="00C80DF1" w:rsidP="001C5E7F">
            <w:pPr>
              <w:tabs>
                <w:tab w:val="left" w:pos="426"/>
              </w:tabs>
              <w:rPr>
                <w:color w:val="000000"/>
                <w:sz w:val="20"/>
                <w:szCs w:val="20"/>
                <w:lang w:val="tr-TR"/>
              </w:rPr>
            </w:pPr>
            <w:r w:rsidRPr="001A4B94">
              <w:rPr>
                <w:color w:val="000000"/>
                <w:sz w:val="20"/>
                <w:szCs w:val="20"/>
                <w:lang w:val="tr-TR"/>
              </w:rPr>
              <w:t>Gelecekteki GKSS’lere yönelik AB finansmanlı projeler</w:t>
            </w:r>
          </w:p>
          <w:p w14:paraId="0A461F79" w14:textId="4CD63083" w:rsidR="001C5E7F" w:rsidRPr="001A4B94" w:rsidRDefault="00C80DF1" w:rsidP="001C5E7F">
            <w:pPr>
              <w:tabs>
                <w:tab w:val="left" w:pos="426"/>
              </w:tabs>
              <w:rPr>
                <w:sz w:val="20"/>
                <w:szCs w:val="20"/>
                <w:lang w:val="tr-TR"/>
              </w:rPr>
            </w:pPr>
            <w:r w:rsidRPr="001A4B94">
              <w:rPr>
                <w:color w:val="000000"/>
                <w:sz w:val="20"/>
                <w:szCs w:val="20"/>
                <w:lang w:val="tr-TR"/>
              </w:rPr>
              <w:t>Risk altındaki Gençlere yönelik AB</w:t>
            </w:r>
            <w:r w:rsidR="00FB0363" w:rsidRPr="001A4B94">
              <w:rPr>
                <w:color w:val="000000"/>
                <w:sz w:val="20"/>
                <w:szCs w:val="20"/>
                <w:lang w:val="tr-TR"/>
              </w:rPr>
              <w:t>/</w:t>
            </w:r>
            <w:r w:rsidRPr="001A4B94">
              <w:rPr>
                <w:color w:val="000000"/>
                <w:sz w:val="20"/>
                <w:szCs w:val="20"/>
                <w:lang w:val="tr-TR"/>
              </w:rPr>
              <w:t>IPA Projesi</w:t>
            </w:r>
            <w:r w:rsidR="001C5E7F" w:rsidRPr="001A4B94">
              <w:rPr>
                <w:sz w:val="20"/>
                <w:szCs w:val="20"/>
                <w:lang w:val="tr-TR"/>
              </w:rPr>
              <w:t xml:space="preserve"> </w:t>
            </w:r>
          </w:p>
          <w:p w14:paraId="3F322685" w14:textId="77777777" w:rsidR="001C5E7F" w:rsidRPr="001A4B94" w:rsidRDefault="001C5E7F" w:rsidP="001C5E7F">
            <w:pPr>
              <w:tabs>
                <w:tab w:val="left" w:pos="426"/>
              </w:tabs>
              <w:rPr>
                <w:sz w:val="20"/>
                <w:szCs w:val="20"/>
                <w:lang w:val="tr-TR"/>
              </w:rPr>
            </w:pPr>
          </w:p>
          <w:p w14:paraId="01FC93B0" w14:textId="224E679F" w:rsidR="001C5E7F" w:rsidRPr="001A4B94" w:rsidRDefault="00C80DF1" w:rsidP="00C80DF1">
            <w:pPr>
              <w:tabs>
                <w:tab w:val="left" w:pos="426"/>
              </w:tabs>
              <w:ind w:right="-199"/>
              <w:rPr>
                <w:b/>
                <w:sz w:val="20"/>
                <w:szCs w:val="20"/>
                <w:lang w:val="tr-TR"/>
              </w:rPr>
            </w:pPr>
            <w:r w:rsidRPr="001A4B94">
              <w:rPr>
                <w:b/>
                <w:sz w:val="20"/>
                <w:szCs w:val="20"/>
                <w:lang w:val="tr-TR"/>
              </w:rPr>
              <w:t>Danışmanlık Hizmetleri ve Analitik Çalışmalar (ASA)</w:t>
            </w:r>
            <w:r w:rsidR="001C5E7F" w:rsidRPr="001A4B94">
              <w:rPr>
                <w:b/>
                <w:sz w:val="20"/>
                <w:szCs w:val="20"/>
                <w:lang w:val="tr-TR"/>
              </w:rPr>
              <w:t>:</w:t>
            </w:r>
          </w:p>
          <w:p w14:paraId="51BA7278" w14:textId="05DA121C" w:rsidR="001C5E7F" w:rsidRPr="001A4B94" w:rsidRDefault="00C80DF1" w:rsidP="001C5E7F">
            <w:pPr>
              <w:tabs>
                <w:tab w:val="left" w:pos="426"/>
              </w:tabs>
              <w:rPr>
                <w:sz w:val="20"/>
                <w:szCs w:val="20"/>
                <w:lang w:val="tr-TR"/>
              </w:rPr>
            </w:pPr>
            <w:r w:rsidRPr="001A4B94">
              <w:rPr>
                <w:sz w:val="20"/>
                <w:szCs w:val="20"/>
                <w:lang w:val="tr-TR"/>
              </w:rPr>
              <w:t>İŞ</w:t>
            </w:r>
            <w:r w:rsidR="001C5E7F" w:rsidRPr="001A4B94">
              <w:rPr>
                <w:sz w:val="20"/>
                <w:szCs w:val="20"/>
                <w:lang w:val="tr-TR"/>
              </w:rPr>
              <w:t>KUR</w:t>
            </w:r>
            <w:r w:rsidRPr="001A4B94">
              <w:rPr>
                <w:sz w:val="20"/>
                <w:szCs w:val="20"/>
                <w:lang w:val="tr-TR"/>
              </w:rPr>
              <w:t xml:space="preserve"> IPA</w:t>
            </w:r>
            <w:r w:rsidR="001C5E7F" w:rsidRPr="001A4B94">
              <w:rPr>
                <w:sz w:val="20"/>
                <w:szCs w:val="20"/>
                <w:lang w:val="tr-TR"/>
              </w:rPr>
              <w:t xml:space="preserve">, </w:t>
            </w:r>
            <w:r w:rsidR="00C81286" w:rsidRPr="001A4B94">
              <w:rPr>
                <w:sz w:val="20"/>
                <w:szCs w:val="20"/>
                <w:lang w:val="tr-TR"/>
              </w:rPr>
              <w:t xml:space="preserve">İstihdam Vakıf Fonu, </w:t>
            </w:r>
            <w:r w:rsidR="001C5E7F" w:rsidRPr="001A4B94">
              <w:rPr>
                <w:sz w:val="20"/>
                <w:szCs w:val="20"/>
                <w:lang w:val="tr-TR"/>
              </w:rPr>
              <w:t xml:space="preserve">SIDA </w:t>
            </w:r>
            <w:r w:rsidR="00C81286" w:rsidRPr="001A4B94">
              <w:rPr>
                <w:sz w:val="20"/>
                <w:szCs w:val="20"/>
                <w:lang w:val="tr-TR"/>
              </w:rPr>
              <w:t xml:space="preserve">Vakıf Fonu </w:t>
            </w:r>
          </w:p>
          <w:p w14:paraId="6B8D2AB1" w14:textId="48233402" w:rsidR="001C5E7F" w:rsidRPr="001A4B94" w:rsidRDefault="00C81286" w:rsidP="00C81286">
            <w:pPr>
              <w:tabs>
                <w:tab w:val="left" w:pos="426"/>
              </w:tabs>
              <w:rPr>
                <w:sz w:val="20"/>
                <w:szCs w:val="20"/>
                <w:lang w:val="tr-TR"/>
              </w:rPr>
            </w:pPr>
            <w:r w:rsidRPr="001A4B94">
              <w:rPr>
                <w:sz w:val="20"/>
                <w:szCs w:val="20"/>
                <w:lang w:val="tr-TR"/>
              </w:rPr>
              <w:t>İşgücü Piyasalarına Yoksulluk ve Eşitlik Açısından Bakış</w:t>
            </w:r>
            <w:r w:rsidR="001C5E7F" w:rsidRPr="001A4B94">
              <w:rPr>
                <w:sz w:val="20"/>
                <w:szCs w:val="20"/>
                <w:lang w:val="tr-TR"/>
              </w:rPr>
              <w:t xml:space="preserve">, </w:t>
            </w:r>
            <w:r w:rsidRPr="001A4B94">
              <w:rPr>
                <w:sz w:val="20"/>
                <w:szCs w:val="20"/>
                <w:lang w:val="tr-TR"/>
              </w:rPr>
              <w:t xml:space="preserve">bölgesel eşitsizlikler dahil olmak üzere </w:t>
            </w:r>
          </w:p>
          <w:p w14:paraId="21ABB2A0" w14:textId="70337C3C" w:rsidR="001C5E7F" w:rsidRPr="001A4B94" w:rsidRDefault="00C81286" w:rsidP="001C5E7F">
            <w:pPr>
              <w:tabs>
                <w:tab w:val="left" w:pos="426"/>
              </w:tabs>
              <w:rPr>
                <w:sz w:val="20"/>
                <w:szCs w:val="20"/>
                <w:lang w:val="tr-TR"/>
              </w:rPr>
            </w:pPr>
            <w:r w:rsidRPr="001A4B94">
              <w:rPr>
                <w:sz w:val="20"/>
                <w:szCs w:val="20"/>
                <w:lang w:val="tr-TR"/>
              </w:rPr>
              <w:t xml:space="preserve">Eğitim için göç yönetimi </w:t>
            </w:r>
          </w:p>
          <w:p w14:paraId="52F0745F" w14:textId="30DC54E3" w:rsidR="001C5E7F" w:rsidRPr="001A4B94" w:rsidRDefault="00C81286" w:rsidP="001C5E7F">
            <w:pPr>
              <w:tabs>
                <w:tab w:val="left" w:pos="426"/>
              </w:tabs>
              <w:rPr>
                <w:sz w:val="20"/>
                <w:szCs w:val="20"/>
                <w:lang w:val="tr-TR"/>
              </w:rPr>
            </w:pPr>
            <w:r w:rsidRPr="001A4B94">
              <w:rPr>
                <w:sz w:val="20"/>
                <w:szCs w:val="20"/>
                <w:lang w:val="tr-TR"/>
              </w:rPr>
              <w:t xml:space="preserve">Suriyeli sığınmacı krizine müdahale </w:t>
            </w:r>
          </w:p>
          <w:p w14:paraId="2FC35F99" w14:textId="77777777" w:rsidR="00C81286" w:rsidRPr="001A4B94" w:rsidRDefault="00C81286" w:rsidP="001C5E7F">
            <w:pPr>
              <w:tabs>
                <w:tab w:val="left" w:pos="426"/>
              </w:tabs>
              <w:rPr>
                <w:sz w:val="20"/>
                <w:szCs w:val="20"/>
                <w:lang w:val="tr-TR"/>
              </w:rPr>
            </w:pPr>
            <w:r w:rsidRPr="001A4B94">
              <w:rPr>
                <w:sz w:val="20"/>
                <w:szCs w:val="20"/>
                <w:lang w:val="tr-TR"/>
              </w:rPr>
              <w:t xml:space="preserve">Eğitimde, İstihdamda veya Mesleki Eğitimde olmayan Gençler Çalışması  </w:t>
            </w:r>
          </w:p>
          <w:p w14:paraId="2CBADCCE" w14:textId="1BBCDBA7" w:rsidR="001C5E7F" w:rsidRPr="001A4B94" w:rsidRDefault="00C81286" w:rsidP="001C5E7F">
            <w:pPr>
              <w:tabs>
                <w:tab w:val="left" w:pos="426"/>
              </w:tabs>
              <w:rPr>
                <w:sz w:val="20"/>
                <w:szCs w:val="20"/>
                <w:lang w:val="tr-TR"/>
              </w:rPr>
            </w:pPr>
            <w:r w:rsidRPr="001A4B94">
              <w:rPr>
                <w:sz w:val="20"/>
                <w:szCs w:val="20"/>
                <w:lang w:val="tr-TR"/>
              </w:rPr>
              <w:t xml:space="preserve">Sosyo-Duygusal Beceriler Pilot Uygulaması ve Değerlendirmesi </w:t>
            </w:r>
          </w:p>
          <w:p w14:paraId="17B58F8C" w14:textId="1057651F" w:rsidR="001C5E7F" w:rsidRPr="001A4B94" w:rsidRDefault="00C81286" w:rsidP="001C5E7F">
            <w:pPr>
              <w:tabs>
                <w:tab w:val="left" w:pos="426"/>
              </w:tabs>
              <w:rPr>
                <w:sz w:val="20"/>
                <w:szCs w:val="20"/>
                <w:lang w:val="tr-TR"/>
              </w:rPr>
            </w:pPr>
            <w:r w:rsidRPr="001A4B94">
              <w:rPr>
                <w:sz w:val="20"/>
                <w:szCs w:val="20"/>
                <w:lang w:val="tr-TR"/>
              </w:rPr>
              <w:t>İstihdam Kalitesi</w:t>
            </w:r>
            <w:r w:rsidR="001C5E7F" w:rsidRPr="001A4B94">
              <w:rPr>
                <w:sz w:val="20"/>
                <w:szCs w:val="20"/>
                <w:lang w:val="tr-TR"/>
              </w:rPr>
              <w:t xml:space="preserve">: </w:t>
            </w:r>
            <w:r w:rsidRPr="001A4B94">
              <w:rPr>
                <w:sz w:val="20"/>
                <w:szCs w:val="20"/>
                <w:lang w:val="tr-TR"/>
              </w:rPr>
              <w:t xml:space="preserve">Asgari Ücret ve Kayıt Dışılık </w:t>
            </w:r>
          </w:p>
          <w:p w14:paraId="2B50B6FE" w14:textId="77777777" w:rsidR="001C5E7F" w:rsidRPr="001A4B94" w:rsidRDefault="001C5E7F" w:rsidP="001C5E7F">
            <w:pPr>
              <w:tabs>
                <w:tab w:val="left" w:pos="426"/>
              </w:tabs>
              <w:rPr>
                <w:sz w:val="20"/>
                <w:szCs w:val="20"/>
                <w:lang w:val="tr-TR"/>
              </w:rPr>
            </w:pPr>
          </w:p>
          <w:p w14:paraId="5288EC8A" w14:textId="77777777" w:rsidR="001C5E7F" w:rsidRPr="001A4B94" w:rsidRDefault="001C5E7F" w:rsidP="001C5E7F">
            <w:pPr>
              <w:tabs>
                <w:tab w:val="left" w:pos="426"/>
              </w:tabs>
              <w:rPr>
                <w:b/>
                <w:sz w:val="20"/>
                <w:szCs w:val="20"/>
                <w:lang w:val="tr-TR"/>
              </w:rPr>
            </w:pPr>
            <w:r w:rsidRPr="001A4B94">
              <w:rPr>
                <w:b/>
                <w:sz w:val="20"/>
                <w:szCs w:val="20"/>
                <w:lang w:val="tr-TR"/>
              </w:rPr>
              <w:t>IFC:</w:t>
            </w:r>
          </w:p>
          <w:p w14:paraId="69E741CC" w14:textId="67FECB27" w:rsidR="001C5E7F" w:rsidRPr="001A4B94" w:rsidRDefault="001C5E7F" w:rsidP="001C5E7F">
            <w:pPr>
              <w:tabs>
                <w:tab w:val="left" w:pos="426"/>
              </w:tabs>
              <w:rPr>
                <w:sz w:val="20"/>
                <w:szCs w:val="20"/>
                <w:lang w:val="tr-TR"/>
              </w:rPr>
            </w:pPr>
            <w:r w:rsidRPr="001A4B94">
              <w:rPr>
                <w:sz w:val="20"/>
                <w:szCs w:val="20"/>
                <w:lang w:val="tr-TR"/>
              </w:rPr>
              <w:t xml:space="preserve">IFC </w:t>
            </w:r>
            <w:r w:rsidR="00C81286" w:rsidRPr="001A4B94">
              <w:rPr>
                <w:sz w:val="20"/>
                <w:szCs w:val="20"/>
                <w:lang w:val="tr-TR"/>
              </w:rPr>
              <w:t xml:space="preserve">Toplumsal Cinsiyet Programı </w:t>
            </w:r>
          </w:p>
          <w:p w14:paraId="67D41CE1" w14:textId="6433F6F1" w:rsidR="001C5E7F" w:rsidRPr="001A4B94" w:rsidRDefault="00C81286" w:rsidP="001C5E7F">
            <w:pPr>
              <w:tabs>
                <w:tab w:val="left" w:pos="426"/>
              </w:tabs>
              <w:rPr>
                <w:sz w:val="20"/>
                <w:szCs w:val="20"/>
                <w:lang w:val="tr-TR"/>
              </w:rPr>
            </w:pPr>
            <w:r w:rsidRPr="001A4B94">
              <w:rPr>
                <w:sz w:val="20"/>
                <w:szCs w:val="20"/>
                <w:lang w:val="tr-TR"/>
              </w:rPr>
              <w:t xml:space="preserve">Kadınlara ait şirketlerin finansmanı </w:t>
            </w:r>
          </w:p>
          <w:p w14:paraId="16EC35EE" w14:textId="5E9F22AB" w:rsidR="001C5E7F" w:rsidRPr="001A4B94" w:rsidRDefault="00C81286" w:rsidP="00401737">
            <w:pPr>
              <w:rPr>
                <w:b/>
                <w:sz w:val="20"/>
                <w:szCs w:val="20"/>
                <w:lang w:val="tr-TR"/>
              </w:rPr>
            </w:pPr>
            <w:r w:rsidRPr="001A4B94">
              <w:rPr>
                <w:sz w:val="20"/>
                <w:szCs w:val="20"/>
                <w:lang w:val="tr-TR"/>
              </w:rPr>
              <w:t>Geride kalmış bölgelerde faaliyet gösteren şirketlerin finansmanı</w:t>
            </w:r>
            <w:r w:rsidR="009B1D3A" w:rsidRPr="001A4B94">
              <w:rPr>
                <w:sz w:val="20"/>
                <w:szCs w:val="20"/>
                <w:lang w:val="tr-TR"/>
              </w:rPr>
              <w:t>.</w:t>
            </w:r>
          </w:p>
        </w:tc>
      </w:tr>
      <w:tr w:rsidR="00F24800" w:rsidRPr="001A4B94" w14:paraId="7DF1EE5F" w14:textId="77777777" w:rsidTr="00BA590B">
        <w:tc>
          <w:tcPr>
            <w:tcW w:w="13225" w:type="dxa"/>
            <w:gridSpan w:val="3"/>
            <w:shd w:val="clear" w:color="auto" w:fill="EDEDED" w:themeFill="accent3" w:themeFillTint="33"/>
          </w:tcPr>
          <w:p w14:paraId="11E7A001" w14:textId="302A41B2" w:rsidR="00F24800" w:rsidRPr="001A4B94" w:rsidRDefault="00F24800" w:rsidP="00BA590B">
            <w:pPr>
              <w:tabs>
                <w:tab w:val="left" w:pos="426"/>
              </w:tabs>
              <w:spacing w:before="120" w:after="120"/>
              <w:jc w:val="center"/>
              <w:rPr>
                <w:b/>
                <w:bCs/>
                <w:sz w:val="22"/>
                <w:szCs w:val="22"/>
                <w:lang w:val="tr-TR"/>
              </w:rPr>
            </w:pPr>
            <w:r w:rsidRPr="001A4B94">
              <w:rPr>
                <w:b/>
                <w:lang w:val="tr-TR"/>
              </w:rPr>
              <w:t xml:space="preserve">CPF </w:t>
            </w:r>
            <w:r w:rsidR="00C81286" w:rsidRPr="001A4B94">
              <w:rPr>
                <w:b/>
                <w:lang w:val="tr-TR"/>
              </w:rPr>
              <w:t>Amacı</w:t>
            </w:r>
            <w:r w:rsidRPr="001A4B94">
              <w:rPr>
                <w:b/>
                <w:lang w:val="tr-TR"/>
              </w:rPr>
              <w:t xml:space="preserve"> 6: </w:t>
            </w:r>
            <w:r w:rsidR="007A519C" w:rsidRPr="001A4B94">
              <w:rPr>
                <w:b/>
                <w:lang w:val="tr-TR"/>
              </w:rPr>
              <w:t xml:space="preserve">Eğitim ve Sağlık Sektörlerinin Performansının Güçlendirilmesi  </w:t>
            </w:r>
          </w:p>
        </w:tc>
      </w:tr>
      <w:tr w:rsidR="00F24800" w:rsidRPr="001A4B94" w14:paraId="216AEEB7" w14:textId="77777777" w:rsidTr="00747261">
        <w:tc>
          <w:tcPr>
            <w:tcW w:w="13225" w:type="dxa"/>
            <w:gridSpan w:val="3"/>
          </w:tcPr>
          <w:p w14:paraId="32CE74E0" w14:textId="09696C2A" w:rsidR="004E5CB2" w:rsidRPr="001A4B94" w:rsidRDefault="007A519C" w:rsidP="004E5CB2">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1"/>
                <w:szCs w:val="21"/>
                <w:lang w:val="tr-TR"/>
              </w:rPr>
            </w:pPr>
            <w:r w:rsidRPr="001A4B94">
              <w:rPr>
                <w:rFonts w:ascii="Times New Roman" w:hAnsi="Times New Roman"/>
                <w:b/>
                <w:sz w:val="21"/>
                <w:szCs w:val="21"/>
                <w:lang w:val="tr-TR"/>
              </w:rPr>
              <w:t>Müdahale Mantığı</w:t>
            </w:r>
            <w:r w:rsidR="00F24800" w:rsidRPr="001A4B94">
              <w:rPr>
                <w:rFonts w:ascii="Times New Roman" w:hAnsi="Times New Roman"/>
                <w:b/>
                <w:sz w:val="21"/>
                <w:szCs w:val="21"/>
                <w:lang w:val="tr-TR"/>
              </w:rPr>
              <w:t xml:space="preserve">: </w:t>
            </w:r>
            <w:r w:rsidR="00F24800" w:rsidRPr="001A4B94">
              <w:rPr>
                <w:rFonts w:ascii="Times New Roman" w:hAnsi="Times New Roman"/>
                <w:b/>
                <w:bCs/>
                <w:sz w:val="21"/>
                <w:szCs w:val="21"/>
                <w:lang w:val="tr-TR"/>
              </w:rPr>
              <w:t xml:space="preserve"> </w:t>
            </w:r>
            <w:r w:rsidR="00E15B24" w:rsidRPr="001A4B94">
              <w:rPr>
                <w:rFonts w:ascii="Times New Roman" w:hAnsi="Times New Roman"/>
                <w:bCs/>
                <w:sz w:val="21"/>
                <w:szCs w:val="21"/>
                <w:lang w:val="tr-TR"/>
              </w:rPr>
              <w:t xml:space="preserve">Dünya Bankası </w:t>
            </w:r>
            <w:r w:rsidR="003B1544" w:rsidRPr="001A4B94">
              <w:rPr>
                <w:rFonts w:ascii="Times New Roman" w:hAnsi="Times New Roman"/>
                <w:bCs/>
                <w:sz w:val="21"/>
                <w:szCs w:val="21"/>
                <w:lang w:val="tr-TR"/>
              </w:rPr>
              <w:t>Grubu’nun</w:t>
            </w:r>
            <w:r w:rsidR="00E15B24" w:rsidRPr="001A4B94">
              <w:rPr>
                <w:rFonts w:ascii="Times New Roman" w:hAnsi="Times New Roman"/>
                <w:bCs/>
                <w:sz w:val="21"/>
                <w:szCs w:val="21"/>
                <w:lang w:val="tr-TR"/>
              </w:rPr>
              <w:t xml:space="preserve"> </w:t>
            </w:r>
            <w:r w:rsidR="00E15B24" w:rsidRPr="001A4B94">
              <w:rPr>
                <w:rFonts w:ascii="Times New Roman" w:hAnsi="Times New Roman"/>
                <w:bCs/>
                <w:i/>
                <w:sz w:val="21"/>
                <w:szCs w:val="21"/>
                <w:u w:val="single"/>
                <w:lang w:val="tr-TR"/>
              </w:rPr>
              <w:t>sağlık sektöründeki</w:t>
            </w:r>
            <w:r w:rsidR="00E15B24" w:rsidRPr="001A4B94">
              <w:rPr>
                <w:rFonts w:ascii="Times New Roman" w:hAnsi="Times New Roman"/>
                <w:bCs/>
                <w:sz w:val="21"/>
                <w:szCs w:val="21"/>
                <w:u w:val="single"/>
                <w:lang w:val="tr-TR"/>
              </w:rPr>
              <w:t xml:space="preserve"> </w:t>
            </w:r>
            <w:r w:rsidR="00E15B24" w:rsidRPr="001A4B94">
              <w:rPr>
                <w:rFonts w:ascii="Times New Roman" w:hAnsi="Times New Roman"/>
                <w:bCs/>
                <w:sz w:val="21"/>
                <w:szCs w:val="21"/>
                <w:lang w:val="tr-TR"/>
              </w:rPr>
              <w:t>programı davranışsal riskler ile mücadele ederek sağlıklı yaşam tarzlarının teşvik edilmesi üzerinde odaklanacaktır</w:t>
            </w:r>
            <w:r w:rsidR="00F24800" w:rsidRPr="001A4B94">
              <w:rPr>
                <w:rFonts w:ascii="Times New Roman" w:hAnsi="Times New Roman"/>
                <w:sz w:val="21"/>
                <w:szCs w:val="21"/>
                <w:lang w:val="tr-TR"/>
              </w:rPr>
              <w:t xml:space="preserve">.  </w:t>
            </w:r>
            <w:r w:rsidR="003B1544" w:rsidRPr="001A4B94">
              <w:rPr>
                <w:rFonts w:ascii="Times New Roman" w:hAnsi="Times New Roman"/>
                <w:sz w:val="21"/>
                <w:szCs w:val="21"/>
                <w:lang w:val="tr-TR"/>
              </w:rPr>
              <w:t>Devam etmekte olan bir IBRD finansmanlı sağlık projesi, Sağlık Bakanlığı’nın kanıta dayalı politika oluşturma kapasitesini güçlendirmeyi,  hastane yönetim kapasitesini arttırmayı ve seçilen bulaşıcı olmayan hastalıkları önleme performansını iyileştirmeyi amaçlamaktadır.  IBRD sonuca dayalı müdahaleler ve ödeme reformları yoluyla kaliteli sağlık hizmetlerinin sunulması üzerinde odaklanan faaliyetler yoluyla sağlıkta dönüşüm programının ikinci aşamasını desteklemeye devam edecektir</w:t>
            </w:r>
            <w:r w:rsidR="00571AA9" w:rsidRPr="001A4B94">
              <w:rPr>
                <w:rFonts w:ascii="Times New Roman" w:hAnsi="Times New Roman"/>
                <w:sz w:val="21"/>
                <w:szCs w:val="21"/>
                <w:lang w:val="tr-TR"/>
              </w:rPr>
              <w:t xml:space="preserve">. </w:t>
            </w:r>
            <w:r w:rsidR="00F24800" w:rsidRPr="001A4B94">
              <w:rPr>
                <w:rFonts w:ascii="Times New Roman" w:hAnsi="Times New Roman"/>
                <w:sz w:val="21"/>
                <w:szCs w:val="21"/>
                <w:lang w:val="tr-TR"/>
              </w:rPr>
              <w:t>ASA program</w:t>
            </w:r>
            <w:r w:rsidR="00571AA9" w:rsidRPr="001A4B94">
              <w:rPr>
                <w:rFonts w:ascii="Times New Roman" w:hAnsi="Times New Roman"/>
                <w:sz w:val="21"/>
                <w:szCs w:val="21"/>
                <w:lang w:val="tr-TR"/>
              </w:rPr>
              <w:t>ı</w:t>
            </w:r>
            <w:r w:rsidR="00F24800" w:rsidRPr="001A4B94">
              <w:rPr>
                <w:rFonts w:ascii="Times New Roman" w:hAnsi="Times New Roman"/>
                <w:sz w:val="21"/>
                <w:szCs w:val="21"/>
                <w:lang w:val="tr-TR"/>
              </w:rPr>
              <w:t xml:space="preserve"> </w:t>
            </w:r>
            <w:r w:rsidR="00571AA9" w:rsidRPr="001A4B94">
              <w:rPr>
                <w:rFonts w:ascii="Times New Roman" w:hAnsi="Times New Roman"/>
                <w:sz w:val="21"/>
                <w:szCs w:val="21"/>
                <w:lang w:val="tr-TR"/>
              </w:rPr>
              <w:t>modelleme araçlarının oluşturulması ve hizmetlerden yararlanma düzenlerinin değerlendirilmesi yoluyla,  sağlık hizmetlerinin sürdürülebilirliğinin değerlendirilmesi üzerinde odaklanacaktır</w:t>
            </w:r>
            <w:r w:rsidR="00F24800" w:rsidRPr="001A4B94">
              <w:rPr>
                <w:rFonts w:ascii="Times New Roman" w:hAnsi="Times New Roman"/>
                <w:sz w:val="21"/>
                <w:szCs w:val="21"/>
                <w:lang w:val="tr-TR"/>
              </w:rPr>
              <w:t xml:space="preserve">.  </w:t>
            </w:r>
            <w:r w:rsidR="00552BDA" w:rsidRPr="001A4B94">
              <w:rPr>
                <w:rFonts w:ascii="Times New Roman" w:hAnsi="Times New Roman"/>
                <w:sz w:val="21"/>
                <w:szCs w:val="21"/>
                <w:lang w:val="tr-TR"/>
              </w:rPr>
              <w:t>IBRD desteği ile uygulanan reformları ve Türkiye’nin ilk sağlık KÖİ projelerinin finansmanında edindiği deneyimleri esas alarak</w:t>
            </w:r>
            <w:r w:rsidR="004E5CB2" w:rsidRPr="001A4B94">
              <w:rPr>
                <w:rFonts w:ascii="Times New Roman" w:hAnsi="Times New Roman"/>
                <w:sz w:val="21"/>
                <w:szCs w:val="21"/>
                <w:lang w:val="tr-TR"/>
              </w:rPr>
              <w:t xml:space="preserve">, </w:t>
            </w:r>
            <w:r w:rsidR="00552BDA" w:rsidRPr="001A4B94">
              <w:rPr>
                <w:rFonts w:ascii="Times New Roman" w:hAnsi="Times New Roman"/>
                <w:sz w:val="21"/>
                <w:szCs w:val="21"/>
                <w:lang w:val="tr-TR"/>
              </w:rPr>
              <w:t>IFC uzmanlaşmış sağlık hizmet sağlayıcılarına yatırım yaparak ve sağlık altyapısı finansmanına yönelik alternatif sermaye piyasası çözümleri yaratmaya yardımcı olacak finansal yenilikçilik yoluyla Türkiye’nin sağlık sektörünü desteklemeye devam edecektir</w:t>
            </w:r>
            <w:r w:rsidR="004E5CB2" w:rsidRPr="001A4B94">
              <w:rPr>
                <w:rFonts w:ascii="Times New Roman" w:hAnsi="Times New Roman"/>
                <w:sz w:val="21"/>
                <w:szCs w:val="21"/>
                <w:lang w:val="tr-TR"/>
              </w:rPr>
              <w:t xml:space="preserve">. </w:t>
            </w:r>
            <w:r w:rsidR="00552BDA" w:rsidRPr="001A4B94">
              <w:rPr>
                <w:rFonts w:ascii="Times New Roman" w:hAnsi="Times New Roman"/>
                <w:sz w:val="21"/>
                <w:szCs w:val="21"/>
                <w:lang w:val="tr-TR"/>
              </w:rPr>
              <w:t xml:space="preserve">Örneğin, IFC Elazığ KÖİ Sağlık Projesi kapsamında Türkiye’nin ilk KÖİ </w:t>
            </w:r>
            <w:r w:rsidR="00552BDA" w:rsidRPr="001A4B94">
              <w:rPr>
                <w:rFonts w:ascii="Times New Roman" w:hAnsi="Times New Roman"/>
                <w:sz w:val="21"/>
                <w:szCs w:val="21"/>
                <w:lang w:val="tr-TR"/>
              </w:rPr>
              <w:lastRenderedPageBreak/>
              <w:t>tahvil ihracını finanse etmiştir; söz konusu tahvil ihracı kredi geliştirme ürünleri yoluyla MIGA ve EBRD tarafından yapılandırılmış ve desteklenmiştir.</w:t>
            </w:r>
            <w:r w:rsidR="004E5CB2" w:rsidRPr="001A4B94">
              <w:rPr>
                <w:rFonts w:ascii="Times New Roman" w:hAnsi="Times New Roman"/>
                <w:sz w:val="21"/>
                <w:szCs w:val="21"/>
                <w:lang w:val="tr-TR"/>
              </w:rPr>
              <w:t xml:space="preserve"> IFC </w:t>
            </w:r>
            <w:r w:rsidR="00552BDA" w:rsidRPr="001A4B94">
              <w:rPr>
                <w:rFonts w:ascii="Times New Roman" w:hAnsi="Times New Roman"/>
                <w:sz w:val="21"/>
                <w:szCs w:val="21"/>
                <w:lang w:val="tr-TR"/>
              </w:rPr>
              <w:t>sosyal ve diğer altyapı projelerine yönelik bu gibi yenilikçi finansal yapıları seçici bir şekilde destekleyecektir.</w:t>
            </w:r>
            <w:r w:rsidR="004E5CB2" w:rsidRPr="001A4B94">
              <w:rPr>
                <w:rFonts w:ascii="Times New Roman" w:hAnsi="Times New Roman"/>
                <w:sz w:val="21"/>
                <w:szCs w:val="21"/>
                <w:lang w:val="tr-TR"/>
              </w:rPr>
              <w:t xml:space="preserve"> </w:t>
            </w:r>
            <w:r w:rsidR="00552BDA" w:rsidRPr="001A4B94">
              <w:rPr>
                <w:rFonts w:ascii="Times New Roman" w:hAnsi="Times New Roman"/>
                <w:sz w:val="21"/>
                <w:szCs w:val="21"/>
                <w:lang w:val="tr-TR"/>
              </w:rPr>
              <w:t>Ayrıca</w:t>
            </w:r>
            <w:r w:rsidR="004E5CB2" w:rsidRPr="001A4B94">
              <w:rPr>
                <w:rFonts w:ascii="Times New Roman" w:hAnsi="Times New Roman"/>
                <w:sz w:val="21"/>
                <w:szCs w:val="21"/>
                <w:lang w:val="tr-TR"/>
              </w:rPr>
              <w:t>, IFC</w:t>
            </w:r>
            <w:r w:rsidR="00552BDA" w:rsidRPr="001A4B94">
              <w:rPr>
                <w:rFonts w:ascii="Times New Roman" w:hAnsi="Times New Roman"/>
                <w:sz w:val="21"/>
                <w:szCs w:val="21"/>
                <w:lang w:val="tr-TR"/>
              </w:rPr>
              <w:t xml:space="preserve"> stratejik yatırımcıları çekmede ve ortaklıklar oluşturmada rol oynayabileceği ve sonrasında finansman ile destek sağlayabileceği uzmanlaşmış hizmetlere yatırım yapacaktır (örneğin biyo-farmasötik üretim)</w:t>
            </w:r>
            <w:r w:rsidR="00FB3F3C" w:rsidRPr="001A4B94">
              <w:rPr>
                <w:rFonts w:ascii="Times New Roman" w:hAnsi="Times New Roman"/>
                <w:sz w:val="21"/>
                <w:szCs w:val="21"/>
                <w:lang w:val="tr-TR"/>
              </w:rPr>
              <w:t xml:space="preserve"> MIGA ise garantiler ve kredi geliştirme olanakları sunarak, Türkiye’nin sağlık KÖİ programına yatırım yapmaya devam edecektir. </w:t>
            </w:r>
          </w:p>
          <w:p w14:paraId="19B35360" w14:textId="77777777" w:rsidR="00FB3F3C" w:rsidRPr="001A4B94" w:rsidRDefault="00FB3F3C" w:rsidP="009B1D3A">
            <w:pPr>
              <w:pStyle w:val="ListeParagraf"/>
              <w:tabs>
                <w:tab w:val="left" w:pos="426"/>
                <w:tab w:val="left" w:pos="2970"/>
              </w:tabs>
              <w:autoSpaceDE w:val="0"/>
              <w:autoSpaceDN w:val="0"/>
              <w:adjustRightInd w:val="0"/>
              <w:spacing w:after="0" w:line="240" w:lineRule="auto"/>
              <w:ind w:left="0"/>
              <w:jc w:val="both"/>
              <w:rPr>
                <w:rFonts w:ascii="Times New Roman" w:hAnsi="Times New Roman"/>
                <w:i/>
                <w:sz w:val="21"/>
                <w:szCs w:val="21"/>
                <w:u w:val="single"/>
                <w:lang w:val="tr-TR"/>
              </w:rPr>
            </w:pPr>
          </w:p>
          <w:p w14:paraId="544017AE" w14:textId="50CE8040" w:rsidR="00F24800" w:rsidRPr="001A4B94" w:rsidRDefault="00FB3F3C" w:rsidP="009B1D3A">
            <w:pPr>
              <w:pStyle w:val="ListeParagraf"/>
              <w:tabs>
                <w:tab w:val="left" w:pos="426"/>
                <w:tab w:val="left" w:pos="2970"/>
              </w:tabs>
              <w:autoSpaceDE w:val="0"/>
              <w:autoSpaceDN w:val="0"/>
              <w:adjustRightInd w:val="0"/>
              <w:spacing w:after="0" w:line="240" w:lineRule="auto"/>
              <w:ind w:left="0"/>
              <w:jc w:val="both"/>
              <w:rPr>
                <w:rFonts w:ascii="Times New Roman" w:eastAsia="Times New Roman" w:hAnsi="Times New Roman"/>
                <w:bCs/>
                <w:iCs/>
                <w:sz w:val="21"/>
                <w:szCs w:val="21"/>
                <w:lang w:val="tr-TR"/>
              </w:rPr>
            </w:pPr>
            <w:r w:rsidRPr="001A4B94">
              <w:rPr>
                <w:rFonts w:ascii="Times New Roman" w:hAnsi="Times New Roman"/>
                <w:i/>
                <w:sz w:val="21"/>
                <w:szCs w:val="21"/>
                <w:u w:val="single"/>
                <w:lang w:val="tr-TR"/>
              </w:rPr>
              <w:t>Eğitim sektöründe</w:t>
            </w:r>
            <w:r w:rsidR="00F24800" w:rsidRPr="001A4B94">
              <w:rPr>
                <w:rFonts w:ascii="Times New Roman" w:hAnsi="Times New Roman"/>
                <w:sz w:val="21"/>
                <w:szCs w:val="21"/>
                <w:lang w:val="tr-TR"/>
              </w:rPr>
              <w:t xml:space="preserve">, </w:t>
            </w:r>
            <w:r w:rsidR="00D2453E" w:rsidRPr="001A4B94">
              <w:rPr>
                <w:rFonts w:ascii="Times New Roman" w:hAnsi="Times New Roman"/>
                <w:sz w:val="21"/>
                <w:szCs w:val="21"/>
                <w:lang w:val="tr-TR"/>
              </w:rPr>
              <w:t xml:space="preserve">Türkiye’nin son zamanlarda düşen PISA ve TIMMS puanları karşısında Ülke İşbirliği Çerçevesi ASA faaliyetlerini arttırmayı ve aynı zamanda </w:t>
            </w:r>
            <w:r w:rsidR="001C6D7F" w:rsidRPr="001A4B94">
              <w:rPr>
                <w:rFonts w:ascii="Times New Roman" w:hAnsi="Times New Roman"/>
                <w:sz w:val="21"/>
                <w:szCs w:val="21"/>
                <w:lang w:val="tr-TR"/>
              </w:rPr>
              <w:t xml:space="preserve">yaşam boyu öğrenme, öğretmen eğitimi ve uzaktan eğitim yaklaşımlarını güçlendirme çabalarında Milli Eğitim Bakanlığı’na (MEB) yardım sağlamayı </w:t>
            </w:r>
            <w:r w:rsidR="00D2453E" w:rsidRPr="001A4B94">
              <w:rPr>
                <w:rFonts w:ascii="Times New Roman" w:hAnsi="Times New Roman"/>
                <w:sz w:val="21"/>
                <w:szCs w:val="21"/>
                <w:lang w:val="tr-TR"/>
              </w:rPr>
              <w:t>önermekte</w:t>
            </w:r>
            <w:r w:rsidR="001C6D7F" w:rsidRPr="001A4B94">
              <w:rPr>
                <w:rFonts w:ascii="Times New Roman" w:hAnsi="Times New Roman"/>
                <w:sz w:val="21"/>
                <w:szCs w:val="21"/>
                <w:lang w:val="tr-TR"/>
              </w:rPr>
              <w:t>dir.</w:t>
            </w:r>
            <w:r w:rsidR="00F24800" w:rsidRPr="001A4B94">
              <w:rPr>
                <w:rFonts w:ascii="Times New Roman" w:hAnsi="Times New Roman"/>
                <w:sz w:val="21"/>
                <w:szCs w:val="21"/>
                <w:lang w:val="tr-TR"/>
              </w:rPr>
              <w:t xml:space="preserve"> </w:t>
            </w:r>
            <w:r w:rsidR="001C6D7F" w:rsidRPr="001A4B94">
              <w:rPr>
                <w:rFonts w:ascii="Times New Roman" w:hAnsi="Times New Roman"/>
                <w:sz w:val="21"/>
                <w:szCs w:val="21"/>
                <w:lang w:val="tr-TR"/>
              </w:rPr>
              <w:t>Öğrenmeyi etkilemek için ihtiyaç duyulan zaman göz önüne alındığında,  sonuçların CPF döneminde  ılımlı düzeyde olması ve başarının dönem sonrasında or</w:t>
            </w:r>
            <w:r w:rsidR="006322DA" w:rsidRPr="001A4B94">
              <w:rPr>
                <w:rFonts w:ascii="Times New Roman" w:hAnsi="Times New Roman"/>
                <w:sz w:val="21"/>
                <w:szCs w:val="21"/>
                <w:lang w:val="tr-TR"/>
              </w:rPr>
              <w:t>t</w:t>
            </w:r>
            <w:r w:rsidR="001C6D7F" w:rsidRPr="001A4B94">
              <w:rPr>
                <w:rFonts w:ascii="Times New Roman" w:hAnsi="Times New Roman"/>
                <w:sz w:val="21"/>
                <w:szCs w:val="21"/>
                <w:lang w:val="tr-TR"/>
              </w:rPr>
              <w:t>aya çıkması muhtemeldir</w:t>
            </w:r>
            <w:r w:rsidR="00F24800" w:rsidRPr="001A4B94">
              <w:rPr>
                <w:rFonts w:ascii="Times New Roman" w:hAnsi="Times New Roman"/>
                <w:sz w:val="21"/>
                <w:szCs w:val="21"/>
                <w:lang w:val="tr-TR"/>
              </w:rPr>
              <w:t xml:space="preserve">.  </w:t>
            </w:r>
            <w:r w:rsidR="001C6D7F" w:rsidRPr="001A4B94">
              <w:rPr>
                <w:rFonts w:ascii="Times New Roman" w:hAnsi="Times New Roman"/>
                <w:sz w:val="21"/>
                <w:szCs w:val="21"/>
                <w:lang w:val="tr-TR"/>
              </w:rPr>
              <w:t xml:space="preserve">IBRD eğitim hizmetlerinin yaygınlaştırılmasını ve </w:t>
            </w:r>
            <w:r w:rsidR="003B319D" w:rsidRPr="001A4B94">
              <w:rPr>
                <w:rFonts w:ascii="Times New Roman" w:hAnsi="Times New Roman"/>
                <w:sz w:val="21"/>
                <w:szCs w:val="21"/>
                <w:lang w:val="tr-TR"/>
              </w:rPr>
              <w:t xml:space="preserve">yeni okulların yapımı yoluyla </w:t>
            </w:r>
            <w:r w:rsidR="001C6D7F" w:rsidRPr="001A4B94">
              <w:rPr>
                <w:rFonts w:ascii="Times New Roman" w:hAnsi="Times New Roman"/>
                <w:sz w:val="21"/>
                <w:szCs w:val="21"/>
                <w:lang w:val="tr-TR"/>
              </w:rPr>
              <w:t>kaynakların GKSS</w:t>
            </w:r>
            <w:r w:rsidR="003B319D" w:rsidRPr="001A4B94">
              <w:rPr>
                <w:rFonts w:ascii="Times New Roman" w:hAnsi="Times New Roman"/>
                <w:sz w:val="21"/>
                <w:szCs w:val="21"/>
                <w:lang w:val="tr-TR"/>
              </w:rPr>
              <w:t xml:space="preserve">’lerin etkilediği hassas bölgelere </w:t>
            </w:r>
            <w:r w:rsidR="001C6D7F" w:rsidRPr="001A4B94">
              <w:rPr>
                <w:rFonts w:ascii="Times New Roman" w:hAnsi="Times New Roman"/>
                <w:sz w:val="21"/>
                <w:szCs w:val="21"/>
                <w:lang w:val="tr-TR"/>
              </w:rPr>
              <w:t>yönlendirilmesini amaçlayan FRiT finansmanlı bir eğitim projesi (150 milyon €) uygulayacaktır</w:t>
            </w:r>
            <w:r w:rsidR="00F24800" w:rsidRPr="001A4B94">
              <w:rPr>
                <w:rFonts w:ascii="Times New Roman" w:hAnsi="Times New Roman"/>
                <w:sz w:val="21"/>
                <w:szCs w:val="21"/>
                <w:lang w:val="tr-TR"/>
              </w:rPr>
              <w:t>.</w:t>
            </w:r>
            <w:r w:rsidR="00F24800" w:rsidRPr="001A4B94">
              <w:rPr>
                <w:rFonts w:ascii="Times New Roman" w:eastAsia="Times New Roman" w:hAnsi="Times New Roman"/>
                <w:bCs/>
                <w:iCs/>
                <w:sz w:val="21"/>
                <w:szCs w:val="21"/>
                <w:lang w:val="tr-TR"/>
              </w:rPr>
              <w:t xml:space="preserve"> </w:t>
            </w:r>
            <w:r w:rsidR="003B319D" w:rsidRPr="001A4B94">
              <w:rPr>
                <w:rFonts w:ascii="Times New Roman" w:eastAsia="Times New Roman" w:hAnsi="Times New Roman"/>
                <w:bCs/>
                <w:iCs/>
                <w:sz w:val="21"/>
                <w:szCs w:val="21"/>
                <w:lang w:val="tr-TR"/>
              </w:rPr>
              <w:t xml:space="preserve">IBRD aynı zamanda göçmen çocukların eğitim ve mesleki eğitim sistemine entegre edilmesine </w:t>
            </w:r>
            <w:r w:rsidR="006322DA" w:rsidRPr="001A4B94">
              <w:rPr>
                <w:rFonts w:ascii="Times New Roman" w:eastAsia="Times New Roman" w:hAnsi="Times New Roman"/>
                <w:bCs/>
                <w:iCs/>
                <w:sz w:val="21"/>
                <w:szCs w:val="21"/>
                <w:lang w:val="tr-TR"/>
              </w:rPr>
              <w:t xml:space="preserve">dönük </w:t>
            </w:r>
            <w:r w:rsidR="003B319D" w:rsidRPr="001A4B94">
              <w:rPr>
                <w:rFonts w:ascii="Times New Roman" w:eastAsia="Times New Roman" w:hAnsi="Times New Roman"/>
                <w:bCs/>
                <w:iCs/>
                <w:sz w:val="21"/>
                <w:szCs w:val="21"/>
                <w:lang w:val="tr-TR"/>
              </w:rPr>
              <w:t>bir stratejinin oluşturulmasına yönelik teknik destek de sağlamaktadır</w:t>
            </w:r>
            <w:r w:rsidR="00FB0363" w:rsidRPr="001A4B94">
              <w:rPr>
                <w:rFonts w:ascii="Times New Roman" w:eastAsia="Times New Roman" w:hAnsi="Times New Roman"/>
                <w:bCs/>
                <w:iCs/>
                <w:sz w:val="21"/>
                <w:szCs w:val="21"/>
                <w:lang w:val="tr-TR"/>
              </w:rPr>
              <w:t xml:space="preserve">.  </w:t>
            </w:r>
            <w:r w:rsidR="003B319D" w:rsidRPr="001A4B94">
              <w:rPr>
                <w:rFonts w:ascii="Times New Roman" w:eastAsia="Times New Roman" w:hAnsi="Times New Roman"/>
                <w:bCs/>
                <w:iCs/>
                <w:sz w:val="21"/>
                <w:szCs w:val="21"/>
                <w:lang w:val="tr-TR"/>
              </w:rPr>
              <w:t xml:space="preserve">Ayrıca, AB Katılım Öncesi Yardım Aracı (IPA) ile finanse edilmek üzere, Türk gençleri arasında okul terk oranlarının yüksek olduğu ve GKSS’li gençlerin hiç okula gidememe riskinin mevcut olduğu yerlerde,  okul dışındaki gençleri hedefleyen  yeni bir proje </w:t>
            </w:r>
            <w:r w:rsidR="006F65BF" w:rsidRPr="001A4B94">
              <w:rPr>
                <w:rFonts w:ascii="Times New Roman" w:eastAsia="Times New Roman" w:hAnsi="Times New Roman"/>
                <w:bCs/>
                <w:iCs/>
                <w:sz w:val="21"/>
                <w:szCs w:val="21"/>
                <w:lang w:val="tr-TR"/>
              </w:rPr>
              <w:t>uygulanacaktır</w:t>
            </w:r>
            <w:r w:rsidR="003B319D" w:rsidRPr="001A4B94">
              <w:rPr>
                <w:rFonts w:ascii="Times New Roman" w:eastAsia="Times New Roman" w:hAnsi="Times New Roman"/>
                <w:bCs/>
                <w:iCs/>
                <w:sz w:val="21"/>
                <w:szCs w:val="21"/>
                <w:lang w:val="tr-TR"/>
              </w:rPr>
              <w:t>.  IFC özel sektör tarafından sağlanacak  mesleki eğitimi teşvik etmek amacıyla eğitim hizmet sa</w:t>
            </w:r>
            <w:r w:rsidR="00695C50" w:rsidRPr="001A4B94">
              <w:rPr>
                <w:rFonts w:ascii="Times New Roman" w:eastAsia="Times New Roman" w:hAnsi="Times New Roman"/>
                <w:bCs/>
                <w:iCs/>
                <w:sz w:val="21"/>
                <w:szCs w:val="21"/>
                <w:lang w:val="tr-TR"/>
              </w:rPr>
              <w:t>ğ</w:t>
            </w:r>
            <w:r w:rsidR="003B319D" w:rsidRPr="001A4B94">
              <w:rPr>
                <w:rFonts w:ascii="Times New Roman" w:eastAsia="Times New Roman" w:hAnsi="Times New Roman"/>
                <w:bCs/>
                <w:iCs/>
                <w:sz w:val="21"/>
                <w:szCs w:val="21"/>
                <w:lang w:val="tr-TR"/>
              </w:rPr>
              <w:t>layıcılarına yatırım yapma olanaklarını araştıracaktır.</w:t>
            </w:r>
          </w:p>
          <w:p w14:paraId="2B601DFB" w14:textId="0DB5A613" w:rsidR="000F0805" w:rsidRPr="001A4B94" w:rsidRDefault="000F0805" w:rsidP="009B1D3A">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1"/>
                <w:szCs w:val="21"/>
                <w:lang w:val="tr-TR"/>
              </w:rPr>
            </w:pPr>
          </w:p>
        </w:tc>
      </w:tr>
      <w:tr w:rsidR="006F65BF" w:rsidRPr="001A4B94" w14:paraId="5A93FEA9" w14:textId="77777777" w:rsidTr="00622088">
        <w:tc>
          <w:tcPr>
            <w:tcW w:w="3955" w:type="dxa"/>
          </w:tcPr>
          <w:p w14:paraId="0E4F675D" w14:textId="360F1902" w:rsidR="006F65BF" w:rsidRPr="001A4B94" w:rsidRDefault="006F65BF" w:rsidP="006F65BF">
            <w:pPr>
              <w:rPr>
                <w:i/>
                <w:sz w:val="20"/>
                <w:szCs w:val="20"/>
                <w:lang w:val="tr-TR"/>
              </w:rPr>
            </w:pPr>
            <w:r w:rsidRPr="001A4B94">
              <w:rPr>
                <w:b/>
                <w:sz w:val="22"/>
                <w:szCs w:val="20"/>
                <w:lang w:val="tr-TR"/>
              </w:rPr>
              <w:t xml:space="preserve">CPF Amaç Göstergeleri </w:t>
            </w:r>
          </w:p>
        </w:tc>
        <w:tc>
          <w:tcPr>
            <w:tcW w:w="4410" w:type="dxa"/>
          </w:tcPr>
          <w:p w14:paraId="173D032D" w14:textId="1F6D0BE7" w:rsidR="006F65BF" w:rsidRPr="001A4B94" w:rsidRDefault="006F65BF" w:rsidP="006F65BF">
            <w:pPr>
              <w:tabs>
                <w:tab w:val="left" w:pos="426"/>
              </w:tabs>
              <w:rPr>
                <w:sz w:val="20"/>
                <w:szCs w:val="20"/>
                <w:lang w:val="tr-TR"/>
              </w:rPr>
            </w:pPr>
            <w:r w:rsidRPr="001A4B94">
              <w:rPr>
                <w:b/>
                <w:sz w:val="22"/>
                <w:szCs w:val="20"/>
                <w:lang w:val="tr-TR"/>
              </w:rPr>
              <w:t xml:space="preserve">Destekleyici İlerleme Göstergeleri </w:t>
            </w:r>
          </w:p>
        </w:tc>
        <w:tc>
          <w:tcPr>
            <w:tcW w:w="4860" w:type="dxa"/>
          </w:tcPr>
          <w:p w14:paraId="1AAF8528" w14:textId="68535338" w:rsidR="006F65BF" w:rsidRPr="001A4B94" w:rsidRDefault="006F65BF" w:rsidP="006F65BF">
            <w:pPr>
              <w:tabs>
                <w:tab w:val="left" w:pos="426"/>
              </w:tabs>
              <w:rPr>
                <w:b/>
                <w:bCs/>
                <w:sz w:val="20"/>
                <w:szCs w:val="20"/>
                <w:lang w:val="tr-TR"/>
              </w:rPr>
            </w:pPr>
            <w:r w:rsidRPr="001A4B94">
              <w:rPr>
                <w:b/>
                <w:sz w:val="22"/>
                <w:szCs w:val="20"/>
                <w:lang w:val="tr-TR"/>
              </w:rPr>
              <w:t xml:space="preserve">DBG Programı </w:t>
            </w:r>
          </w:p>
        </w:tc>
      </w:tr>
      <w:tr w:rsidR="00F24800" w:rsidRPr="001A4B94" w14:paraId="3132A5CD" w14:textId="77777777" w:rsidTr="00BA590B">
        <w:tc>
          <w:tcPr>
            <w:tcW w:w="3955" w:type="dxa"/>
            <w:tcBorders>
              <w:bottom w:val="single" w:sz="4" w:space="0" w:color="auto"/>
            </w:tcBorders>
          </w:tcPr>
          <w:p w14:paraId="1D9C6F62" w14:textId="2F3ADE89" w:rsidR="00F24800" w:rsidRPr="001A4B94" w:rsidRDefault="006F65BF" w:rsidP="00F24800">
            <w:pPr>
              <w:rPr>
                <w:i/>
                <w:sz w:val="20"/>
                <w:szCs w:val="20"/>
                <w:lang w:val="tr-TR"/>
              </w:rPr>
            </w:pPr>
            <w:r w:rsidRPr="001A4B94">
              <w:rPr>
                <w:i/>
                <w:sz w:val="20"/>
                <w:szCs w:val="20"/>
                <w:lang w:val="tr-TR"/>
              </w:rPr>
              <w:t xml:space="preserve">6-15 yaş arası GKSS’li çocukların </w:t>
            </w:r>
            <w:r w:rsidR="006322DA" w:rsidRPr="001A4B94">
              <w:rPr>
                <w:i/>
                <w:sz w:val="20"/>
                <w:szCs w:val="20"/>
                <w:lang w:val="tr-TR"/>
              </w:rPr>
              <w:t xml:space="preserve">örgün </w:t>
            </w:r>
            <w:r w:rsidRPr="001A4B94">
              <w:rPr>
                <w:i/>
                <w:sz w:val="20"/>
                <w:szCs w:val="20"/>
                <w:lang w:val="tr-TR"/>
              </w:rPr>
              <w:t xml:space="preserve">okullaşma </w:t>
            </w:r>
            <w:r w:rsidR="006322DA" w:rsidRPr="001A4B94">
              <w:rPr>
                <w:i/>
                <w:sz w:val="20"/>
                <w:szCs w:val="20"/>
                <w:lang w:val="tr-TR"/>
              </w:rPr>
              <w:t xml:space="preserve">oranlarındaki </w:t>
            </w:r>
            <w:r w:rsidRPr="001A4B94">
              <w:rPr>
                <w:i/>
                <w:sz w:val="20"/>
                <w:szCs w:val="20"/>
                <w:lang w:val="tr-TR"/>
              </w:rPr>
              <w:t>artış</w:t>
            </w:r>
          </w:p>
          <w:p w14:paraId="08ABC7FC" w14:textId="3540620A" w:rsidR="00FB1CB3" w:rsidRPr="001A4B94" w:rsidRDefault="00F949D2" w:rsidP="00F24800">
            <w:pPr>
              <w:rPr>
                <w:i/>
                <w:sz w:val="20"/>
                <w:szCs w:val="20"/>
                <w:lang w:val="tr-TR"/>
              </w:rPr>
            </w:pPr>
            <w:r w:rsidRPr="001A4B94">
              <w:rPr>
                <w:b/>
                <w:i/>
                <w:sz w:val="20"/>
                <w:szCs w:val="20"/>
                <w:lang w:val="tr-TR"/>
              </w:rPr>
              <w:t>Başlangıç Durumu</w:t>
            </w:r>
            <w:r w:rsidR="00F24800" w:rsidRPr="001A4B94">
              <w:rPr>
                <w:b/>
                <w:i/>
                <w:sz w:val="20"/>
                <w:szCs w:val="20"/>
                <w:lang w:val="tr-TR"/>
              </w:rPr>
              <w:t>:</w:t>
            </w:r>
            <w:r w:rsidR="00F24800" w:rsidRPr="001A4B94">
              <w:rPr>
                <w:i/>
                <w:sz w:val="20"/>
                <w:szCs w:val="20"/>
                <w:lang w:val="tr-TR"/>
              </w:rPr>
              <w:t xml:space="preserve"> </w:t>
            </w:r>
            <w:r w:rsidR="0050509A" w:rsidRPr="001A4B94">
              <w:rPr>
                <w:i/>
                <w:sz w:val="20"/>
                <w:szCs w:val="20"/>
                <w:lang w:val="tr-TR"/>
              </w:rPr>
              <w:t>469</w:t>
            </w:r>
            <w:r w:rsidR="00FB1CB3" w:rsidRPr="001A4B94">
              <w:rPr>
                <w:i/>
                <w:sz w:val="20"/>
                <w:szCs w:val="20"/>
                <w:lang w:val="tr-TR"/>
              </w:rPr>
              <w:t>.</w:t>
            </w:r>
            <w:r w:rsidR="0050509A" w:rsidRPr="001A4B94">
              <w:rPr>
                <w:i/>
                <w:sz w:val="20"/>
                <w:szCs w:val="20"/>
                <w:lang w:val="tr-TR"/>
              </w:rPr>
              <w:t>495</w:t>
            </w:r>
            <w:r w:rsidR="0050509A" w:rsidRPr="001A4B94">
              <w:rPr>
                <w:b/>
                <w:i/>
                <w:sz w:val="20"/>
                <w:szCs w:val="20"/>
                <w:lang w:val="tr-TR"/>
              </w:rPr>
              <w:t xml:space="preserve"> </w:t>
            </w:r>
            <w:r w:rsidR="00FB1CB3" w:rsidRPr="001A4B94">
              <w:rPr>
                <w:i/>
                <w:sz w:val="20"/>
                <w:szCs w:val="20"/>
                <w:lang w:val="tr-TR"/>
              </w:rPr>
              <w:t xml:space="preserve">çocuk </w:t>
            </w:r>
            <w:r w:rsidR="00566F48" w:rsidRPr="001A4B94">
              <w:rPr>
                <w:i/>
                <w:sz w:val="20"/>
                <w:szCs w:val="20"/>
                <w:lang w:val="tr-TR"/>
              </w:rPr>
              <w:t>eğitime</w:t>
            </w:r>
            <w:r w:rsidR="00FB1CB3" w:rsidRPr="001A4B94">
              <w:rPr>
                <w:i/>
                <w:sz w:val="20"/>
                <w:szCs w:val="20"/>
                <w:lang w:val="tr-TR"/>
              </w:rPr>
              <w:t xml:space="preserve"> </w:t>
            </w:r>
            <w:r w:rsidR="00566F48" w:rsidRPr="001A4B94">
              <w:rPr>
                <w:i/>
                <w:sz w:val="20"/>
                <w:szCs w:val="20"/>
                <w:lang w:val="tr-TR"/>
              </w:rPr>
              <w:t>erişebiliyor</w:t>
            </w:r>
            <w:r w:rsidR="00FB1CB3" w:rsidRPr="001A4B94">
              <w:rPr>
                <w:i/>
                <w:sz w:val="20"/>
                <w:szCs w:val="20"/>
                <w:lang w:val="tr-TR"/>
              </w:rPr>
              <w:t xml:space="preserve"> </w:t>
            </w:r>
            <w:r w:rsidR="0050509A" w:rsidRPr="001A4B94">
              <w:rPr>
                <w:i/>
                <w:sz w:val="20"/>
                <w:szCs w:val="20"/>
                <w:lang w:val="tr-TR"/>
              </w:rPr>
              <w:t>(149</w:t>
            </w:r>
            <w:r w:rsidR="00FB1CB3" w:rsidRPr="001A4B94">
              <w:rPr>
                <w:i/>
                <w:sz w:val="20"/>
                <w:szCs w:val="20"/>
                <w:lang w:val="tr-TR"/>
              </w:rPr>
              <w:t>.</w:t>
            </w:r>
            <w:r w:rsidR="0050509A" w:rsidRPr="001A4B94">
              <w:rPr>
                <w:i/>
                <w:sz w:val="20"/>
                <w:szCs w:val="20"/>
                <w:lang w:val="tr-TR"/>
              </w:rPr>
              <w:t>439</w:t>
            </w:r>
            <w:r w:rsidR="00FB1CB3" w:rsidRPr="001A4B94">
              <w:rPr>
                <w:i/>
                <w:sz w:val="20"/>
                <w:szCs w:val="20"/>
                <w:lang w:val="tr-TR"/>
              </w:rPr>
              <w:t xml:space="preserve">’u örgün eğitimde ve </w:t>
            </w:r>
            <w:r w:rsidR="0050509A" w:rsidRPr="001A4B94">
              <w:rPr>
                <w:i/>
                <w:sz w:val="20"/>
                <w:szCs w:val="20"/>
                <w:lang w:val="tr-TR"/>
              </w:rPr>
              <w:t>320</w:t>
            </w:r>
            <w:r w:rsidR="00FB1CB3" w:rsidRPr="001A4B94">
              <w:rPr>
                <w:i/>
                <w:sz w:val="20"/>
                <w:szCs w:val="20"/>
                <w:lang w:val="tr-TR"/>
              </w:rPr>
              <w:t>.</w:t>
            </w:r>
            <w:r w:rsidR="0050509A" w:rsidRPr="001A4B94">
              <w:rPr>
                <w:i/>
                <w:sz w:val="20"/>
                <w:szCs w:val="20"/>
                <w:lang w:val="tr-TR"/>
              </w:rPr>
              <w:t>056</w:t>
            </w:r>
            <w:r w:rsidR="00FB1CB3" w:rsidRPr="001A4B94">
              <w:rPr>
                <w:i/>
                <w:sz w:val="20"/>
                <w:szCs w:val="20"/>
                <w:lang w:val="tr-TR"/>
              </w:rPr>
              <w:t>’sı geçici eğitim merkezler</w:t>
            </w:r>
            <w:r w:rsidR="00566F48" w:rsidRPr="001A4B94">
              <w:rPr>
                <w:i/>
                <w:sz w:val="20"/>
                <w:szCs w:val="20"/>
                <w:lang w:val="tr-TR"/>
              </w:rPr>
              <w:t>i</w:t>
            </w:r>
            <w:r w:rsidR="00FB1CB3" w:rsidRPr="001A4B94">
              <w:rPr>
                <w:i/>
                <w:sz w:val="20"/>
                <w:szCs w:val="20"/>
                <w:lang w:val="tr-TR"/>
              </w:rPr>
              <w:t>nde</w:t>
            </w:r>
            <w:r w:rsidR="0050509A" w:rsidRPr="001A4B94">
              <w:rPr>
                <w:i/>
                <w:sz w:val="20"/>
                <w:szCs w:val="20"/>
                <w:lang w:val="tr-TR"/>
              </w:rPr>
              <w:t xml:space="preserve">: </w:t>
            </w:r>
            <w:r w:rsidR="00FB1CB3" w:rsidRPr="001A4B94">
              <w:rPr>
                <w:i/>
                <w:sz w:val="20"/>
                <w:szCs w:val="20"/>
                <w:lang w:val="tr-TR"/>
              </w:rPr>
              <w:t>oran %32</w:t>
            </w:r>
            <w:r w:rsidR="0050509A" w:rsidRPr="001A4B94">
              <w:rPr>
                <w:i/>
                <w:sz w:val="20"/>
                <w:szCs w:val="20"/>
                <w:lang w:val="tr-TR"/>
              </w:rPr>
              <w:t>)</w:t>
            </w:r>
          </w:p>
          <w:p w14:paraId="16BC8970" w14:textId="7A653DE6" w:rsidR="00F24800" w:rsidRPr="001A4B94" w:rsidRDefault="00F949D2" w:rsidP="00F24800">
            <w:pPr>
              <w:rPr>
                <w:i/>
                <w:sz w:val="20"/>
                <w:szCs w:val="20"/>
                <w:lang w:val="tr-TR"/>
              </w:rPr>
            </w:pPr>
            <w:r w:rsidRPr="001A4B94">
              <w:rPr>
                <w:b/>
                <w:i/>
                <w:sz w:val="20"/>
                <w:szCs w:val="20"/>
                <w:lang w:val="tr-TR"/>
              </w:rPr>
              <w:t>Hedef</w:t>
            </w:r>
            <w:r w:rsidR="00F24800" w:rsidRPr="001A4B94">
              <w:rPr>
                <w:b/>
                <w:i/>
                <w:sz w:val="20"/>
                <w:szCs w:val="20"/>
                <w:lang w:val="tr-TR"/>
              </w:rPr>
              <w:t>:</w:t>
            </w:r>
            <w:r w:rsidR="00F24800" w:rsidRPr="001A4B94">
              <w:rPr>
                <w:i/>
                <w:sz w:val="20"/>
                <w:szCs w:val="20"/>
                <w:lang w:val="tr-TR"/>
              </w:rPr>
              <w:t xml:space="preserve"> 600</w:t>
            </w:r>
            <w:r w:rsidR="00FB1CB3" w:rsidRPr="001A4B94">
              <w:rPr>
                <w:i/>
                <w:sz w:val="20"/>
                <w:szCs w:val="20"/>
                <w:lang w:val="tr-TR"/>
              </w:rPr>
              <w:t>.</w:t>
            </w:r>
            <w:r w:rsidR="00F24800" w:rsidRPr="001A4B94">
              <w:rPr>
                <w:i/>
                <w:sz w:val="20"/>
                <w:szCs w:val="20"/>
                <w:lang w:val="tr-TR"/>
              </w:rPr>
              <w:t xml:space="preserve">000 </w:t>
            </w:r>
            <w:r w:rsidR="00FB1CB3" w:rsidRPr="001A4B94">
              <w:rPr>
                <w:i/>
                <w:sz w:val="20"/>
                <w:szCs w:val="20"/>
                <w:lang w:val="tr-TR"/>
              </w:rPr>
              <w:t xml:space="preserve">çocuğun eğitime erişebilmesi </w:t>
            </w:r>
            <w:r w:rsidR="00F24800" w:rsidRPr="001A4B94">
              <w:rPr>
                <w:i/>
                <w:sz w:val="20"/>
                <w:szCs w:val="20"/>
                <w:lang w:val="tr-TR"/>
              </w:rPr>
              <w:t>(</w:t>
            </w:r>
            <w:r w:rsidR="00FB1CB3" w:rsidRPr="001A4B94">
              <w:rPr>
                <w:i/>
                <w:sz w:val="20"/>
                <w:szCs w:val="20"/>
                <w:lang w:val="tr-TR"/>
              </w:rPr>
              <w:t>%</w:t>
            </w:r>
            <w:r w:rsidR="00F24800" w:rsidRPr="001A4B94">
              <w:rPr>
                <w:i/>
                <w:sz w:val="20"/>
                <w:szCs w:val="20"/>
                <w:lang w:val="tr-TR"/>
              </w:rPr>
              <w:t>40</w:t>
            </w:r>
            <w:r w:rsidR="00FB1CB3" w:rsidRPr="001A4B94">
              <w:rPr>
                <w:i/>
                <w:sz w:val="20"/>
                <w:szCs w:val="20"/>
                <w:lang w:val="tr-TR"/>
              </w:rPr>
              <w:t xml:space="preserve"> örgün eğitimde</w:t>
            </w:r>
            <w:r w:rsidR="00F24800" w:rsidRPr="001A4B94">
              <w:rPr>
                <w:i/>
                <w:sz w:val="20"/>
                <w:szCs w:val="20"/>
                <w:lang w:val="tr-TR"/>
              </w:rPr>
              <w:t xml:space="preserve">), </w:t>
            </w:r>
            <w:r w:rsidR="00FB1CB3" w:rsidRPr="001A4B94">
              <w:rPr>
                <w:i/>
                <w:sz w:val="20"/>
                <w:szCs w:val="20"/>
                <w:lang w:val="tr-TR"/>
              </w:rPr>
              <w:t xml:space="preserve">kız-erkek çocuk dağılımı yüzde 50-50 </w:t>
            </w:r>
          </w:p>
          <w:p w14:paraId="59F13ADE" w14:textId="77777777" w:rsidR="00F24800" w:rsidRPr="001A4B94" w:rsidRDefault="00F24800" w:rsidP="00F24800">
            <w:pPr>
              <w:rPr>
                <w:i/>
                <w:sz w:val="20"/>
                <w:szCs w:val="20"/>
                <w:lang w:val="tr-TR"/>
              </w:rPr>
            </w:pPr>
          </w:p>
          <w:p w14:paraId="166C44CC" w14:textId="07D0A96D" w:rsidR="00F24800" w:rsidRPr="001A4B94" w:rsidRDefault="00F949D2" w:rsidP="00F24800">
            <w:pPr>
              <w:rPr>
                <w:i/>
                <w:sz w:val="20"/>
                <w:szCs w:val="20"/>
                <w:lang w:val="tr-TR"/>
              </w:rPr>
            </w:pPr>
            <w:r w:rsidRPr="001A4B94">
              <w:rPr>
                <w:i/>
                <w:sz w:val="20"/>
                <w:szCs w:val="20"/>
                <w:lang w:val="tr-TR"/>
              </w:rPr>
              <w:t xml:space="preserve">Bulaşıcı olmayan hastalıklara yönelik birincil ve ikincil önleme faaliyetlerinin iyileştirilmesi  </w:t>
            </w:r>
            <w:r w:rsidR="00F24800" w:rsidRPr="001A4B94">
              <w:rPr>
                <w:i/>
                <w:sz w:val="20"/>
                <w:szCs w:val="20"/>
                <w:lang w:val="tr-TR"/>
              </w:rPr>
              <w:t xml:space="preserve"> </w:t>
            </w:r>
          </w:p>
          <w:p w14:paraId="5297FA09" w14:textId="6E6B0D41" w:rsidR="00F24800" w:rsidRPr="001A4B94" w:rsidRDefault="00F949D2" w:rsidP="00F24800">
            <w:pPr>
              <w:rPr>
                <w:i/>
                <w:sz w:val="20"/>
                <w:szCs w:val="20"/>
                <w:lang w:val="tr-TR"/>
              </w:rPr>
            </w:pPr>
            <w:r w:rsidRPr="001A4B94">
              <w:rPr>
                <w:b/>
                <w:i/>
                <w:sz w:val="20"/>
                <w:szCs w:val="20"/>
                <w:lang w:val="tr-TR"/>
              </w:rPr>
              <w:t xml:space="preserve">Başlangıç Durumu </w:t>
            </w:r>
            <w:r w:rsidR="00F24800" w:rsidRPr="001A4B94">
              <w:rPr>
                <w:b/>
                <w:i/>
                <w:sz w:val="20"/>
                <w:szCs w:val="20"/>
                <w:lang w:val="tr-TR"/>
              </w:rPr>
              <w:t>(2015):</w:t>
            </w:r>
            <w:r w:rsidR="00F24800" w:rsidRPr="001A4B94">
              <w:rPr>
                <w:i/>
                <w:sz w:val="20"/>
                <w:szCs w:val="20"/>
                <w:lang w:val="tr-TR"/>
              </w:rPr>
              <w:t xml:space="preserve"> </w:t>
            </w:r>
            <w:r w:rsidR="00FB1CB3" w:rsidRPr="001A4B94">
              <w:rPr>
                <w:i/>
                <w:sz w:val="20"/>
                <w:szCs w:val="20"/>
                <w:lang w:val="tr-TR"/>
              </w:rPr>
              <w:t>Sağlıklı Yaşam Merkezl</w:t>
            </w:r>
            <w:r w:rsidR="00566F48" w:rsidRPr="001A4B94">
              <w:rPr>
                <w:i/>
                <w:sz w:val="20"/>
                <w:szCs w:val="20"/>
                <w:lang w:val="tr-TR"/>
              </w:rPr>
              <w:t xml:space="preserve">erinin hizmetlerinden yararlanan hedef nüfusta yüzde 10 değişim </w:t>
            </w:r>
          </w:p>
          <w:p w14:paraId="2B600064" w14:textId="11219EAF" w:rsidR="00F24800" w:rsidRPr="001A4B94" w:rsidRDefault="00F949D2" w:rsidP="00F24800">
            <w:pPr>
              <w:rPr>
                <w:i/>
                <w:sz w:val="20"/>
                <w:szCs w:val="20"/>
                <w:lang w:val="tr-TR"/>
              </w:rPr>
            </w:pPr>
            <w:r w:rsidRPr="001A4B94">
              <w:rPr>
                <w:b/>
                <w:i/>
                <w:sz w:val="20"/>
                <w:szCs w:val="20"/>
                <w:lang w:val="tr-TR"/>
              </w:rPr>
              <w:t>Hedef</w:t>
            </w:r>
            <w:r w:rsidR="00F24800" w:rsidRPr="001A4B94">
              <w:rPr>
                <w:b/>
                <w:i/>
                <w:sz w:val="20"/>
                <w:szCs w:val="20"/>
                <w:lang w:val="tr-TR"/>
              </w:rPr>
              <w:t>:</w:t>
            </w:r>
            <w:r w:rsidR="00F24800" w:rsidRPr="001A4B94">
              <w:rPr>
                <w:i/>
                <w:sz w:val="20"/>
                <w:szCs w:val="20"/>
                <w:lang w:val="tr-TR"/>
              </w:rPr>
              <w:t xml:space="preserve"> </w:t>
            </w:r>
            <w:r w:rsidR="00566F48" w:rsidRPr="001A4B94">
              <w:rPr>
                <w:i/>
                <w:sz w:val="20"/>
                <w:szCs w:val="20"/>
                <w:lang w:val="tr-TR"/>
              </w:rPr>
              <w:t>%</w:t>
            </w:r>
            <w:r w:rsidR="00F24800" w:rsidRPr="001A4B94">
              <w:rPr>
                <w:i/>
                <w:sz w:val="20"/>
                <w:szCs w:val="20"/>
                <w:lang w:val="tr-TR"/>
              </w:rPr>
              <w:t xml:space="preserve">50  </w:t>
            </w:r>
          </w:p>
          <w:p w14:paraId="1CFBBCFE" w14:textId="77777777" w:rsidR="00F24800" w:rsidRPr="001A4B94" w:rsidRDefault="00F24800" w:rsidP="00F24800">
            <w:pPr>
              <w:rPr>
                <w:b/>
                <w:i/>
                <w:sz w:val="20"/>
                <w:szCs w:val="20"/>
                <w:lang w:val="tr-TR"/>
              </w:rPr>
            </w:pPr>
          </w:p>
          <w:p w14:paraId="008E2CC0" w14:textId="7DDA2DE5" w:rsidR="00F24800" w:rsidRPr="001A4B94" w:rsidRDefault="00F949D2" w:rsidP="00F24800">
            <w:pPr>
              <w:rPr>
                <w:i/>
                <w:sz w:val="20"/>
                <w:szCs w:val="20"/>
                <w:lang w:val="tr-TR"/>
              </w:rPr>
            </w:pPr>
            <w:r w:rsidRPr="001A4B94">
              <w:rPr>
                <w:i/>
                <w:sz w:val="20"/>
                <w:szCs w:val="20"/>
                <w:lang w:val="tr-TR"/>
              </w:rPr>
              <w:t>IFC’nin sağlık sektöründeki müşterileri tarafından hizmet verilen hasta sayısı</w:t>
            </w:r>
          </w:p>
          <w:p w14:paraId="6957785F" w14:textId="1CBFA34C" w:rsidR="00F24800" w:rsidRPr="001A4B94" w:rsidRDefault="00F949D2" w:rsidP="00F24800">
            <w:pPr>
              <w:rPr>
                <w:i/>
                <w:sz w:val="20"/>
                <w:szCs w:val="20"/>
                <w:lang w:val="tr-TR"/>
              </w:rPr>
            </w:pPr>
            <w:r w:rsidRPr="001A4B94">
              <w:rPr>
                <w:b/>
                <w:i/>
                <w:sz w:val="20"/>
                <w:szCs w:val="20"/>
                <w:lang w:val="tr-TR"/>
              </w:rPr>
              <w:t>Başlangıç Durumu</w:t>
            </w:r>
            <w:r w:rsidR="00F24800" w:rsidRPr="001A4B94">
              <w:rPr>
                <w:b/>
                <w:i/>
                <w:sz w:val="20"/>
                <w:szCs w:val="20"/>
                <w:lang w:val="tr-TR"/>
              </w:rPr>
              <w:t>:</w:t>
            </w:r>
            <w:r w:rsidR="00F24800" w:rsidRPr="001A4B94">
              <w:rPr>
                <w:i/>
                <w:sz w:val="20"/>
                <w:szCs w:val="20"/>
                <w:lang w:val="tr-TR"/>
              </w:rPr>
              <w:t xml:space="preserve"> 0 (2015)</w:t>
            </w:r>
          </w:p>
          <w:p w14:paraId="5BB1BE4F" w14:textId="493A7A35" w:rsidR="00F24800" w:rsidRPr="001A4B94" w:rsidRDefault="00F949D2" w:rsidP="00F24800">
            <w:pPr>
              <w:rPr>
                <w:i/>
                <w:sz w:val="20"/>
                <w:szCs w:val="20"/>
                <w:lang w:val="tr-TR"/>
              </w:rPr>
            </w:pPr>
            <w:r w:rsidRPr="001A4B94">
              <w:rPr>
                <w:b/>
                <w:i/>
                <w:sz w:val="20"/>
                <w:szCs w:val="20"/>
                <w:lang w:val="tr-TR"/>
              </w:rPr>
              <w:t>Hedef</w:t>
            </w:r>
            <w:r w:rsidR="00F24800" w:rsidRPr="001A4B94">
              <w:rPr>
                <w:b/>
                <w:i/>
                <w:sz w:val="20"/>
                <w:szCs w:val="20"/>
                <w:lang w:val="tr-TR"/>
              </w:rPr>
              <w:t>:</w:t>
            </w:r>
            <w:r w:rsidR="00F24800" w:rsidRPr="001A4B94">
              <w:rPr>
                <w:i/>
                <w:sz w:val="20"/>
                <w:szCs w:val="20"/>
                <w:lang w:val="tr-TR"/>
              </w:rPr>
              <w:t xml:space="preserve">  14</w:t>
            </w:r>
            <w:r w:rsidR="00566F48" w:rsidRPr="001A4B94">
              <w:rPr>
                <w:i/>
                <w:sz w:val="20"/>
                <w:szCs w:val="20"/>
                <w:lang w:val="tr-TR"/>
              </w:rPr>
              <w:t>,</w:t>
            </w:r>
            <w:r w:rsidR="00F24800" w:rsidRPr="001A4B94">
              <w:rPr>
                <w:i/>
                <w:sz w:val="20"/>
                <w:szCs w:val="20"/>
                <w:lang w:val="tr-TR"/>
              </w:rPr>
              <w:t xml:space="preserve">0 </w:t>
            </w:r>
            <w:r w:rsidR="00566F48" w:rsidRPr="001A4B94">
              <w:rPr>
                <w:i/>
                <w:sz w:val="20"/>
                <w:szCs w:val="20"/>
                <w:lang w:val="tr-TR"/>
              </w:rPr>
              <w:t xml:space="preserve">milyon </w:t>
            </w:r>
            <w:r w:rsidR="00F24800" w:rsidRPr="001A4B94">
              <w:rPr>
                <w:i/>
                <w:sz w:val="20"/>
                <w:szCs w:val="20"/>
                <w:lang w:val="tr-TR"/>
              </w:rPr>
              <w:t>(2019)</w:t>
            </w:r>
          </w:p>
          <w:p w14:paraId="7A9D7CE5" w14:textId="7D3B8EE7" w:rsidR="00F24800" w:rsidRPr="001A4B94" w:rsidRDefault="00F24800" w:rsidP="00F24800">
            <w:pPr>
              <w:rPr>
                <w:i/>
                <w:sz w:val="20"/>
                <w:szCs w:val="20"/>
                <w:lang w:val="tr-TR"/>
              </w:rPr>
            </w:pPr>
            <w:r w:rsidRPr="001A4B94">
              <w:rPr>
                <w:i/>
                <w:sz w:val="20"/>
                <w:szCs w:val="20"/>
                <w:lang w:val="tr-TR"/>
              </w:rPr>
              <w:t>(</w:t>
            </w:r>
            <w:r w:rsidR="00566F48" w:rsidRPr="001A4B94">
              <w:rPr>
                <w:i/>
                <w:sz w:val="20"/>
                <w:szCs w:val="20"/>
                <w:lang w:val="tr-TR"/>
              </w:rPr>
              <w:t>cinsiyet bazında ayrıştırılmış veriler toplanıyor</w:t>
            </w:r>
            <w:r w:rsidRPr="001A4B94">
              <w:rPr>
                <w:i/>
                <w:sz w:val="20"/>
                <w:szCs w:val="20"/>
                <w:lang w:val="tr-TR"/>
              </w:rPr>
              <w:t>)</w:t>
            </w:r>
          </w:p>
        </w:tc>
        <w:tc>
          <w:tcPr>
            <w:tcW w:w="4410" w:type="dxa"/>
            <w:tcBorders>
              <w:bottom w:val="single" w:sz="4" w:space="0" w:color="auto"/>
            </w:tcBorders>
          </w:tcPr>
          <w:p w14:paraId="15E23787" w14:textId="7EDF94F5" w:rsidR="00F24800" w:rsidRPr="001A4B94" w:rsidRDefault="00F949D2" w:rsidP="00F24800">
            <w:pPr>
              <w:tabs>
                <w:tab w:val="left" w:pos="426"/>
              </w:tabs>
              <w:rPr>
                <w:sz w:val="20"/>
                <w:szCs w:val="20"/>
                <w:lang w:val="tr-TR"/>
              </w:rPr>
            </w:pPr>
            <w:r w:rsidRPr="001A4B94">
              <w:rPr>
                <w:sz w:val="20"/>
                <w:szCs w:val="20"/>
                <w:lang w:val="tr-TR"/>
              </w:rPr>
              <w:t>AB FRiT  finansmanlı proje kapsamında rehab</w:t>
            </w:r>
            <w:r w:rsidR="00566F48" w:rsidRPr="001A4B94">
              <w:rPr>
                <w:sz w:val="20"/>
                <w:szCs w:val="20"/>
                <w:lang w:val="tr-TR"/>
              </w:rPr>
              <w:t>i</w:t>
            </w:r>
            <w:r w:rsidRPr="001A4B94">
              <w:rPr>
                <w:sz w:val="20"/>
                <w:szCs w:val="20"/>
                <w:lang w:val="tr-TR"/>
              </w:rPr>
              <w:t xml:space="preserve">lite </w:t>
            </w:r>
            <w:r w:rsidR="00566F48" w:rsidRPr="001A4B94">
              <w:rPr>
                <w:sz w:val="20"/>
                <w:szCs w:val="20"/>
                <w:lang w:val="tr-TR"/>
              </w:rPr>
              <w:t>e</w:t>
            </w:r>
            <w:r w:rsidRPr="001A4B94">
              <w:rPr>
                <w:sz w:val="20"/>
                <w:szCs w:val="20"/>
                <w:lang w:val="tr-TR"/>
              </w:rPr>
              <w:t xml:space="preserve">dilen veya inşa edilen ilave okul sayısı </w:t>
            </w:r>
          </w:p>
          <w:p w14:paraId="2278F702" w14:textId="61AFC181" w:rsidR="00F24800" w:rsidRPr="001A4B94" w:rsidRDefault="00F949D2" w:rsidP="00F24800">
            <w:pPr>
              <w:tabs>
                <w:tab w:val="left" w:pos="426"/>
              </w:tabs>
              <w:rPr>
                <w:sz w:val="20"/>
                <w:szCs w:val="20"/>
                <w:lang w:val="tr-TR"/>
              </w:rPr>
            </w:pPr>
            <w:r w:rsidRPr="001A4B94">
              <w:rPr>
                <w:b/>
                <w:sz w:val="20"/>
                <w:szCs w:val="20"/>
                <w:lang w:val="tr-TR"/>
              </w:rPr>
              <w:t>Ba</w:t>
            </w:r>
            <w:r w:rsidR="00566F48" w:rsidRPr="001A4B94">
              <w:rPr>
                <w:b/>
                <w:sz w:val="20"/>
                <w:szCs w:val="20"/>
                <w:lang w:val="tr-TR"/>
              </w:rPr>
              <w:t>ş</w:t>
            </w:r>
            <w:r w:rsidRPr="001A4B94">
              <w:rPr>
                <w:b/>
                <w:sz w:val="20"/>
                <w:szCs w:val="20"/>
                <w:lang w:val="tr-TR"/>
              </w:rPr>
              <w:t>langıç Durumu</w:t>
            </w:r>
            <w:r w:rsidR="00F24800" w:rsidRPr="001A4B94">
              <w:rPr>
                <w:b/>
                <w:sz w:val="20"/>
                <w:szCs w:val="20"/>
                <w:lang w:val="tr-TR"/>
              </w:rPr>
              <w:t>:</w:t>
            </w:r>
            <w:r w:rsidR="00F24800" w:rsidRPr="001A4B94">
              <w:rPr>
                <w:sz w:val="20"/>
                <w:szCs w:val="20"/>
                <w:lang w:val="tr-TR"/>
              </w:rPr>
              <w:t xml:space="preserve">  0 (2016)</w:t>
            </w:r>
          </w:p>
          <w:p w14:paraId="15A8CDB6" w14:textId="679A0888" w:rsidR="00F24800" w:rsidRPr="001A4B94" w:rsidRDefault="00F949D2" w:rsidP="00F24800">
            <w:pPr>
              <w:tabs>
                <w:tab w:val="left" w:pos="426"/>
              </w:tabs>
              <w:rPr>
                <w:b/>
                <w:sz w:val="20"/>
                <w:szCs w:val="20"/>
                <w:lang w:val="tr-TR"/>
              </w:rPr>
            </w:pPr>
            <w:r w:rsidRPr="001A4B94">
              <w:rPr>
                <w:b/>
                <w:sz w:val="20"/>
                <w:szCs w:val="20"/>
                <w:lang w:val="tr-TR"/>
              </w:rPr>
              <w:t>Hedef</w:t>
            </w:r>
            <w:r w:rsidR="00F24800" w:rsidRPr="001A4B94">
              <w:rPr>
                <w:b/>
                <w:sz w:val="20"/>
                <w:szCs w:val="20"/>
                <w:lang w:val="tr-TR"/>
              </w:rPr>
              <w:t>:</w:t>
            </w:r>
            <w:r w:rsidR="00F24800" w:rsidRPr="001A4B94">
              <w:rPr>
                <w:sz w:val="20"/>
                <w:szCs w:val="20"/>
                <w:lang w:val="tr-TR"/>
              </w:rPr>
              <w:t xml:space="preserve">  56 (2020) </w:t>
            </w:r>
          </w:p>
          <w:p w14:paraId="07E88B9F" w14:textId="77777777" w:rsidR="00F24800" w:rsidRPr="001A4B94" w:rsidRDefault="00F24800" w:rsidP="00F24800">
            <w:pPr>
              <w:tabs>
                <w:tab w:val="left" w:pos="426"/>
              </w:tabs>
              <w:rPr>
                <w:b/>
                <w:sz w:val="20"/>
                <w:szCs w:val="20"/>
                <w:lang w:val="tr-TR"/>
              </w:rPr>
            </w:pPr>
          </w:p>
          <w:p w14:paraId="42BA4050" w14:textId="77777777" w:rsidR="00F24800" w:rsidRPr="001A4B94" w:rsidRDefault="00F24800" w:rsidP="00F24800">
            <w:pPr>
              <w:tabs>
                <w:tab w:val="left" w:pos="426"/>
              </w:tabs>
              <w:rPr>
                <w:sz w:val="20"/>
                <w:szCs w:val="20"/>
                <w:lang w:val="tr-TR"/>
              </w:rPr>
            </w:pPr>
          </w:p>
          <w:p w14:paraId="39D96306" w14:textId="77777777" w:rsidR="000F0805" w:rsidRPr="001A4B94" w:rsidRDefault="000F0805" w:rsidP="00F24800">
            <w:pPr>
              <w:tabs>
                <w:tab w:val="left" w:pos="426"/>
              </w:tabs>
              <w:rPr>
                <w:sz w:val="20"/>
                <w:szCs w:val="20"/>
                <w:lang w:val="tr-TR"/>
              </w:rPr>
            </w:pPr>
          </w:p>
          <w:p w14:paraId="63B8BDD6" w14:textId="77777777" w:rsidR="000F0805" w:rsidRPr="001A4B94" w:rsidRDefault="000F0805" w:rsidP="00F24800">
            <w:pPr>
              <w:tabs>
                <w:tab w:val="left" w:pos="426"/>
              </w:tabs>
              <w:rPr>
                <w:sz w:val="20"/>
                <w:szCs w:val="20"/>
                <w:lang w:val="tr-TR"/>
              </w:rPr>
            </w:pPr>
          </w:p>
          <w:p w14:paraId="4157A0B8" w14:textId="77777777" w:rsidR="000F0805" w:rsidRPr="001A4B94" w:rsidRDefault="000F0805" w:rsidP="00F24800">
            <w:pPr>
              <w:tabs>
                <w:tab w:val="left" w:pos="426"/>
              </w:tabs>
              <w:rPr>
                <w:sz w:val="20"/>
                <w:szCs w:val="20"/>
                <w:lang w:val="tr-TR"/>
              </w:rPr>
            </w:pPr>
          </w:p>
          <w:p w14:paraId="59BD94D9" w14:textId="77777777" w:rsidR="000F0805" w:rsidRPr="001A4B94" w:rsidRDefault="000F0805" w:rsidP="00F24800">
            <w:pPr>
              <w:tabs>
                <w:tab w:val="left" w:pos="426"/>
              </w:tabs>
              <w:rPr>
                <w:sz w:val="20"/>
                <w:szCs w:val="20"/>
                <w:lang w:val="tr-TR"/>
              </w:rPr>
            </w:pPr>
          </w:p>
          <w:p w14:paraId="624A510B" w14:textId="38115C46" w:rsidR="00F24800" w:rsidRPr="001A4B94" w:rsidRDefault="00C60C3A" w:rsidP="00F24800">
            <w:pPr>
              <w:tabs>
                <w:tab w:val="left" w:pos="426"/>
              </w:tabs>
              <w:rPr>
                <w:sz w:val="20"/>
                <w:szCs w:val="20"/>
                <w:lang w:val="tr-TR"/>
              </w:rPr>
            </w:pPr>
            <w:r w:rsidRPr="001A4B94">
              <w:rPr>
                <w:sz w:val="20"/>
                <w:szCs w:val="20"/>
                <w:lang w:val="tr-TR"/>
              </w:rPr>
              <w:t>Sağlıklı yaşam konusunda sağlık çalışanl</w:t>
            </w:r>
            <w:r w:rsidR="00566F48" w:rsidRPr="001A4B94">
              <w:rPr>
                <w:sz w:val="20"/>
                <w:szCs w:val="20"/>
                <w:lang w:val="tr-TR"/>
              </w:rPr>
              <w:t>a</w:t>
            </w:r>
            <w:r w:rsidRPr="001A4B94">
              <w:rPr>
                <w:sz w:val="20"/>
                <w:szCs w:val="20"/>
                <w:lang w:val="tr-TR"/>
              </w:rPr>
              <w:t xml:space="preserve">rından danışmanlık veya eğitim hizmeti alan hanehalklarının yüzdesi </w:t>
            </w:r>
          </w:p>
          <w:p w14:paraId="581409FB" w14:textId="64FF0B33" w:rsidR="00F24800" w:rsidRPr="001A4B94" w:rsidRDefault="00F949D2" w:rsidP="00F24800">
            <w:pPr>
              <w:tabs>
                <w:tab w:val="left" w:pos="426"/>
              </w:tabs>
              <w:rPr>
                <w:sz w:val="20"/>
                <w:szCs w:val="20"/>
                <w:lang w:val="tr-TR"/>
              </w:rPr>
            </w:pPr>
            <w:r w:rsidRPr="001A4B94">
              <w:rPr>
                <w:b/>
                <w:sz w:val="20"/>
                <w:szCs w:val="20"/>
                <w:lang w:val="tr-TR"/>
              </w:rPr>
              <w:t>Ba</w:t>
            </w:r>
            <w:r w:rsidR="00566F48" w:rsidRPr="001A4B94">
              <w:rPr>
                <w:b/>
                <w:sz w:val="20"/>
                <w:szCs w:val="20"/>
                <w:lang w:val="tr-TR"/>
              </w:rPr>
              <w:t>ş</w:t>
            </w:r>
            <w:r w:rsidRPr="001A4B94">
              <w:rPr>
                <w:b/>
                <w:sz w:val="20"/>
                <w:szCs w:val="20"/>
                <w:lang w:val="tr-TR"/>
              </w:rPr>
              <w:t>langıç Durumu</w:t>
            </w:r>
            <w:r w:rsidR="00F24800" w:rsidRPr="001A4B94">
              <w:rPr>
                <w:b/>
                <w:sz w:val="20"/>
                <w:szCs w:val="20"/>
                <w:lang w:val="tr-TR"/>
              </w:rPr>
              <w:t>:</w:t>
            </w:r>
            <w:r w:rsidR="00F24800" w:rsidRPr="001A4B94">
              <w:rPr>
                <w:sz w:val="20"/>
                <w:szCs w:val="20"/>
                <w:lang w:val="tr-TR"/>
              </w:rPr>
              <w:t xml:space="preserve"> </w:t>
            </w:r>
            <w:r w:rsidR="00C60C3A" w:rsidRPr="001A4B94">
              <w:rPr>
                <w:sz w:val="20"/>
                <w:szCs w:val="20"/>
                <w:lang w:val="tr-TR"/>
              </w:rPr>
              <w:t>%</w:t>
            </w:r>
            <w:r w:rsidR="00F24800" w:rsidRPr="001A4B94">
              <w:rPr>
                <w:sz w:val="20"/>
                <w:szCs w:val="20"/>
                <w:lang w:val="tr-TR"/>
              </w:rPr>
              <w:t>10</w:t>
            </w:r>
            <w:r w:rsidR="00C60C3A" w:rsidRPr="001A4B94">
              <w:rPr>
                <w:sz w:val="20"/>
                <w:szCs w:val="20"/>
                <w:lang w:val="tr-TR"/>
              </w:rPr>
              <w:t>,</w:t>
            </w:r>
            <w:r w:rsidR="00F24800" w:rsidRPr="001A4B94">
              <w:rPr>
                <w:sz w:val="20"/>
                <w:szCs w:val="20"/>
                <w:lang w:val="tr-TR"/>
              </w:rPr>
              <w:t xml:space="preserve"> 2016</w:t>
            </w:r>
          </w:p>
          <w:p w14:paraId="13CFCD1C" w14:textId="7B72A6BE" w:rsidR="00F24800" w:rsidRPr="001A4B94" w:rsidRDefault="00566F48" w:rsidP="00F24800">
            <w:pPr>
              <w:tabs>
                <w:tab w:val="left" w:pos="426"/>
              </w:tabs>
              <w:rPr>
                <w:sz w:val="20"/>
                <w:szCs w:val="20"/>
                <w:lang w:val="tr-TR"/>
              </w:rPr>
            </w:pPr>
            <w:r w:rsidRPr="001A4B94">
              <w:rPr>
                <w:b/>
                <w:sz w:val="20"/>
                <w:szCs w:val="20"/>
                <w:lang w:val="tr-TR"/>
              </w:rPr>
              <w:t>Hedef</w:t>
            </w:r>
            <w:r w:rsidR="00F24800" w:rsidRPr="001A4B94">
              <w:rPr>
                <w:b/>
                <w:sz w:val="20"/>
                <w:szCs w:val="20"/>
                <w:lang w:val="tr-TR"/>
              </w:rPr>
              <w:t>:</w:t>
            </w:r>
            <w:r w:rsidR="00F24800" w:rsidRPr="001A4B94">
              <w:rPr>
                <w:sz w:val="20"/>
                <w:szCs w:val="20"/>
                <w:lang w:val="tr-TR"/>
              </w:rPr>
              <w:t xml:space="preserve"> </w:t>
            </w:r>
            <w:r w:rsidR="00C60C3A" w:rsidRPr="001A4B94">
              <w:rPr>
                <w:sz w:val="20"/>
                <w:szCs w:val="20"/>
                <w:lang w:val="tr-TR"/>
              </w:rPr>
              <w:t>%</w:t>
            </w:r>
            <w:r w:rsidR="00F24800" w:rsidRPr="001A4B94">
              <w:rPr>
                <w:sz w:val="20"/>
                <w:szCs w:val="20"/>
                <w:lang w:val="tr-TR"/>
              </w:rPr>
              <w:t>11</w:t>
            </w:r>
            <w:r w:rsidR="00C60C3A" w:rsidRPr="001A4B94">
              <w:rPr>
                <w:sz w:val="20"/>
                <w:szCs w:val="20"/>
                <w:lang w:val="tr-TR"/>
              </w:rPr>
              <w:t xml:space="preserve">, </w:t>
            </w:r>
            <w:r w:rsidR="00F24800" w:rsidRPr="001A4B94">
              <w:rPr>
                <w:sz w:val="20"/>
                <w:szCs w:val="20"/>
                <w:lang w:val="tr-TR"/>
              </w:rPr>
              <w:t>2020 (</w:t>
            </w:r>
            <w:r w:rsidR="00C60C3A" w:rsidRPr="001A4B94">
              <w:rPr>
                <w:sz w:val="20"/>
                <w:szCs w:val="20"/>
                <w:lang w:val="tr-TR"/>
              </w:rPr>
              <w:t>IBRD projesi sonunda</w:t>
            </w:r>
            <w:r w:rsidR="00F24800" w:rsidRPr="001A4B94">
              <w:rPr>
                <w:sz w:val="20"/>
                <w:szCs w:val="20"/>
                <w:lang w:val="tr-TR"/>
              </w:rPr>
              <w:t>)</w:t>
            </w:r>
          </w:p>
          <w:p w14:paraId="25FC665E" w14:textId="77777777" w:rsidR="00F24800" w:rsidRPr="001A4B94" w:rsidRDefault="00F24800" w:rsidP="00F24800">
            <w:pPr>
              <w:tabs>
                <w:tab w:val="left" w:pos="426"/>
              </w:tabs>
              <w:rPr>
                <w:b/>
                <w:sz w:val="20"/>
                <w:szCs w:val="20"/>
                <w:lang w:val="tr-TR"/>
              </w:rPr>
            </w:pPr>
          </w:p>
          <w:p w14:paraId="5EEFEAA8" w14:textId="0958173E" w:rsidR="00F24800" w:rsidRPr="001A4B94" w:rsidRDefault="004D32B1" w:rsidP="00F24800">
            <w:pPr>
              <w:tabs>
                <w:tab w:val="left" w:pos="426"/>
              </w:tabs>
              <w:rPr>
                <w:sz w:val="20"/>
                <w:szCs w:val="20"/>
                <w:lang w:val="tr-TR"/>
              </w:rPr>
            </w:pPr>
            <w:r w:rsidRPr="001A4B94">
              <w:rPr>
                <w:sz w:val="20"/>
                <w:szCs w:val="20"/>
                <w:lang w:val="tr-TR"/>
              </w:rPr>
              <w:t xml:space="preserve">Sağlıklı Yaşam Merkezlerinin kullanıcıları arasında, Sağlıklı Yaşam Merkezlerine erişimin kolaylığı ve/veya hizmetlerin bireylerin ihtiyaçlarına uygunluğu bakımından memnun olanların oranı </w:t>
            </w:r>
          </w:p>
          <w:p w14:paraId="350A05F3" w14:textId="786AAB8F" w:rsidR="00F24800" w:rsidRPr="001A4B94" w:rsidRDefault="00F949D2" w:rsidP="00F24800">
            <w:pPr>
              <w:tabs>
                <w:tab w:val="left" w:pos="426"/>
              </w:tabs>
              <w:rPr>
                <w:sz w:val="20"/>
                <w:szCs w:val="20"/>
                <w:lang w:val="tr-TR"/>
              </w:rPr>
            </w:pPr>
            <w:r w:rsidRPr="001A4B94">
              <w:rPr>
                <w:b/>
                <w:sz w:val="20"/>
                <w:szCs w:val="20"/>
                <w:lang w:val="tr-TR"/>
              </w:rPr>
              <w:t>Ba</w:t>
            </w:r>
            <w:r w:rsidR="004D32B1" w:rsidRPr="001A4B94">
              <w:rPr>
                <w:b/>
                <w:sz w:val="20"/>
                <w:szCs w:val="20"/>
                <w:lang w:val="tr-TR"/>
              </w:rPr>
              <w:t>ş</w:t>
            </w:r>
            <w:r w:rsidRPr="001A4B94">
              <w:rPr>
                <w:b/>
                <w:sz w:val="20"/>
                <w:szCs w:val="20"/>
                <w:lang w:val="tr-TR"/>
              </w:rPr>
              <w:t>langıç Durumu</w:t>
            </w:r>
            <w:r w:rsidR="00F24800" w:rsidRPr="001A4B94">
              <w:rPr>
                <w:b/>
                <w:sz w:val="20"/>
                <w:szCs w:val="20"/>
                <w:lang w:val="tr-TR"/>
              </w:rPr>
              <w:t xml:space="preserve">: </w:t>
            </w:r>
            <w:r w:rsidR="004D32B1" w:rsidRPr="001A4B94">
              <w:rPr>
                <w:b/>
                <w:sz w:val="20"/>
                <w:szCs w:val="20"/>
                <w:lang w:val="tr-TR"/>
              </w:rPr>
              <w:t>%</w:t>
            </w:r>
            <w:r w:rsidR="00F24800" w:rsidRPr="001A4B94">
              <w:rPr>
                <w:sz w:val="20"/>
                <w:szCs w:val="20"/>
                <w:lang w:val="tr-TR"/>
              </w:rPr>
              <w:t>50</w:t>
            </w:r>
            <w:r w:rsidR="004D32B1" w:rsidRPr="001A4B94">
              <w:rPr>
                <w:sz w:val="20"/>
                <w:szCs w:val="20"/>
                <w:lang w:val="tr-TR"/>
              </w:rPr>
              <w:t xml:space="preserve">, </w:t>
            </w:r>
            <w:r w:rsidR="00F24800" w:rsidRPr="001A4B94">
              <w:rPr>
                <w:sz w:val="20"/>
                <w:szCs w:val="20"/>
                <w:lang w:val="tr-TR"/>
              </w:rPr>
              <w:t xml:space="preserve"> 2016</w:t>
            </w:r>
          </w:p>
          <w:p w14:paraId="5C9309BA" w14:textId="7B0543E1" w:rsidR="00F24800" w:rsidRPr="001A4B94" w:rsidRDefault="00566F48" w:rsidP="00F24800">
            <w:pPr>
              <w:tabs>
                <w:tab w:val="left" w:pos="426"/>
              </w:tabs>
              <w:rPr>
                <w:sz w:val="20"/>
                <w:szCs w:val="20"/>
                <w:lang w:val="tr-TR"/>
              </w:rPr>
            </w:pPr>
            <w:r w:rsidRPr="001A4B94">
              <w:rPr>
                <w:b/>
                <w:sz w:val="20"/>
                <w:szCs w:val="20"/>
                <w:lang w:val="tr-TR"/>
              </w:rPr>
              <w:t>Hedef</w:t>
            </w:r>
            <w:r w:rsidR="00F24800" w:rsidRPr="001A4B94">
              <w:rPr>
                <w:b/>
                <w:sz w:val="20"/>
                <w:szCs w:val="20"/>
                <w:lang w:val="tr-TR"/>
              </w:rPr>
              <w:t>:</w:t>
            </w:r>
            <w:r w:rsidR="00F24800" w:rsidRPr="001A4B94">
              <w:rPr>
                <w:sz w:val="20"/>
                <w:szCs w:val="20"/>
                <w:lang w:val="tr-TR"/>
              </w:rPr>
              <w:t xml:space="preserve"> </w:t>
            </w:r>
            <w:r w:rsidR="004D32B1" w:rsidRPr="001A4B94">
              <w:rPr>
                <w:sz w:val="20"/>
                <w:szCs w:val="20"/>
                <w:lang w:val="tr-TR"/>
              </w:rPr>
              <w:t>%</w:t>
            </w:r>
            <w:r w:rsidR="00F24800" w:rsidRPr="001A4B94">
              <w:rPr>
                <w:sz w:val="20"/>
                <w:szCs w:val="20"/>
                <w:lang w:val="tr-TR"/>
              </w:rPr>
              <w:t>70</w:t>
            </w:r>
            <w:r w:rsidR="004D32B1" w:rsidRPr="001A4B94">
              <w:rPr>
                <w:sz w:val="20"/>
                <w:szCs w:val="20"/>
                <w:lang w:val="tr-TR"/>
              </w:rPr>
              <w:t xml:space="preserve">, </w:t>
            </w:r>
            <w:r w:rsidR="00F24800" w:rsidRPr="001A4B94">
              <w:rPr>
                <w:sz w:val="20"/>
                <w:szCs w:val="20"/>
                <w:lang w:val="tr-TR"/>
              </w:rPr>
              <w:t>2020</w:t>
            </w:r>
          </w:p>
          <w:p w14:paraId="06CD65CA" w14:textId="77777777" w:rsidR="00F24800" w:rsidRPr="001A4B94" w:rsidRDefault="00F24800" w:rsidP="00F24800">
            <w:pPr>
              <w:tabs>
                <w:tab w:val="left" w:pos="426"/>
              </w:tabs>
              <w:rPr>
                <w:sz w:val="20"/>
                <w:szCs w:val="20"/>
                <w:lang w:val="tr-TR"/>
              </w:rPr>
            </w:pPr>
          </w:p>
        </w:tc>
        <w:tc>
          <w:tcPr>
            <w:tcW w:w="4860" w:type="dxa"/>
            <w:tcBorders>
              <w:bottom w:val="single" w:sz="4" w:space="0" w:color="auto"/>
            </w:tcBorders>
          </w:tcPr>
          <w:p w14:paraId="6DA53EBA" w14:textId="62302EB1" w:rsidR="00F24800" w:rsidRPr="001A4B94" w:rsidRDefault="004D32B1" w:rsidP="00F24800">
            <w:pPr>
              <w:tabs>
                <w:tab w:val="left" w:pos="426"/>
              </w:tabs>
              <w:rPr>
                <w:b/>
                <w:sz w:val="20"/>
                <w:szCs w:val="20"/>
                <w:lang w:val="tr-TR"/>
              </w:rPr>
            </w:pPr>
            <w:r w:rsidRPr="001A4B94">
              <w:rPr>
                <w:b/>
                <w:sz w:val="20"/>
                <w:szCs w:val="20"/>
                <w:lang w:val="tr-TR"/>
              </w:rPr>
              <w:t>Finansman</w:t>
            </w:r>
            <w:r w:rsidR="00F24800" w:rsidRPr="001A4B94">
              <w:rPr>
                <w:b/>
                <w:sz w:val="20"/>
                <w:szCs w:val="20"/>
                <w:lang w:val="tr-TR"/>
              </w:rPr>
              <w:t>:</w:t>
            </w:r>
          </w:p>
          <w:p w14:paraId="776448FF" w14:textId="13610495" w:rsidR="00F24800" w:rsidRPr="001A4B94" w:rsidRDefault="004D32B1" w:rsidP="00F24800">
            <w:pPr>
              <w:tabs>
                <w:tab w:val="left" w:pos="426"/>
              </w:tabs>
              <w:rPr>
                <w:sz w:val="20"/>
                <w:szCs w:val="20"/>
                <w:lang w:val="tr-TR"/>
              </w:rPr>
            </w:pPr>
            <w:r w:rsidRPr="001A4B94">
              <w:rPr>
                <w:sz w:val="20"/>
                <w:szCs w:val="20"/>
                <w:lang w:val="tr-TR"/>
              </w:rPr>
              <w:t xml:space="preserve">Sağlık sektörü projesi </w:t>
            </w:r>
            <w:r w:rsidR="00F24800" w:rsidRPr="001A4B94">
              <w:rPr>
                <w:sz w:val="20"/>
                <w:szCs w:val="20"/>
                <w:lang w:val="tr-TR"/>
              </w:rPr>
              <w:t>(</w:t>
            </w:r>
            <w:r w:rsidRPr="001A4B94">
              <w:rPr>
                <w:sz w:val="20"/>
                <w:szCs w:val="20"/>
                <w:lang w:val="tr-TR"/>
              </w:rPr>
              <w:t>devam ediyor</w:t>
            </w:r>
            <w:r w:rsidR="00F24800" w:rsidRPr="001A4B94">
              <w:rPr>
                <w:sz w:val="20"/>
                <w:szCs w:val="20"/>
                <w:lang w:val="tr-TR"/>
              </w:rPr>
              <w:t>)</w:t>
            </w:r>
          </w:p>
          <w:p w14:paraId="5D516056" w14:textId="77777777" w:rsidR="00F24800" w:rsidRPr="001A4B94" w:rsidRDefault="00F24800" w:rsidP="00F24800">
            <w:pPr>
              <w:tabs>
                <w:tab w:val="left" w:pos="426"/>
              </w:tabs>
              <w:rPr>
                <w:b/>
                <w:bCs/>
                <w:sz w:val="20"/>
                <w:szCs w:val="20"/>
                <w:lang w:val="tr-TR"/>
              </w:rPr>
            </w:pPr>
          </w:p>
          <w:p w14:paraId="15E9AD45" w14:textId="09E32F57" w:rsidR="00F24800" w:rsidRPr="001A4B94" w:rsidRDefault="004D32B1" w:rsidP="00F24800">
            <w:pPr>
              <w:tabs>
                <w:tab w:val="left" w:pos="426"/>
              </w:tabs>
              <w:rPr>
                <w:b/>
                <w:sz w:val="20"/>
                <w:szCs w:val="20"/>
                <w:lang w:val="tr-TR"/>
              </w:rPr>
            </w:pPr>
            <w:r w:rsidRPr="001A4B94">
              <w:rPr>
                <w:b/>
                <w:bCs/>
                <w:sz w:val="20"/>
                <w:szCs w:val="20"/>
                <w:lang w:val="tr-TR"/>
              </w:rPr>
              <w:t>Yeni finansman</w:t>
            </w:r>
            <w:r w:rsidR="00F24800" w:rsidRPr="001A4B94">
              <w:rPr>
                <w:b/>
                <w:bCs/>
                <w:sz w:val="20"/>
                <w:szCs w:val="20"/>
                <w:lang w:val="tr-TR"/>
              </w:rPr>
              <w:t>:</w:t>
            </w:r>
            <w:r w:rsidR="00F24800" w:rsidRPr="001A4B94">
              <w:rPr>
                <w:b/>
                <w:sz w:val="20"/>
                <w:szCs w:val="20"/>
                <w:lang w:val="tr-TR"/>
              </w:rPr>
              <w:t xml:space="preserve"> </w:t>
            </w:r>
          </w:p>
          <w:p w14:paraId="40A8E45E" w14:textId="2019C572" w:rsidR="00F24800" w:rsidRPr="001A4B94" w:rsidRDefault="00F24800" w:rsidP="00F24800">
            <w:pPr>
              <w:tabs>
                <w:tab w:val="left" w:pos="426"/>
              </w:tabs>
              <w:rPr>
                <w:sz w:val="20"/>
                <w:szCs w:val="20"/>
                <w:lang w:val="tr-TR"/>
              </w:rPr>
            </w:pPr>
            <w:r w:rsidRPr="001A4B94">
              <w:rPr>
                <w:sz w:val="20"/>
                <w:szCs w:val="20"/>
                <w:lang w:val="tr-TR"/>
              </w:rPr>
              <w:t xml:space="preserve">FRIT </w:t>
            </w:r>
            <w:r w:rsidR="004D32B1" w:rsidRPr="001A4B94">
              <w:rPr>
                <w:sz w:val="20"/>
                <w:szCs w:val="20"/>
                <w:lang w:val="tr-TR"/>
              </w:rPr>
              <w:t xml:space="preserve">Eğitim projesi </w:t>
            </w:r>
          </w:p>
          <w:p w14:paraId="2A4DBBBF" w14:textId="09A50EA6" w:rsidR="00F24800" w:rsidRPr="001A4B94" w:rsidRDefault="0022071E" w:rsidP="00F24800">
            <w:pPr>
              <w:tabs>
                <w:tab w:val="left" w:pos="426"/>
              </w:tabs>
              <w:rPr>
                <w:sz w:val="20"/>
                <w:szCs w:val="20"/>
                <w:lang w:val="tr-TR"/>
              </w:rPr>
            </w:pPr>
            <w:r w:rsidRPr="001A4B94">
              <w:rPr>
                <w:sz w:val="20"/>
                <w:szCs w:val="20"/>
                <w:lang w:val="tr-TR"/>
              </w:rPr>
              <w:t>Gelecekteki</w:t>
            </w:r>
            <w:r w:rsidR="00C1107F" w:rsidRPr="001A4B94">
              <w:rPr>
                <w:sz w:val="20"/>
                <w:szCs w:val="20"/>
                <w:lang w:val="tr-TR"/>
              </w:rPr>
              <w:t xml:space="preserve"> GKSS’lere yönelik </w:t>
            </w:r>
            <w:r w:rsidR="00F24800" w:rsidRPr="001A4B94">
              <w:rPr>
                <w:sz w:val="20"/>
                <w:szCs w:val="20"/>
                <w:lang w:val="tr-TR"/>
              </w:rPr>
              <w:t>EU</w:t>
            </w:r>
            <w:r w:rsidR="00C1107F" w:rsidRPr="001A4B94">
              <w:rPr>
                <w:sz w:val="20"/>
                <w:szCs w:val="20"/>
                <w:lang w:val="tr-TR"/>
              </w:rPr>
              <w:t xml:space="preserve"> finansmanlı projeler </w:t>
            </w:r>
          </w:p>
          <w:p w14:paraId="032860D0" w14:textId="77777777" w:rsidR="00F24800" w:rsidRPr="001A4B94" w:rsidRDefault="00F24800" w:rsidP="00F24800">
            <w:pPr>
              <w:tabs>
                <w:tab w:val="left" w:pos="426"/>
              </w:tabs>
              <w:rPr>
                <w:sz w:val="20"/>
                <w:szCs w:val="20"/>
                <w:lang w:val="tr-TR"/>
              </w:rPr>
            </w:pPr>
          </w:p>
          <w:p w14:paraId="3F16B78C" w14:textId="34EECB60" w:rsidR="00F24800" w:rsidRPr="001A4B94" w:rsidRDefault="00C1107F" w:rsidP="00C1107F">
            <w:pPr>
              <w:tabs>
                <w:tab w:val="left" w:pos="426"/>
              </w:tabs>
              <w:ind w:right="-57"/>
              <w:rPr>
                <w:b/>
                <w:sz w:val="20"/>
                <w:szCs w:val="20"/>
                <w:lang w:val="tr-TR"/>
              </w:rPr>
            </w:pPr>
            <w:r w:rsidRPr="001A4B94">
              <w:rPr>
                <w:b/>
                <w:sz w:val="20"/>
                <w:szCs w:val="20"/>
                <w:lang w:val="tr-TR"/>
              </w:rPr>
              <w:t>Danışmanlık Hizmetleri ve Analitik Çalışmalar (ASA)</w:t>
            </w:r>
            <w:r w:rsidR="00F24800" w:rsidRPr="001A4B94">
              <w:rPr>
                <w:b/>
                <w:sz w:val="20"/>
                <w:szCs w:val="20"/>
                <w:lang w:val="tr-TR"/>
              </w:rPr>
              <w:t>:</w:t>
            </w:r>
          </w:p>
          <w:p w14:paraId="658C413D" w14:textId="78FBE81C" w:rsidR="00F24800" w:rsidRPr="001A4B94" w:rsidRDefault="0022071E" w:rsidP="00F24800">
            <w:pPr>
              <w:tabs>
                <w:tab w:val="left" w:pos="426"/>
              </w:tabs>
              <w:rPr>
                <w:sz w:val="20"/>
                <w:szCs w:val="20"/>
                <w:lang w:val="tr-TR"/>
              </w:rPr>
            </w:pPr>
            <w:r w:rsidRPr="001A4B94">
              <w:rPr>
                <w:sz w:val="20"/>
                <w:szCs w:val="20"/>
                <w:lang w:val="tr-TR"/>
              </w:rPr>
              <w:t>Türkiye obezite vaka çalış</w:t>
            </w:r>
            <w:r w:rsidR="00C1107F" w:rsidRPr="001A4B94">
              <w:rPr>
                <w:sz w:val="20"/>
                <w:szCs w:val="20"/>
                <w:lang w:val="tr-TR"/>
              </w:rPr>
              <w:t>m</w:t>
            </w:r>
            <w:r w:rsidRPr="001A4B94">
              <w:rPr>
                <w:sz w:val="20"/>
                <w:szCs w:val="20"/>
                <w:lang w:val="tr-TR"/>
              </w:rPr>
              <w:t>a</w:t>
            </w:r>
            <w:r w:rsidR="00C1107F" w:rsidRPr="001A4B94">
              <w:rPr>
                <w:sz w:val="20"/>
                <w:szCs w:val="20"/>
                <w:lang w:val="tr-TR"/>
              </w:rPr>
              <w:t xml:space="preserve">sı </w:t>
            </w:r>
          </w:p>
          <w:p w14:paraId="50AFA7A9" w14:textId="2006091A" w:rsidR="00F24800" w:rsidRPr="001A4B94" w:rsidRDefault="00C1107F" w:rsidP="00F24800">
            <w:pPr>
              <w:tabs>
                <w:tab w:val="left" w:pos="426"/>
              </w:tabs>
              <w:rPr>
                <w:sz w:val="20"/>
                <w:szCs w:val="20"/>
                <w:lang w:val="tr-TR"/>
              </w:rPr>
            </w:pPr>
            <w:r w:rsidRPr="001A4B94">
              <w:rPr>
                <w:sz w:val="20"/>
                <w:szCs w:val="20"/>
                <w:lang w:val="tr-TR"/>
              </w:rPr>
              <w:t>Tütün kullanımının kontrol altına alınm</w:t>
            </w:r>
            <w:r w:rsidR="0022071E" w:rsidRPr="001A4B94">
              <w:rPr>
                <w:sz w:val="20"/>
                <w:szCs w:val="20"/>
                <w:lang w:val="tr-TR"/>
              </w:rPr>
              <w:t>a</w:t>
            </w:r>
            <w:r w:rsidRPr="001A4B94">
              <w:rPr>
                <w:sz w:val="20"/>
                <w:szCs w:val="20"/>
                <w:lang w:val="tr-TR"/>
              </w:rPr>
              <w:t xml:space="preserve">sında Türkiye deneyiminin belgelenmesi </w:t>
            </w:r>
          </w:p>
          <w:p w14:paraId="7DBFEAD0" w14:textId="44920D32" w:rsidR="00F24800" w:rsidRPr="001A4B94" w:rsidRDefault="00E263AF" w:rsidP="00F24800">
            <w:pPr>
              <w:tabs>
                <w:tab w:val="left" w:pos="426"/>
              </w:tabs>
              <w:rPr>
                <w:sz w:val="20"/>
                <w:szCs w:val="20"/>
                <w:lang w:val="tr-TR"/>
              </w:rPr>
            </w:pPr>
            <w:r w:rsidRPr="001A4B94">
              <w:rPr>
                <w:sz w:val="20"/>
                <w:szCs w:val="20"/>
                <w:lang w:val="tr-TR"/>
              </w:rPr>
              <w:t>Beslenme ve Eğitime Yoksulluk ve Eşitlik Açısından Bakış</w:t>
            </w:r>
            <w:r w:rsidR="00F24800" w:rsidRPr="001A4B94">
              <w:rPr>
                <w:sz w:val="20"/>
                <w:szCs w:val="20"/>
                <w:lang w:val="tr-TR"/>
              </w:rPr>
              <w:t xml:space="preserve">, </w:t>
            </w:r>
            <w:r w:rsidRPr="001A4B94">
              <w:rPr>
                <w:sz w:val="20"/>
                <w:szCs w:val="20"/>
                <w:lang w:val="tr-TR"/>
              </w:rPr>
              <w:t xml:space="preserve">bölgesel eşitsizlikler dahil olmak üzere </w:t>
            </w:r>
          </w:p>
          <w:p w14:paraId="46A02765" w14:textId="19219E40" w:rsidR="00F24800" w:rsidRPr="001A4B94" w:rsidRDefault="0022071E" w:rsidP="00F24800">
            <w:pPr>
              <w:tabs>
                <w:tab w:val="left" w:pos="426"/>
              </w:tabs>
              <w:rPr>
                <w:sz w:val="20"/>
                <w:szCs w:val="20"/>
                <w:lang w:val="tr-TR"/>
              </w:rPr>
            </w:pPr>
            <w:r w:rsidRPr="001A4B94">
              <w:rPr>
                <w:sz w:val="20"/>
                <w:szCs w:val="20"/>
                <w:lang w:val="tr-TR"/>
              </w:rPr>
              <w:t>Engellilik ve yaşlanma çalış</w:t>
            </w:r>
            <w:r w:rsidR="00E263AF" w:rsidRPr="001A4B94">
              <w:rPr>
                <w:sz w:val="20"/>
                <w:szCs w:val="20"/>
                <w:lang w:val="tr-TR"/>
              </w:rPr>
              <w:t xml:space="preserve">ması </w:t>
            </w:r>
          </w:p>
          <w:p w14:paraId="09143505" w14:textId="7C3F52C9" w:rsidR="00F24800" w:rsidRPr="001A4B94" w:rsidRDefault="00E263AF" w:rsidP="00F24800">
            <w:pPr>
              <w:tabs>
                <w:tab w:val="left" w:pos="426"/>
              </w:tabs>
              <w:rPr>
                <w:sz w:val="20"/>
                <w:szCs w:val="20"/>
                <w:lang w:val="tr-TR"/>
              </w:rPr>
            </w:pPr>
            <w:r w:rsidRPr="001A4B94">
              <w:rPr>
                <w:sz w:val="20"/>
                <w:szCs w:val="20"/>
                <w:lang w:val="tr-TR"/>
              </w:rPr>
              <w:t>Sağlık harcama</w:t>
            </w:r>
            <w:r w:rsidR="0022071E" w:rsidRPr="001A4B94">
              <w:rPr>
                <w:sz w:val="20"/>
                <w:szCs w:val="20"/>
                <w:lang w:val="tr-TR"/>
              </w:rPr>
              <w:t>l</w:t>
            </w:r>
            <w:r w:rsidRPr="001A4B94">
              <w:rPr>
                <w:sz w:val="20"/>
                <w:szCs w:val="20"/>
                <w:lang w:val="tr-TR"/>
              </w:rPr>
              <w:t xml:space="preserve">arı projeksiyonu aktüerya modeli TY </w:t>
            </w:r>
          </w:p>
          <w:p w14:paraId="6742C6CC" w14:textId="3D6316AA" w:rsidR="00F24800" w:rsidRPr="001A4B94" w:rsidRDefault="00E263AF" w:rsidP="00F24800">
            <w:pPr>
              <w:tabs>
                <w:tab w:val="left" w:pos="426"/>
              </w:tabs>
              <w:rPr>
                <w:sz w:val="20"/>
                <w:szCs w:val="20"/>
                <w:lang w:val="tr-TR"/>
              </w:rPr>
            </w:pPr>
            <w:r w:rsidRPr="001A4B94">
              <w:rPr>
                <w:sz w:val="20"/>
                <w:szCs w:val="20"/>
                <w:lang w:val="tr-TR"/>
              </w:rPr>
              <w:t>Sağlık Reformunun Politik Ekonomisi ve Birinci Basamak Sağlık Hizmetl</w:t>
            </w:r>
            <w:r w:rsidR="0022071E" w:rsidRPr="001A4B94">
              <w:rPr>
                <w:sz w:val="20"/>
                <w:szCs w:val="20"/>
                <w:lang w:val="tr-TR"/>
              </w:rPr>
              <w:t>e</w:t>
            </w:r>
            <w:r w:rsidRPr="001A4B94">
              <w:rPr>
                <w:sz w:val="20"/>
                <w:szCs w:val="20"/>
                <w:lang w:val="tr-TR"/>
              </w:rPr>
              <w:t>ri Kullanımını</w:t>
            </w:r>
            <w:r w:rsidR="006322DA" w:rsidRPr="001A4B94">
              <w:rPr>
                <w:sz w:val="20"/>
                <w:szCs w:val="20"/>
                <w:lang w:val="tr-TR"/>
              </w:rPr>
              <w:t>n</w:t>
            </w:r>
            <w:r w:rsidRPr="001A4B94">
              <w:rPr>
                <w:sz w:val="20"/>
                <w:szCs w:val="20"/>
                <w:lang w:val="tr-TR"/>
              </w:rPr>
              <w:t xml:space="preserve"> değerlendirilmesi </w:t>
            </w:r>
          </w:p>
          <w:p w14:paraId="07D172FA" w14:textId="279F4D4C" w:rsidR="00F24800" w:rsidRPr="001A4B94" w:rsidRDefault="00F24800" w:rsidP="00F24800">
            <w:pPr>
              <w:tabs>
                <w:tab w:val="left" w:pos="426"/>
              </w:tabs>
              <w:rPr>
                <w:sz w:val="20"/>
                <w:szCs w:val="20"/>
                <w:lang w:val="tr-TR"/>
              </w:rPr>
            </w:pPr>
            <w:r w:rsidRPr="001A4B94">
              <w:rPr>
                <w:sz w:val="20"/>
                <w:szCs w:val="20"/>
                <w:lang w:val="tr-TR"/>
              </w:rPr>
              <w:t xml:space="preserve">PISA-TIMSS </w:t>
            </w:r>
            <w:r w:rsidR="00E263AF" w:rsidRPr="001A4B94">
              <w:rPr>
                <w:sz w:val="20"/>
                <w:szCs w:val="20"/>
                <w:lang w:val="tr-TR"/>
              </w:rPr>
              <w:t>Analizi</w:t>
            </w:r>
          </w:p>
          <w:p w14:paraId="0934A5C2" w14:textId="64E9F118" w:rsidR="00F24800" w:rsidRPr="001A4B94" w:rsidRDefault="00E263AF" w:rsidP="00F24800">
            <w:pPr>
              <w:tabs>
                <w:tab w:val="left" w:pos="426"/>
              </w:tabs>
              <w:rPr>
                <w:sz w:val="20"/>
                <w:szCs w:val="20"/>
                <w:lang w:val="tr-TR"/>
              </w:rPr>
            </w:pPr>
            <w:r w:rsidRPr="001A4B94">
              <w:rPr>
                <w:sz w:val="20"/>
                <w:szCs w:val="20"/>
                <w:lang w:val="tr-TR"/>
              </w:rPr>
              <w:t>Öğretmen eğit</w:t>
            </w:r>
            <w:r w:rsidR="0022071E" w:rsidRPr="001A4B94">
              <w:rPr>
                <w:sz w:val="20"/>
                <w:szCs w:val="20"/>
                <w:lang w:val="tr-TR"/>
              </w:rPr>
              <w:t>i</w:t>
            </w:r>
            <w:r w:rsidRPr="001A4B94">
              <w:rPr>
                <w:sz w:val="20"/>
                <w:szCs w:val="20"/>
                <w:lang w:val="tr-TR"/>
              </w:rPr>
              <w:t xml:space="preserve">mi ve ilköğretim reformu TY </w:t>
            </w:r>
          </w:p>
          <w:p w14:paraId="43C7BB26" w14:textId="77777777" w:rsidR="00F24800" w:rsidRPr="001A4B94" w:rsidRDefault="00F24800" w:rsidP="00F24800">
            <w:pPr>
              <w:tabs>
                <w:tab w:val="left" w:pos="426"/>
              </w:tabs>
              <w:rPr>
                <w:sz w:val="20"/>
                <w:szCs w:val="20"/>
                <w:lang w:val="tr-TR"/>
              </w:rPr>
            </w:pPr>
          </w:p>
          <w:p w14:paraId="60637912" w14:textId="77777777" w:rsidR="00F24800" w:rsidRPr="001A4B94" w:rsidRDefault="00F24800" w:rsidP="00F24800">
            <w:pPr>
              <w:tabs>
                <w:tab w:val="left" w:pos="426"/>
              </w:tabs>
              <w:rPr>
                <w:b/>
                <w:sz w:val="20"/>
                <w:szCs w:val="20"/>
                <w:lang w:val="tr-TR"/>
              </w:rPr>
            </w:pPr>
            <w:r w:rsidRPr="001A4B94">
              <w:rPr>
                <w:b/>
                <w:sz w:val="20"/>
                <w:szCs w:val="20"/>
                <w:lang w:val="tr-TR"/>
              </w:rPr>
              <w:t>IFC:</w:t>
            </w:r>
          </w:p>
          <w:p w14:paraId="631CFF89" w14:textId="1EAD6C8E" w:rsidR="004E5CB2" w:rsidRPr="001A4B94" w:rsidRDefault="0022071E" w:rsidP="004E5CB2">
            <w:pPr>
              <w:tabs>
                <w:tab w:val="left" w:pos="426"/>
              </w:tabs>
              <w:rPr>
                <w:strike/>
                <w:sz w:val="20"/>
                <w:szCs w:val="20"/>
                <w:lang w:val="tr-TR"/>
              </w:rPr>
            </w:pPr>
            <w:r w:rsidRPr="001A4B94">
              <w:rPr>
                <w:sz w:val="20"/>
                <w:szCs w:val="20"/>
                <w:lang w:val="tr-TR"/>
              </w:rPr>
              <w:lastRenderedPageBreak/>
              <w:t xml:space="preserve">Sağlık projesi tahvilleri gibi yenilikçi finansal yapılara yatırım yapılması </w:t>
            </w:r>
          </w:p>
          <w:p w14:paraId="7CABF490" w14:textId="0D879BD7" w:rsidR="00F24800" w:rsidRPr="001A4B94" w:rsidRDefault="0022071E" w:rsidP="00F24800">
            <w:pPr>
              <w:tabs>
                <w:tab w:val="left" w:pos="426"/>
              </w:tabs>
              <w:rPr>
                <w:sz w:val="20"/>
                <w:szCs w:val="20"/>
                <w:lang w:val="tr-TR"/>
              </w:rPr>
            </w:pPr>
            <w:r w:rsidRPr="001A4B94">
              <w:rPr>
                <w:sz w:val="20"/>
                <w:szCs w:val="20"/>
                <w:lang w:val="tr-TR"/>
              </w:rPr>
              <w:t xml:space="preserve">Özellikle uzmanlaşmış sağlık hizmetlerinde özel sağlık şirketlerinin desteklenmesi </w:t>
            </w:r>
          </w:p>
          <w:p w14:paraId="10C6AEF5" w14:textId="77777777" w:rsidR="00F24800" w:rsidRPr="001A4B94" w:rsidRDefault="00F24800" w:rsidP="00F24800">
            <w:pPr>
              <w:tabs>
                <w:tab w:val="left" w:pos="426"/>
              </w:tabs>
              <w:rPr>
                <w:b/>
                <w:bCs/>
                <w:sz w:val="20"/>
                <w:szCs w:val="20"/>
                <w:lang w:val="tr-TR"/>
              </w:rPr>
            </w:pPr>
          </w:p>
        </w:tc>
      </w:tr>
      <w:tr w:rsidR="00F24800" w:rsidRPr="001A4B94" w14:paraId="2D3646E3" w14:textId="77777777" w:rsidTr="00B13DC5">
        <w:tc>
          <w:tcPr>
            <w:tcW w:w="1322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1E29307F" w14:textId="136B58F7" w:rsidR="00F24800" w:rsidRPr="001A4B94" w:rsidRDefault="0022071E" w:rsidP="00BA590B">
            <w:pPr>
              <w:jc w:val="center"/>
              <w:rPr>
                <w:b/>
                <w:sz w:val="22"/>
                <w:szCs w:val="22"/>
                <w:lang w:val="tr-TR"/>
              </w:rPr>
            </w:pPr>
            <w:r w:rsidRPr="001A4B94">
              <w:rPr>
                <w:b/>
                <w:sz w:val="22"/>
                <w:szCs w:val="22"/>
                <w:lang w:val="tr-TR"/>
              </w:rPr>
              <w:t xml:space="preserve">ODAK ALANI </w:t>
            </w:r>
            <w:r w:rsidR="00F24800" w:rsidRPr="001A4B94">
              <w:rPr>
                <w:b/>
                <w:sz w:val="22"/>
                <w:szCs w:val="22"/>
                <w:lang w:val="tr-TR"/>
              </w:rPr>
              <w:t xml:space="preserve">3: </w:t>
            </w:r>
            <w:r w:rsidRPr="001A4B94">
              <w:rPr>
                <w:b/>
                <w:sz w:val="22"/>
                <w:szCs w:val="22"/>
                <w:lang w:val="tr-TR"/>
              </w:rPr>
              <w:t xml:space="preserve">SÜRDÜRÜLEBİLİRLİK </w:t>
            </w:r>
          </w:p>
        </w:tc>
      </w:tr>
      <w:tr w:rsidR="00F24800" w:rsidRPr="001A4B94" w14:paraId="3BEC4F30" w14:textId="77777777" w:rsidTr="00B13DC5">
        <w:tc>
          <w:tcPr>
            <w:tcW w:w="13225" w:type="dxa"/>
            <w:gridSpan w:val="3"/>
            <w:tcBorders>
              <w:top w:val="nil"/>
              <w:left w:val="single" w:sz="4" w:space="0" w:color="auto"/>
              <w:bottom w:val="nil"/>
              <w:right w:val="single" w:sz="4" w:space="0" w:color="auto"/>
            </w:tcBorders>
            <w:shd w:val="clear" w:color="auto" w:fill="D9D9D9" w:themeFill="background1" w:themeFillShade="D9"/>
            <w:vAlign w:val="center"/>
          </w:tcPr>
          <w:p w14:paraId="0937C77A" w14:textId="6EEAE62A" w:rsidR="000F0805" w:rsidRPr="001A4B94" w:rsidRDefault="008D4201" w:rsidP="004334FC">
            <w:pPr>
              <w:jc w:val="both"/>
              <w:rPr>
                <w:b/>
                <w:sz w:val="21"/>
                <w:szCs w:val="21"/>
                <w:lang w:val="tr-TR"/>
              </w:rPr>
            </w:pPr>
            <w:r w:rsidRPr="001A4B94">
              <w:rPr>
                <w:sz w:val="21"/>
                <w:szCs w:val="21"/>
                <w:lang w:val="tr-TR"/>
              </w:rPr>
              <w:t>Türkiye’de ekonomik büyüme ve şehirleşme henüz artan enerji kullanımından, kirlilikten ve sera gazı emisyonlarından ayrılabilmiş değildir; dolayısıyla kaynak verimliliğinin arttırılması ve kirliliğin azaltılması için büyük bir potansiye</w:t>
            </w:r>
            <w:r w:rsidR="00C928E1" w:rsidRPr="001A4B94">
              <w:rPr>
                <w:sz w:val="21"/>
                <w:szCs w:val="21"/>
                <w:lang w:val="tr-TR"/>
              </w:rPr>
              <w:t>l mevcuttur</w:t>
            </w:r>
            <w:r w:rsidR="00F24800" w:rsidRPr="001A4B94">
              <w:rPr>
                <w:sz w:val="21"/>
                <w:szCs w:val="21"/>
                <w:lang w:val="tr-TR"/>
              </w:rPr>
              <w:t xml:space="preserve">. </w:t>
            </w:r>
            <w:r w:rsidR="001C49E7" w:rsidRPr="001A4B94">
              <w:rPr>
                <w:sz w:val="21"/>
                <w:szCs w:val="21"/>
                <w:lang w:val="tr-TR"/>
              </w:rPr>
              <w:t>Buradaki zorluk, bağlantı olanaklarını ve yığınlaşmanın  faydalarını çevresel, sosyal ve finansal açıdan sürd</w:t>
            </w:r>
            <w:r w:rsidR="009B0F86" w:rsidRPr="001A4B94">
              <w:rPr>
                <w:sz w:val="21"/>
                <w:szCs w:val="21"/>
                <w:lang w:val="tr-TR"/>
              </w:rPr>
              <w:t>ürülebilir bir şekilde sunmak</w:t>
            </w:r>
            <w:r w:rsidR="001C49E7" w:rsidRPr="001A4B94">
              <w:rPr>
                <w:sz w:val="21"/>
                <w:szCs w:val="21"/>
                <w:lang w:val="tr-TR"/>
              </w:rPr>
              <w:t xml:space="preserve"> (özellikle enerji yoğunluğunun düşürülmesi </w:t>
            </w:r>
            <w:r w:rsidR="00452D34" w:rsidRPr="001A4B94">
              <w:rPr>
                <w:sz w:val="21"/>
                <w:szCs w:val="21"/>
                <w:lang w:val="tr-TR"/>
              </w:rPr>
              <w:t xml:space="preserve">ve </w:t>
            </w:r>
            <w:r w:rsidR="001C49E7" w:rsidRPr="001A4B94">
              <w:rPr>
                <w:sz w:val="21"/>
                <w:szCs w:val="21"/>
                <w:lang w:val="tr-TR"/>
              </w:rPr>
              <w:t>su kıtlığının önlenmesi bakımından)</w:t>
            </w:r>
            <w:r w:rsidR="009B0F86" w:rsidRPr="001A4B94">
              <w:rPr>
                <w:sz w:val="21"/>
                <w:szCs w:val="21"/>
                <w:lang w:val="tr-TR"/>
              </w:rPr>
              <w:t xml:space="preserve"> ve şehirlerin afetlere karşı daha dayanıklı olmalarını sağlamaktır</w:t>
            </w:r>
            <w:r w:rsidR="00F24800" w:rsidRPr="001A4B94">
              <w:rPr>
                <w:sz w:val="21"/>
                <w:szCs w:val="21"/>
                <w:lang w:val="tr-TR"/>
              </w:rPr>
              <w:t xml:space="preserve">. </w:t>
            </w:r>
            <w:r w:rsidR="009B0F86" w:rsidRPr="001A4B94">
              <w:rPr>
                <w:sz w:val="21"/>
                <w:szCs w:val="21"/>
                <w:lang w:val="tr-TR"/>
              </w:rPr>
              <w:t xml:space="preserve">DBG programı, Sistematik Ülke </w:t>
            </w:r>
            <w:r w:rsidR="00EE3897" w:rsidRPr="001A4B94">
              <w:rPr>
                <w:sz w:val="21"/>
                <w:szCs w:val="21"/>
                <w:lang w:val="tr-TR"/>
              </w:rPr>
              <w:t>Değerlendirmesinde</w:t>
            </w:r>
            <w:r w:rsidR="009B0F86" w:rsidRPr="001A4B94">
              <w:rPr>
                <w:sz w:val="21"/>
                <w:szCs w:val="21"/>
                <w:lang w:val="tr-TR"/>
              </w:rPr>
              <w:t xml:space="preserve"> vurgulanan büyümenin daha yeşil, afetlere karşı </w:t>
            </w:r>
            <w:r w:rsidR="00EE3897" w:rsidRPr="001A4B94">
              <w:rPr>
                <w:sz w:val="21"/>
                <w:szCs w:val="21"/>
                <w:lang w:val="tr-TR"/>
              </w:rPr>
              <w:t>dayanıklı</w:t>
            </w:r>
            <w:r w:rsidR="009B0F86" w:rsidRPr="001A4B94">
              <w:rPr>
                <w:sz w:val="21"/>
                <w:szCs w:val="21"/>
                <w:lang w:val="tr-TR"/>
              </w:rPr>
              <w:t xml:space="preserve"> ve </w:t>
            </w:r>
            <w:r w:rsidR="00EE3897" w:rsidRPr="001A4B94">
              <w:rPr>
                <w:sz w:val="21"/>
                <w:szCs w:val="21"/>
                <w:lang w:val="tr-TR"/>
              </w:rPr>
              <w:t>sürdürülebilir</w:t>
            </w:r>
            <w:r w:rsidR="009B0F86" w:rsidRPr="001A4B94">
              <w:rPr>
                <w:sz w:val="21"/>
                <w:szCs w:val="21"/>
                <w:lang w:val="tr-TR"/>
              </w:rPr>
              <w:t xml:space="preserve"> bir düzene yeniden oturtulması zorluğunun ele alınmasına yardımcı olacaktır</w:t>
            </w:r>
            <w:r w:rsidR="00F24800" w:rsidRPr="001A4B94">
              <w:rPr>
                <w:sz w:val="21"/>
                <w:szCs w:val="21"/>
                <w:lang w:val="tr-TR"/>
              </w:rPr>
              <w:t xml:space="preserve">. </w:t>
            </w:r>
            <w:r w:rsidR="009B0F86" w:rsidRPr="001A4B94">
              <w:rPr>
                <w:sz w:val="21"/>
                <w:szCs w:val="21"/>
                <w:lang w:val="tr-TR"/>
              </w:rPr>
              <w:t>IBRD’nin yatırım programının yüzde 75’inin ve IFC’nin çalışmalarının önemli bir bölümünün yoğunlaştığı enerji ve kentsel / belediye hizmetleri alanında IBRD ve IFC’nin oturmuş işbirliğin</w:t>
            </w:r>
            <w:r w:rsidR="00EE3897" w:rsidRPr="001A4B94">
              <w:rPr>
                <w:sz w:val="21"/>
                <w:szCs w:val="21"/>
                <w:lang w:val="tr-TR"/>
              </w:rPr>
              <w:t>i esas alarak destek sağlayacak</w:t>
            </w:r>
            <w:r w:rsidR="00F24800" w:rsidRPr="001A4B94">
              <w:rPr>
                <w:sz w:val="21"/>
                <w:szCs w:val="21"/>
                <w:lang w:val="tr-TR"/>
              </w:rPr>
              <w:t xml:space="preserve">, </w:t>
            </w:r>
            <w:r w:rsidR="00EE3897" w:rsidRPr="001A4B94">
              <w:rPr>
                <w:sz w:val="21"/>
                <w:szCs w:val="21"/>
                <w:lang w:val="tr-TR"/>
              </w:rPr>
              <w:t>programın Türkiye’nin gelecekteki büyüme performansı için kritik önem taşıyan konulara doğru evrilmesini teşvik edecektir.</w:t>
            </w:r>
            <w:r w:rsidR="00F24800" w:rsidRPr="001A4B94">
              <w:rPr>
                <w:sz w:val="21"/>
                <w:szCs w:val="21"/>
                <w:lang w:val="tr-TR"/>
              </w:rPr>
              <w:t xml:space="preserve"> </w:t>
            </w:r>
            <w:r w:rsidR="00EE3897" w:rsidRPr="001A4B94">
              <w:rPr>
                <w:sz w:val="21"/>
                <w:szCs w:val="21"/>
                <w:lang w:val="tr-TR"/>
              </w:rPr>
              <w:t>Bu, Onuncu Kalkınma Planının enerji verimliliğinin geliştirilmesi, yerli kaynaklara dayalı enerji üretimi, kentsel gelişim, içme suyu ve atıksu hizmetlerine erişimin iyileştirilmesi, tarımda suyun etkili kullanımı ve doğal sermayenin sürdürülebilir kullanımı üzerinde odaklanan Dönüşüm programları ile de uyumudur</w:t>
            </w:r>
            <w:r w:rsidR="00F24800" w:rsidRPr="001A4B94">
              <w:rPr>
                <w:sz w:val="21"/>
                <w:szCs w:val="21"/>
                <w:lang w:val="tr-TR"/>
              </w:rPr>
              <w:t xml:space="preserve">. </w:t>
            </w:r>
          </w:p>
        </w:tc>
      </w:tr>
      <w:tr w:rsidR="00F24800" w:rsidRPr="001A4B94" w14:paraId="2899EC52" w14:textId="77777777" w:rsidTr="00BA590B">
        <w:tc>
          <w:tcPr>
            <w:tcW w:w="13225" w:type="dxa"/>
            <w:gridSpan w:val="3"/>
            <w:tcBorders>
              <w:top w:val="nil"/>
            </w:tcBorders>
            <w:shd w:val="clear" w:color="auto" w:fill="EDEDED" w:themeFill="accent3" w:themeFillTint="33"/>
          </w:tcPr>
          <w:p w14:paraId="06669620" w14:textId="1E6A04C0" w:rsidR="00F24800" w:rsidRPr="001A4B94" w:rsidRDefault="00F24800" w:rsidP="00BA590B">
            <w:pPr>
              <w:tabs>
                <w:tab w:val="left" w:pos="426"/>
              </w:tabs>
              <w:spacing w:before="120" w:after="120"/>
              <w:jc w:val="center"/>
              <w:rPr>
                <w:b/>
                <w:sz w:val="22"/>
                <w:szCs w:val="22"/>
                <w:lang w:val="tr-TR"/>
              </w:rPr>
            </w:pPr>
            <w:r w:rsidRPr="001A4B94">
              <w:rPr>
                <w:b/>
                <w:sz w:val="22"/>
                <w:szCs w:val="22"/>
                <w:lang w:val="tr-TR"/>
              </w:rPr>
              <w:t xml:space="preserve">CPF </w:t>
            </w:r>
            <w:r w:rsidR="00EE3897" w:rsidRPr="001A4B94">
              <w:rPr>
                <w:b/>
                <w:sz w:val="22"/>
                <w:szCs w:val="22"/>
                <w:lang w:val="tr-TR"/>
              </w:rPr>
              <w:t>Amacı</w:t>
            </w:r>
            <w:r w:rsidRPr="001A4B94">
              <w:rPr>
                <w:b/>
                <w:sz w:val="22"/>
                <w:szCs w:val="22"/>
                <w:lang w:val="tr-TR"/>
              </w:rPr>
              <w:t xml:space="preserve"> 7: </w:t>
            </w:r>
            <w:r w:rsidR="00EE3897" w:rsidRPr="001A4B94">
              <w:rPr>
                <w:b/>
                <w:sz w:val="22"/>
                <w:szCs w:val="22"/>
                <w:lang w:val="tr-TR"/>
              </w:rPr>
              <w:t xml:space="preserve">Enerji Arz Güvenliğinin ve Yeşil Enerji Üretiminin Arttırılması  </w:t>
            </w:r>
          </w:p>
        </w:tc>
      </w:tr>
      <w:tr w:rsidR="00F24800" w:rsidRPr="001A4B94" w14:paraId="0E64F446" w14:textId="77777777" w:rsidTr="00747261">
        <w:tc>
          <w:tcPr>
            <w:tcW w:w="13225" w:type="dxa"/>
            <w:gridSpan w:val="3"/>
          </w:tcPr>
          <w:p w14:paraId="7043EF45" w14:textId="0077F94D" w:rsidR="00F24800" w:rsidRPr="001A4B94" w:rsidRDefault="00EE3897" w:rsidP="00F24800">
            <w:pPr>
              <w:pStyle w:val="ListeParagraf"/>
              <w:tabs>
                <w:tab w:val="left" w:pos="426"/>
                <w:tab w:val="left" w:pos="2970"/>
              </w:tabs>
              <w:autoSpaceDE w:val="0"/>
              <w:autoSpaceDN w:val="0"/>
              <w:adjustRightInd w:val="0"/>
              <w:spacing w:after="0" w:line="240" w:lineRule="auto"/>
              <w:ind w:left="0"/>
              <w:jc w:val="both"/>
              <w:rPr>
                <w:rFonts w:ascii="Times New Roman" w:eastAsia="MS Mincho" w:hAnsi="Times New Roman"/>
                <w:sz w:val="21"/>
                <w:szCs w:val="21"/>
                <w:lang w:val="tr-TR"/>
              </w:rPr>
            </w:pPr>
            <w:r w:rsidRPr="001A4B94">
              <w:rPr>
                <w:rFonts w:ascii="Times New Roman" w:eastAsia="MS Mincho" w:hAnsi="Times New Roman"/>
                <w:b/>
                <w:sz w:val="21"/>
                <w:szCs w:val="21"/>
                <w:lang w:val="tr-TR"/>
              </w:rPr>
              <w:t>Müdahale Mantığı</w:t>
            </w:r>
            <w:r w:rsidR="00F24800" w:rsidRPr="001A4B94">
              <w:rPr>
                <w:rFonts w:ascii="Times New Roman" w:eastAsia="MS Mincho" w:hAnsi="Times New Roman"/>
                <w:sz w:val="21"/>
                <w:szCs w:val="21"/>
                <w:lang w:val="tr-TR"/>
              </w:rPr>
              <w:t xml:space="preserve">: </w:t>
            </w:r>
            <w:r w:rsidR="00C21493" w:rsidRPr="001A4B94">
              <w:rPr>
                <w:rFonts w:ascii="Times New Roman" w:eastAsia="MS Mincho" w:hAnsi="Times New Roman"/>
                <w:sz w:val="21"/>
                <w:szCs w:val="21"/>
                <w:lang w:val="tr-TR"/>
              </w:rPr>
              <w:t>Dünya Bankası Grubu’nun mevcut programı ağır bir şekilde enerji sektörü üzerinde yoğunlaşmaktadır ve IBRD’nin politika danışmanlığı ile teknik yardımlarının  IFC ve MIGA destekli özel sektör katılımında artışın yolunu açtığı bir basamak yaklaşımı izlenmektedir.</w:t>
            </w:r>
            <w:r w:rsidR="00F24800" w:rsidRPr="001A4B94">
              <w:rPr>
                <w:rFonts w:ascii="Times New Roman" w:eastAsia="MS Mincho" w:hAnsi="Times New Roman"/>
                <w:sz w:val="21"/>
                <w:szCs w:val="21"/>
                <w:lang w:val="tr-TR"/>
              </w:rPr>
              <w:t xml:space="preserve"> </w:t>
            </w:r>
            <w:r w:rsidR="00C21493" w:rsidRPr="001A4B94">
              <w:rPr>
                <w:rFonts w:ascii="Times New Roman" w:eastAsia="MS Mincho" w:hAnsi="Times New Roman"/>
                <w:sz w:val="21"/>
                <w:szCs w:val="21"/>
                <w:lang w:val="tr-TR"/>
              </w:rPr>
              <w:t>CPF programı aşağıdakileri içermektedir: (i) devam etmekte olan Yenilenebilir Enerji Entegrasyon, Özel Sektör Yenilenebilir Enerji ve Enerji Verimliliği, Jeotermal Geliştirme ve AB/IPA Enerji Sektörü Teknik Yardım Projeleri yoluyla yenilenebilir enerji kaynaklarından üretilen elektriğin payının arttırılması ve şebekeye entegrasyonunun iyileştirilmesi; (ii) devam etmekte olan Gaz Sektörü Geliştirme Projesi ve önerilen Gaz depolama Kapasitesinin Arttırılması Projesi yoluyla enerji güvenliği altyapısının geliştirilmesi; (iii) AB/IPA Enerji Sektörü Teknik Yardım Projesi yoluyla enerji ticaretinin geliştirilmesi ve BOTAŞ’ın yeniden yapılandırılması; (iv) TANAP Projesi (Türkiye’nin BOTAŞ şirketine ve Azerbaycan’ın Güney Gaz Koridoruna (SGC) sağlanan 800 milyon ABD$ tutarındaki IBRD kredisi Asya Altyapı Yatırım Bankası’ndan (AIIB) 600 milyon ABD$ tutarında bir finansmanı harekete geçirmiştir ve 1,2 milyar ABD$’na kadar ulaşabilecek bir MIGA garantisini harekete geçirmesi beklenmektedir) yoluyla Azerbaycan’dan gaz ithalatı dahil olmak üzere Türkiye’nin gaz arzının güvence altına</w:t>
            </w:r>
            <w:r w:rsidR="001A0975" w:rsidRPr="001A4B94">
              <w:rPr>
                <w:rFonts w:ascii="Times New Roman" w:eastAsia="MS Mincho" w:hAnsi="Times New Roman"/>
                <w:sz w:val="21"/>
                <w:szCs w:val="21"/>
                <w:lang w:val="tr-TR"/>
              </w:rPr>
              <w:t xml:space="preserve"> alınması ve çeşitlendirilmesi</w:t>
            </w:r>
            <w:r w:rsidR="00F24800" w:rsidRPr="001A4B94">
              <w:rPr>
                <w:rFonts w:ascii="Times New Roman" w:eastAsia="MS Mincho" w:hAnsi="Times New Roman"/>
                <w:sz w:val="21"/>
                <w:szCs w:val="21"/>
                <w:lang w:val="tr-TR"/>
              </w:rPr>
              <w:t xml:space="preserve">.  </w:t>
            </w:r>
            <w:r w:rsidR="001A0975" w:rsidRPr="001A4B94">
              <w:rPr>
                <w:rFonts w:ascii="Times New Roman" w:eastAsia="MS Mincho" w:hAnsi="Times New Roman"/>
                <w:sz w:val="21"/>
                <w:szCs w:val="21"/>
                <w:lang w:val="tr-TR"/>
              </w:rPr>
              <w:t xml:space="preserve">IBRD’nin sektördeki karşılaştırmalı avantajı göz önüne alındığında, müşteri talebine bağlı olarak ve DBG’nin özel sektör finansmanını harekete geçirmedeki basamak yaklaşımı </w:t>
            </w:r>
            <w:r w:rsidR="00452D34" w:rsidRPr="001A4B94">
              <w:rPr>
                <w:rFonts w:ascii="Times New Roman" w:eastAsia="MS Mincho" w:hAnsi="Times New Roman"/>
                <w:sz w:val="21"/>
                <w:szCs w:val="21"/>
                <w:lang w:val="tr-TR"/>
              </w:rPr>
              <w:t>göz önünde bulundurularak</w:t>
            </w:r>
            <w:r w:rsidR="001A0975" w:rsidRPr="001A4B94">
              <w:rPr>
                <w:rFonts w:ascii="Times New Roman" w:eastAsia="MS Mincho" w:hAnsi="Times New Roman"/>
                <w:sz w:val="21"/>
                <w:szCs w:val="21"/>
                <w:lang w:val="tr-TR"/>
              </w:rPr>
              <w:t xml:space="preserve"> daha fazla enerji yatırımları  takip edebilir.  IBRD, IFC</w:t>
            </w:r>
            <w:r w:rsidR="00F24800" w:rsidRPr="001A4B94">
              <w:rPr>
                <w:rFonts w:ascii="Times New Roman" w:eastAsia="MS Mincho" w:hAnsi="Times New Roman"/>
                <w:sz w:val="21"/>
                <w:szCs w:val="21"/>
                <w:lang w:val="tr-TR"/>
              </w:rPr>
              <w:t xml:space="preserve"> </w:t>
            </w:r>
            <w:r w:rsidR="001A0975" w:rsidRPr="001A4B94">
              <w:rPr>
                <w:rFonts w:ascii="Times New Roman" w:eastAsia="MS Mincho" w:hAnsi="Times New Roman"/>
                <w:sz w:val="21"/>
                <w:szCs w:val="21"/>
                <w:lang w:val="tr-TR"/>
              </w:rPr>
              <w:t>ve</w:t>
            </w:r>
            <w:r w:rsidR="00F24800" w:rsidRPr="001A4B94">
              <w:rPr>
                <w:rFonts w:ascii="Times New Roman" w:eastAsia="MS Mincho" w:hAnsi="Times New Roman"/>
                <w:sz w:val="21"/>
                <w:szCs w:val="21"/>
                <w:lang w:val="tr-TR"/>
              </w:rPr>
              <w:t xml:space="preserve"> MIGA </w:t>
            </w:r>
            <w:r w:rsidR="001A0975" w:rsidRPr="001A4B94">
              <w:rPr>
                <w:rFonts w:ascii="Times New Roman" w:eastAsia="MS Mincho" w:hAnsi="Times New Roman"/>
                <w:sz w:val="21"/>
                <w:szCs w:val="21"/>
                <w:lang w:val="tr-TR"/>
              </w:rPr>
              <w:t xml:space="preserve">Türkiye’nin özel sektör enerji </w:t>
            </w:r>
            <w:r w:rsidR="00555FFC" w:rsidRPr="001A4B94">
              <w:rPr>
                <w:rFonts w:ascii="Times New Roman" w:eastAsia="MS Mincho" w:hAnsi="Times New Roman"/>
                <w:sz w:val="21"/>
                <w:szCs w:val="21"/>
                <w:lang w:val="tr-TR"/>
              </w:rPr>
              <w:t>yatırımlarını</w:t>
            </w:r>
            <w:r w:rsidR="001A0975" w:rsidRPr="001A4B94">
              <w:rPr>
                <w:rFonts w:ascii="Times New Roman" w:eastAsia="MS Mincho" w:hAnsi="Times New Roman"/>
                <w:sz w:val="21"/>
                <w:szCs w:val="21"/>
                <w:lang w:val="tr-TR"/>
              </w:rPr>
              <w:t xml:space="preserve"> daha fazla canlandırmak için KÖİ politika çerçevesini iyileştirmesi</w:t>
            </w:r>
            <w:r w:rsidR="00555FFC" w:rsidRPr="001A4B94">
              <w:rPr>
                <w:rFonts w:ascii="Times New Roman" w:eastAsia="MS Mincho" w:hAnsi="Times New Roman"/>
                <w:sz w:val="21"/>
                <w:szCs w:val="21"/>
                <w:lang w:val="tr-TR"/>
              </w:rPr>
              <w:t>ne</w:t>
            </w:r>
            <w:r w:rsidR="001A0975" w:rsidRPr="001A4B94">
              <w:rPr>
                <w:rFonts w:ascii="Times New Roman" w:eastAsia="MS Mincho" w:hAnsi="Times New Roman"/>
                <w:sz w:val="21"/>
                <w:szCs w:val="21"/>
                <w:lang w:val="tr-TR"/>
              </w:rPr>
              <w:t xml:space="preserve">,  enerji </w:t>
            </w:r>
            <w:r w:rsidR="00321CAA" w:rsidRPr="001A4B94">
              <w:rPr>
                <w:rFonts w:ascii="Times New Roman" w:eastAsia="MS Mincho" w:hAnsi="Times New Roman"/>
                <w:sz w:val="21"/>
                <w:szCs w:val="21"/>
                <w:lang w:val="tr-TR"/>
              </w:rPr>
              <w:t>sektöründeki</w:t>
            </w:r>
            <w:r w:rsidR="001A0975" w:rsidRPr="001A4B94">
              <w:rPr>
                <w:rFonts w:ascii="Times New Roman" w:eastAsia="MS Mincho" w:hAnsi="Times New Roman"/>
                <w:sz w:val="21"/>
                <w:szCs w:val="21"/>
                <w:lang w:val="tr-TR"/>
              </w:rPr>
              <w:t xml:space="preserve"> düzenleyici ortamı güçlendirmesi</w:t>
            </w:r>
            <w:r w:rsidR="00555FFC" w:rsidRPr="001A4B94">
              <w:rPr>
                <w:rFonts w:ascii="Times New Roman" w:eastAsia="MS Mincho" w:hAnsi="Times New Roman"/>
                <w:sz w:val="21"/>
                <w:szCs w:val="21"/>
                <w:lang w:val="tr-TR"/>
              </w:rPr>
              <w:t>ne</w:t>
            </w:r>
            <w:r w:rsidR="001A0975" w:rsidRPr="001A4B94">
              <w:rPr>
                <w:rFonts w:ascii="Times New Roman" w:eastAsia="MS Mincho" w:hAnsi="Times New Roman"/>
                <w:sz w:val="21"/>
                <w:szCs w:val="21"/>
                <w:lang w:val="tr-TR"/>
              </w:rPr>
              <w:t xml:space="preserve"> ve </w:t>
            </w:r>
            <w:r w:rsidR="00555FFC" w:rsidRPr="001A4B94">
              <w:rPr>
                <w:rFonts w:ascii="Times New Roman" w:eastAsia="MS Mincho" w:hAnsi="Times New Roman"/>
                <w:sz w:val="21"/>
                <w:szCs w:val="21"/>
                <w:lang w:val="tr-TR"/>
              </w:rPr>
              <w:t>yenilenebilir</w:t>
            </w:r>
            <w:r w:rsidR="001A0975" w:rsidRPr="001A4B94">
              <w:rPr>
                <w:rFonts w:ascii="Times New Roman" w:eastAsia="MS Mincho" w:hAnsi="Times New Roman"/>
                <w:sz w:val="21"/>
                <w:szCs w:val="21"/>
                <w:lang w:val="tr-TR"/>
              </w:rPr>
              <w:t xml:space="preserve"> enerji için uzun vadeli finansmanı arttırması</w:t>
            </w:r>
            <w:r w:rsidR="00555FFC" w:rsidRPr="001A4B94">
              <w:rPr>
                <w:rFonts w:ascii="Times New Roman" w:eastAsia="MS Mincho" w:hAnsi="Times New Roman"/>
                <w:sz w:val="21"/>
                <w:szCs w:val="21"/>
                <w:lang w:val="tr-TR"/>
              </w:rPr>
              <w:t>na yardımcı olmak</w:t>
            </w:r>
            <w:r w:rsidR="001A0975" w:rsidRPr="001A4B94">
              <w:rPr>
                <w:rFonts w:ascii="Times New Roman" w:eastAsia="MS Mincho" w:hAnsi="Times New Roman"/>
                <w:sz w:val="21"/>
                <w:szCs w:val="21"/>
                <w:lang w:val="tr-TR"/>
              </w:rPr>
              <w:t xml:space="preserve"> için </w:t>
            </w:r>
            <w:r w:rsidR="00555FFC" w:rsidRPr="001A4B94">
              <w:rPr>
                <w:rFonts w:ascii="Times New Roman" w:eastAsia="MS Mincho" w:hAnsi="Times New Roman"/>
                <w:sz w:val="21"/>
                <w:szCs w:val="21"/>
                <w:lang w:val="tr-TR"/>
              </w:rPr>
              <w:t>yakın bir şekilde ortak çalı</w:t>
            </w:r>
            <w:r w:rsidR="00321CAA" w:rsidRPr="001A4B94">
              <w:rPr>
                <w:rFonts w:ascii="Times New Roman" w:eastAsia="MS Mincho" w:hAnsi="Times New Roman"/>
                <w:sz w:val="21"/>
                <w:szCs w:val="21"/>
                <w:lang w:val="tr-TR"/>
              </w:rPr>
              <w:t>ş</w:t>
            </w:r>
            <w:r w:rsidR="00555FFC" w:rsidRPr="001A4B94">
              <w:rPr>
                <w:rFonts w:ascii="Times New Roman" w:eastAsia="MS Mincho" w:hAnsi="Times New Roman"/>
                <w:sz w:val="21"/>
                <w:szCs w:val="21"/>
                <w:lang w:val="tr-TR"/>
              </w:rPr>
              <w:t>malar yapacaktır</w:t>
            </w:r>
            <w:r w:rsidR="00F24800" w:rsidRPr="001A4B94">
              <w:rPr>
                <w:rFonts w:ascii="Times New Roman" w:eastAsia="MS Mincho" w:hAnsi="Times New Roman"/>
                <w:sz w:val="21"/>
                <w:szCs w:val="21"/>
                <w:lang w:val="tr-TR"/>
              </w:rPr>
              <w:t xml:space="preserve">. </w:t>
            </w:r>
            <w:r w:rsidR="00555FFC" w:rsidRPr="001A4B94">
              <w:rPr>
                <w:rFonts w:ascii="Times New Roman" w:eastAsia="MS Mincho" w:hAnsi="Times New Roman"/>
                <w:sz w:val="21"/>
                <w:szCs w:val="21"/>
                <w:lang w:val="tr-TR"/>
              </w:rPr>
              <w:t xml:space="preserve">Bu </w:t>
            </w:r>
            <w:r w:rsidR="00F24800" w:rsidRPr="001A4B94">
              <w:rPr>
                <w:rFonts w:ascii="Times New Roman" w:eastAsia="MS Mincho" w:hAnsi="Times New Roman"/>
                <w:sz w:val="21"/>
                <w:szCs w:val="21"/>
                <w:lang w:val="tr-TR"/>
              </w:rPr>
              <w:t xml:space="preserve">ASA </w:t>
            </w:r>
            <w:r w:rsidR="00555FFC" w:rsidRPr="001A4B94">
              <w:rPr>
                <w:rFonts w:ascii="Times New Roman" w:eastAsia="MS Mincho" w:hAnsi="Times New Roman"/>
                <w:sz w:val="21"/>
                <w:szCs w:val="21"/>
                <w:lang w:val="tr-TR"/>
              </w:rPr>
              <w:t>çalı</w:t>
            </w:r>
            <w:r w:rsidR="00321CAA" w:rsidRPr="001A4B94">
              <w:rPr>
                <w:rFonts w:ascii="Times New Roman" w:eastAsia="MS Mincho" w:hAnsi="Times New Roman"/>
                <w:sz w:val="21"/>
                <w:szCs w:val="21"/>
                <w:lang w:val="tr-TR"/>
              </w:rPr>
              <w:t>ş</w:t>
            </w:r>
            <w:r w:rsidR="00555FFC" w:rsidRPr="001A4B94">
              <w:rPr>
                <w:rFonts w:ascii="Times New Roman" w:eastAsia="MS Mincho" w:hAnsi="Times New Roman"/>
                <w:sz w:val="21"/>
                <w:szCs w:val="21"/>
                <w:lang w:val="tr-TR"/>
              </w:rPr>
              <w:t xml:space="preserve">maları aynı zamanda yenilenebilir enerji üretim ve iletim yatırımlarını teşvik edecek  ve ilgili iklim değişikliği faydalarını ortaya çıkaracak gelecekteki DPL tasarımına da katkıda </w:t>
            </w:r>
            <w:r w:rsidR="00321CAA" w:rsidRPr="001A4B94">
              <w:rPr>
                <w:rFonts w:ascii="Times New Roman" w:eastAsia="MS Mincho" w:hAnsi="Times New Roman"/>
                <w:sz w:val="21"/>
                <w:szCs w:val="21"/>
                <w:lang w:val="tr-TR"/>
              </w:rPr>
              <w:t>bulunacaktır</w:t>
            </w:r>
            <w:r w:rsidR="00F24800" w:rsidRPr="001A4B94">
              <w:rPr>
                <w:rFonts w:ascii="Times New Roman" w:eastAsia="MS Mincho" w:hAnsi="Times New Roman"/>
                <w:sz w:val="21"/>
                <w:szCs w:val="21"/>
                <w:lang w:val="tr-TR"/>
              </w:rPr>
              <w:t>.</w:t>
            </w:r>
          </w:p>
          <w:p w14:paraId="60934FB0" w14:textId="1462059B" w:rsidR="00F24800" w:rsidRPr="001A4B94" w:rsidRDefault="00321CAA" w:rsidP="006C485E">
            <w:pPr>
              <w:jc w:val="both"/>
              <w:rPr>
                <w:rFonts w:eastAsia="MS Mincho"/>
                <w:sz w:val="21"/>
                <w:szCs w:val="21"/>
                <w:lang w:val="tr-TR"/>
              </w:rPr>
            </w:pPr>
            <w:r w:rsidRPr="001A4B94">
              <w:rPr>
                <w:rFonts w:eastAsia="MS Mincho"/>
                <w:sz w:val="21"/>
                <w:szCs w:val="21"/>
                <w:lang w:val="tr-TR"/>
              </w:rPr>
              <w:t>IFC Türkiye’nin enerji güvenliğini desteklemeyi ve sektörde gerçekleştirilecek seçici ve stratejik çalışmalar yoluyla enerji bileşiminin yeniden dengelenmesine yardımcı olmayı amaçlamaktadır  ve IFC’nin özellikle DYY şeklinde harekete geçirici bir rol oynayabileceği yatırım imkanlarını araştıracaktır</w:t>
            </w:r>
            <w:r w:rsidR="00FC2C6E" w:rsidRPr="001A4B94">
              <w:rPr>
                <w:rFonts w:eastAsia="MS Mincho"/>
                <w:sz w:val="21"/>
                <w:szCs w:val="21"/>
                <w:lang w:val="tr-TR"/>
              </w:rPr>
              <w:t xml:space="preserve">. IFC </w:t>
            </w:r>
            <w:r w:rsidRPr="001A4B94">
              <w:rPr>
                <w:rFonts w:eastAsia="MS Mincho"/>
                <w:sz w:val="21"/>
                <w:szCs w:val="21"/>
                <w:lang w:val="tr-TR"/>
              </w:rPr>
              <w:t>dağıtım şirketl</w:t>
            </w:r>
            <w:r w:rsidR="0056450D" w:rsidRPr="001A4B94">
              <w:rPr>
                <w:rFonts w:eastAsia="MS Mincho"/>
                <w:sz w:val="21"/>
                <w:szCs w:val="21"/>
                <w:lang w:val="tr-TR"/>
              </w:rPr>
              <w:t>e</w:t>
            </w:r>
            <w:r w:rsidRPr="001A4B94">
              <w:rPr>
                <w:rFonts w:eastAsia="MS Mincho"/>
                <w:sz w:val="21"/>
                <w:szCs w:val="21"/>
                <w:lang w:val="tr-TR"/>
              </w:rPr>
              <w:t>rine dağıtım şebekelerini yenileyebilmeleri için uzun vadeli finansman sağlayacaktır</w:t>
            </w:r>
            <w:r w:rsidR="00FC2C6E" w:rsidRPr="001A4B94">
              <w:rPr>
                <w:rFonts w:eastAsia="MS Mincho"/>
                <w:sz w:val="21"/>
                <w:szCs w:val="21"/>
                <w:lang w:val="tr-TR"/>
              </w:rPr>
              <w:t xml:space="preserve">. </w:t>
            </w:r>
            <w:r w:rsidR="0056450D" w:rsidRPr="001A4B94" w:rsidDel="006B1F09">
              <w:rPr>
                <w:rFonts w:eastAsia="MS Mincho"/>
                <w:sz w:val="21"/>
                <w:szCs w:val="21"/>
                <w:lang w:val="tr-TR"/>
              </w:rPr>
              <w:t xml:space="preserve">IFC </w:t>
            </w:r>
            <w:r w:rsidR="0056450D" w:rsidRPr="001A4B94">
              <w:rPr>
                <w:rFonts w:eastAsia="MS Mincho"/>
                <w:sz w:val="21"/>
                <w:szCs w:val="21"/>
                <w:lang w:val="tr-TR"/>
              </w:rPr>
              <w:t>elektrik şirketlerin</w:t>
            </w:r>
            <w:r w:rsidR="00452D34" w:rsidRPr="001A4B94">
              <w:rPr>
                <w:rFonts w:eastAsia="MS Mincho"/>
                <w:sz w:val="21"/>
                <w:szCs w:val="21"/>
                <w:lang w:val="tr-TR"/>
              </w:rPr>
              <w:t>in</w:t>
            </w:r>
            <w:r w:rsidR="0056450D" w:rsidRPr="001A4B94">
              <w:rPr>
                <w:rFonts w:eastAsia="MS Mincho"/>
                <w:sz w:val="21"/>
                <w:szCs w:val="21"/>
                <w:lang w:val="tr-TR"/>
              </w:rPr>
              <w:t xml:space="preserve"> döviz risklerinden korunmaları için  uygun finansman planları sunarak kur uyumsuzluğu sorununu aşmalarına yardımcı olmayı amaçlamaktadır</w:t>
            </w:r>
            <w:r w:rsidR="00FC2C6E" w:rsidRPr="001A4B94">
              <w:rPr>
                <w:rFonts w:eastAsia="MS Mincho"/>
                <w:sz w:val="21"/>
                <w:szCs w:val="21"/>
                <w:lang w:val="tr-TR"/>
              </w:rPr>
              <w:t xml:space="preserve">.  </w:t>
            </w:r>
            <w:r w:rsidR="0056450D" w:rsidRPr="001A4B94">
              <w:rPr>
                <w:rFonts w:eastAsia="MS Mincho"/>
                <w:sz w:val="21"/>
                <w:szCs w:val="21"/>
                <w:lang w:val="tr-TR"/>
              </w:rPr>
              <w:t xml:space="preserve">IFC elektrik dağıtım sektöründeki sorunlardan bazılarını çözmek amacıyla yeni teknolojilere (örneğin akıllı sayaçlar) yapılabilecek yatırım fırsatlarını araştıracaktır.  </w:t>
            </w:r>
            <w:r w:rsidR="0056450D" w:rsidRPr="001A4B94">
              <w:rPr>
                <w:rFonts w:eastAsia="MS Mincho"/>
                <w:sz w:val="21"/>
                <w:szCs w:val="21"/>
                <w:lang w:val="tr-TR"/>
              </w:rPr>
              <w:lastRenderedPageBreak/>
              <w:t>Ayrıca, ithalat terminalleri ve depolama tesisleri ile doğal gaz dağıtımı dahil olmak üzere doğal gaz altyapısına yapılacak yatırımlar yoluyla gaz arzındaki açıkları kapatma fırsatlarını araştıracaktır. MIGA siyasi risk sigortası garantileri sağlayarak yenilenebilir enerji alanındaki DYY girişimlerini desteklemeye hazırdır</w:t>
            </w:r>
            <w:r w:rsidR="00FC2C6E" w:rsidRPr="001A4B94">
              <w:rPr>
                <w:rFonts w:eastAsia="MS Mincho"/>
                <w:sz w:val="21"/>
                <w:szCs w:val="21"/>
                <w:lang w:val="tr-TR"/>
              </w:rPr>
              <w:t>.</w:t>
            </w:r>
          </w:p>
        </w:tc>
      </w:tr>
      <w:tr w:rsidR="0056450D" w:rsidRPr="001A4B94" w14:paraId="340C1FF4" w14:textId="77777777" w:rsidTr="00622088">
        <w:tc>
          <w:tcPr>
            <w:tcW w:w="3955" w:type="dxa"/>
          </w:tcPr>
          <w:p w14:paraId="34A4F963" w14:textId="11371D67" w:rsidR="0056450D" w:rsidRPr="001A4B94" w:rsidRDefault="0056450D" w:rsidP="0056450D">
            <w:pPr>
              <w:rPr>
                <w:i/>
                <w:sz w:val="20"/>
                <w:szCs w:val="20"/>
                <w:lang w:val="tr-TR"/>
              </w:rPr>
            </w:pPr>
            <w:r w:rsidRPr="001A4B94">
              <w:rPr>
                <w:b/>
                <w:sz w:val="22"/>
                <w:szCs w:val="20"/>
                <w:lang w:val="tr-TR"/>
              </w:rPr>
              <w:t xml:space="preserve">CPF Amaç Göstergeleri </w:t>
            </w:r>
          </w:p>
        </w:tc>
        <w:tc>
          <w:tcPr>
            <w:tcW w:w="4410" w:type="dxa"/>
          </w:tcPr>
          <w:p w14:paraId="38001213" w14:textId="799DDC4D" w:rsidR="0056450D" w:rsidRPr="001A4B94" w:rsidRDefault="0056450D" w:rsidP="0056450D">
            <w:pPr>
              <w:tabs>
                <w:tab w:val="left" w:pos="426"/>
              </w:tabs>
              <w:rPr>
                <w:sz w:val="20"/>
                <w:szCs w:val="20"/>
                <w:lang w:val="tr-TR"/>
              </w:rPr>
            </w:pPr>
            <w:r w:rsidRPr="001A4B94">
              <w:rPr>
                <w:b/>
                <w:sz w:val="22"/>
                <w:szCs w:val="20"/>
                <w:lang w:val="tr-TR"/>
              </w:rPr>
              <w:t xml:space="preserve">Destekleyici İlerleme Göstergeleri </w:t>
            </w:r>
          </w:p>
        </w:tc>
        <w:tc>
          <w:tcPr>
            <w:tcW w:w="4860" w:type="dxa"/>
          </w:tcPr>
          <w:p w14:paraId="75C224D6" w14:textId="4036F7CB" w:rsidR="0056450D" w:rsidRPr="001A4B94" w:rsidRDefault="0056450D" w:rsidP="0056450D">
            <w:pPr>
              <w:rPr>
                <w:b/>
                <w:sz w:val="20"/>
                <w:szCs w:val="20"/>
                <w:lang w:val="tr-TR"/>
              </w:rPr>
            </w:pPr>
            <w:r w:rsidRPr="001A4B94">
              <w:rPr>
                <w:b/>
                <w:sz w:val="22"/>
                <w:szCs w:val="20"/>
                <w:lang w:val="tr-TR"/>
              </w:rPr>
              <w:t xml:space="preserve">DBG Programı </w:t>
            </w:r>
          </w:p>
        </w:tc>
      </w:tr>
      <w:tr w:rsidR="00720F20" w:rsidRPr="001A4B94" w14:paraId="59CCA9F3" w14:textId="77777777" w:rsidTr="00622088">
        <w:tc>
          <w:tcPr>
            <w:tcW w:w="3955" w:type="dxa"/>
          </w:tcPr>
          <w:p w14:paraId="6FEC627B" w14:textId="61D91AF8" w:rsidR="00720F20" w:rsidRPr="001A4B94" w:rsidRDefault="0056450D" w:rsidP="00720F20">
            <w:pPr>
              <w:rPr>
                <w:i/>
                <w:sz w:val="20"/>
                <w:szCs w:val="20"/>
                <w:lang w:val="tr-TR"/>
              </w:rPr>
            </w:pPr>
            <w:r w:rsidRPr="001A4B94">
              <w:rPr>
                <w:i/>
                <w:sz w:val="20"/>
                <w:szCs w:val="20"/>
                <w:lang w:val="tr-TR"/>
              </w:rPr>
              <w:t xml:space="preserve">Yenilenebilir kaynaklara dayalı enerji üretiminin toplam enerji üretimi içerisindeki yüzdelik payı </w:t>
            </w:r>
            <w:r w:rsidR="00720F20" w:rsidRPr="001A4B94">
              <w:rPr>
                <w:i/>
                <w:sz w:val="20"/>
                <w:szCs w:val="20"/>
                <w:lang w:val="tr-TR"/>
              </w:rPr>
              <w:t xml:space="preserve">(%). </w:t>
            </w:r>
          </w:p>
          <w:p w14:paraId="5A8AFEC5" w14:textId="7B07930D" w:rsidR="00720F20" w:rsidRPr="001A4B94" w:rsidRDefault="007829C3" w:rsidP="00720F20">
            <w:pPr>
              <w:rPr>
                <w:i/>
                <w:sz w:val="20"/>
                <w:szCs w:val="20"/>
                <w:lang w:val="tr-TR"/>
              </w:rPr>
            </w:pPr>
            <w:r w:rsidRPr="001A4B94">
              <w:rPr>
                <w:b/>
                <w:i/>
                <w:sz w:val="20"/>
                <w:szCs w:val="20"/>
                <w:lang w:val="tr-TR"/>
              </w:rPr>
              <w:t>Başlangıç Durumu</w:t>
            </w:r>
            <w:r w:rsidR="00720F20" w:rsidRPr="001A4B94">
              <w:rPr>
                <w:b/>
                <w:i/>
                <w:sz w:val="20"/>
                <w:szCs w:val="20"/>
                <w:lang w:val="tr-TR"/>
              </w:rPr>
              <w:t>:</w:t>
            </w:r>
            <w:r w:rsidR="00720F20" w:rsidRPr="001A4B94">
              <w:rPr>
                <w:i/>
                <w:sz w:val="20"/>
                <w:szCs w:val="20"/>
                <w:lang w:val="tr-TR"/>
              </w:rPr>
              <w:t xml:space="preserve"> </w:t>
            </w:r>
            <w:r w:rsidRPr="001A4B94">
              <w:rPr>
                <w:i/>
                <w:sz w:val="20"/>
                <w:szCs w:val="20"/>
                <w:lang w:val="tr-TR"/>
              </w:rPr>
              <w:t>2015 yılında %</w:t>
            </w:r>
            <w:r w:rsidR="00720F20" w:rsidRPr="001A4B94">
              <w:rPr>
                <w:i/>
                <w:sz w:val="20"/>
                <w:szCs w:val="20"/>
                <w:lang w:val="tr-TR"/>
              </w:rPr>
              <w:t>31</w:t>
            </w:r>
            <w:r w:rsidRPr="001A4B94">
              <w:rPr>
                <w:i/>
                <w:sz w:val="20"/>
                <w:szCs w:val="20"/>
                <w:lang w:val="tr-TR"/>
              </w:rPr>
              <w:t>,</w:t>
            </w:r>
            <w:r w:rsidR="00720F20" w:rsidRPr="001A4B94">
              <w:rPr>
                <w:i/>
                <w:sz w:val="20"/>
                <w:szCs w:val="20"/>
                <w:lang w:val="tr-TR"/>
              </w:rPr>
              <w:t>5</w:t>
            </w:r>
          </w:p>
          <w:p w14:paraId="215CAF99" w14:textId="7406B8DF" w:rsidR="00720F20" w:rsidRPr="001A4B94" w:rsidRDefault="007829C3" w:rsidP="00720F20">
            <w:pPr>
              <w:rPr>
                <w:i/>
                <w:sz w:val="20"/>
                <w:szCs w:val="20"/>
                <w:lang w:val="tr-TR"/>
              </w:rPr>
            </w:pPr>
            <w:r w:rsidRPr="001A4B94">
              <w:rPr>
                <w:b/>
                <w:i/>
                <w:sz w:val="20"/>
                <w:szCs w:val="20"/>
                <w:lang w:val="tr-TR"/>
              </w:rPr>
              <w:t>Hedef</w:t>
            </w:r>
            <w:r w:rsidR="00720F20" w:rsidRPr="001A4B94">
              <w:rPr>
                <w:b/>
                <w:i/>
                <w:vanish/>
                <w:sz w:val="20"/>
                <w:szCs w:val="20"/>
                <w:lang w:val="tr-TR"/>
              </w:rPr>
              <w:t>Target</w:t>
            </w:r>
            <w:r w:rsidR="00720F20" w:rsidRPr="001A4B94">
              <w:rPr>
                <w:i/>
                <w:sz w:val="20"/>
                <w:szCs w:val="20"/>
                <w:lang w:val="tr-TR"/>
              </w:rPr>
              <w:t xml:space="preserve">: </w:t>
            </w:r>
            <w:r w:rsidRPr="001A4B94">
              <w:rPr>
                <w:i/>
                <w:sz w:val="20"/>
                <w:szCs w:val="20"/>
                <w:lang w:val="tr-TR"/>
              </w:rPr>
              <w:t>2021 yılında %</w:t>
            </w:r>
            <w:r w:rsidR="00720F20" w:rsidRPr="001A4B94">
              <w:rPr>
                <w:i/>
                <w:sz w:val="20"/>
                <w:szCs w:val="20"/>
                <w:lang w:val="tr-TR"/>
              </w:rPr>
              <w:t xml:space="preserve">33 </w:t>
            </w:r>
          </w:p>
          <w:p w14:paraId="7BC946DD" w14:textId="77777777" w:rsidR="00720F20" w:rsidRPr="001A4B94" w:rsidRDefault="00720F20" w:rsidP="00720F20">
            <w:pPr>
              <w:rPr>
                <w:b/>
                <w:i/>
                <w:sz w:val="20"/>
                <w:szCs w:val="20"/>
                <w:lang w:val="tr-TR"/>
              </w:rPr>
            </w:pPr>
          </w:p>
          <w:p w14:paraId="73B074A8" w14:textId="559396F4" w:rsidR="00720F20" w:rsidRPr="001A4B94" w:rsidRDefault="0056450D" w:rsidP="00720F20">
            <w:pPr>
              <w:rPr>
                <w:i/>
                <w:sz w:val="20"/>
                <w:szCs w:val="20"/>
                <w:lang w:val="tr-TR"/>
              </w:rPr>
            </w:pPr>
            <w:r w:rsidRPr="001A4B94">
              <w:rPr>
                <w:i/>
                <w:sz w:val="20"/>
                <w:szCs w:val="20"/>
                <w:lang w:val="tr-TR"/>
              </w:rPr>
              <w:t>IFC müşterilerinin yenilenebilir enerji projelerine sağladıkları kredilerin değeri</w:t>
            </w:r>
          </w:p>
          <w:p w14:paraId="53785248" w14:textId="7A18B0A2" w:rsidR="00720F20" w:rsidRPr="001A4B94" w:rsidRDefault="007829C3" w:rsidP="00720F20">
            <w:pPr>
              <w:rPr>
                <w:i/>
                <w:sz w:val="20"/>
                <w:szCs w:val="20"/>
                <w:lang w:val="tr-TR"/>
              </w:rPr>
            </w:pPr>
            <w:r w:rsidRPr="001A4B94">
              <w:rPr>
                <w:b/>
                <w:i/>
                <w:sz w:val="20"/>
                <w:szCs w:val="20"/>
                <w:lang w:val="tr-TR"/>
              </w:rPr>
              <w:t>Başlangıç Durumu</w:t>
            </w:r>
            <w:r w:rsidR="00720F20" w:rsidRPr="001A4B94">
              <w:rPr>
                <w:b/>
                <w:i/>
                <w:sz w:val="20"/>
                <w:szCs w:val="20"/>
                <w:lang w:val="tr-TR"/>
              </w:rPr>
              <w:t>:</w:t>
            </w:r>
            <w:r w:rsidR="00720F20" w:rsidRPr="001A4B94">
              <w:rPr>
                <w:i/>
                <w:sz w:val="20"/>
                <w:szCs w:val="20"/>
                <w:lang w:val="tr-TR"/>
              </w:rPr>
              <w:t xml:space="preserve">  38</w:t>
            </w:r>
            <w:r w:rsidRPr="001A4B94">
              <w:rPr>
                <w:i/>
                <w:sz w:val="20"/>
                <w:szCs w:val="20"/>
                <w:lang w:val="tr-TR"/>
              </w:rPr>
              <w:t xml:space="preserve"> </w:t>
            </w:r>
            <w:r w:rsidR="00720F20" w:rsidRPr="001A4B94">
              <w:rPr>
                <w:i/>
                <w:sz w:val="20"/>
                <w:szCs w:val="20"/>
                <w:lang w:val="tr-TR"/>
              </w:rPr>
              <w:t>m</w:t>
            </w:r>
            <w:r w:rsidRPr="001A4B94">
              <w:rPr>
                <w:i/>
                <w:sz w:val="20"/>
                <w:szCs w:val="20"/>
                <w:lang w:val="tr-TR"/>
              </w:rPr>
              <w:t>ilyon $</w:t>
            </w:r>
            <w:r w:rsidR="00720F20" w:rsidRPr="001A4B94">
              <w:rPr>
                <w:i/>
                <w:sz w:val="20"/>
                <w:szCs w:val="20"/>
                <w:lang w:val="tr-TR"/>
              </w:rPr>
              <w:t xml:space="preserve"> (2015)</w:t>
            </w:r>
          </w:p>
          <w:p w14:paraId="49F97ABC" w14:textId="7D65404A" w:rsidR="00720F20" w:rsidRPr="001A4B94" w:rsidRDefault="007829C3" w:rsidP="00720F20">
            <w:pPr>
              <w:rPr>
                <w:i/>
                <w:sz w:val="20"/>
                <w:szCs w:val="20"/>
                <w:lang w:val="tr-TR"/>
              </w:rPr>
            </w:pPr>
            <w:r w:rsidRPr="001A4B94">
              <w:rPr>
                <w:b/>
                <w:i/>
                <w:sz w:val="20"/>
                <w:szCs w:val="20"/>
                <w:lang w:val="tr-TR"/>
              </w:rPr>
              <w:t>Hedef</w:t>
            </w:r>
            <w:r w:rsidR="00720F20" w:rsidRPr="001A4B94">
              <w:rPr>
                <w:b/>
                <w:i/>
                <w:sz w:val="20"/>
                <w:szCs w:val="20"/>
                <w:lang w:val="tr-TR"/>
              </w:rPr>
              <w:t>:</w:t>
            </w:r>
            <w:r w:rsidR="00720F20" w:rsidRPr="001A4B94">
              <w:rPr>
                <w:i/>
                <w:sz w:val="20"/>
                <w:szCs w:val="20"/>
                <w:lang w:val="tr-TR"/>
              </w:rPr>
              <w:t xml:space="preserve">     </w:t>
            </w:r>
            <w:r w:rsidRPr="001A4B94">
              <w:rPr>
                <w:i/>
                <w:sz w:val="20"/>
                <w:szCs w:val="20"/>
                <w:lang w:val="tr-TR"/>
              </w:rPr>
              <w:t>66 milyon $</w:t>
            </w:r>
            <w:r w:rsidR="00720F20" w:rsidRPr="001A4B94">
              <w:rPr>
                <w:i/>
                <w:sz w:val="20"/>
                <w:szCs w:val="20"/>
                <w:lang w:val="tr-TR"/>
              </w:rPr>
              <w:t xml:space="preserve"> (2019)</w:t>
            </w:r>
          </w:p>
          <w:p w14:paraId="02E64B54" w14:textId="77777777" w:rsidR="00720F20" w:rsidRPr="001A4B94" w:rsidRDefault="00720F20" w:rsidP="00720F20">
            <w:pPr>
              <w:rPr>
                <w:b/>
                <w:i/>
                <w:sz w:val="20"/>
                <w:szCs w:val="20"/>
                <w:lang w:val="tr-TR"/>
              </w:rPr>
            </w:pPr>
          </w:p>
          <w:p w14:paraId="57E47E80" w14:textId="3E1B766C" w:rsidR="00720F20" w:rsidRPr="001A4B94" w:rsidRDefault="00452D34" w:rsidP="00720F20">
            <w:pPr>
              <w:rPr>
                <w:i/>
                <w:sz w:val="20"/>
                <w:szCs w:val="20"/>
                <w:lang w:val="tr-TR"/>
              </w:rPr>
            </w:pPr>
            <w:r w:rsidRPr="001A4B94">
              <w:rPr>
                <w:i/>
                <w:sz w:val="20"/>
                <w:szCs w:val="20"/>
                <w:lang w:val="tr-TR"/>
              </w:rPr>
              <w:t xml:space="preserve">Ulaşılan  </w:t>
            </w:r>
            <w:r w:rsidR="0056450D" w:rsidRPr="001A4B94">
              <w:rPr>
                <w:i/>
                <w:sz w:val="20"/>
                <w:szCs w:val="20"/>
                <w:lang w:val="tr-TR"/>
              </w:rPr>
              <w:t xml:space="preserve">toplam elektrik üretim ve dağıtım </w:t>
            </w:r>
            <w:r w:rsidRPr="001A4B94">
              <w:rPr>
                <w:i/>
                <w:sz w:val="20"/>
                <w:szCs w:val="20"/>
                <w:lang w:val="tr-TR"/>
              </w:rPr>
              <w:t xml:space="preserve">müşterisi (IFC) </w:t>
            </w:r>
            <w:r w:rsidR="0056450D" w:rsidRPr="001A4B94">
              <w:rPr>
                <w:i/>
                <w:sz w:val="20"/>
                <w:szCs w:val="20"/>
                <w:lang w:val="tr-TR"/>
              </w:rPr>
              <w:t xml:space="preserve"> </w:t>
            </w:r>
            <w:r w:rsidR="00720F20" w:rsidRPr="001A4B94">
              <w:rPr>
                <w:i/>
                <w:sz w:val="20"/>
                <w:szCs w:val="20"/>
                <w:lang w:val="tr-TR"/>
              </w:rPr>
              <w:t>(</w:t>
            </w:r>
            <w:r w:rsidR="007829C3" w:rsidRPr="001A4B94">
              <w:rPr>
                <w:i/>
                <w:sz w:val="20"/>
                <w:szCs w:val="20"/>
                <w:lang w:val="tr-TR"/>
              </w:rPr>
              <w:t>milyon</w:t>
            </w:r>
            <w:r w:rsidR="00720F20" w:rsidRPr="001A4B94">
              <w:rPr>
                <w:i/>
                <w:sz w:val="20"/>
                <w:szCs w:val="20"/>
                <w:lang w:val="tr-TR"/>
              </w:rPr>
              <w:t>)</w:t>
            </w:r>
          </w:p>
          <w:p w14:paraId="73D5DC0D" w14:textId="63A2E626" w:rsidR="00720F20" w:rsidRPr="001A4B94" w:rsidRDefault="007829C3" w:rsidP="00720F20">
            <w:pPr>
              <w:rPr>
                <w:i/>
                <w:sz w:val="20"/>
                <w:szCs w:val="20"/>
                <w:lang w:val="tr-TR"/>
              </w:rPr>
            </w:pPr>
            <w:r w:rsidRPr="001A4B94">
              <w:rPr>
                <w:b/>
                <w:i/>
                <w:sz w:val="20"/>
                <w:szCs w:val="20"/>
                <w:lang w:val="tr-TR"/>
              </w:rPr>
              <w:t>Başlangıç Durumu</w:t>
            </w:r>
            <w:r w:rsidR="00720F20" w:rsidRPr="001A4B94">
              <w:rPr>
                <w:b/>
                <w:i/>
                <w:sz w:val="20"/>
                <w:szCs w:val="20"/>
                <w:lang w:val="tr-TR"/>
              </w:rPr>
              <w:t>:</w:t>
            </w:r>
            <w:r w:rsidR="00720F20" w:rsidRPr="001A4B94">
              <w:rPr>
                <w:i/>
                <w:sz w:val="20"/>
                <w:szCs w:val="20"/>
                <w:lang w:val="tr-TR"/>
              </w:rPr>
              <w:t xml:space="preserve"> 4</w:t>
            </w:r>
            <w:r w:rsidRPr="001A4B94">
              <w:rPr>
                <w:i/>
                <w:sz w:val="20"/>
                <w:szCs w:val="20"/>
                <w:lang w:val="tr-TR"/>
              </w:rPr>
              <w:t>,</w:t>
            </w:r>
            <w:r w:rsidR="00720F20" w:rsidRPr="001A4B94">
              <w:rPr>
                <w:i/>
                <w:sz w:val="20"/>
                <w:szCs w:val="20"/>
                <w:lang w:val="tr-TR"/>
              </w:rPr>
              <w:t>33 (2015)</w:t>
            </w:r>
          </w:p>
          <w:p w14:paraId="6E67D09C" w14:textId="72F52401" w:rsidR="00720F20" w:rsidRPr="001A4B94" w:rsidRDefault="007829C3" w:rsidP="00720F20">
            <w:pPr>
              <w:rPr>
                <w:i/>
                <w:sz w:val="20"/>
                <w:szCs w:val="20"/>
                <w:lang w:val="tr-TR"/>
              </w:rPr>
            </w:pPr>
            <w:r w:rsidRPr="001A4B94">
              <w:rPr>
                <w:b/>
                <w:i/>
                <w:sz w:val="20"/>
                <w:szCs w:val="20"/>
                <w:lang w:val="tr-TR"/>
              </w:rPr>
              <w:t>Hedef</w:t>
            </w:r>
            <w:r w:rsidR="00720F20" w:rsidRPr="001A4B94">
              <w:rPr>
                <w:b/>
                <w:i/>
                <w:sz w:val="20"/>
                <w:szCs w:val="20"/>
                <w:lang w:val="tr-TR"/>
              </w:rPr>
              <w:t>:</w:t>
            </w:r>
            <w:r w:rsidR="00720F20" w:rsidRPr="001A4B94">
              <w:rPr>
                <w:i/>
                <w:sz w:val="20"/>
                <w:szCs w:val="20"/>
                <w:lang w:val="tr-TR"/>
              </w:rPr>
              <w:t xml:space="preserve">  6</w:t>
            </w:r>
            <w:r w:rsidRPr="001A4B94">
              <w:rPr>
                <w:i/>
                <w:sz w:val="20"/>
                <w:szCs w:val="20"/>
                <w:lang w:val="tr-TR"/>
              </w:rPr>
              <w:t>,</w:t>
            </w:r>
            <w:r w:rsidR="00720F20" w:rsidRPr="001A4B94">
              <w:rPr>
                <w:i/>
                <w:sz w:val="20"/>
                <w:szCs w:val="20"/>
                <w:lang w:val="tr-TR"/>
              </w:rPr>
              <w:t>89 (2019)</w:t>
            </w:r>
          </w:p>
          <w:p w14:paraId="1FBAF479" w14:textId="77777777" w:rsidR="00720F20" w:rsidRPr="001A4B94" w:rsidRDefault="00720F20" w:rsidP="00720F20">
            <w:pPr>
              <w:rPr>
                <w:b/>
                <w:i/>
                <w:sz w:val="20"/>
                <w:szCs w:val="20"/>
                <w:lang w:val="tr-TR"/>
              </w:rPr>
            </w:pPr>
          </w:p>
          <w:p w14:paraId="62418CEA" w14:textId="32423818" w:rsidR="00720F20" w:rsidRPr="001A4B94" w:rsidRDefault="007829C3" w:rsidP="00720F20">
            <w:pPr>
              <w:rPr>
                <w:i/>
                <w:sz w:val="20"/>
                <w:szCs w:val="20"/>
                <w:lang w:val="tr-TR"/>
              </w:rPr>
            </w:pPr>
            <w:r w:rsidRPr="001A4B94">
              <w:rPr>
                <w:i/>
                <w:sz w:val="20"/>
                <w:szCs w:val="20"/>
                <w:lang w:val="tr-TR"/>
              </w:rPr>
              <w:t xml:space="preserve">Doğal gaz depolama kapasitesindeki artış </w:t>
            </w:r>
            <w:r w:rsidR="00720F20" w:rsidRPr="001A4B94">
              <w:rPr>
                <w:i/>
                <w:sz w:val="20"/>
                <w:szCs w:val="20"/>
                <w:lang w:val="tr-TR"/>
              </w:rPr>
              <w:t>(</w:t>
            </w:r>
            <w:r w:rsidRPr="001A4B94">
              <w:rPr>
                <w:i/>
                <w:sz w:val="20"/>
                <w:szCs w:val="20"/>
                <w:lang w:val="tr-TR"/>
              </w:rPr>
              <w:t>milyar metreküp - bcm</w:t>
            </w:r>
            <w:r w:rsidR="00720F20" w:rsidRPr="001A4B94">
              <w:rPr>
                <w:i/>
                <w:sz w:val="20"/>
                <w:szCs w:val="20"/>
                <w:lang w:val="tr-TR"/>
              </w:rPr>
              <w:t xml:space="preserve">). </w:t>
            </w:r>
          </w:p>
          <w:p w14:paraId="07C7C760" w14:textId="3EB406B0" w:rsidR="00720F20" w:rsidRPr="001A4B94" w:rsidRDefault="007829C3" w:rsidP="00720F20">
            <w:pPr>
              <w:rPr>
                <w:i/>
                <w:sz w:val="20"/>
                <w:szCs w:val="20"/>
                <w:lang w:val="tr-TR"/>
              </w:rPr>
            </w:pPr>
            <w:r w:rsidRPr="001A4B94">
              <w:rPr>
                <w:b/>
                <w:i/>
                <w:sz w:val="20"/>
                <w:szCs w:val="20"/>
                <w:lang w:val="tr-TR"/>
              </w:rPr>
              <w:t>Başlangıç Durumu</w:t>
            </w:r>
            <w:r w:rsidR="00720F20" w:rsidRPr="001A4B94">
              <w:rPr>
                <w:b/>
                <w:i/>
                <w:sz w:val="20"/>
                <w:szCs w:val="20"/>
                <w:lang w:val="tr-TR"/>
              </w:rPr>
              <w:t>:</w:t>
            </w:r>
            <w:r w:rsidR="00720F20" w:rsidRPr="001A4B94">
              <w:rPr>
                <w:i/>
                <w:sz w:val="20"/>
                <w:szCs w:val="20"/>
                <w:lang w:val="tr-TR"/>
              </w:rPr>
              <w:t xml:space="preserve"> </w:t>
            </w:r>
            <w:r w:rsidRPr="001A4B94">
              <w:rPr>
                <w:i/>
                <w:sz w:val="20"/>
                <w:szCs w:val="20"/>
                <w:lang w:val="tr-TR"/>
              </w:rPr>
              <w:t xml:space="preserve">2016 yılında </w:t>
            </w:r>
            <w:r w:rsidR="00720F20" w:rsidRPr="001A4B94">
              <w:rPr>
                <w:i/>
                <w:sz w:val="20"/>
                <w:szCs w:val="20"/>
                <w:lang w:val="tr-TR"/>
              </w:rPr>
              <w:t>2</w:t>
            </w:r>
            <w:r w:rsidRPr="001A4B94">
              <w:rPr>
                <w:i/>
                <w:sz w:val="20"/>
                <w:szCs w:val="20"/>
                <w:lang w:val="tr-TR"/>
              </w:rPr>
              <w:t>,</w:t>
            </w:r>
            <w:r w:rsidR="00720F20" w:rsidRPr="001A4B94">
              <w:rPr>
                <w:i/>
                <w:sz w:val="20"/>
                <w:szCs w:val="20"/>
                <w:lang w:val="tr-TR"/>
              </w:rPr>
              <w:t xml:space="preserve">8 bcm </w:t>
            </w:r>
          </w:p>
          <w:p w14:paraId="1638639A" w14:textId="13FD1B7D" w:rsidR="00720F20" w:rsidRPr="001A4B94" w:rsidRDefault="007829C3" w:rsidP="00720F20">
            <w:pPr>
              <w:rPr>
                <w:i/>
                <w:sz w:val="20"/>
                <w:szCs w:val="20"/>
                <w:lang w:val="tr-TR"/>
              </w:rPr>
            </w:pPr>
            <w:r w:rsidRPr="001A4B94">
              <w:rPr>
                <w:b/>
                <w:i/>
                <w:sz w:val="20"/>
                <w:szCs w:val="20"/>
                <w:lang w:val="tr-TR"/>
              </w:rPr>
              <w:t>Hedef</w:t>
            </w:r>
            <w:r w:rsidR="00720F20" w:rsidRPr="001A4B94">
              <w:rPr>
                <w:b/>
                <w:i/>
                <w:sz w:val="20"/>
                <w:szCs w:val="20"/>
                <w:lang w:val="tr-TR"/>
              </w:rPr>
              <w:t>:</w:t>
            </w:r>
            <w:r w:rsidR="00720F20" w:rsidRPr="001A4B94">
              <w:rPr>
                <w:i/>
                <w:sz w:val="20"/>
                <w:szCs w:val="20"/>
                <w:lang w:val="tr-TR"/>
              </w:rPr>
              <w:t xml:space="preserve"> </w:t>
            </w:r>
            <w:r w:rsidRPr="001A4B94">
              <w:rPr>
                <w:i/>
                <w:sz w:val="20"/>
                <w:szCs w:val="20"/>
                <w:lang w:val="tr-TR"/>
              </w:rPr>
              <w:t xml:space="preserve">2021 yılında </w:t>
            </w:r>
            <w:r w:rsidR="00720F20" w:rsidRPr="001A4B94">
              <w:rPr>
                <w:i/>
                <w:sz w:val="20"/>
                <w:szCs w:val="20"/>
                <w:lang w:val="tr-TR"/>
              </w:rPr>
              <w:t>3</w:t>
            </w:r>
            <w:r w:rsidRPr="001A4B94">
              <w:rPr>
                <w:i/>
                <w:sz w:val="20"/>
                <w:szCs w:val="20"/>
                <w:lang w:val="tr-TR"/>
              </w:rPr>
              <w:t>,</w:t>
            </w:r>
            <w:r w:rsidR="00023D70" w:rsidRPr="001A4B94">
              <w:rPr>
                <w:i/>
                <w:sz w:val="20"/>
                <w:szCs w:val="20"/>
                <w:lang w:val="tr-TR"/>
              </w:rPr>
              <w:t>8</w:t>
            </w:r>
            <w:r w:rsidR="00720F20" w:rsidRPr="001A4B94">
              <w:rPr>
                <w:i/>
                <w:sz w:val="20"/>
                <w:szCs w:val="20"/>
                <w:lang w:val="tr-TR"/>
              </w:rPr>
              <w:t xml:space="preserve"> </w:t>
            </w:r>
            <w:r w:rsidRPr="001A4B94">
              <w:rPr>
                <w:i/>
                <w:sz w:val="20"/>
                <w:szCs w:val="20"/>
                <w:lang w:val="tr-TR"/>
              </w:rPr>
              <w:t>milyon $</w:t>
            </w:r>
          </w:p>
          <w:p w14:paraId="0C51C77E" w14:textId="77777777" w:rsidR="00720F20" w:rsidRPr="001A4B94" w:rsidRDefault="00720F20" w:rsidP="00720F20">
            <w:pPr>
              <w:rPr>
                <w:b/>
                <w:i/>
                <w:sz w:val="20"/>
                <w:szCs w:val="20"/>
                <w:lang w:val="tr-TR"/>
              </w:rPr>
            </w:pPr>
          </w:p>
          <w:p w14:paraId="385ED742" w14:textId="02465487" w:rsidR="00720F20" w:rsidRPr="001A4B94" w:rsidRDefault="007829C3" w:rsidP="00720F20">
            <w:pPr>
              <w:rPr>
                <w:i/>
                <w:sz w:val="20"/>
                <w:szCs w:val="20"/>
                <w:lang w:val="tr-TR"/>
              </w:rPr>
            </w:pPr>
            <w:r w:rsidRPr="001A4B94">
              <w:rPr>
                <w:i/>
                <w:sz w:val="20"/>
                <w:szCs w:val="20"/>
                <w:lang w:val="tr-TR"/>
              </w:rPr>
              <w:t xml:space="preserve">Trans Anadolu Boru Hattı (TANAP) Projesi yoluyla sağlanan doğal gaz ithalatı </w:t>
            </w:r>
            <w:r w:rsidR="00720F20" w:rsidRPr="001A4B94">
              <w:rPr>
                <w:i/>
                <w:sz w:val="20"/>
                <w:szCs w:val="20"/>
                <w:lang w:val="tr-TR"/>
              </w:rPr>
              <w:t>(bcm/</w:t>
            </w:r>
            <w:r w:rsidRPr="001A4B94">
              <w:rPr>
                <w:i/>
                <w:sz w:val="20"/>
                <w:szCs w:val="20"/>
                <w:lang w:val="tr-TR"/>
              </w:rPr>
              <w:t>yıl</w:t>
            </w:r>
            <w:r w:rsidR="00720F20" w:rsidRPr="001A4B94">
              <w:rPr>
                <w:i/>
                <w:sz w:val="20"/>
                <w:szCs w:val="20"/>
                <w:lang w:val="tr-TR"/>
              </w:rPr>
              <w:t xml:space="preserve">). </w:t>
            </w:r>
          </w:p>
          <w:p w14:paraId="2974D871" w14:textId="48215DFA" w:rsidR="00720F20" w:rsidRPr="001A4B94" w:rsidRDefault="007829C3" w:rsidP="00720F20">
            <w:pPr>
              <w:rPr>
                <w:i/>
                <w:sz w:val="20"/>
                <w:szCs w:val="20"/>
                <w:lang w:val="tr-TR"/>
              </w:rPr>
            </w:pPr>
            <w:r w:rsidRPr="001A4B94">
              <w:rPr>
                <w:b/>
                <w:i/>
                <w:sz w:val="20"/>
                <w:szCs w:val="20"/>
                <w:lang w:val="tr-TR"/>
              </w:rPr>
              <w:t>Başlangıç Durumu</w:t>
            </w:r>
            <w:r w:rsidR="00720F20" w:rsidRPr="001A4B94">
              <w:rPr>
                <w:b/>
                <w:i/>
                <w:sz w:val="20"/>
                <w:szCs w:val="20"/>
                <w:lang w:val="tr-TR"/>
              </w:rPr>
              <w:t>:</w:t>
            </w:r>
            <w:r w:rsidR="00720F20" w:rsidRPr="001A4B94">
              <w:rPr>
                <w:i/>
                <w:sz w:val="20"/>
                <w:szCs w:val="20"/>
                <w:lang w:val="tr-TR"/>
              </w:rPr>
              <w:t xml:space="preserve"> </w:t>
            </w:r>
            <w:r w:rsidRPr="001A4B94">
              <w:rPr>
                <w:i/>
                <w:sz w:val="20"/>
                <w:szCs w:val="20"/>
                <w:lang w:val="tr-TR"/>
              </w:rPr>
              <w:t xml:space="preserve">2016 yılında </w:t>
            </w:r>
            <w:r w:rsidR="00720F20" w:rsidRPr="001A4B94">
              <w:rPr>
                <w:i/>
                <w:sz w:val="20"/>
                <w:szCs w:val="20"/>
                <w:lang w:val="tr-TR"/>
              </w:rPr>
              <w:t xml:space="preserve">0 </w:t>
            </w:r>
          </w:p>
          <w:p w14:paraId="02A03C40" w14:textId="3894180B" w:rsidR="00720F20" w:rsidRPr="001A4B94" w:rsidRDefault="007829C3" w:rsidP="00720F20">
            <w:pPr>
              <w:rPr>
                <w:i/>
                <w:sz w:val="20"/>
                <w:szCs w:val="20"/>
                <w:lang w:val="tr-TR"/>
              </w:rPr>
            </w:pPr>
            <w:r w:rsidRPr="001A4B94">
              <w:rPr>
                <w:b/>
                <w:i/>
                <w:sz w:val="20"/>
                <w:szCs w:val="20"/>
                <w:lang w:val="tr-TR"/>
              </w:rPr>
              <w:t>Hedef</w:t>
            </w:r>
            <w:r w:rsidR="00720F20" w:rsidRPr="001A4B94">
              <w:rPr>
                <w:b/>
                <w:i/>
                <w:sz w:val="20"/>
                <w:szCs w:val="20"/>
                <w:lang w:val="tr-TR"/>
              </w:rPr>
              <w:t>:</w:t>
            </w:r>
            <w:r w:rsidR="00720F20" w:rsidRPr="001A4B94">
              <w:rPr>
                <w:i/>
                <w:sz w:val="20"/>
                <w:szCs w:val="20"/>
                <w:lang w:val="tr-TR"/>
              </w:rPr>
              <w:t xml:space="preserve"> </w:t>
            </w:r>
            <w:r w:rsidRPr="001A4B94">
              <w:rPr>
                <w:i/>
                <w:sz w:val="20"/>
                <w:szCs w:val="20"/>
                <w:lang w:val="tr-TR"/>
              </w:rPr>
              <w:t xml:space="preserve">2021 yılında </w:t>
            </w:r>
            <w:r w:rsidR="00720F20" w:rsidRPr="001A4B94">
              <w:rPr>
                <w:i/>
                <w:sz w:val="20"/>
                <w:szCs w:val="20"/>
                <w:lang w:val="tr-TR"/>
              </w:rPr>
              <w:t xml:space="preserve">5 </w:t>
            </w:r>
          </w:p>
          <w:p w14:paraId="50329102" w14:textId="77777777" w:rsidR="00720F20" w:rsidRPr="001A4B94" w:rsidRDefault="00720F20" w:rsidP="00720F20">
            <w:pPr>
              <w:rPr>
                <w:i/>
                <w:sz w:val="20"/>
                <w:szCs w:val="20"/>
                <w:lang w:val="tr-TR"/>
              </w:rPr>
            </w:pPr>
          </w:p>
        </w:tc>
        <w:tc>
          <w:tcPr>
            <w:tcW w:w="4410" w:type="dxa"/>
          </w:tcPr>
          <w:p w14:paraId="3201ED6B" w14:textId="063C92EA" w:rsidR="00720F20" w:rsidRPr="001A4B94" w:rsidRDefault="002500D9" w:rsidP="00720F20">
            <w:pPr>
              <w:tabs>
                <w:tab w:val="left" w:pos="426"/>
              </w:tabs>
              <w:rPr>
                <w:sz w:val="20"/>
                <w:szCs w:val="20"/>
                <w:lang w:val="tr-TR"/>
              </w:rPr>
            </w:pPr>
            <w:r w:rsidRPr="001A4B94">
              <w:rPr>
                <w:sz w:val="20"/>
                <w:szCs w:val="20"/>
                <w:lang w:val="tr-TR"/>
              </w:rPr>
              <w:t xml:space="preserve">IBRD projeleri ile finanse edilerek kurulan yenilenebilir enerji kapasitesi </w:t>
            </w:r>
            <w:r w:rsidR="00720F20" w:rsidRPr="001A4B94">
              <w:rPr>
                <w:sz w:val="20"/>
                <w:szCs w:val="20"/>
                <w:lang w:val="tr-TR"/>
              </w:rPr>
              <w:t>(MW)</w:t>
            </w:r>
          </w:p>
          <w:p w14:paraId="0EFDE8D5" w14:textId="3F72172A" w:rsidR="00720F20" w:rsidRPr="001A4B94" w:rsidRDefault="007829C3" w:rsidP="00720F20">
            <w:pPr>
              <w:tabs>
                <w:tab w:val="left" w:pos="426"/>
              </w:tabs>
              <w:rPr>
                <w:sz w:val="20"/>
                <w:szCs w:val="20"/>
                <w:lang w:val="tr-TR"/>
              </w:rPr>
            </w:pPr>
            <w:r w:rsidRPr="001A4B94">
              <w:rPr>
                <w:b/>
                <w:sz w:val="20"/>
                <w:szCs w:val="20"/>
                <w:lang w:val="tr-TR"/>
              </w:rPr>
              <w:t>Başlangıç Durumu</w:t>
            </w:r>
            <w:r w:rsidR="00720F20" w:rsidRPr="001A4B94">
              <w:rPr>
                <w:b/>
                <w:sz w:val="20"/>
                <w:szCs w:val="20"/>
                <w:lang w:val="tr-TR"/>
              </w:rPr>
              <w:t>:</w:t>
            </w:r>
            <w:r w:rsidR="00720F20" w:rsidRPr="001A4B94">
              <w:rPr>
                <w:sz w:val="20"/>
                <w:szCs w:val="20"/>
                <w:lang w:val="tr-TR"/>
              </w:rPr>
              <w:t xml:space="preserve"> </w:t>
            </w:r>
            <w:r w:rsidR="002500D9" w:rsidRPr="001A4B94">
              <w:rPr>
                <w:sz w:val="20"/>
                <w:szCs w:val="20"/>
                <w:lang w:val="tr-TR"/>
              </w:rPr>
              <w:t xml:space="preserve">2016 yılında </w:t>
            </w:r>
            <w:r w:rsidR="00720F20" w:rsidRPr="001A4B94">
              <w:rPr>
                <w:sz w:val="20"/>
                <w:szCs w:val="20"/>
                <w:lang w:val="tr-TR"/>
              </w:rPr>
              <w:t xml:space="preserve">0 </w:t>
            </w:r>
          </w:p>
          <w:p w14:paraId="3DD9E761" w14:textId="7D2B13ED" w:rsidR="00720F20" w:rsidRPr="001A4B94" w:rsidRDefault="007829C3" w:rsidP="00720F20">
            <w:pPr>
              <w:tabs>
                <w:tab w:val="left" w:pos="426"/>
              </w:tabs>
              <w:rPr>
                <w:sz w:val="20"/>
                <w:szCs w:val="20"/>
                <w:lang w:val="tr-TR"/>
              </w:rPr>
            </w:pPr>
            <w:r w:rsidRPr="001A4B94">
              <w:rPr>
                <w:b/>
                <w:sz w:val="20"/>
                <w:szCs w:val="20"/>
                <w:lang w:val="tr-TR"/>
              </w:rPr>
              <w:t>Hedef:</w:t>
            </w:r>
            <w:r w:rsidR="00720F20" w:rsidRPr="001A4B94">
              <w:rPr>
                <w:b/>
                <w:sz w:val="20"/>
                <w:szCs w:val="20"/>
                <w:lang w:val="tr-TR"/>
              </w:rPr>
              <w:t xml:space="preserve"> </w:t>
            </w:r>
            <w:r w:rsidR="002500D9" w:rsidRPr="001A4B94">
              <w:rPr>
                <w:b/>
                <w:sz w:val="20"/>
                <w:szCs w:val="20"/>
                <w:lang w:val="tr-TR"/>
              </w:rPr>
              <w:t xml:space="preserve">2021 yılında </w:t>
            </w:r>
            <w:r w:rsidR="00720F20" w:rsidRPr="001A4B94">
              <w:rPr>
                <w:sz w:val="20"/>
                <w:szCs w:val="20"/>
                <w:lang w:val="tr-TR"/>
              </w:rPr>
              <w:t xml:space="preserve">116 MW </w:t>
            </w:r>
          </w:p>
          <w:p w14:paraId="6B8E5053" w14:textId="77777777" w:rsidR="00720F20" w:rsidRPr="001A4B94" w:rsidRDefault="00720F20" w:rsidP="00720F20">
            <w:pPr>
              <w:tabs>
                <w:tab w:val="left" w:pos="426"/>
              </w:tabs>
              <w:rPr>
                <w:sz w:val="20"/>
                <w:szCs w:val="20"/>
                <w:lang w:val="tr-TR"/>
              </w:rPr>
            </w:pPr>
          </w:p>
          <w:p w14:paraId="4DAC630F" w14:textId="57BD2CA3" w:rsidR="00720F20" w:rsidRPr="001A4B94" w:rsidRDefault="002500D9" w:rsidP="00720F20">
            <w:pPr>
              <w:tabs>
                <w:tab w:val="left" w:pos="426"/>
              </w:tabs>
              <w:rPr>
                <w:sz w:val="20"/>
                <w:szCs w:val="20"/>
                <w:lang w:val="tr-TR"/>
              </w:rPr>
            </w:pPr>
            <w:r w:rsidRPr="001A4B94">
              <w:rPr>
                <w:sz w:val="20"/>
                <w:szCs w:val="20"/>
                <w:lang w:val="tr-TR"/>
              </w:rPr>
              <w:t xml:space="preserve">IBRD projeleri yoluyla </w:t>
            </w:r>
            <w:r w:rsidR="003206E4" w:rsidRPr="001A4B94">
              <w:rPr>
                <w:sz w:val="20"/>
                <w:szCs w:val="20"/>
                <w:lang w:val="tr-TR"/>
              </w:rPr>
              <w:t>üretilen</w:t>
            </w:r>
            <w:r w:rsidRPr="001A4B94">
              <w:rPr>
                <w:sz w:val="20"/>
                <w:szCs w:val="20"/>
                <w:lang w:val="tr-TR"/>
              </w:rPr>
              <w:t xml:space="preserve"> </w:t>
            </w:r>
            <w:r w:rsidR="003206E4" w:rsidRPr="001A4B94">
              <w:rPr>
                <w:sz w:val="20"/>
                <w:szCs w:val="20"/>
                <w:lang w:val="tr-TR"/>
              </w:rPr>
              <w:t>yenilenebilir</w:t>
            </w:r>
            <w:r w:rsidRPr="001A4B94">
              <w:rPr>
                <w:sz w:val="20"/>
                <w:szCs w:val="20"/>
                <w:lang w:val="tr-TR"/>
              </w:rPr>
              <w:t xml:space="preserve"> enerji </w:t>
            </w:r>
            <w:r w:rsidR="00720F20" w:rsidRPr="001A4B94">
              <w:rPr>
                <w:sz w:val="20"/>
                <w:szCs w:val="20"/>
                <w:lang w:val="tr-TR"/>
              </w:rPr>
              <w:t>(MWh/y</w:t>
            </w:r>
            <w:r w:rsidRPr="001A4B94">
              <w:rPr>
                <w:sz w:val="20"/>
                <w:szCs w:val="20"/>
                <w:lang w:val="tr-TR"/>
              </w:rPr>
              <w:t>ıl</w:t>
            </w:r>
            <w:r w:rsidR="00720F20" w:rsidRPr="001A4B94">
              <w:rPr>
                <w:sz w:val="20"/>
                <w:szCs w:val="20"/>
                <w:lang w:val="tr-TR"/>
              </w:rPr>
              <w:t>)</w:t>
            </w:r>
          </w:p>
          <w:p w14:paraId="6961074B" w14:textId="3CD3EF72" w:rsidR="00720F20" w:rsidRPr="001A4B94" w:rsidRDefault="007829C3" w:rsidP="00720F20">
            <w:pPr>
              <w:tabs>
                <w:tab w:val="left" w:pos="426"/>
              </w:tabs>
              <w:rPr>
                <w:sz w:val="20"/>
                <w:szCs w:val="20"/>
                <w:lang w:val="tr-TR"/>
              </w:rPr>
            </w:pPr>
            <w:r w:rsidRPr="001A4B94">
              <w:rPr>
                <w:b/>
                <w:sz w:val="20"/>
                <w:szCs w:val="20"/>
                <w:lang w:val="tr-TR"/>
              </w:rPr>
              <w:t>Başlangıç Durumu</w:t>
            </w:r>
            <w:r w:rsidR="00720F20" w:rsidRPr="001A4B94">
              <w:rPr>
                <w:sz w:val="20"/>
                <w:szCs w:val="20"/>
                <w:lang w:val="tr-TR"/>
              </w:rPr>
              <w:t xml:space="preserve">: </w:t>
            </w:r>
            <w:r w:rsidR="002500D9" w:rsidRPr="001A4B94">
              <w:rPr>
                <w:sz w:val="20"/>
                <w:szCs w:val="20"/>
                <w:lang w:val="tr-TR"/>
              </w:rPr>
              <w:t xml:space="preserve">2016 yılında </w:t>
            </w:r>
            <w:r w:rsidR="00720F20" w:rsidRPr="001A4B94">
              <w:rPr>
                <w:sz w:val="20"/>
                <w:szCs w:val="20"/>
                <w:lang w:val="tr-TR"/>
              </w:rPr>
              <w:t xml:space="preserve">0 </w:t>
            </w:r>
          </w:p>
          <w:p w14:paraId="4A61C813" w14:textId="06319E26" w:rsidR="00720F20" w:rsidRPr="001A4B94" w:rsidRDefault="007829C3" w:rsidP="00720F20">
            <w:pPr>
              <w:tabs>
                <w:tab w:val="left" w:pos="426"/>
              </w:tabs>
              <w:rPr>
                <w:sz w:val="20"/>
                <w:szCs w:val="20"/>
                <w:lang w:val="tr-TR"/>
              </w:rPr>
            </w:pPr>
            <w:r w:rsidRPr="001A4B94">
              <w:rPr>
                <w:b/>
                <w:sz w:val="20"/>
                <w:szCs w:val="20"/>
                <w:lang w:val="tr-TR"/>
              </w:rPr>
              <w:t>Hedef</w:t>
            </w:r>
            <w:r w:rsidR="00720F20" w:rsidRPr="001A4B94">
              <w:rPr>
                <w:b/>
                <w:sz w:val="20"/>
                <w:szCs w:val="20"/>
                <w:lang w:val="tr-TR"/>
              </w:rPr>
              <w:t>:</w:t>
            </w:r>
            <w:r w:rsidR="00720F20" w:rsidRPr="001A4B94">
              <w:rPr>
                <w:sz w:val="20"/>
                <w:szCs w:val="20"/>
                <w:lang w:val="tr-TR"/>
              </w:rPr>
              <w:t xml:space="preserve"> </w:t>
            </w:r>
            <w:r w:rsidR="002500D9" w:rsidRPr="001A4B94">
              <w:rPr>
                <w:sz w:val="20"/>
                <w:szCs w:val="20"/>
                <w:lang w:val="tr-TR"/>
              </w:rPr>
              <w:t xml:space="preserve">2017 MY’da </w:t>
            </w:r>
            <w:r w:rsidR="00720F20" w:rsidRPr="001A4B94">
              <w:rPr>
                <w:sz w:val="20"/>
                <w:szCs w:val="20"/>
                <w:lang w:val="tr-TR"/>
              </w:rPr>
              <w:t>200</w:t>
            </w:r>
            <w:r w:rsidR="002500D9" w:rsidRPr="001A4B94">
              <w:rPr>
                <w:sz w:val="20"/>
                <w:szCs w:val="20"/>
                <w:lang w:val="tr-TR"/>
              </w:rPr>
              <w:t>.</w:t>
            </w:r>
            <w:r w:rsidR="00720F20" w:rsidRPr="001A4B94">
              <w:rPr>
                <w:sz w:val="20"/>
                <w:szCs w:val="20"/>
                <w:lang w:val="tr-TR"/>
              </w:rPr>
              <w:t xml:space="preserve">000 </w:t>
            </w:r>
          </w:p>
          <w:p w14:paraId="24455619" w14:textId="77777777" w:rsidR="00720F20" w:rsidRPr="001A4B94" w:rsidRDefault="00720F20" w:rsidP="00720F20">
            <w:pPr>
              <w:tabs>
                <w:tab w:val="left" w:pos="426"/>
              </w:tabs>
              <w:rPr>
                <w:sz w:val="20"/>
                <w:szCs w:val="20"/>
                <w:lang w:val="tr-TR"/>
              </w:rPr>
            </w:pPr>
          </w:p>
          <w:p w14:paraId="1304C4B7" w14:textId="47173B46" w:rsidR="00720F20" w:rsidRPr="001A4B94" w:rsidRDefault="00695C4F" w:rsidP="00720F20">
            <w:pPr>
              <w:tabs>
                <w:tab w:val="left" w:pos="426"/>
              </w:tabs>
              <w:rPr>
                <w:sz w:val="20"/>
                <w:szCs w:val="20"/>
                <w:lang w:val="tr-TR"/>
              </w:rPr>
            </w:pPr>
            <w:r w:rsidRPr="001A4B94">
              <w:rPr>
                <w:sz w:val="20"/>
                <w:szCs w:val="20"/>
                <w:lang w:val="tr-TR"/>
              </w:rPr>
              <w:t xml:space="preserve">REIP kapsamında finanse edilen trafo merkezlerine bağlanan santrallerde üretilen rüzgar enerjisine dayalı elektrik </w:t>
            </w:r>
            <w:r w:rsidR="00720F20" w:rsidRPr="001A4B94">
              <w:rPr>
                <w:sz w:val="20"/>
                <w:szCs w:val="20"/>
                <w:lang w:val="tr-TR"/>
              </w:rPr>
              <w:t>(MWh/y</w:t>
            </w:r>
            <w:r w:rsidRPr="001A4B94">
              <w:rPr>
                <w:sz w:val="20"/>
                <w:szCs w:val="20"/>
                <w:lang w:val="tr-TR"/>
              </w:rPr>
              <w:t>ıl</w:t>
            </w:r>
            <w:r w:rsidR="00720F20" w:rsidRPr="001A4B94">
              <w:rPr>
                <w:sz w:val="20"/>
                <w:szCs w:val="20"/>
                <w:lang w:val="tr-TR"/>
              </w:rPr>
              <w:t>)</w:t>
            </w:r>
          </w:p>
          <w:p w14:paraId="38FB6CD5" w14:textId="18380984" w:rsidR="00720F20" w:rsidRPr="001A4B94" w:rsidRDefault="007829C3" w:rsidP="00720F20">
            <w:pPr>
              <w:tabs>
                <w:tab w:val="left" w:pos="426"/>
              </w:tabs>
              <w:rPr>
                <w:sz w:val="20"/>
                <w:szCs w:val="20"/>
                <w:lang w:val="tr-TR"/>
              </w:rPr>
            </w:pPr>
            <w:r w:rsidRPr="001A4B94">
              <w:rPr>
                <w:b/>
                <w:sz w:val="20"/>
                <w:szCs w:val="20"/>
                <w:lang w:val="tr-TR"/>
              </w:rPr>
              <w:t>Başlangıç Durumu</w:t>
            </w:r>
            <w:r w:rsidR="00720F20" w:rsidRPr="001A4B94">
              <w:rPr>
                <w:sz w:val="20"/>
                <w:szCs w:val="20"/>
                <w:lang w:val="tr-TR"/>
              </w:rPr>
              <w:t xml:space="preserve">: </w:t>
            </w:r>
            <w:r w:rsidR="00695C4F" w:rsidRPr="001A4B94">
              <w:rPr>
                <w:sz w:val="20"/>
                <w:szCs w:val="20"/>
                <w:lang w:val="tr-TR"/>
              </w:rPr>
              <w:t>2016 yılında 0</w:t>
            </w:r>
          </w:p>
          <w:p w14:paraId="208B04BE" w14:textId="622D4DE4" w:rsidR="00720F20" w:rsidRPr="001A4B94" w:rsidRDefault="007829C3" w:rsidP="00720F20">
            <w:pPr>
              <w:tabs>
                <w:tab w:val="left" w:pos="426"/>
              </w:tabs>
              <w:rPr>
                <w:sz w:val="20"/>
                <w:szCs w:val="20"/>
                <w:lang w:val="tr-TR"/>
              </w:rPr>
            </w:pPr>
            <w:r w:rsidRPr="001A4B94">
              <w:rPr>
                <w:b/>
                <w:sz w:val="20"/>
                <w:szCs w:val="20"/>
                <w:lang w:val="tr-TR"/>
              </w:rPr>
              <w:t>Hedef</w:t>
            </w:r>
            <w:r w:rsidR="00720F20" w:rsidRPr="001A4B94">
              <w:rPr>
                <w:b/>
                <w:sz w:val="20"/>
                <w:szCs w:val="20"/>
                <w:lang w:val="tr-TR"/>
              </w:rPr>
              <w:t>:</w:t>
            </w:r>
            <w:r w:rsidR="00720F20" w:rsidRPr="001A4B94">
              <w:rPr>
                <w:sz w:val="20"/>
                <w:szCs w:val="20"/>
                <w:lang w:val="tr-TR"/>
              </w:rPr>
              <w:t xml:space="preserve"> </w:t>
            </w:r>
            <w:r w:rsidR="00695C4F" w:rsidRPr="001A4B94">
              <w:rPr>
                <w:sz w:val="20"/>
                <w:szCs w:val="20"/>
                <w:lang w:val="tr-TR"/>
              </w:rPr>
              <w:t xml:space="preserve">2018 yılında </w:t>
            </w:r>
            <w:r w:rsidR="00720F20" w:rsidRPr="001A4B94">
              <w:rPr>
                <w:sz w:val="20"/>
                <w:szCs w:val="20"/>
                <w:lang w:val="tr-TR"/>
              </w:rPr>
              <w:t>1</w:t>
            </w:r>
            <w:r w:rsidR="00695C4F" w:rsidRPr="001A4B94">
              <w:rPr>
                <w:sz w:val="20"/>
                <w:szCs w:val="20"/>
                <w:lang w:val="tr-TR"/>
              </w:rPr>
              <w:t>.</w:t>
            </w:r>
            <w:r w:rsidR="00720F20" w:rsidRPr="001A4B94">
              <w:rPr>
                <w:sz w:val="20"/>
                <w:szCs w:val="20"/>
                <w:lang w:val="tr-TR"/>
              </w:rPr>
              <w:t xml:space="preserve">743 </w:t>
            </w:r>
          </w:p>
          <w:p w14:paraId="1041ACF1" w14:textId="77777777" w:rsidR="00720F20" w:rsidRPr="001A4B94" w:rsidRDefault="00720F20" w:rsidP="00720F20">
            <w:pPr>
              <w:tabs>
                <w:tab w:val="left" w:pos="426"/>
              </w:tabs>
              <w:rPr>
                <w:i/>
                <w:sz w:val="20"/>
                <w:szCs w:val="20"/>
                <w:lang w:val="tr-TR"/>
              </w:rPr>
            </w:pPr>
          </w:p>
          <w:p w14:paraId="42944AB4" w14:textId="591D7426" w:rsidR="00720F20" w:rsidRPr="001A4B94" w:rsidRDefault="00695C4F" w:rsidP="00720F20">
            <w:pPr>
              <w:tabs>
                <w:tab w:val="left" w:pos="426"/>
              </w:tabs>
              <w:rPr>
                <w:sz w:val="20"/>
                <w:szCs w:val="20"/>
                <w:lang w:val="tr-TR"/>
              </w:rPr>
            </w:pPr>
            <w:r w:rsidRPr="001A4B94">
              <w:rPr>
                <w:sz w:val="20"/>
                <w:szCs w:val="20"/>
                <w:lang w:val="tr-TR"/>
              </w:rPr>
              <w:t xml:space="preserve">IFC finansal hizmetleri yoluyla üretilen elektrik </w:t>
            </w:r>
            <w:r w:rsidR="00720F20" w:rsidRPr="001A4B94">
              <w:rPr>
                <w:sz w:val="20"/>
                <w:szCs w:val="20"/>
                <w:lang w:val="tr-TR"/>
              </w:rPr>
              <w:t xml:space="preserve">(GWh) </w:t>
            </w:r>
          </w:p>
          <w:p w14:paraId="4E02BB39" w14:textId="4A1549DE" w:rsidR="00720F20" w:rsidRPr="001A4B94" w:rsidRDefault="007829C3" w:rsidP="00720F20">
            <w:pPr>
              <w:tabs>
                <w:tab w:val="left" w:pos="426"/>
              </w:tabs>
              <w:rPr>
                <w:sz w:val="20"/>
                <w:szCs w:val="20"/>
                <w:lang w:val="tr-TR"/>
              </w:rPr>
            </w:pPr>
            <w:r w:rsidRPr="001A4B94">
              <w:rPr>
                <w:b/>
                <w:sz w:val="20"/>
                <w:szCs w:val="20"/>
                <w:lang w:val="tr-TR"/>
              </w:rPr>
              <w:t>Başlangıç Durumu</w:t>
            </w:r>
            <w:r w:rsidR="00720F20" w:rsidRPr="001A4B94">
              <w:rPr>
                <w:sz w:val="20"/>
                <w:szCs w:val="20"/>
                <w:lang w:val="tr-TR"/>
              </w:rPr>
              <w:t>: 16</w:t>
            </w:r>
            <w:r w:rsidR="00695C4F" w:rsidRPr="001A4B94">
              <w:rPr>
                <w:sz w:val="20"/>
                <w:szCs w:val="20"/>
                <w:lang w:val="tr-TR"/>
              </w:rPr>
              <w:t>.</w:t>
            </w:r>
            <w:r w:rsidR="00720F20" w:rsidRPr="001A4B94">
              <w:rPr>
                <w:sz w:val="20"/>
                <w:szCs w:val="20"/>
                <w:lang w:val="tr-TR"/>
              </w:rPr>
              <w:t>700 (2015)</w:t>
            </w:r>
          </w:p>
          <w:p w14:paraId="59D55FC2" w14:textId="7D56FF63" w:rsidR="00720F20" w:rsidRPr="001A4B94" w:rsidRDefault="007829C3" w:rsidP="00720F20">
            <w:pPr>
              <w:tabs>
                <w:tab w:val="left" w:pos="426"/>
              </w:tabs>
              <w:rPr>
                <w:sz w:val="20"/>
                <w:szCs w:val="20"/>
                <w:lang w:val="tr-TR"/>
              </w:rPr>
            </w:pPr>
            <w:r w:rsidRPr="001A4B94">
              <w:rPr>
                <w:b/>
                <w:sz w:val="20"/>
                <w:szCs w:val="20"/>
                <w:lang w:val="tr-TR"/>
              </w:rPr>
              <w:t>Hedef</w:t>
            </w:r>
            <w:r w:rsidR="00720F20" w:rsidRPr="001A4B94">
              <w:rPr>
                <w:sz w:val="20"/>
                <w:szCs w:val="20"/>
                <w:lang w:val="tr-TR"/>
              </w:rPr>
              <w:t>: 34</w:t>
            </w:r>
            <w:r w:rsidR="00695C4F" w:rsidRPr="001A4B94">
              <w:rPr>
                <w:sz w:val="20"/>
                <w:szCs w:val="20"/>
                <w:lang w:val="tr-TR"/>
              </w:rPr>
              <w:t>.</w:t>
            </w:r>
            <w:r w:rsidR="00720F20" w:rsidRPr="001A4B94">
              <w:rPr>
                <w:sz w:val="20"/>
                <w:szCs w:val="20"/>
                <w:lang w:val="tr-TR"/>
              </w:rPr>
              <w:t>600 (2019)</w:t>
            </w:r>
          </w:p>
          <w:p w14:paraId="69C77E73" w14:textId="77777777" w:rsidR="00720F20" w:rsidRPr="001A4B94" w:rsidRDefault="00720F20" w:rsidP="00720F20">
            <w:pPr>
              <w:tabs>
                <w:tab w:val="left" w:pos="426"/>
              </w:tabs>
              <w:rPr>
                <w:sz w:val="20"/>
                <w:szCs w:val="20"/>
                <w:lang w:val="tr-TR"/>
              </w:rPr>
            </w:pPr>
          </w:p>
          <w:p w14:paraId="254AEDFA" w14:textId="716FA46F" w:rsidR="00720F20" w:rsidRPr="001A4B94" w:rsidRDefault="00695C4F" w:rsidP="00720F20">
            <w:pPr>
              <w:tabs>
                <w:tab w:val="left" w:pos="426"/>
              </w:tabs>
              <w:rPr>
                <w:sz w:val="20"/>
                <w:szCs w:val="20"/>
                <w:lang w:val="tr-TR"/>
              </w:rPr>
            </w:pPr>
            <w:r w:rsidRPr="001A4B94">
              <w:rPr>
                <w:sz w:val="20"/>
                <w:szCs w:val="20"/>
                <w:lang w:val="tr-TR"/>
              </w:rPr>
              <w:t xml:space="preserve">BOTAŞ’ın </w:t>
            </w:r>
            <w:r w:rsidR="003206E4" w:rsidRPr="001A4B94">
              <w:rPr>
                <w:sz w:val="20"/>
                <w:szCs w:val="20"/>
                <w:lang w:val="tr-TR"/>
              </w:rPr>
              <w:t>yeniden</w:t>
            </w:r>
            <w:r w:rsidRPr="001A4B94">
              <w:rPr>
                <w:sz w:val="20"/>
                <w:szCs w:val="20"/>
                <w:lang w:val="tr-TR"/>
              </w:rPr>
              <w:t xml:space="preserve"> yapılandırılması </w:t>
            </w:r>
            <w:r w:rsidR="00720F20" w:rsidRPr="001A4B94">
              <w:rPr>
                <w:sz w:val="20"/>
                <w:szCs w:val="20"/>
                <w:lang w:val="tr-TR"/>
              </w:rPr>
              <w:t xml:space="preserve"> </w:t>
            </w:r>
          </w:p>
          <w:p w14:paraId="46984E63" w14:textId="0B1803C8" w:rsidR="00720F20" w:rsidRPr="001A4B94" w:rsidRDefault="007829C3" w:rsidP="00720F20">
            <w:pPr>
              <w:tabs>
                <w:tab w:val="left" w:pos="426"/>
              </w:tabs>
              <w:rPr>
                <w:sz w:val="20"/>
                <w:szCs w:val="20"/>
                <w:lang w:val="tr-TR"/>
              </w:rPr>
            </w:pPr>
            <w:r w:rsidRPr="001A4B94">
              <w:rPr>
                <w:b/>
                <w:sz w:val="20"/>
                <w:szCs w:val="20"/>
                <w:lang w:val="tr-TR"/>
              </w:rPr>
              <w:t>Başlangıç Durumu</w:t>
            </w:r>
            <w:r w:rsidR="00720F20" w:rsidRPr="001A4B94">
              <w:rPr>
                <w:b/>
                <w:sz w:val="20"/>
                <w:szCs w:val="20"/>
                <w:lang w:val="tr-TR"/>
              </w:rPr>
              <w:t>:</w:t>
            </w:r>
            <w:r w:rsidR="00720F20" w:rsidRPr="001A4B94">
              <w:rPr>
                <w:sz w:val="20"/>
                <w:szCs w:val="20"/>
                <w:lang w:val="tr-TR"/>
              </w:rPr>
              <w:t xml:space="preserve"> 2016</w:t>
            </w:r>
            <w:r w:rsidR="00695C4F" w:rsidRPr="001A4B94">
              <w:rPr>
                <w:sz w:val="20"/>
                <w:szCs w:val="20"/>
                <w:lang w:val="tr-TR"/>
              </w:rPr>
              <w:t xml:space="preserve"> yılında yok </w:t>
            </w:r>
          </w:p>
          <w:p w14:paraId="5C03F924" w14:textId="7AB81CE1" w:rsidR="00720F20" w:rsidRPr="001A4B94" w:rsidRDefault="007829C3" w:rsidP="00720F20">
            <w:pPr>
              <w:tabs>
                <w:tab w:val="left" w:pos="426"/>
              </w:tabs>
              <w:rPr>
                <w:sz w:val="20"/>
                <w:szCs w:val="20"/>
                <w:lang w:val="tr-TR"/>
              </w:rPr>
            </w:pPr>
            <w:r w:rsidRPr="001A4B94">
              <w:rPr>
                <w:b/>
                <w:sz w:val="20"/>
                <w:szCs w:val="20"/>
                <w:lang w:val="tr-TR"/>
              </w:rPr>
              <w:t>Hedef</w:t>
            </w:r>
            <w:r w:rsidR="00720F20" w:rsidRPr="001A4B94">
              <w:rPr>
                <w:b/>
                <w:sz w:val="20"/>
                <w:szCs w:val="20"/>
                <w:lang w:val="tr-TR"/>
              </w:rPr>
              <w:t xml:space="preserve">: </w:t>
            </w:r>
            <w:r w:rsidR="003206E4" w:rsidRPr="001A4B94">
              <w:rPr>
                <w:sz w:val="20"/>
                <w:szCs w:val="20"/>
                <w:lang w:val="tr-TR"/>
              </w:rPr>
              <w:t>2021 yılında var</w:t>
            </w:r>
            <w:r w:rsidR="003206E4" w:rsidRPr="001A4B94">
              <w:rPr>
                <w:b/>
                <w:sz w:val="20"/>
                <w:szCs w:val="20"/>
                <w:lang w:val="tr-TR"/>
              </w:rPr>
              <w:t xml:space="preserve"> </w:t>
            </w:r>
          </w:p>
          <w:p w14:paraId="1F79B75E" w14:textId="77777777" w:rsidR="00720F20" w:rsidRPr="001A4B94" w:rsidRDefault="00720F20" w:rsidP="00720F20">
            <w:pPr>
              <w:tabs>
                <w:tab w:val="left" w:pos="426"/>
              </w:tabs>
              <w:rPr>
                <w:sz w:val="20"/>
                <w:szCs w:val="20"/>
                <w:lang w:val="tr-TR"/>
              </w:rPr>
            </w:pPr>
          </w:p>
          <w:p w14:paraId="1B7C4A19" w14:textId="1C47B960" w:rsidR="00720F20" w:rsidRPr="001A4B94" w:rsidRDefault="003206E4" w:rsidP="00720F20">
            <w:pPr>
              <w:tabs>
                <w:tab w:val="left" w:pos="426"/>
              </w:tabs>
              <w:rPr>
                <w:sz w:val="20"/>
                <w:szCs w:val="20"/>
                <w:lang w:val="tr-TR"/>
              </w:rPr>
            </w:pPr>
            <w:r w:rsidRPr="001A4B94">
              <w:rPr>
                <w:sz w:val="20"/>
                <w:szCs w:val="20"/>
                <w:lang w:val="tr-TR"/>
              </w:rPr>
              <w:t xml:space="preserve">Gaz Ticaret Platformunun kurulması yoluyla geliştirilen ve daha şeffaf hale getirilen toptan satış gaz ticareti </w:t>
            </w:r>
          </w:p>
          <w:p w14:paraId="0A33565C" w14:textId="7712CB8C" w:rsidR="00720F20" w:rsidRPr="001A4B94" w:rsidRDefault="007829C3" w:rsidP="00720F20">
            <w:pPr>
              <w:tabs>
                <w:tab w:val="left" w:pos="426"/>
              </w:tabs>
              <w:rPr>
                <w:sz w:val="20"/>
                <w:szCs w:val="20"/>
                <w:lang w:val="tr-TR"/>
              </w:rPr>
            </w:pPr>
            <w:r w:rsidRPr="001A4B94">
              <w:rPr>
                <w:b/>
                <w:sz w:val="20"/>
                <w:szCs w:val="20"/>
                <w:lang w:val="tr-TR"/>
              </w:rPr>
              <w:t>Başlangıç Durumu</w:t>
            </w:r>
            <w:r w:rsidR="00720F20" w:rsidRPr="001A4B94">
              <w:rPr>
                <w:b/>
                <w:sz w:val="20"/>
                <w:szCs w:val="20"/>
                <w:lang w:val="tr-TR"/>
              </w:rPr>
              <w:t>:</w:t>
            </w:r>
            <w:r w:rsidR="00720F20" w:rsidRPr="001A4B94">
              <w:rPr>
                <w:sz w:val="20"/>
                <w:szCs w:val="20"/>
                <w:lang w:val="tr-TR"/>
              </w:rPr>
              <w:t xml:space="preserve"> </w:t>
            </w:r>
            <w:r w:rsidR="003206E4" w:rsidRPr="001A4B94">
              <w:rPr>
                <w:sz w:val="20"/>
                <w:szCs w:val="20"/>
                <w:lang w:val="tr-TR"/>
              </w:rPr>
              <w:t>2016 yılında yok</w:t>
            </w:r>
          </w:p>
          <w:p w14:paraId="6E84C084" w14:textId="12315CB3" w:rsidR="00720F20" w:rsidRPr="001A4B94" w:rsidRDefault="007829C3" w:rsidP="00720F20">
            <w:pPr>
              <w:tabs>
                <w:tab w:val="left" w:pos="426"/>
              </w:tabs>
              <w:rPr>
                <w:sz w:val="20"/>
                <w:szCs w:val="20"/>
                <w:lang w:val="tr-TR"/>
              </w:rPr>
            </w:pPr>
            <w:r w:rsidRPr="001A4B94">
              <w:rPr>
                <w:b/>
                <w:sz w:val="20"/>
                <w:szCs w:val="20"/>
                <w:lang w:val="tr-TR"/>
              </w:rPr>
              <w:t>Hedef</w:t>
            </w:r>
            <w:r w:rsidR="00720F20" w:rsidRPr="001A4B94">
              <w:rPr>
                <w:b/>
                <w:sz w:val="20"/>
                <w:szCs w:val="20"/>
                <w:lang w:val="tr-TR"/>
              </w:rPr>
              <w:t>:</w:t>
            </w:r>
            <w:r w:rsidR="00720F20" w:rsidRPr="001A4B94">
              <w:rPr>
                <w:sz w:val="20"/>
                <w:szCs w:val="20"/>
                <w:lang w:val="tr-TR"/>
              </w:rPr>
              <w:t xml:space="preserve"> </w:t>
            </w:r>
            <w:r w:rsidR="003206E4" w:rsidRPr="001A4B94">
              <w:rPr>
                <w:sz w:val="20"/>
                <w:szCs w:val="20"/>
                <w:lang w:val="tr-TR"/>
              </w:rPr>
              <w:t>2021 yılında var</w:t>
            </w:r>
          </w:p>
          <w:p w14:paraId="75DA7186" w14:textId="77777777" w:rsidR="00720F20" w:rsidRPr="001A4B94" w:rsidRDefault="00720F20" w:rsidP="00720F20">
            <w:pPr>
              <w:tabs>
                <w:tab w:val="left" w:pos="426"/>
              </w:tabs>
              <w:rPr>
                <w:sz w:val="20"/>
                <w:szCs w:val="20"/>
                <w:lang w:val="tr-TR"/>
              </w:rPr>
            </w:pPr>
          </w:p>
          <w:p w14:paraId="58421F55" w14:textId="3D19559D" w:rsidR="00720F20" w:rsidRPr="001A4B94" w:rsidRDefault="003206E4" w:rsidP="00720F20">
            <w:pPr>
              <w:tabs>
                <w:tab w:val="left" w:pos="426"/>
              </w:tabs>
              <w:rPr>
                <w:sz w:val="20"/>
                <w:szCs w:val="20"/>
                <w:lang w:val="tr-TR"/>
              </w:rPr>
            </w:pPr>
            <w:r w:rsidRPr="001A4B94">
              <w:rPr>
                <w:sz w:val="20"/>
                <w:szCs w:val="20"/>
                <w:lang w:val="tr-TR"/>
              </w:rPr>
              <w:t xml:space="preserve">Doğal Gaz Piyasası Kanununda değişiklikler yapılarak, Türkiye doğal gaz piyasasındaki yasal, düzenleyici ve kurumsal ortamın iyileştirilmesi </w:t>
            </w:r>
          </w:p>
          <w:p w14:paraId="31887511" w14:textId="77777777" w:rsidR="003206E4" w:rsidRPr="001A4B94" w:rsidRDefault="003206E4" w:rsidP="003206E4">
            <w:pPr>
              <w:tabs>
                <w:tab w:val="left" w:pos="426"/>
              </w:tabs>
              <w:rPr>
                <w:sz w:val="20"/>
                <w:szCs w:val="20"/>
                <w:lang w:val="tr-TR"/>
              </w:rPr>
            </w:pPr>
            <w:r w:rsidRPr="001A4B94">
              <w:rPr>
                <w:b/>
                <w:sz w:val="20"/>
                <w:szCs w:val="20"/>
                <w:lang w:val="tr-TR"/>
              </w:rPr>
              <w:t>Başlangıç Durumu:</w:t>
            </w:r>
            <w:r w:rsidRPr="001A4B94">
              <w:rPr>
                <w:sz w:val="20"/>
                <w:szCs w:val="20"/>
                <w:lang w:val="tr-TR"/>
              </w:rPr>
              <w:t xml:space="preserve"> 2016 yılında yok</w:t>
            </w:r>
          </w:p>
          <w:p w14:paraId="3EF1CA80" w14:textId="5B73E82E" w:rsidR="00720F20" w:rsidRPr="001A4B94" w:rsidRDefault="003206E4" w:rsidP="006E2AC3">
            <w:pPr>
              <w:tabs>
                <w:tab w:val="left" w:pos="426"/>
              </w:tabs>
              <w:rPr>
                <w:sz w:val="20"/>
                <w:szCs w:val="20"/>
                <w:lang w:val="tr-TR"/>
              </w:rPr>
            </w:pPr>
            <w:r w:rsidRPr="001A4B94">
              <w:rPr>
                <w:b/>
                <w:sz w:val="20"/>
                <w:szCs w:val="20"/>
                <w:lang w:val="tr-TR"/>
              </w:rPr>
              <w:t>Hedef:</w:t>
            </w:r>
            <w:r w:rsidRPr="001A4B94">
              <w:rPr>
                <w:sz w:val="20"/>
                <w:szCs w:val="20"/>
                <w:lang w:val="tr-TR"/>
              </w:rPr>
              <w:t xml:space="preserve"> 2021 yılında var</w:t>
            </w:r>
          </w:p>
        </w:tc>
        <w:tc>
          <w:tcPr>
            <w:tcW w:w="4860" w:type="dxa"/>
          </w:tcPr>
          <w:p w14:paraId="77AB2A27" w14:textId="3DFDB832" w:rsidR="00720F20" w:rsidRPr="001A4B94" w:rsidRDefault="003206E4" w:rsidP="00720F20">
            <w:pPr>
              <w:rPr>
                <w:b/>
                <w:sz w:val="20"/>
                <w:szCs w:val="20"/>
                <w:lang w:val="tr-TR"/>
              </w:rPr>
            </w:pPr>
            <w:r w:rsidRPr="001A4B94">
              <w:rPr>
                <w:b/>
                <w:sz w:val="20"/>
                <w:szCs w:val="20"/>
                <w:lang w:val="tr-TR"/>
              </w:rPr>
              <w:t>Devam eden finansman</w:t>
            </w:r>
            <w:r w:rsidR="00720F20" w:rsidRPr="001A4B94">
              <w:rPr>
                <w:b/>
                <w:sz w:val="20"/>
                <w:szCs w:val="20"/>
                <w:lang w:val="tr-TR"/>
              </w:rPr>
              <w:t>:</w:t>
            </w:r>
          </w:p>
          <w:p w14:paraId="7C7D0CBB" w14:textId="47972D69" w:rsidR="00720F20" w:rsidRPr="001A4B94" w:rsidRDefault="003206E4" w:rsidP="00720F20">
            <w:pPr>
              <w:rPr>
                <w:sz w:val="20"/>
                <w:szCs w:val="20"/>
                <w:lang w:val="tr-TR"/>
              </w:rPr>
            </w:pPr>
            <w:r w:rsidRPr="001A4B94">
              <w:rPr>
                <w:sz w:val="20"/>
                <w:szCs w:val="20"/>
                <w:lang w:val="tr-TR"/>
              </w:rPr>
              <w:t xml:space="preserve">Gaz Sektörü Geliştirme Projesi </w:t>
            </w:r>
          </w:p>
          <w:p w14:paraId="645E57CB" w14:textId="59C1CC1A" w:rsidR="00720F20" w:rsidRPr="001A4B94" w:rsidRDefault="00B54147" w:rsidP="00720F20">
            <w:pPr>
              <w:rPr>
                <w:sz w:val="20"/>
                <w:szCs w:val="20"/>
                <w:lang w:val="tr-TR"/>
              </w:rPr>
            </w:pPr>
            <w:r w:rsidRPr="001A4B94">
              <w:rPr>
                <w:sz w:val="20"/>
                <w:szCs w:val="20"/>
                <w:lang w:val="tr-TR"/>
              </w:rPr>
              <w:t xml:space="preserve">Yenilenebilir Enerji Entegrasyon </w:t>
            </w:r>
            <w:r w:rsidR="00720F20" w:rsidRPr="001A4B94">
              <w:rPr>
                <w:sz w:val="20"/>
                <w:szCs w:val="20"/>
                <w:lang w:val="tr-TR"/>
              </w:rPr>
              <w:t>Proje</w:t>
            </w:r>
            <w:r w:rsidRPr="001A4B94">
              <w:rPr>
                <w:sz w:val="20"/>
                <w:szCs w:val="20"/>
                <w:lang w:val="tr-TR"/>
              </w:rPr>
              <w:t>si</w:t>
            </w:r>
          </w:p>
          <w:p w14:paraId="125AFC50" w14:textId="0902BE5B" w:rsidR="00720F20" w:rsidRPr="001A4B94" w:rsidRDefault="00B54147" w:rsidP="00720F20">
            <w:pPr>
              <w:rPr>
                <w:sz w:val="20"/>
                <w:szCs w:val="20"/>
                <w:lang w:val="tr-TR"/>
              </w:rPr>
            </w:pPr>
            <w:r w:rsidRPr="001A4B94">
              <w:rPr>
                <w:sz w:val="20"/>
                <w:szCs w:val="20"/>
                <w:lang w:val="tr-TR"/>
              </w:rPr>
              <w:t xml:space="preserve">KOBİ Enerji Verimliliği Projesi </w:t>
            </w:r>
          </w:p>
          <w:p w14:paraId="478E3C50" w14:textId="616EFB3D" w:rsidR="00720F20" w:rsidRPr="001A4B94" w:rsidRDefault="00B54147" w:rsidP="00720F20">
            <w:pPr>
              <w:rPr>
                <w:sz w:val="20"/>
                <w:szCs w:val="20"/>
                <w:lang w:val="tr-TR"/>
              </w:rPr>
            </w:pPr>
            <w:r w:rsidRPr="001A4B94">
              <w:rPr>
                <w:sz w:val="20"/>
                <w:szCs w:val="20"/>
                <w:lang w:val="tr-TR"/>
              </w:rPr>
              <w:t>Özel Sektör Yenilenebilir Enerji  ve Enerji Verimliliği Projesi</w:t>
            </w:r>
          </w:p>
          <w:p w14:paraId="1956B98E" w14:textId="77777777" w:rsidR="00720F20" w:rsidRPr="001A4B94" w:rsidRDefault="00720F20" w:rsidP="00720F20">
            <w:pPr>
              <w:rPr>
                <w:sz w:val="20"/>
                <w:szCs w:val="20"/>
                <w:lang w:val="tr-TR"/>
              </w:rPr>
            </w:pPr>
          </w:p>
          <w:p w14:paraId="2F1949B0" w14:textId="688A006B" w:rsidR="00720F20" w:rsidRPr="001A4B94" w:rsidRDefault="00B54147" w:rsidP="00720F20">
            <w:pPr>
              <w:rPr>
                <w:b/>
                <w:sz w:val="20"/>
                <w:szCs w:val="20"/>
                <w:lang w:val="tr-TR"/>
              </w:rPr>
            </w:pPr>
            <w:r w:rsidRPr="001A4B94">
              <w:rPr>
                <w:b/>
                <w:sz w:val="20"/>
                <w:szCs w:val="20"/>
                <w:lang w:val="tr-TR"/>
              </w:rPr>
              <w:t>Yeni Finansman</w:t>
            </w:r>
            <w:r w:rsidR="00720F20" w:rsidRPr="001A4B94">
              <w:rPr>
                <w:b/>
                <w:sz w:val="20"/>
                <w:szCs w:val="20"/>
                <w:lang w:val="tr-TR"/>
              </w:rPr>
              <w:t>:</w:t>
            </w:r>
          </w:p>
          <w:p w14:paraId="782CBB40" w14:textId="77777777" w:rsidR="00720F20" w:rsidRPr="001A4B94" w:rsidRDefault="00720F20" w:rsidP="00720F20">
            <w:pPr>
              <w:rPr>
                <w:sz w:val="20"/>
                <w:szCs w:val="20"/>
                <w:lang w:val="tr-TR"/>
              </w:rPr>
            </w:pPr>
            <w:r w:rsidRPr="001A4B94">
              <w:rPr>
                <w:sz w:val="20"/>
                <w:szCs w:val="20"/>
                <w:lang w:val="tr-TR"/>
              </w:rPr>
              <w:t>TANAP</w:t>
            </w:r>
          </w:p>
          <w:p w14:paraId="6718900B" w14:textId="23ACCAAB" w:rsidR="00720F20" w:rsidRPr="001A4B94" w:rsidRDefault="00B54147" w:rsidP="00720F20">
            <w:pPr>
              <w:rPr>
                <w:sz w:val="20"/>
                <w:szCs w:val="20"/>
                <w:lang w:val="tr-TR"/>
              </w:rPr>
            </w:pPr>
            <w:r w:rsidRPr="001A4B94">
              <w:rPr>
                <w:sz w:val="20"/>
                <w:szCs w:val="20"/>
                <w:lang w:val="tr-TR"/>
              </w:rPr>
              <w:t>Jeotermal Geliştirme Projesi</w:t>
            </w:r>
          </w:p>
          <w:p w14:paraId="345AD156" w14:textId="50259ECA" w:rsidR="00720F20" w:rsidRPr="001A4B94" w:rsidRDefault="00B54147" w:rsidP="00720F20">
            <w:pPr>
              <w:rPr>
                <w:sz w:val="20"/>
                <w:szCs w:val="20"/>
                <w:lang w:val="tr-TR"/>
              </w:rPr>
            </w:pPr>
            <w:r w:rsidRPr="001A4B94">
              <w:rPr>
                <w:sz w:val="20"/>
                <w:szCs w:val="20"/>
                <w:lang w:val="tr-TR"/>
              </w:rPr>
              <w:t xml:space="preserve">Yeni </w:t>
            </w:r>
            <w:r w:rsidR="00720F20" w:rsidRPr="001A4B94">
              <w:rPr>
                <w:sz w:val="20"/>
                <w:szCs w:val="20"/>
                <w:lang w:val="tr-TR"/>
              </w:rPr>
              <w:t>DPL</w:t>
            </w:r>
            <w:r w:rsidRPr="001A4B94">
              <w:rPr>
                <w:sz w:val="20"/>
                <w:szCs w:val="20"/>
                <w:lang w:val="tr-TR"/>
              </w:rPr>
              <w:t xml:space="preserve">’ler </w:t>
            </w:r>
          </w:p>
          <w:p w14:paraId="1B1D93D5" w14:textId="64AC73B6" w:rsidR="00720F20" w:rsidRPr="001A4B94" w:rsidRDefault="00B54147" w:rsidP="00720F20">
            <w:pPr>
              <w:rPr>
                <w:sz w:val="20"/>
                <w:szCs w:val="20"/>
                <w:lang w:val="tr-TR"/>
              </w:rPr>
            </w:pPr>
            <w:r w:rsidRPr="001A4B94">
              <w:rPr>
                <w:sz w:val="20"/>
                <w:szCs w:val="20"/>
                <w:lang w:val="tr-TR"/>
              </w:rPr>
              <w:t xml:space="preserve">Gaz Depolama Kapasitesinin Arttırılması Projesi </w:t>
            </w:r>
          </w:p>
          <w:p w14:paraId="58BCFFB6" w14:textId="3D77810D" w:rsidR="00720F20" w:rsidRPr="001A4B94" w:rsidRDefault="00B54147" w:rsidP="00720F20">
            <w:pPr>
              <w:rPr>
                <w:sz w:val="20"/>
                <w:szCs w:val="20"/>
                <w:lang w:val="tr-TR"/>
              </w:rPr>
            </w:pPr>
            <w:r w:rsidRPr="001A4B94">
              <w:rPr>
                <w:sz w:val="20"/>
                <w:szCs w:val="20"/>
                <w:lang w:val="tr-TR"/>
              </w:rPr>
              <w:t>Yeni enerji sektörü proje</w:t>
            </w:r>
            <w:r w:rsidR="00720F20" w:rsidRPr="001A4B94">
              <w:rPr>
                <w:sz w:val="20"/>
                <w:szCs w:val="20"/>
                <w:lang w:val="tr-TR"/>
              </w:rPr>
              <w:t>(</w:t>
            </w:r>
            <w:r w:rsidRPr="001A4B94">
              <w:rPr>
                <w:sz w:val="20"/>
                <w:szCs w:val="20"/>
                <w:lang w:val="tr-TR"/>
              </w:rPr>
              <w:t>leri</w:t>
            </w:r>
            <w:r w:rsidR="00720F20" w:rsidRPr="001A4B94">
              <w:rPr>
                <w:sz w:val="20"/>
                <w:szCs w:val="20"/>
                <w:lang w:val="tr-TR"/>
              </w:rPr>
              <w:t>)</w:t>
            </w:r>
          </w:p>
          <w:p w14:paraId="65AABED5" w14:textId="77777777" w:rsidR="00720F20" w:rsidRPr="001A4B94" w:rsidRDefault="00720F20" w:rsidP="00720F20">
            <w:pPr>
              <w:rPr>
                <w:sz w:val="20"/>
                <w:szCs w:val="20"/>
                <w:lang w:val="tr-TR"/>
              </w:rPr>
            </w:pPr>
          </w:p>
          <w:p w14:paraId="6267E9C9" w14:textId="5B37E464" w:rsidR="00720F20" w:rsidRPr="001A4B94" w:rsidRDefault="00B54147" w:rsidP="00B54147">
            <w:pPr>
              <w:ind w:right="-199"/>
              <w:rPr>
                <w:b/>
                <w:sz w:val="20"/>
                <w:szCs w:val="20"/>
                <w:lang w:val="tr-TR"/>
              </w:rPr>
            </w:pPr>
            <w:r w:rsidRPr="001A4B94">
              <w:rPr>
                <w:b/>
                <w:sz w:val="20"/>
                <w:szCs w:val="20"/>
                <w:lang w:val="tr-TR"/>
              </w:rPr>
              <w:t>Danışmanlık Hizmetleri ve Analitik Çalışmalar (ASA):</w:t>
            </w:r>
          </w:p>
          <w:p w14:paraId="4780C040" w14:textId="69FF541D" w:rsidR="00720F20" w:rsidRPr="001A4B94" w:rsidRDefault="0064593C" w:rsidP="00720F20">
            <w:pPr>
              <w:rPr>
                <w:sz w:val="20"/>
                <w:szCs w:val="20"/>
                <w:lang w:val="tr-TR"/>
              </w:rPr>
            </w:pPr>
            <w:r w:rsidRPr="001A4B94">
              <w:rPr>
                <w:sz w:val="20"/>
                <w:szCs w:val="20"/>
                <w:lang w:val="tr-TR"/>
              </w:rPr>
              <w:t xml:space="preserve">Çatı Üstü Fotovoltaik Güneş Enerjisi Değerlendirmesi </w:t>
            </w:r>
          </w:p>
          <w:p w14:paraId="315C373C" w14:textId="662DF0ED" w:rsidR="00720F20" w:rsidRPr="001A4B94" w:rsidRDefault="0064593C" w:rsidP="00720F20">
            <w:pPr>
              <w:rPr>
                <w:sz w:val="20"/>
                <w:szCs w:val="20"/>
                <w:lang w:val="tr-TR"/>
              </w:rPr>
            </w:pPr>
            <w:r w:rsidRPr="001A4B94">
              <w:rPr>
                <w:sz w:val="20"/>
                <w:szCs w:val="20"/>
                <w:lang w:val="tr-TR"/>
              </w:rPr>
              <w:t xml:space="preserve">EDAŞ’ların analizi </w:t>
            </w:r>
          </w:p>
          <w:p w14:paraId="39BFC66C" w14:textId="0AE0F593" w:rsidR="00720F20" w:rsidRPr="001A4B94" w:rsidRDefault="0064593C" w:rsidP="00720F20">
            <w:pPr>
              <w:rPr>
                <w:sz w:val="20"/>
                <w:szCs w:val="20"/>
                <w:lang w:val="tr-TR"/>
              </w:rPr>
            </w:pPr>
            <w:r w:rsidRPr="001A4B94">
              <w:rPr>
                <w:sz w:val="20"/>
                <w:szCs w:val="20"/>
                <w:lang w:val="tr-TR"/>
              </w:rPr>
              <w:t>AB</w:t>
            </w:r>
            <w:r w:rsidR="00FB0363" w:rsidRPr="001A4B94">
              <w:rPr>
                <w:sz w:val="20"/>
                <w:szCs w:val="20"/>
                <w:lang w:val="tr-TR"/>
              </w:rPr>
              <w:t>/</w:t>
            </w:r>
            <w:r w:rsidR="00720F20" w:rsidRPr="001A4B94">
              <w:rPr>
                <w:sz w:val="20"/>
                <w:szCs w:val="20"/>
                <w:lang w:val="tr-TR"/>
              </w:rPr>
              <w:t xml:space="preserve">IPA </w:t>
            </w:r>
            <w:r w:rsidRPr="001A4B94">
              <w:rPr>
                <w:sz w:val="20"/>
                <w:szCs w:val="20"/>
                <w:lang w:val="tr-TR"/>
              </w:rPr>
              <w:t>Enerji</w:t>
            </w:r>
            <w:r w:rsidR="00AB7227" w:rsidRPr="001A4B94">
              <w:rPr>
                <w:sz w:val="20"/>
                <w:szCs w:val="20"/>
                <w:lang w:val="tr-TR"/>
              </w:rPr>
              <w:t xml:space="preserve"> Se</w:t>
            </w:r>
            <w:r w:rsidRPr="001A4B94">
              <w:rPr>
                <w:sz w:val="20"/>
                <w:szCs w:val="20"/>
                <w:lang w:val="tr-TR"/>
              </w:rPr>
              <w:t xml:space="preserve">ktörü Teknik Yardım </w:t>
            </w:r>
            <w:r w:rsidR="00AB7227" w:rsidRPr="001A4B94">
              <w:rPr>
                <w:sz w:val="20"/>
                <w:szCs w:val="20"/>
                <w:lang w:val="tr-TR"/>
              </w:rPr>
              <w:t>Program</w:t>
            </w:r>
            <w:r w:rsidRPr="001A4B94">
              <w:rPr>
                <w:sz w:val="20"/>
                <w:szCs w:val="20"/>
                <w:lang w:val="tr-TR"/>
              </w:rPr>
              <w:t>ı</w:t>
            </w:r>
            <w:r w:rsidR="00AB7227" w:rsidRPr="001A4B94">
              <w:rPr>
                <w:sz w:val="20"/>
                <w:szCs w:val="20"/>
                <w:lang w:val="tr-TR"/>
              </w:rPr>
              <w:t xml:space="preserve"> </w:t>
            </w:r>
          </w:p>
          <w:p w14:paraId="0D2BFDF8" w14:textId="77777777" w:rsidR="00720F20" w:rsidRPr="001A4B94" w:rsidRDefault="00720F20" w:rsidP="00720F20">
            <w:pPr>
              <w:rPr>
                <w:sz w:val="20"/>
                <w:szCs w:val="20"/>
                <w:lang w:val="tr-TR"/>
              </w:rPr>
            </w:pPr>
          </w:p>
          <w:p w14:paraId="6BBAD9AD" w14:textId="77777777" w:rsidR="00720F20" w:rsidRPr="001A4B94" w:rsidRDefault="00720F20" w:rsidP="00720F20">
            <w:pPr>
              <w:rPr>
                <w:b/>
                <w:sz w:val="20"/>
                <w:szCs w:val="20"/>
                <w:lang w:val="tr-TR"/>
              </w:rPr>
            </w:pPr>
            <w:r w:rsidRPr="001A4B94">
              <w:rPr>
                <w:b/>
                <w:sz w:val="20"/>
                <w:szCs w:val="20"/>
                <w:lang w:val="tr-TR"/>
              </w:rPr>
              <w:t>IFC:</w:t>
            </w:r>
          </w:p>
          <w:p w14:paraId="7A3D9FBB" w14:textId="226D9B7A" w:rsidR="00720F20" w:rsidRPr="001A4B94" w:rsidRDefault="0064593C" w:rsidP="00720F20">
            <w:pPr>
              <w:rPr>
                <w:sz w:val="20"/>
                <w:szCs w:val="20"/>
                <w:lang w:val="tr-TR"/>
              </w:rPr>
            </w:pPr>
            <w:r w:rsidRPr="001A4B94">
              <w:rPr>
                <w:sz w:val="20"/>
                <w:szCs w:val="20"/>
                <w:lang w:val="tr-TR"/>
              </w:rPr>
              <w:t xml:space="preserve">Dağıtım ve gaz altyapısı (ithalat terminalleri, depolama, ve dağıtım gibi) için </w:t>
            </w:r>
            <w:r w:rsidR="00720F20" w:rsidRPr="001A4B94">
              <w:rPr>
                <w:sz w:val="20"/>
                <w:szCs w:val="20"/>
                <w:lang w:val="tr-TR"/>
              </w:rPr>
              <w:t xml:space="preserve">IFC </w:t>
            </w:r>
            <w:r w:rsidRPr="001A4B94">
              <w:rPr>
                <w:sz w:val="20"/>
                <w:szCs w:val="20"/>
                <w:lang w:val="tr-TR"/>
              </w:rPr>
              <w:t>finansmanı</w:t>
            </w:r>
            <w:r w:rsidR="00401737" w:rsidRPr="001A4B94">
              <w:rPr>
                <w:sz w:val="20"/>
                <w:szCs w:val="20"/>
                <w:lang w:val="tr-TR"/>
              </w:rPr>
              <w:t>.</w:t>
            </w:r>
          </w:p>
          <w:p w14:paraId="2925B9B4" w14:textId="29FFBC9B" w:rsidR="00720F20" w:rsidRPr="001A4B94" w:rsidRDefault="007271D0" w:rsidP="00720F20">
            <w:pPr>
              <w:rPr>
                <w:sz w:val="20"/>
                <w:szCs w:val="20"/>
                <w:lang w:val="tr-TR"/>
              </w:rPr>
            </w:pPr>
            <w:r w:rsidRPr="001A4B94">
              <w:rPr>
                <w:sz w:val="20"/>
                <w:szCs w:val="20"/>
                <w:lang w:val="tr-TR"/>
              </w:rPr>
              <w:t xml:space="preserve">Yeni finansman araçları için </w:t>
            </w:r>
            <w:r w:rsidR="00720F20" w:rsidRPr="001A4B94">
              <w:rPr>
                <w:sz w:val="20"/>
                <w:szCs w:val="20"/>
                <w:lang w:val="tr-TR"/>
              </w:rPr>
              <w:t xml:space="preserve">IFC </w:t>
            </w:r>
            <w:r w:rsidRPr="001A4B94">
              <w:rPr>
                <w:sz w:val="20"/>
                <w:szCs w:val="20"/>
                <w:lang w:val="tr-TR"/>
              </w:rPr>
              <w:t xml:space="preserve">desteği </w:t>
            </w:r>
            <w:r w:rsidR="00720F20" w:rsidRPr="001A4B94">
              <w:rPr>
                <w:sz w:val="20"/>
                <w:szCs w:val="20"/>
                <w:lang w:val="tr-TR"/>
              </w:rPr>
              <w:t xml:space="preserve">– </w:t>
            </w:r>
            <w:r w:rsidRPr="001A4B94">
              <w:rPr>
                <w:sz w:val="20"/>
                <w:szCs w:val="20"/>
                <w:lang w:val="tr-TR"/>
              </w:rPr>
              <w:t xml:space="preserve">yerel para biriminde finansman ve para birimi riskini azaltmaya yönelik para birimi takasları </w:t>
            </w:r>
          </w:p>
          <w:p w14:paraId="5CF262FF" w14:textId="77777777" w:rsidR="00720F20" w:rsidRPr="001A4B94" w:rsidRDefault="00720F20" w:rsidP="00C43F52">
            <w:pPr>
              <w:rPr>
                <w:b/>
                <w:sz w:val="20"/>
                <w:szCs w:val="20"/>
                <w:lang w:val="tr-TR"/>
              </w:rPr>
            </w:pPr>
          </w:p>
        </w:tc>
      </w:tr>
      <w:tr w:rsidR="00720F20" w:rsidRPr="001A4B94" w14:paraId="16DCAEB8" w14:textId="77777777" w:rsidTr="00BA590B">
        <w:tc>
          <w:tcPr>
            <w:tcW w:w="13225" w:type="dxa"/>
            <w:gridSpan w:val="3"/>
            <w:shd w:val="clear" w:color="auto" w:fill="EDEDED" w:themeFill="accent3" w:themeFillTint="33"/>
          </w:tcPr>
          <w:p w14:paraId="1FD3AE91" w14:textId="5A1D1474" w:rsidR="00720F20" w:rsidRPr="001A4B94" w:rsidRDefault="00720F20" w:rsidP="00BA590B">
            <w:pPr>
              <w:tabs>
                <w:tab w:val="left" w:pos="426"/>
              </w:tabs>
              <w:spacing w:before="120" w:after="120"/>
              <w:jc w:val="center"/>
              <w:rPr>
                <w:b/>
                <w:sz w:val="22"/>
                <w:szCs w:val="22"/>
                <w:lang w:val="tr-TR"/>
              </w:rPr>
            </w:pPr>
            <w:r w:rsidRPr="001A4B94">
              <w:rPr>
                <w:b/>
                <w:sz w:val="22"/>
                <w:szCs w:val="22"/>
                <w:lang w:val="tr-TR"/>
              </w:rPr>
              <w:lastRenderedPageBreak/>
              <w:t xml:space="preserve">CPF </w:t>
            </w:r>
            <w:r w:rsidR="007271D0" w:rsidRPr="001A4B94">
              <w:rPr>
                <w:b/>
                <w:sz w:val="22"/>
                <w:szCs w:val="22"/>
                <w:lang w:val="tr-TR"/>
              </w:rPr>
              <w:t>Amacı</w:t>
            </w:r>
            <w:r w:rsidRPr="001A4B94">
              <w:rPr>
                <w:b/>
                <w:sz w:val="22"/>
                <w:szCs w:val="22"/>
                <w:lang w:val="tr-TR"/>
              </w:rPr>
              <w:t xml:space="preserve"> 8: </w:t>
            </w:r>
            <w:r w:rsidR="007271D0" w:rsidRPr="001A4B94">
              <w:rPr>
                <w:b/>
                <w:bCs/>
                <w:sz w:val="22"/>
                <w:szCs w:val="22"/>
                <w:lang w:val="tr-TR"/>
              </w:rPr>
              <w:t>Şehirlerin Sürdürülebilirliğinin ve Afetlere Karşı Dayanıklılığının Arttırılması</w:t>
            </w:r>
            <w:r w:rsidR="007271D0" w:rsidRPr="001A4B94">
              <w:rPr>
                <w:b/>
                <w:bCs/>
                <w:sz w:val="22"/>
                <w:szCs w:val="22"/>
                <w:u w:val="single"/>
                <w:lang w:val="tr-TR"/>
              </w:rPr>
              <w:t xml:space="preserve"> </w:t>
            </w:r>
          </w:p>
        </w:tc>
      </w:tr>
      <w:tr w:rsidR="00720F20" w:rsidRPr="001A4B94" w14:paraId="62974871" w14:textId="77777777" w:rsidTr="00747261">
        <w:tc>
          <w:tcPr>
            <w:tcW w:w="13225" w:type="dxa"/>
            <w:gridSpan w:val="3"/>
          </w:tcPr>
          <w:p w14:paraId="54000834" w14:textId="3E9AD5C4" w:rsidR="003944B9" w:rsidRPr="001A4B94" w:rsidRDefault="007271D0" w:rsidP="003944B9">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1"/>
                <w:szCs w:val="21"/>
                <w:lang w:val="tr-TR"/>
              </w:rPr>
            </w:pPr>
            <w:r w:rsidRPr="001A4B94">
              <w:rPr>
                <w:rFonts w:ascii="Times New Roman" w:eastAsia="MS Mincho" w:hAnsi="Times New Roman"/>
                <w:b/>
                <w:sz w:val="21"/>
                <w:szCs w:val="21"/>
                <w:lang w:val="tr-TR"/>
              </w:rPr>
              <w:t>Müdahale Mantığı</w:t>
            </w:r>
            <w:r w:rsidR="003944B9" w:rsidRPr="001A4B94">
              <w:rPr>
                <w:rFonts w:ascii="Times New Roman" w:hAnsi="Times New Roman"/>
                <w:b/>
                <w:lang w:val="tr-TR"/>
              </w:rPr>
              <w:t>:</w:t>
            </w:r>
            <w:r w:rsidR="003944B9" w:rsidRPr="001A4B94">
              <w:rPr>
                <w:rFonts w:ascii="Times New Roman" w:eastAsia="MS Mincho" w:hAnsi="Times New Roman"/>
                <w:lang w:val="tr-TR"/>
              </w:rPr>
              <w:t xml:space="preserve"> </w:t>
            </w:r>
            <w:r w:rsidR="008305F6" w:rsidRPr="001A4B94">
              <w:rPr>
                <w:rFonts w:ascii="Times New Roman" w:eastAsia="MS Mincho" w:hAnsi="Times New Roman"/>
                <w:sz w:val="21"/>
                <w:szCs w:val="21"/>
                <w:lang w:val="tr-TR"/>
              </w:rPr>
              <w:t xml:space="preserve">Dünya Bankası Grubu’nun bütünleşik çalışmaları, </w:t>
            </w:r>
            <w:r w:rsidR="0021781C" w:rsidRPr="001A4B94">
              <w:rPr>
                <w:rFonts w:ascii="Times New Roman" w:eastAsia="MS Mincho" w:hAnsi="Times New Roman"/>
                <w:sz w:val="21"/>
                <w:szCs w:val="21"/>
                <w:lang w:val="tr-TR"/>
              </w:rPr>
              <w:t xml:space="preserve">Türkiye’nin “Akıllı Şehirler” yaklaşımını destekleyerek </w:t>
            </w:r>
            <w:r w:rsidR="008305F6" w:rsidRPr="001A4B94">
              <w:rPr>
                <w:rFonts w:ascii="Times New Roman" w:eastAsia="MS Mincho" w:hAnsi="Times New Roman"/>
                <w:sz w:val="21"/>
                <w:szCs w:val="21"/>
                <w:lang w:val="tr-TR"/>
              </w:rPr>
              <w:t xml:space="preserve">şehirlerin </w:t>
            </w:r>
            <w:r w:rsidR="0021781C" w:rsidRPr="001A4B94">
              <w:rPr>
                <w:rFonts w:ascii="Times New Roman" w:eastAsia="MS Mincho" w:hAnsi="Times New Roman"/>
                <w:sz w:val="21"/>
                <w:szCs w:val="21"/>
                <w:lang w:val="tr-TR"/>
              </w:rPr>
              <w:t>çevresel ve sosyal açıdan sürdürülebilir ve afetlere karşı daya</w:t>
            </w:r>
            <w:r w:rsidR="00452D34" w:rsidRPr="001A4B94">
              <w:rPr>
                <w:rFonts w:ascii="Times New Roman" w:eastAsia="MS Mincho" w:hAnsi="Times New Roman"/>
                <w:sz w:val="21"/>
                <w:szCs w:val="21"/>
                <w:lang w:val="tr-TR"/>
              </w:rPr>
              <w:t>nı</w:t>
            </w:r>
            <w:r w:rsidR="0021781C" w:rsidRPr="001A4B94">
              <w:rPr>
                <w:rFonts w:ascii="Times New Roman" w:eastAsia="MS Mincho" w:hAnsi="Times New Roman"/>
                <w:sz w:val="21"/>
                <w:szCs w:val="21"/>
                <w:lang w:val="tr-TR"/>
              </w:rPr>
              <w:t>klı hale gelmelerine yardımcı olmaya devam edecektir.</w:t>
            </w:r>
            <w:r w:rsidR="003944B9" w:rsidRPr="001A4B94">
              <w:rPr>
                <w:rFonts w:ascii="Times New Roman" w:eastAsia="MS Mincho" w:hAnsi="Times New Roman"/>
                <w:sz w:val="21"/>
                <w:szCs w:val="21"/>
                <w:lang w:val="tr-TR"/>
              </w:rPr>
              <w:t xml:space="preserve"> </w:t>
            </w:r>
            <w:r w:rsidR="0021781C" w:rsidRPr="001A4B94">
              <w:rPr>
                <w:rFonts w:ascii="Times New Roman" w:eastAsia="MS Mincho" w:hAnsi="Times New Roman"/>
                <w:sz w:val="21"/>
                <w:szCs w:val="21"/>
                <w:lang w:val="tr-TR"/>
              </w:rPr>
              <w:t xml:space="preserve">Dünya Bankası Grubu, ortaklaşa yürütülen Sürdürülebilir Şehirler Programı kapsamında  IBRD ile IFC arasında oluşturulan bir yatırım koordinasyon platformu  yoluyla,  </w:t>
            </w:r>
            <w:r w:rsidR="002D5644" w:rsidRPr="001A4B94">
              <w:rPr>
                <w:rFonts w:ascii="Times New Roman" w:eastAsia="MS Mincho" w:hAnsi="Times New Roman"/>
                <w:sz w:val="21"/>
                <w:szCs w:val="21"/>
                <w:lang w:val="tr-TR"/>
              </w:rPr>
              <w:t>merkezi hükümet ile  mevcut belediye finansman ve yatırım çerçevesinin modernize edilmesine yardımcı olacak politika değişiklikleri ve düzenleyici değişiklikler hakkındaki yapıcı diyalogu sürdürecek</w:t>
            </w:r>
            <w:r w:rsidR="003944B9" w:rsidRPr="001A4B94">
              <w:rPr>
                <w:rFonts w:ascii="Times New Roman" w:eastAsia="MS Mincho" w:hAnsi="Times New Roman"/>
                <w:sz w:val="21"/>
                <w:szCs w:val="21"/>
                <w:lang w:val="tr-TR"/>
              </w:rPr>
              <w:t xml:space="preserve">, </w:t>
            </w:r>
            <w:r w:rsidR="002D5644" w:rsidRPr="001A4B94">
              <w:rPr>
                <w:rFonts w:ascii="Times New Roman" w:eastAsia="MS Mincho" w:hAnsi="Times New Roman"/>
                <w:sz w:val="21"/>
                <w:szCs w:val="21"/>
                <w:lang w:val="tr-TR"/>
              </w:rPr>
              <w:t>böylelikle IFC ve MIGA tarafından desteklenen özel sektör yatırımlar</w:t>
            </w:r>
            <w:r w:rsidR="00793102" w:rsidRPr="001A4B94">
              <w:rPr>
                <w:rFonts w:ascii="Times New Roman" w:eastAsia="MS Mincho" w:hAnsi="Times New Roman"/>
                <w:sz w:val="21"/>
                <w:szCs w:val="21"/>
                <w:lang w:val="tr-TR"/>
              </w:rPr>
              <w:t>ın</w:t>
            </w:r>
            <w:r w:rsidR="002D5644" w:rsidRPr="001A4B94">
              <w:rPr>
                <w:rFonts w:ascii="Times New Roman" w:eastAsia="MS Mincho" w:hAnsi="Times New Roman"/>
                <w:sz w:val="21"/>
                <w:szCs w:val="21"/>
                <w:lang w:val="tr-TR"/>
              </w:rPr>
              <w:t>da artışın yolunu açacaktır.</w:t>
            </w:r>
            <w:r w:rsidR="003944B9" w:rsidRPr="001A4B94">
              <w:rPr>
                <w:rFonts w:ascii="Times New Roman" w:eastAsia="MS Mincho" w:hAnsi="Times New Roman"/>
                <w:sz w:val="21"/>
                <w:szCs w:val="21"/>
                <w:lang w:val="tr-TR"/>
              </w:rPr>
              <w:t xml:space="preserve">  </w:t>
            </w:r>
            <w:r w:rsidR="002D5644" w:rsidRPr="001A4B94">
              <w:rPr>
                <w:rFonts w:ascii="Times New Roman" w:eastAsia="MS Mincho" w:hAnsi="Times New Roman"/>
                <w:sz w:val="21"/>
                <w:szCs w:val="21"/>
                <w:lang w:val="tr-TR"/>
              </w:rPr>
              <w:t xml:space="preserve">Özellikle, IBRD’nin kentsel planlamayı, altyapı ve sermaye yatırım planlamasını geliştirme ve belediyelerin finansal kapasitelerini (kredi değerlikleri dahil olmak üzere)  güçlendirme  çabalarında belediyeleri desteklemek için İller Bankası ile yürüttüğü işbirliği, Dünya Bankası Grubu’nun özellikle sınır bölgelerinde ve yetersiz hizmet alan bölgelerde yer alan şehirler olmak üzere ikinci kademe  şehirlere desteğini arttırmasını sağlayacak, böylelikle hayati altyapı ihtiyaçları için doğrudan sermaye piyasalarından finansman temin edebilmelerini öngören nihai hedefe ulaşmalarına katkıda bulunacaktır.  Belediye finansman seçeneklerinin ve kredi değerliklerinin arttırılması ve etkili bir belediye KÖİ çerçevesinin oluşturulması DBG işbirliğinin devam ettirilmesi gereken alanlardır.  </w:t>
            </w:r>
            <w:r w:rsidR="003944B9" w:rsidRPr="001A4B94">
              <w:rPr>
                <w:rFonts w:ascii="Times New Roman" w:eastAsia="MS Mincho" w:hAnsi="Times New Roman"/>
                <w:sz w:val="21"/>
                <w:szCs w:val="21"/>
                <w:lang w:val="tr-TR"/>
              </w:rPr>
              <w:t xml:space="preserve"> </w:t>
            </w:r>
            <w:r w:rsidR="002D5644" w:rsidRPr="001A4B94">
              <w:rPr>
                <w:rFonts w:ascii="Times New Roman" w:eastAsia="MS Mincho" w:hAnsi="Times New Roman"/>
                <w:sz w:val="21"/>
                <w:szCs w:val="21"/>
                <w:lang w:val="tr-TR"/>
              </w:rPr>
              <w:t>Son olarak, küresel en iyi uygulamaların paylaşılabilmesi amacıyla, düşük karbonlu kentsel yönetim desteği ve büyük kent merkezlerinde  ilgili yatırımların tespiti ile ilgili çalışma imkanları araştırılacaktır</w:t>
            </w:r>
            <w:r w:rsidR="003944B9" w:rsidRPr="001A4B94">
              <w:rPr>
                <w:rFonts w:ascii="Times New Roman" w:eastAsia="MS Mincho" w:hAnsi="Times New Roman"/>
                <w:sz w:val="21"/>
                <w:szCs w:val="21"/>
                <w:lang w:val="tr-TR"/>
              </w:rPr>
              <w:t>.</w:t>
            </w:r>
            <w:r w:rsidR="002D5644" w:rsidRPr="001A4B94">
              <w:rPr>
                <w:rFonts w:ascii="Times New Roman" w:eastAsia="MS Mincho" w:hAnsi="Times New Roman"/>
                <w:sz w:val="21"/>
                <w:szCs w:val="21"/>
                <w:lang w:val="tr-TR"/>
              </w:rPr>
              <w:t xml:space="preserve"> IBRD’nin kredi portföyü, karşılaştırmalı avantaja sahip olduğu bilinen alanlara dayalı olarak stratejik yatırımları hedeflemeye devam edecektir</w:t>
            </w:r>
            <w:r w:rsidR="003944B9" w:rsidRPr="001A4B94">
              <w:rPr>
                <w:rFonts w:ascii="Times New Roman" w:eastAsia="MS Mincho" w:hAnsi="Times New Roman"/>
                <w:sz w:val="21"/>
                <w:szCs w:val="21"/>
                <w:lang w:val="tr-TR"/>
              </w:rPr>
              <w:t xml:space="preserve">. </w:t>
            </w:r>
            <w:r w:rsidR="009D1FE0" w:rsidRPr="001A4B94">
              <w:rPr>
                <w:rFonts w:ascii="Times New Roman" w:eastAsia="MS Mincho" w:hAnsi="Times New Roman"/>
                <w:sz w:val="21"/>
                <w:szCs w:val="21"/>
                <w:lang w:val="tr-TR"/>
              </w:rPr>
              <w:t>Sürdürülebilir Şehirler Programı bir projeler dizisi olarak öngörülmüştür ve  belirli şehirlerin hazırlık durumlarına ve yatırım planlarına bağlı olarak yeni projeler programa dahil olmaktadır.  Program, şehirlerin, çevresel, sosyal ve finansal sürdürülebilirlik zorluklarını aşmalarına yardımcı olacak planlama ve politika analiz çalışmaları için AB finansmanlı bir teknik yardım çalışması da içerecektir</w:t>
            </w:r>
            <w:r w:rsidR="003944B9" w:rsidRPr="001A4B94">
              <w:rPr>
                <w:rFonts w:ascii="Times New Roman" w:eastAsia="MS Mincho" w:hAnsi="Times New Roman"/>
                <w:sz w:val="21"/>
                <w:szCs w:val="21"/>
                <w:lang w:val="tr-TR"/>
              </w:rPr>
              <w:t xml:space="preserve">. </w:t>
            </w:r>
            <w:r w:rsidR="009D1FE0" w:rsidRPr="001A4B94">
              <w:rPr>
                <w:rFonts w:ascii="Times New Roman" w:eastAsia="MS Mincho" w:hAnsi="Times New Roman"/>
                <w:sz w:val="21"/>
                <w:szCs w:val="21"/>
                <w:lang w:val="tr-TR"/>
              </w:rPr>
              <w:t>Devam etmekte olan Tapu ve Kadastro Modernizasyon Projesi de gayrımenkul piyasası bilgilerine erişimin arttırılması yoluyla vatandaşlara hizmet sunumunun geliştirilmesi ve arazi değerlemesinin iyileştirilmesi yoluyla yerel yönetim finansmanını geliştirilmesine katkıda bulunmaktadır</w:t>
            </w:r>
            <w:r w:rsidR="003944B9" w:rsidRPr="001A4B94">
              <w:rPr>
                <w:rFonts w:ascii="Times New Roman" w:eastAsia="MS Mincho" w:hAnsi="Times New Roman"/>
                <w:sz w:val="21"/>
                <w:szCs w:val="21"/>
                <w:lang w:val="tr-TR"/>
              </w:rPr>
              <w:t xml:space="preserve">.  </w:t>
            </w:r>
            <w:r w:rsidR="009D1FE0" w:rsidRPr="001A4B94">
              <w:rPr>
                <w:rFonts w:ascii="Times New Roman" w:eastAsia="MS Mincho" w:hAnsi="Times New Roman"/>
                <w:sz w:val="21"/>
                <w:szCs w:val="21"/>
                <w:lang w:val="tr-TR"/>
              </w:rPr>
              <w:t>Şehirlerin afetlere karşı dayanıklılıklarını arttırmak amacıyla, IBRD kritik kamu tesislerinin depreme karşı güçlendirilmesini ve yapı yönetmelikleri ile arazi kullanım planlarının daha iyi uygulanmasını öngören bir yatırım projesi de sunabilir</w:t>
            </w:r>
            <w:r w:rsidR="003944B9" w:rsidRPr="001A4B94">
              <w:rPr>
                <w:rFonts w:ascii="Times New Roman" w:eastAsia="MS Mincho" w:hAnsi="Times New Roman"/>
                <w:sz w:val="21"/>
                <w:szCs w:val="21"/>
                <w:lang w:val="tr-TR"/>
              </w:rPr>
              <w:t xml:space="preserve">.  </w:t>
            </w:r>
          </w:p>
          <w:p w14:paraId="74A1145E" w14:textId="431A4B93" w:rsidR="00720F20" w:rsidRPr="001A4B94" w:rsidRDefault="009D1FE0" w:rsidP="006C485E">
            <w:pPr>
              <w:rPr>
                <w:b/>
                <w:sz w:val="22"/>
                <w:szCs w:val="22"/>
                <w:lang w:val="tr-TR"/>
              </w:rPr>
            </w:pPr>
            <w:r w:rsidRPr="001A4B94">
              <w:rPr>
                <w:color w:val="000000" w:themeColor="text1"/>
                <w:sz w:val="21"/>
                <w:szCs w:val="21"/>
                <w:lang w:val="tr-TR"/>
              </w:rPr>
              <w:t>63.</w:t>
            </w:r>
            <w:r w:rsidRPr="001A4B94">
              <w:rPr>
                <w:color w:val="000000" w:themeColor="text1"/>
                <w:sz w:val="21"/>
                <w:szCs w:val="21"/>
                <w:lang w:val="tr-TR"/>
              </w:rPr>
              <w:tab/>
              <w:t>IFC ve MIGA’nın odak alanları arasında, finansal yönetim kapasiteleri ile   altyapı projelerini tasarlama, hazırlama ve uygulama kapasitelerini güçlendirmek için belediyeler ile doğrudan birlikte çalışmak yer almaktadır</w:t>
            </w:r>
            <w:r w:rsidR="003944B9" w:rsidRPr="001A4B94">
              <w:rPr>
                <w:color w:val="000000" w:themeColor="text1"/>
                <w:sz w:val="21"/>
                <w:szCs w:val="21"/>
                <w:lang w:val="tr-TR"/>
              </w:rPr>
              <w:t>.</w:t>
            </w:r>
            <w:r w:rsidR="003944B9" w:rsidRPr="001A4B94">
              <w:rPr>
                <w:sz w:val="21"/>
                <w:szCs w:val="21"/>
                <w:lang w:val="tr-TR"/>
              </w:rPr>
              <w:t xml:space="preserve"> </w:t>
            </w:r>
            <w:r w:rsidR="009C3D36" w:rsidRPr="001A4B94">
              <w:rPr>
                <w:sz w:val="21"/>
                <w:szCs w:val="21"/>
                <w:lang w:val="tr-TR"/>
              </w:rPr>
              <w:t>IFC, belediyelerin döviz cinsinden kredilerini yönetmelerine yardımcı olacak riskten korunma araçları ile uzun vadeli krediler (hem avro hem de lira cinsinden) ve belediye tahvilleri dahil olmak üzere çok çeşitli ürünler için kaldıraç etkisi yaratabilmektedir</w:t>
            </w:r>
            <w:r w:rsidR="003944B9" w:rsidRPr="001A4B94">
              <w:rPr>
                <w:sz w:val="21"/>
                <w:szCs w:val="21"/>
                <w:lang w:val="tr-TR"/>
              </w:rPr>
              <w:t xml:space="preserve">. </w:t>
            </w:r>
            <w:r w:rsidR="009C3D36" w:rsidRPr="001A4B94">
              <w:rPr>
                <w:sz w:val="21"/>
                <w:szCs w:val="21"/>
                <w:lang w:val="tr-TR"/>
              </w:rPr>
              <w:t>IFC, İstanbul ve İzmir’deki başarıları esas alarak, doğrudan imtiyazlı krediler (avro veya lira cinsinden) veya kaynakları yerel bankalar aracılığıyla şehirlere  yönlendirmek yoluyla bir portföy yaklaşımından yararlanarak, diğer hızlı büyüyen ve kredi değerliğe sahip şehirlerin bankalarca kabul edilebilir projeler dizisi oluşturmalarına yardımcı olmayı amaçlamaktadır</w:t>
            </w:r>
            <w:r w:rsidR="003944B9" w:rsidRPr="001A4B94">
              <w:rPr>
                <w:color w:val="000000" w:themeColor="text1"/>
                <w:sz w:val="21"/>
                <w:szCs w:val="21"/>
                <w:lang w:val="tr-TR"/>
              </w:rPr>
              <w:t>.</w:t>
            </w:r>
            <w:r w:rsidR="003944B9" w:rsidRPr="001A4B94">
              <w:rPr>
                <w:color w:val="000000" w:themeColor="text1"/>
                <w:sz w:val="22"/>
                <w:szCs w:val="22"/>
                <w:lang w:val="tr-TR"/>
              </w:rPr>
              <w:t xml:space="preserve">   </w:t>
            </w:r>
          </w:p>
        </w:tc>
      </w:tr>
      <w:tr w:rsidR="009C3D36" w:rsidRPr="001A4B94" w14:paraId="1AD0BBD1" w14:textId="77777777" w:rsidTr="00622088">
        <w:tc>
          <w:tcPr>
            <w:tcW w:w="3955" w:type="dxa"/>
          </w:tcPr>
          <w:p w14:paraId="61EE5F9D" w14:textId="032FB947" w:rsidR="009C3D36" w:rsidRPr="001A4B94" w:rsidRDefault="009C3D36" w:rsidP="009C3D36">
            <w:pPr>
              <w:rPr>
                <w:i/>
                <w:sz w:val="20"/>
                <w:szCs w:val="20"/>
                <w:lang w:val="tr-TR"/>
              </w:rPr>
            </w:pPr>
            <w:r w:rsidRPr="001A4B94">
              <w:rPr>
                <w:b/>
                <w:sz w:val="22"/>
                <w:szCs w:val="20"/>
                <w:lang w:val="tr-TR"/>
              </w:rPr>
              <w:t xml:space="preserve">CPF Amaç Göstergeleri </w:t>
            </w:r>
          </w:p>
        </w:tc>
        <w:tc>
          <w:tcPr>
            <w:tcW w:w="4410" w:type="dxa"/>
          </w:tcPr>
          <w:p w14:paraId="10D6E693" w14:textId="29DCE386" w:rsidR="009C3D36" w:rsidRPr="001A4B94" w:rsidRDefault="009C3D36" w:rsidP="009C3D36">
            <w:pPr>
              <w:tabs>
                <w:tab w:val="left" w:pos="426"/>
              </w:tabs>
              <w:rPr>
                <w:sz w:val="20"/>
                <w:szCs w:val="20"/>
                <w:lang w:val="tr-TR"/>
              </w:rPr>
            </w:pPr>
            <w:r w:rsidRPr="001A4B94">
              <w:rPr>
                <w:b/>
                <w:sz w:val="22"/>
                <w:szCs w:val="20"/>
                <w:lang w:val="tr-TR"/>
              </w:rPr>
              <w:t xml:space="preserve">Destekleyici İlerleme Göstergeleri </w:t>
            </w:r>
          </w:p>
        </w:tc>
        <w:tc>
          <w:tcPr>
            <w:tcW w:w="4860" w:type="dxa"/>
          </w:tcPr>
          <w:p w14:paraId="1F585565" w14:textId="2393C8FD" w:rsidR="009C3D36" w:rsidRPr="001A4B94" w:rsidRDefault="009C3D36" w:rsidP="009C3D36">
            <w:pPr>
              <w:rPr>
                <w:b/>
                <w:sz w:val="20"/>
                <w:szCs w:val="20"/>
                <w:lang w:val="tr-TR"/>
              </w:rPr>
            </w:pPr>
            <w:r w:rsidRPr="001A4B94">
              <w:rPr>
                <w:b/>
                <w:sz w:val="22"/>
                <w:szCs w:val="20"/>
                <w:lang w:val="tr-TR"/>
              </w:rPr>
              <w:t xml:space="preserve">DBG Programı </w:t>
            </w:r>
          </w:p>
        </w:tc>
      </w:tr>
      <w:tr w:rsidR="003944B9" w:rsidRPr="001A4B94" w14:paraId="1C404EAF" w14:textId="77777777" w:rsidTr="00622088">
        <w:tc>
          <w:tcPr>
            <w:tcW w:w="3955" w:type="dxa"/>
          </w:tcPr>
          <w:p w14:paraId="20176BA1" w14:textId="2B27F4F6" w:rsidR="003944B9" w:rsidRPr="001A4B94" w:rsidRDefault="009C3D36" w:rsidP="003944B9">
            <w:pPr>
              <w:rPr>
                <w:i/>
                <w:sz w:val="20"/>
                <w:szCs w:val="20"/>
                <w:lang w:val="tr-TR"/>
              </w:rPr>
            </w:pPr>
            <w:r w:rsidRPr="001A4B94">
              <w:rPr>
                <w:i/>
                <w:sz w:val="20"/>
                <w:szCs w:val="20"/>
                <w:lang w:val="tr-TR"/>
              </w:rPr>
              <w:t>Hizmet sunu</w:t>
            </w:r>
            <w:r w:rsidR="00CA0F7F" w:rsidRPr="001A4B94">
              <w:rPr>
                <w:i/>
                <w:sz w:val="20"/>
                <w:szCs w:val="20"/>
                <w:lang w:val="tr-TR"/>
              </w:rPr>
              <w:t>mu</w:t>
            </w:r>
            <w:r w:rsidRPr="001A4B94">
              <w:rPr>
                <w:i/>
                <w:sz w:val="20"/>
                <w:szCs w:val="20"/>
                <w:lang w:val="tr-TR"/>
              </w:rPr>
              <w:t xml:space="preserve">nda iyileşme ve sayısallaştırılmış tapu ve kadastro bilgilerine erişimdeki artış </w:t>
            </w:r>
          </w:p>
          <w:p w14:paraId="3D88B776" w14:textId="4D57825B" w:rsidR="003944B9" w:rsidRPr="001A4B94" w:rsidRDefault="009C3D36" w:rsidP="003944B9">
            <w:pPr>
              <w:rPr>
                <w:i/>
                <w:sz w:val="20"/>
                <w:szCs w:val="20"/>
                <w:lang w:val="tr-TR"/>
              </w:rPr>
            </w:pPr>
            <w:r w:rsidRPr="001A4B94">
              <w:rPr>
                <w:i/>
                <w:sz w:val="20"/>
                <w:szCs w:val="20"/>
                <w:lang w:val="tr-TR"/>
              </w:rPr>
              <w:t xml:space="preserve">Ulusal düzeyde müşteri </w:t>
            </w:r>
            <w:r w:rsidR="00642740" w:rsidRPr="001A4B94">
              <w:rPr>
                <w:i/>
                <w:sz w:val="20"/>
                <w:szCs w:val="20"/>
                <w:lang w:val="tr-TR"/>
              </w:rPr>
              <w:t>memnuniyetinde</w:t>
            </w:r>
            <w:r w:rsidRPr="001A4B94">
              <w:rPr>
                <w:i/>
                <w:sz w:val="20"/>
                <w:szCs w:val="20"/>
                <w:lang w:val="tr-TR"/>
              </w:rPr>
              <w:t xml:space="preserve"> artış </w:t>
            </w:r>
          </w:p>
          <w:p w14:paraId="40F2F7A5" w14:textId="0FF66FCF" w:rsidR="003944B9" w:rsidRPr="001A4B94" w:rsidRDefault="00642740" w:rsidP="003944B9">
            <w:pPr>
              <w:rPr>
                <w:i/>
                <w:sz w:val="20"/>
                <w:szCs w:val="20"/>
                <w:lang w:val="tr-TR"/>
              </w:rPr>
            </w:pPr>
            <w:r w:rsidRPr="001A4B94">
              <w:rPr>
                <w:b/>
                <w:i/>
                <w:sz w:val="20"/>
                <w:szCs w:val="20"/>
                <w:lang w:val="tr-TR"/>
              </w:rPr>
              <w:t>Başlangıç Durumu</w:t>
            </w:r>
            <w:r w:rsidR="003944B9" w:rsidRPr="001A4B94">
              <w:rPr>
                <w:b/>
                <w:i/>
                <w:sz w:val="20"/>
                <w:szCs w:val="20"/>
                <w:lang w:val="tr-TR"/>
              </w:rPr>
              <w:t>:</w:t>
            </w:r>
            <w:r w:rsidR="003944B9" w:rsidRPr="001A4B94">
              <w:rPr>
                <w:i/>
                <w:sz w:val="20"/>
                <w:szCs w:val="20"/>
                <w:lang w:val="tr-TR"/>
              </w:rPr>
              <w:t xml:space="preserve"> </w:t>
            </w:r>
            <w:r w:rsidRPr="001A4B94">
              <w:rPr>
                <w:i/>
                <w:sz w:val="20"/>
                <w:szCs w:val="20"/>
                <w:lang w:val="tr-TR"/>
              </w:rPr>
              <w:t>2016 yılında %</w:t>
            </w:r>
            <w:r w:rsidR="003944B9" w:rsidRPr="001A4B94">
              <w:rPr>
                <w:i/>
                <w:sz w:val="20"/>
                <w:szCs w:val="20"/>
                <w:lang w:val="tr-TR"/>
              </w:rPr>
              <w:t>85</w:t>
            </w:r>
          </w:p>
          <w:p w14:paraId="44133D3F" w14:textId="4A843459" w:rsidR="003944B9" w:rsidRPr="001A4B94" w:rsidRDefault="00642740" w:rsidP="003944B9">
            <w:pPr>
              <w:rPr>
                <w:i/>
                <w:sz w:val="20"/>
                <w:szCs w:val="20"/>
                <w:lang w:val="tr-TR"/>
              </w:rPr>
            </w:pPr>
            <w:r w:rsidRPr="001A4B94">
              <w:rPr>
                <w:b/>
                <w:i/>
                <w:sz w:val="20"/>
                <w:szCs w:val="20"/>
                <w:lang w:val="tr-TR"/>
              </w:rPr>
              <w:t>Hedef</w:t>
            </w:r>
            <w:r w:rsidR="003944B9" w:rsidRPr="001A4B94">
              <w:rPr>
                <w:b/>
                <w:i/>
                <w:sz w:val="20"/>
                <w:szCs w:val="20"/>
                <w:lang w:val="tr-TR"/>
              </w:rPr>
              <w:t>:</w:t>
            </w:r>
            <w:r w:rsidR="003944B9" w:rsidRPr="001A4B94">
              <w:rPr>
                <w:i/>
                <w:sz w:val="20"/>
                <w:szCs w:val="20"/>
                <w:lang w:val="tr-TR"/>
              </w:rPr>
              <w:t xml:space="preserve"> </w:t>
            </w:r>
            <w:r w:rsidRPr="001A4B94">
              <w:rPr>
                <w:i/>
                <w:sz w:val="20"/>
                <w:szCs w:val="20"/>
                <w:lang w:val="tr-TR"/>
              </w:rPr>
              <w:t>2021 yılında %</w:t>
            </w:r>
            <w:r w:rsidR="003944B9" w:rsidRPr="001A4B94">
              <w:rPr>
                <w:i/>
                <w:sz w:val="20"/>
                <w:szCs w:val="20"/>
                <w:lang w:val="tr-TR"/>
              </w:rPr>
              <w:t>9</w:t>
            </w:r>
            <w:r w:rsidR="00610E8D" w:rsidRPr="001A4B94">
              <w:rPr>
                <w:i/>
                <w:sz w:val="20"/>
                <w:szCs w:val="20"/>
                <w:lang w:val="tr-TR"/>
              </w:rPr>
              <w:t>5</w:t>
            </w:r>
          </w:p>
          <w:p w14:paraId="31217E97" w14:textId="77777777" w:rsidR="003944B9" w:rsidRPr="001A4B94" w:rsidRDefault="003944B9" w:rsidP="003944B9">
            <w:pPr>
              <w:rPr>
                <w:i/>
                <w:sz w:val="20"/>
                <w:szCs w:val="20"/>
                <w:lang w:val="tr-TR"/>
              </w:rPr>
            </w:pPr>
          </w:p>
          <w:p w14:paraId="37935BCC" w14:textId="77777777" w:rsidR="003944B9" w:rsidRPr="001A4B94" w:rsidRDefault="003944B9" w:rsidP="003944B9">
            <w:pPr>
              <w:rPr>
                <w:b/>
                <w:i/>
                <w:sz w:val="20"/>
                <w:szCs w:val="20"/>
                <w:lang w:val="tr-TR"/>
              </w:rPr>
            </w:pPr>
          </w:p>
          <w:p w14:paraId="2B35696B" w14:textId="66BADE44" w:rsidR="003944B9" w:rsidRPr="001A4B94" w:rsidRDefault="009C3D36" w:rsidP="003944B9">
            <w:pPr>
              <w:rPr>
                <w:i/>
                <w:sz w:val="20"/>
                <w:szCs w:val="20"/>
                <w:lang w:val="tr-TR"/>
              </w:rPr>
            </w:pPr>
            <w:r w:rsidRPr="001A4B94">
              <w:rPr>
                <w:i/>
                <w:sz w:val="20"/>
                <w:szCs w:val="20"/>
                <w:lang w:val="tr-TR"/>
              </w:rPr>
              <w:lastRenderedPageBreak/>
              <w:t xml:space="preserve">IBRD ve IFC finansmanı sayesinde iyileşen kentsel altyapı ve belediye hizmetlerinden yararlanan ilave kişi sayısı </w:t>
            </w:r>
            <w:r w:rsidR="003944B9" w:rsidRPr="001A4B94">
              <w:rPr>
                <w:i/>
                <w:sz w:val="20"/>
                <w:szCs w:val="20"/>
                <w:lang w:val="tr-TR"/>
              </w:rPr>
              <w:t>(</w:t>
            </w:r>
            <w:r w:rsidRPr="001A4B94">
              <w:rPr>
                <w:i/>
                <w:sz w:val="20"/>
                <w:szCs w:val="20"/>
                <w:lang w:val="tr-TR"/>
              </w:rPr>
              <w:t>milyon kişi</w:t>
            </w:r>
            <w:r w:rsidR="003944B9" w:rsidRPr="001A4B94">
              <w:rPr>
                <w:i/>
                <w:sz w:val="20"/>
                <w:szCs w:val="20"/>
                <w:lang w:val="tr-TR"/>
              </w:rPr>
              <w:t>)</w:t>
            </w:r>
          </w:p>
          <w:p w14:paraId="3B19EC36" w14:textId="5E6F529E" w:rsidR="003944B9" w:rsidRPr="001A4B94" w:rsidRDefault="00642740" w:rsidP="003944B9">
            <w:pPr>
              <w:rPr>
                <w:i/>
                <w:sz w:val="20"/>
                <w:szCs w:val="20"/>
                <w:lang w:val="tr-TR"/>
              </w:rPr>
            </w:pPr>
            <w:r w:rsidRPr="001A4B94">
              <w:rPr>
                <w:b/>
                <w:i/>
                <w:sz w:val="20"/>
                <w:szCs w:val="20"/>
                <w:lang w:val="tr-TR"/>
              </w:rPr>
              <w:t>Başlangıç Durumu</w:t>
            </w:r>
            <w:r w:rsidR="003944B9" w:rsidRPr="001A4B94">
              <w:rPr>
                <w:b/>
                <w:i/>
                <w:sz w:val="20"/>
                <w:szCs w:val="20"/>
                <w:lang w:val="tr-TR"/>
              </w:rPr>
              <w:t>:</w:t>
            </w:r>
            <w:r w:rsidR="003944B9" w:rsidRPr="001A4B94">
              <w:rPr>
                <w:i/>
                <w:sz w:val="20"/>
                <w:szCs w:val="20"/>
                <w:lang w:val="tr-TR"/>
              </w:rPr>
              <w:t xml:space="preserve"> 3</w:t>
            </w:r>
            <w:r w:rsidRPr="001A4B94">
              <w:rPr>
                <w:i/>
                <w:sz w:val="20"/>
                <w:szCs w:val="20"/>
                <w:lang w:val="tr-TR"/>
              </w:rPr>
              <w:t>,</w:t>
            </w:r>
            <w:r w:rsidR="003944B9" w:rsidRPr="001A4B94">
              <w:rPr>
                <w:i/>
                <w:sz w:val="20"/>
                <w:szCs w:val="20"/>
                <w:lang w:val="tr-TR"/>
              </w:rPr>
              <w:t>3 (2015)</w:t>
            </w:r>
          </w:p>
          <w:p w14:paraId="6C87B240" w14:textId="3F4D949D" w:rsidR="003944B9" w:rsidRPr="001A4B94" w:rsidRDefault="00642740" w:rsidP="003944B9">
            <w:pPr>
              <w:rPr>
                <w:i/>
                <w:sz w:val="20"/>
                <w:szCs w:val="20"/>
                <w:lang w:val="tr-TR"/>
              </w:rPr>
            </w:pPr>
            <w:r w:rsidRPr="001A4B94">
              <w:rPr>
                <w:b/>
                <w:i/>
                <w:sz w:val="20"/>
                <w:szCs w:val="20"/>
                <w:lang w:val="tr-TR"/>
              </w:rPr>
              <w:t>Hedef</w:t>
            </w:r>
            <w:r w:rsidR="003944B9" w:rsidRPr="001A4B94">
              <w:rPr>
                <w:b/>
                <w:i/>
                <w:sz w:val="20"/>
                <w:szCs w:val="20"/>
                <w:lang w:val="tr-TR"/>
              </w:rPr>
              <w:t>:</w:t>
            </w:r>
            <w:r w:rsidR="003944B9" w:rsidRPr="001A4B94">
              <w:rPr>
                <w:i/>
                <w:sz w:val="20"/>
                <w:szCs w:val="20"/>
                <w:lang w:val="tr-TR"/>
              </w:rPr>
              <w:t xml:space="preserve">  4</w:t>
            </w:r>
            <w:r w:rsidRPr="001A4B94">
              <w:rPr>
                <w:i/>
                <w:sz w:val="20"/>
                <w:szCs w:val="20"/>
                <w:lang w:val="tr-TR"/>
              </w:rPr>
              <w:t>,</w:t>
            </w:r>
            <w:r w:rsidR="003944B9" w:rsidRPr="001A4B94">
              <w:rPr>
                <w:i/>
                <w:sz w:val="20"/>
                <w:szCs w:val="20"/>
                <w:lang w:val="tr-TR"/>
              </w:rPr>
              <w:t xml:space="preserve">7 (2019) </w:t>
            </w:r>
          </w:p>
          <w:p w14:paraId="2CCE2AE7" w14:textId="46B333A6" w:rsidR="003944B9" w:rsidRPr="001A4B94" w:rsidRDefault="003944B9" w:rsidP="003944B9">
            <w:pPr>
              <w:rPr>
                <w:i/>
                <w:sz w:val="20"/>
                <w:szCs w:val="20"/>
                <w:lang w:val="tr-TR"/>
              </w:rPr>
            </w:pPr>
            <w:r w:rsidRPr="001A4B94">
              <w:rPr>
                <w:i/>
                <w:sz w:val="20"/>
                <w:szCs w:val="20"/>
                <w:lang w:val="tr-TR"/>
              </w:rPr>
              <w:t>(</w:t>
            </w:r>
            <w:r w:rsidR="00642740" w:rsidRPr="001A4B94">
              <w:rPr>
                <w:i/>
                <w:sz w:val="20"/>
                <w:szCs w:val="20"/>
                <w:lang w:val="tr-TR"/>
              </w:rPr>
              <w:t>cinsiyet bazında ayrıştırılmış veriler toplanacak</w:t>
            </w:r>
            <w:r w:rsidRPr="001A4B94">
              <w:rPr>
                <w:i/>
                <w:sz w:val="20"/>
                <w:szCs w:val="20"/>
                <w:lang w:val="tr-TR"/>
              </w:rPr>
              <w:t>)</w:t>
            </w:r>
          </w:p>
          <w:p w14:paraId="7C5097E3" w14:textId="77777777" w:rsidR="003944B9" w:rsidRPr="001A4B94" w:rsidRDefault="003944B9" w:rsidP="003944B9">
            <w:pPr>
              <w:rPr>
                <w:i/>
                <w:sz w:val="20"/>
                <w:szCs w:val="20"/>
                <w:lang w:val="tr-TR"/>
              </w:rPr>
            </w:pPr>
          </w:p>
          <w:p w14:paraId="3ADFD39B" w14:textId="55079373" w:rsidR="003944B9" w:rsidRPr="001A4B94" w:rsidRDefault="00642740" w:rsidP="003944B9">
            <w:pPr>
              <w:rPr>
                <w:i/>
                <w:sz w:val="20"/>
                <w:szCs w:val="20"/>
                <w:lang w:val="tr-TR"/>
              </w:rPr>
            </w:pPr>
            <w:r w:rsidRPr="001A4B94">
              <w:rPr>
                <w:i/>
                <w:sz w:val="20"/>
                <w:szCs w:val="20"/>
                <w:lang w:val="tr-TR"/>
              </w:rPr>
              <w:t>IBRD ve FRiT finansmanı sayesinde a</w:t>
            </w:r>
            <w:r w:rsidR="009C3D36" w:rsidRPr="001A4B94">
              <w:rPr>
                <w:i/>
                <w:sz w:val="20"/>
                <w:szCs w:val="20"/>
                <w:lang w:val="tr-TR"/>
              </w:rPr>
              <w:t xml:space="preserve">fete dayanıklı </w:t>
            </w:r>
            <w:r w:rsidRPr="001A4B94">
              <w:rPr>
                <w:i/>
                <w:sz w:val="20"/>
                <w:szCs w:val="20"/>
                <w:lang w:val="tr-TR"/>
              </w:rPr>
              <w:t xml:space="preserve">olacak şekilde güçlendirilen, yeniden inşa edilen veya baştan inşa edilen </w:t>
            </w:r>
            <w:r w:rsidR="009C3D36" w:rsidRPr="001A4B94">
              <w:rPr>
                <w:i/>
                <w:sz w:val="20"/>
                <w:szCs w:val="20"/>
                <w:lang w:val="tr-TR"/>
              </w:rPr>
              <w:t xml:space="preserve">kamu binalarının sayısının arttırılması yoluyla şehirlerin afetlere karşı dayanıklılığında sağlanan artış  </w:t>
            </w:r>
          </w:p>
          <w:p w14:paraId="37C5A9C4" w14:textId="067DF8F0" w:rsidR="003944B9" w:rsidRPr="001A4B94" w:rsidRDefault="00642740" w:rsidP="003944B9">
            <w:pPr>
              <w:rPr>
                <w:i/>
                <w:sz w:val="20"/>
                <w:szCs w:val="20"/>
                <w:lang w:val="tr-TR"/>
              </w:rPr>
            </w:pPr>
            <w:r w:rsidRPr="001A4B94">
              <w:rPr>
                <w:b/>
                <w:i/>
                <w:sz w:val="20"/>
                <w:szCs w:val="20"/>
                <w:lang w:val="tr-TR"/>
              </w:rPr>
              <w:t>Başlangıç Durumu</w:t>
            </w:r>
            <w:r w:rsidR="003944B9" w:rsidRPr="001A4B94">
              <w:rPr>
                <w:b/>
                <w:i/>
                <w:sz w:val="20"/>
                <w:szCs w:val="20"/>
                <w:lang w:val="tr-TR"/>
              </w:rPr>
              <w:t>:</w:t>
            </w:r>
            <w:r w:rsidR="003944B9" w:rsidRPr="001A4B94">
              <w:rPr>
                <w:i/>
                <w:sz w:val="20"/>
                <w:szCs w:val="20"/>
                <w:lang w:val="tr-TR"/>
              </w:rPr>
              <w:t xml:space="preserve"> 0</w:t>
            </w:r>
          </w:p>
          <w:p w14:paraId="54C1F646" w14:textId="685401A1" w:rsidR="003944B9" w:rsidRPr="001A4B94" w:rsidRDefault="00642740" w:rsidP="003944B9">
            <w:pPr>
              <w:rPr>
                <w:i/>
                <w:sz w:val="20"/>
                <w:szCs w:val="20"/>
                <w:lang w:val="tr-TR"/>
              </w:rPr>
            </w:pPr>
            <w:r w:rsidRPr="001A4B94">
              <w:rPr>
                <w:b/>
                <w:i/>
                <w:sz w:val="20"/>
                <w:szCs w:val="20"/>
                <w:lang w:val="tr-TR"/>
              </w:rPr>
              <w:t>Hedef</w:t>
            </w:r>
            <w:r w:rsidR="003944B9" w:rsidRPr="001A4B94">
              <w:rPr>
                <w:b/>
                <w:i/>
                <w:sz w:val="20"/>
                <w:szCs w:val="20"/>
                <w:lang w:val="tr-TR"/>
              </w:rPr>
              <w:t>:</w:t>
            </w:r>
            <w:r w:rsidR="003944B9" w:rsidRPr="001A4B94">
              <w:rPr>
                <w:i/>
                <w:sz w:val="20"/>
                <w:szCs w:val="20"/>
                <w:lang w:val="tr-TR"/>
              </w:rPr>
              <w:t xml:space="preserve"> </w:t>
            </w:r>
            <w:r w:rsidRPr="001A4B94">
              <w:rPr>
                <w:i/>
                <w:sz w:val="20"/>
                <w:szCs w:val="20"/>
                <w:lang w:val="tr-TR"/>
              </w:rPr>
              <w:t xml:space="preserve">2021 yılına kadar </w:t>
            </w:r>
            <w:r w:rsidR="003944B9" w:rsidRPr="001A4B94">
              <w:rPr>
                <w:i/>
                <w:sz w:val="20"/>
                <w:szCs w:val="20"/>
                <w:lang w:val="tr-TR"/>
              </w:rPr>
              <w:t xml:space="preserve">110 </w:t>
            </w:r>
          </w:p>
        </w:tc>
        <w:tc>
          <w:tcPr>
            <w:tcW w:w="4410" w:type="dxa"/>
          </w:tcPr>
          <w:p w14:paraId="18E3778A" w14:textId="25998D61" w:rsidR="003944B9" w:rsidRPr="001A4B94" w:rsidRDefault="00CE52EC" w:rsidP="003944B9">
            <w:pPr>
              <w:tabs>
                <w:tab w:val="left" w:pos="426"/>
              </w:tabs>
              <w:rPr>
                <w:sz w:val="20"/>
                <w:szCs w:val="20"/>
                <w:lang w:val="tr-TR"/>
              </w:rPr>
            </w:pPr>
            <w:r w:rsidRPr="001A4B94">
              <w:rPr>
                <w:sz w:val="20"/>
                <w:szCs w:val="20"/>
                <w:lang w:val="tr-TR"/>
              </w:rPr>
              <w:lastRenderedPageBreak/>
              <w:t xml:space="preserve">Toplu </w:t>
            </w:r>
            <w:r w:rsidR="00E66B89" w:rsidRPr="001A4B94">
              <w:rPr>
                <w:sz w:val="20"/>
                <w:szCs w:val="20"/>
                <w:lang w:val="tr-TR"/>
              </w:rPr>
              <w:t>gayrimenkul</w:t>
            </w:r>
            <w:r w:rsidRPr="001A4B94">
              <w:rPr>
                <w:sz w:val="20"/>
                <w:szCs w:val="20"/>
                <w:lang w:val="tr-TR"/>
              </w:rPr>
              <w:t xml:space="preserve"> değerleme </w:t>
            </w:r>
            <w:r w:rsidR="00E66B89" w:rsidRPr="001A4B94">
              <w:rPr>
                <w:sz w:val="20"/>
                <w:szCs w:val="20"/>
                <w:lang w:val="tr-TR"/>
              </w:rPr>
              <w:t>pilot</w:t>
            </w:r>
            <w:r w:rsidRPr="001A4B94">
              <w:rPr>
                <w:sz w:val="20"/>
                <w:szCs w:val="20"/>
                <w:lang w:val="tr-TR"/>
              </w:rPr>
              <w:t xml:space="preserve"> </w:t>
            </w:r>
            <w:r w:rsidR="00E66B89" w:rsidRPr="001A4B94">
              <w:rPr>
                <w:sz w:val="20"/>
                <w:szCs w:val="20"/>
                <w:lang w:val="tr-TR"/>
              </w:rPr>
              <w:t>çalışmalarının</w:t>
            </w:r>
            <w:r w:rsidRPr="001A4B94">
              <w:rPr>
                <w:sz w:val="20"/>
                <w:szCs w:val="20"/>
                <w:lang w:val="tr-TR"/>
              </w:rPr>
              <w:t xml:space="preserve"> tamamlanması ve yeni </w:t>
            </w:r>
            <w:r w:rsidR="00E66B89" w:rsidRPr="001A4B94">
              <w:rPr>
                <w:sz w:val="20"/>
                <w:szCs w:val="20"/>
                <w:lang w:val="tr-TR"/>
              </w:rPr>
              <w:t>gayrimenkul</w:t>
            </w:r>
            <w:r w:rsidRPr="001A4B94">
              <w:rPr>
                <w:sz w:val="20"/>
                <w:szCs w:val="20"/>
                <w:lang w:val="tr-TR"/>
              </w:rPr>
              <w:t xml:space="preserve"> değerleme  </w:t>
            </w:r>
            <w:r w:rsidR="00E66B89" w:rsidRPr="001A4B94">
              <w:rPr>
                <w:sz w:val="20"/>
                <w:szCs w:val="20"/>
                <w:lang w:val="tr-TR"/>
              </w:rPr>
              <w:t>politikası</w:t>
            </w:r>
            <w:r w:rsidRPr="001A4B94">
              <w:rPr>
                <w:sz w:val="20"/>
                <w:szCs w:val="20"/>
                <w:lang w:val="tr-TR"/>
              </w:rPr>
              <w:t xml:space="preserve"> için bilgi girdisi </w:t>
            </w:r>
            <w:r w:rsidR="00E66B89" w:rsidRPr="001A4B94">
              <w:rPr>
                <w:sz w:val="20"/>
                <w:szCs w:val="20"/>
                <w:lang w:val="tr-TR"/>
              </w:rPr>
              <w:t>sağlanması</w:t>
            </w:r>
            <w:r w:rsidRPr="001A4B94">
              <w:rPr>
                <w:sz w:val="20"/>
                <w:szCs w:val="20"/>
                <w:lang w:val="tr-TR"/>
              </w:rPr>
              <w:t xml:space="preserve"> </w:t>
            </w:r>
          </w:p>
          <w:p w14:paraId="696DB34F" w14:textId="5E1C313C" w:rsidR="003944B9" w:rsidRPr="001A4B94" w:rsidRDefault="00E66B89" w:rsidP="003944B9">
            <w:pPr>
              <w:tabs>
                <w:tab w:val="left" w:pos="426"/>
              </w:tabs>
              <w:rPr>
                <w:sz w:val="20"/>
                <w:szCs w:val="20"/>
                <w:lang w:val="tr-TR"/>
              </w:rPr>
            </w:pPr>
            <w:r w:rsidRPr="001A4B94">
              <w:rPr>
                <w:b/>
                <w:sz w:val="20"/>
                <w:szCs w:val="20"/>
                <w:lang w:val="tr-TR"/>
              </w:rPr>
              <w:t>Başlangıç Durumu</w:t>
            </w:r>
            <w:r w:rsidR="003944B9" w:rsidRPr="001A4B94">
              <w:rPr>
                <w:b/>
                <w:sz w:val="20"/>
                <w:szCs w:val="20"/>
                <w:lang w:val="tr-TR"/>
              </w:rPr>
              <w:t>:</w:t>
            </w:r>
            <w:r w:rsidR="003944B9" w:rsidRPr="001A4B94">
              <w:rPr>
                <w:sz w:val="20"/>
                <w:szCs w:val="20"/>
                <w:lang w:val="tr-TR"/>
              </w:rPr>
              <w:t xml:space="preserve"> </w:t>
            </w:r>
            <w:r w:rsidR="005D32B6" w:rsidRPr="001A4B94">
              <w:rPr>
                <w:sz w:val="20"/>
                <w:szCs w:val="20"/>
                <w:lang w:val="tr-TR"/>
              </w:rPr>
              <w:t xml:space="preserve">Yok </w:t>
            </w:r>
            <w:r w:rsidR="003944B9" w:rsidRPr="001A4B94">
              <w:rPr>
                <w:sz w:val="20"/>
                <w:szCs w:val="20"/>
                <w:lang w:val="tr-TR"/>
              </w:rPr>
              <w:t>(2016)</w:t>
            </w:r>
          </w:p>
          <w:p w14:paraId="3084D729" w14:textId="5C22A9E3" w:rsidR="003944B9" w:rsidRPr="001A4B94" w:rsidRDefault="00E66B89" w:rsidP="003944B9">
            <w:pPr>
              <w:tabs>
                <w:tab w:val="left" w:pos="426"/>
              </w:tabs>
              <w:rPr>
                <w:sz w:val="20"/>
                <w:szCs w:val="20"/>
                <w:lang w:val="tr-TR"/>
              </w:rPr>
            </w:pPr>
            <w:r w:rsidRPr="001A4B94">
              <w:rPr>
                <w:b/>
                <w:sz w:val="20"/>
                <w:szCs w:val="20"/>
                <w:lang w:val="tr-TR"/>
              </w:rPr>
              <w:t>Hedef</w:t>
            </w:r>
            <w:r w:rsidR="003944B9" w:rsidRPr="001A4B94">
              <w:rPr>
                <w:b/>
                <w:sz w:val="20"/>
                <w:szCs w:val="20"/>
                <w:lang w:val="tr-TR"/>
              </w:rPr>
              <w:t xml:space="preserve">:  </w:t>
            </w:r>
            <w:r w:rsidR="005D32B6" w:rsidRPr="001A4B94">
              <w:rPr>
                <w:sz w:val="20"/>
                <w:szCs w:val="20"/>
                <w:lang w:val="tr-TR"/>
              </w:rPr>
              <w:t>Var</w:t>
            </w:r>
            <w:r w:rsidR="003944B9" w:rsidRPr="001A4B94">
              <w:rPr>
                <w:sz w:val="20"/>
                <w:szCs w:val="20"/>
                <w:lang w:val="tr-TR"/>
              </w:rPr>
              <w:t xml:space="preserve"> (2020)</w:t>
            </w:r>
          </w:p>
          <w:p w14:paraId="733F043A" w14:textId="77777777" w:rsidR="003944B9" w:rsidRPr="001A4B94" w:rsidRDefault="003944B9" w:rsidP="003944B9">
            <w:pPr>
              <w:tabs>
                <w:tab w:val="left" w:pos="426"/>
              </w:tabs>
              <w:rPr>
                <w:b/>
                <w:sz w:val="20"/>
                <w:szCs w:val="20"/>
                <w:lang w:val="tr-TR"/>
              </w:rPr>
            </w:pPr>
          </w:p>
          <w:p w14:paraId="209B2476" w14:textId="46DD673C" w:rsidR="00610E8D" w:rsidRPr="001A4B94" w:rsidRDefault="00CE52EC" w:rsidP="00610E8D">
            <w:pPr>
              <w:rPr>
                <w:sz w:val="20"/>
                <w:szCs w:val="20"/>
                <w:lang w:val="tr-TR"/>
              </w:rPr>
            </w:pPr>
            <w:r w:rsidRPr="001A4B94">
              <w:rPr>
                <w:sz w:val="20"/>
                <w:szCs w:val="20"/>
                <w:lang w:val="tr-TR"/>
              </w:rPr>
              <w:t>Dört belediyede sektörel ve mekansal planl</w:t>
            </w:r>
            <w:r w:rsidR="005D32B6" w:rsidRPr="001A4B94">
              <w:rPr>
                <w:sz w:val="20"/>
                <w:szCs w:val="20"/>
                <w:lang w:val="tr-TR"/>
              </w:rPr>
              <w:t>a</w:t>
            </w:r>
            <w:r w:rsidRPr="001A4B94">
              <w:rPr>
                <w:sz w:val="20"/>
                <w:szCs w:val="20"/>
                <w:lang w:val="tr-TR"/>
              </w:rPr>
              <w:t>rın ve sermaye y</w:t>
            </w:r>
            <w:r w:rsidR="005D32B6" w:rsidRPr="001A4B94">
              <w:rPr>
                <w:sz w:val="20"/>
                <w:szCs w:val="20"/>
                <w:lang w:val="tr-TR"/>
              </w:rPr>
              <w:t>a</w:t>
            </w:r>
            <w:r w:rsidRPr="001A4B94">
              <w:rPr>
                <w:sz w:val="20"/>
                <w:szCs w:val="20"/>
                <w:lang w:val="tr-TR"/>
              </w:rPr>
              <w:t>tırım planl</w:t>
            </w:r>
            <w:r w:rsidR="005D32B6" w:rsidRPr="001A4B94">
              <w:rPr>
                <w:sz w:val="20"/>
                <w:szCs w:val="20"/>
                <w:lang w:val="tr-TR"/>
              </w:rPr>
              <w:t>a</w:t>
            </w:r>
            <w:r w:rsidRPr="001A4B94">
              <w:rPr>
                <w:sz w:val="20"/>
                <w:szCs w:val="20"/>
                <w:lang w:val="tr-TR"/>
              </w:rPr>
              <w:t>rının kabul ed</w:t>
            </w:r>
            <w:r w:rsidR="005D32B6" w:rsidRPr="001A4B94">
              <w:rPr>
                <w:sz w:val="20"/>
                <w:szCs w:val="20"/>
                <w:lang w:val="tr-TR"/>
              </w:rPr>
              <w:t>il</w:t>
            </w:r>
            <w:r w:rsidRPr="001A4B94">
              <w:rPr>
                <w:sz w:val="20"/>
                <w:szCs w:val="20"/>
                <w:lang w:val="tr-TR"/>
              </w:rPr>
              <w:t>m</w:t>
            </w:r>
            <w:r w:rsidR="005D32B6" w:rsidRPr="001A4B94">
              <w:rPr>
                <w:sz w:val="20"/>
                <w:szCs w:val="20"/>
                <w:lang w:val="tr-TR"/>
              </w:rPr>
              <w:t>e</w:t>
            </w:r>
            <w:r w:rsidRPr="001A4B94">
              <w:rPr>
                <w:sz w:val="20"/>
                <w:szCs w:val="20"/>
                <w:lang w:val="tr-TR"/>
              </w:rPr>
              <w:t>si soluyla planlama kapasit</w:t>
            </w:r>
            <w:r w:rsidR="005D32B6" w:rsidRPr="001A4B94">
              <w:rPr>
                <w:sz w:val="20"/>
                <w:szCs w:val="20"/>
                <w:lang w:val="tr-TR"/>
              </w:rPr>
              <w:t>e</w:t>
            </w:r>
            <w:r w:rsidRPr="001A4B94">
              <w:rPr>
                <w:sz w:val="20"/>
                <w:szCs w:val="20"/>
                <w:lang w:val="tr-TR"/>
              </w:rPr>
              <w:t xml:space="preserve">sinin ve hedeflenen belediye hizmetlerine erişim kapasitesinin geliştirilmesi </w:t>
            </w:r>
          </w:p>
          <w:p w14:paraId="7AD287A6" w14:textId="4EB1799D" w:rsidR="00610E8D" w:rsidRPr="001A4B94" w:rsidRDefault="00E66B89" w:rsidP="00610E8D">
            <w:pPr>
              <w:rPr>
                <w:sz w:val="20"/>
                <w:szCs w:val="20"/>
                <w:lang w:val="tr-TR"/>
              </w:rPr>
            </w:pPr>
            <w:r w:rsidRPr="001A4B94">
              <w:rPr>
                <w:b/>
                <w:sz w:val="20"/>
                <w:szCs w:val="20"/>
                <w:lang w:val="tr-TR"/>
              </w:rPr>
              <w:lastRenderedPageBreak/>
              <w:t>Başlangıç Durumu</w:t>
            </w:r>
            <w:r w:rsidR="00610E8D" w:rsidRPr="001A4B94">
              <w:rPr>
                <w:b/>
                <w:sz w:val="20"/>
                <w:szCs w:val="20"/>
                <w:lang w:val="tr-TR"/>
              </w:rPr>
              <w:t>:</w:t>
            </w:r>
            <w:r w:rsidR="00610E8D" w:rsidRPr="001A4B94">
              <w:rPr>
                <w:sz w:val="20"/>
                <w:szCs w:val="20"/>
                <w:lang w:val="tr-TR"/>
              </w:rPr>
              <w:t xml:space="preserve"> </w:t>
            </w:r>
            <w:r w:rsidR="005D32B6" w:rsidRPr="001A4B94">
              <w:rPr>
                <w:sz w:val="20"/>
                <w:szCs w:val="20"/>
                <w:lang w:val="tr-TR"/>
              </w:rPr>
              <w:t xml:space="preserve">2016 yılında </w:t>
            </w:r>
            <w:r w:rsidR="00610E8D" w:rsidRPr="001A4B94">
              <w:rPr>
                <w:sz w:val="20"/>
                <w:szCs w:val="20"/>
                <w:lang w:val="tr-TR"/>
              </w:rPr>
              <w:t xml:space="preserve">0 </w:t>
            </w:r>
          </w:p>
          <w:p w14:paraId="79AAE1C3" w14:textId="6745CEC8" w:rsidR="00610E8D" w:rsidRPr="001A4B94" w:rsidRDefault="00E66B89" w:rsidP="00610E8D">
            <w:pPr>
              <w:rPr>
                <w:sz w:val="20"/>
                <w:szCs w:val="20"/>
                <w:lang w:val="tr-TR"/>
              </w:rPr>
            </w:pPr>
            <w:r w:rsidRPr="001A4B94">
              <w:rPr>
                <w:b/>
                <w:sz w:val="20"/>
                <w:szCs w:val="20"/>
                <w:lang w:val="tr-TR"/>
              </w:rPr>
              <w:t>Hedef</w:t>
            </w:r>
            <w:r w:rsidR="00610E8D" w:rsidRPr="001A4B94">
              <w:rPr>
                <w:b/>
                <w:sz w:val="20"/>
                <w:szCs w:val="20"/>
                <w:lang w:val="tr-TR"/>
              </w:rPr>
              <w:t>:</w:t>
            </w:r>
            <w:r w:rsidR="00610E8D" w:rsidRPr="001A4B94">
              <w:rPr>
                <w:sz w:val="20"/>
                <w:szCs w:val="20"/>
                <w:lang w:val="tr-TR"/>
              </w:rPr>
              <w:t xml:space="preserve"> </w:t>
            </w:r>
            <w:r w:rsidR="005D32B6" w:rsidRPr="001A4B94">
              <w:rPr>
                <w:sz w:val="20"/>
                <w:szCs w:val="20"/>
                <w:lang w:val="tr-TR"/>
              </w:rPr>
              <w:t xml:space="preserve">2021 yılına kadar en az 4 belediyede 10 sektörel planın kabul edilmesi </w:t>
            </w:r>
          </w:p>
          <w:p w14:paraId="53921816" w14:textId="77777777" w:rsidR="003944B9" w:rsidRPr="001A4B94" w:rsidRDefault="003944B9" w:rsidP="003944B9">
            <w:pPr>
              <w:tabs>
                <w:tab w:val="left" w:pos="426"/>
              </w:tabs>
              <w:rPr>
                <w:b/>
                <w:sz w:val="20"/>
                <w:szCs w:val="20"/>
                <w:lang w:val="tr-TR"/>
              </w:rPr>
            </w:pPr>
          </w:p>
          <w:p w14:paraId="26B2D6F1" w14:textId="27DC4709" w:rsidR="003944B9" w:rsidRPr="001A4B94" w:rsidRDefault="001847C7" w:rsidP="003944B9">
            <w:pPr>
              <w:tabs>
                <w:tab w:val="left" w:pos="426"/>
              </w:tabs>
              <w:rPr>
                <w:sz w:val="20"/>
                <w:szCs w:val="20"/>
                <w:lang w:val="tr-TR"/>
              </w:rPr>
            </w:pPr>
            <w:r w:rsidRPr="001A4B94">
              <w:rPr>
                <w:sz w:val="20"/>
                <w:szCs w:val="20"/>
                <w:lang w:val="tr-TR"/>
              </w:rPr>
              <w:t>Seçilen şehirl</w:t>
            </w:r>
            <w:r w:rsidR="005D32B6" w:rsidRPr="001A4B94">
              <w:rPr>
                <w:sz w:val="20"/>
                <w:szCs w:val="20"/>
                <w:lang w:val="tr-TR"/>
              </w:rPr>
              <w:t>e</w:t>
            </w:r>
            <w:r w:rsidRPr="001A4B94">
              <w:rPr>
                <w:sz w:val="20"/>
                <w:szCs w:val="20"/>
                <w:lang w:val="tr-TR"/>
              </w:rPr>
              <w:t>rde / belediyel</w:t>
            </w:r>
            <w:r w:rsidR="005D32B6" w:rsidRPr="001A4B94">
              <w:rPr>
                <w:sz w:val="20"/>
                <w:szCs w:val="20"/>
                <w:lang w:val="tr-TR"/>
              </w:rPr>
              <w:t>e</w:t>
            </w:r>
            <w:r w:rsidRPr="001A4B94">
              <w:rPr>
                <w:sz w:val="20"/>
                <w:szCs w:val="20"/>
                <w:lang w:val="tr-TR"/>
              </w:rPr>
              <w:t>rde sürdürüleb</w:t>
            </w:r>
            <w:r w:rsidR="005D32B6" w:rsidRPr="001A4B94">
              <w:rPr>
                <w:sz w:val="20"/>
                <w:szCs w:val="20"/>
                <w:lang w:val="tr-TR"/>
              </w:rPr>
              <w:t>ilir kents</w:t>
            </w:r>
            <w:r w:rsidRPr="001A4B94">
              <w:rPr>
                <w:sz w:val="20"/>
                <w:szCs w:val="20"/>
                <w:lang w:val="tr-TR"/>
              </w:rPr>
              <w:t>el ulaşım planlamasının benimsenmesi</w:t>
            </w:r>
            <w:r w:rsidR="003944B9" w:rsidRPr="001A4B94">
              <w:rPr>
                <w:sz w:val="20"/>
                <w:szCs w:val="20"/>
                <w:lang w:val="tr-TR"/>
              </w:rPr>
              <w:t>. </w:t>
            </w:r>
          </w:p>
          <w:p w14:paraId="35EC91F3" w14:textId="09991F56" w:rsidR="003944B9" w:rsidRPr="001A4B94" w:rsidRDefault="00E66B89" w:rsidP="003944B9">
            <w:pPr>
              <w:tabs>
                <w:tab w:val="left" w:pos="426"/>
              </w:tabs>
              <w:rPr>
                <w:sz w:val="20"/>
                <w:szCs w:val="20"/>
                <w:lang w:val="tr-TR"/>
              </w:rPr>
            </w:pPr>
            <w:r w:rsidRPr="001A4B94">
              <w:rPr>
                <w:b/>
                <w:sz w:val="20"/>
                <w:szCs w:val="20"/>
                <w:lang w:val="tr-TR"/>
              </w:rPr>
              <w:t>Başlangıç Durumu</w:t>
            </w:r>
            <w:r w:rsidR="003944B9" w:rsidRPr="001A4B94">
              <w:rPr>
                <w:b/>
                <w:sz w:val="20"/>
                <w:szCs w:val="20"/>
                <w:lang w:val="tr-TR"/>
              </w:rPr>
              <w:t>:</w:t>
            </w:r>
            <w:r w:rsidR="003944B9" w:rsidRPr="001A4B94">
              <w:rPr>
                <w:sz w:val="20"/>
                <w:szCs w:val="20"/>
                <w:lang w:val="tr-TR"/>
              </w:rPr>
              <w:t xml:space="preserve"> 0. </w:t>
            </w:r>
          </w:p>
          <w:p w14:paraId="4FA7EC2C" w14:textId="54B81274" w:rsidR="003944B9" w:rsidRPr="001A4B94" w:rsidRDefault="00E66B89" w:rsidP="003944B9">
            <w:pPr>
              <w:tabs>
                <w:tab w:val="left" w:pos="426"/>
              </w:tabs>
              <w:rPr>
                <w:sz w:val="20"/>
                <w:szCs w:val="20"/>
                <w:lang w:val="tr-TR"/>
              </w:rPr>
            </w:pPr>
            <w:r w:rsidRPr="001A4B94">
              <w:rPr>
                <w:b/>
                <w:sz w:val="20"/>
                <w:szCs w:val="20"/>
                <w:lang w:val="tr-TR"/>
              </w:rPr>
              <w:t>Hedef</w:t>
            </w:r>
            <w:r w:rsidR="003944B9" w:rsidRPr="001A4B94">
              <w:rPr>
                <w:b/>
                <w:sz w:val="20"/>
                <w:szCs w:val="20"/>
                <w:lang w:val="tr-TR"/>
              </w:rPr>
              <w:t>:</w:t>
            </w:r>
            <w:r w:rsidR="003944B9" w:rsidRPr="001A4B94">
              <w:rPr>
                <w:sz w:val="20"/>
                <w:szCs w:val="20"/>
                <w:lang w:val="tr-TR"/>
              </w:rPr>
              <w:t xml:space="preserve"> 2 </w:t>
            </w:r>
            <w:r w:rsidR="005D32B6" w:rsidRPr="001A4B94">
              <w:rPr>
                <w:sz w:val="20"/>
                <w:szCs w:val="20"/>
                <w:lang w:val="tr-TR"/>
              </w:rPr>
              <w:t xml:space="preserve">şehir </w:t>
            </w:r>
            <w:r w:rsidR="003944B9" w:rsidRPr="001A4B94">
              <w:rPr>
                <w:sz w:val="20"/>
                <w:szCs w:val="20"/>
                <w:lang w:val="tr-TR"/>
              </w:rPr>
              <w:t>/</w:t>
            </w:r>
            <w:r w:rsidR="005D32B6" w:rsidRPr="001A4B94">
              <w:rPr>
                <w:sz w:val="20"/>
                <w:szCs w:val="20"/>
                <w:lang w:val="tr-TR"/>
              </w:rPr>
              <w:t xml:space="preserve"> belediye</w:t>
            </w:r>
          </w:p>
          <w:p w14:paraId="781C261A" w14:textId="5698D5E1" w:rsidR="003944B9" w:rsidRPr="001A4B94" w:rsidRDefault="005D32B6" w:rsidP="003944B9">
            <w:pPr>
              <w:tabs>
                <w:tab w:val="left" w:pos="426"/>
              </w:tabs>
              <w:rPr>
                <w:sz w:val="20"/>
                <w:szCs w:val="20"/>
                <w:lang w:val="tr-TR"/>
              </w:rPr>
            </w:pPr>
            <w:r w:rsidRPr="001A4B94">
              <w:rPr>
                <w:sz w:val="20"/>
                <w:szCs w:val="20"/>
                <w:lang w:val="tr-TR"/>
              </w:rPr>
              <w:t xml:space="preserve">Kentsel toplu ulaşımda ortalama seyahat süresi </w:t>
            </w:r>
            <w:r w:rsidR="003944B9" w:rsidRPr="001A4B94">
              <w:rPr>
                <w:sz w:val="20"/>
                <w:szCs w:val="20"/>
                <w:lang w:val="tr-TR"/>
              </w:rPr>
              <w:t>(</w:t>
            </w:r>
            <w:r w:rsidRPr="001A4B94">
              <w:rPr>
                <w:sz w:val="20"/>
                <w:szCs w:val="20"/>
                <w:lang w:val="tr-TR"/>
              </w:rPr>
              <w:t>dakika</w:t>
            </w:r>
            <w:r w:rsidR="003944B9" w:rsidRPr="001A4B94">
              <w:rPr>
                <w:sz w:val="20"/>
                <w:szCs w:val="20"/>
                <w:lang w:val="tr-TR"/>
              </w:rPr>
              <w:t>) (tram</w:t>
            </w:r>
            <w:r w:rsidRPr="001A4B94">
              <w:rPr>
                <w:sz w:val="20"/>
                <w:szCs w:val="20"/>
                <w:lang w:val="tr-TR"/>
              </w:rPr>
              <w:t>v</w:t>
            </w:r>
            <w:r w:rsidR="003944B9" w:rsidRPr="001A4B94">
              <w:rPr>
                <w:sz w:val="20"/>
                <w:szCs w:val="20"/>
                <w:lang w:val="tr-TR"/>
              </w:rPr>
              <w:t xml:space="preserve">ay </w:t>
            </w:r>
            <w:r w:rsidRPr="001A4B94">
              <w:rPr>
                <w:sz w:val="20"/>
                <w:szCs w:val="20"/>
                <w:lang w:val="tr-TR"/>
              </w:rPr>
              <w:t xml:space="preserve">ve </w:t>
            </w:r>
            <w:r w:rsidR="003944B9" w:rsidRPr="001A4B94">
              <w:rPr>
                <w:sz w:val="20"/>
                <w:szCs w:val="20"/>
                <w:lang w:val="tr-TR"/>
              </w:rPr>
              <w:t>metro) (IFC)</w:t>
            </w:r>
          </w:p>
          <w:p w14:paraId="6AEEB6A4" w14:textId="51F7D8DD" w:rsidR="003944B9" w:rsidRPr="001A4B94" w:rsidRDefault="00E66B89" w:rsidP="003944B9">
            <w:pPr>
              <w:tabs>
                <w:tab w:val="left" w:pos="426"/>
              </w:tabs>
              <w:rPr>
                <w:sz w:val="20"/>
                <w:szCs w:val="20"/>
                <w:lang w:val="tr-TR"/>
              </w:rPr>
            </w:pPr>
            <w:r w:rsidRPr="001A4B94">
              <w:rPr>
                <w:b/>
                <w:sz w:val="20"/>
                <w:szCs w:val="20"/>
                <w:lang w:val="tr-TR"/>
              </w:rPr>
              <w:t>Başlangıç Durumu</w:t>
            </w:r>
            <w:r w:rsidR="003944B9" w:rsidRPr="001A4B94">
              <w:rPr>
                <w:b/>
                <w:sz w:val="20"/>
                <w:szCs w:val="20"/>
                <w:lang w:val="tr-TR"/>
              </w:rPr>
              <w:t>:</w:t>
            </w:r>
            <w:r w:rsidR="003944B9" w:rsidRPr="001A4B94">
              <w:rPr>
                <w:sz w:val="20"/>
                <w:szCs w:val="20"/>
                <w:lang w:val="tr-TR"/>
              </w:rPr>
              <w:t xml:space="preserve"> 45 (2015)</w:t>
            </w:r>
          </w:p>
          <w:p w14:paraId="62E1B3E0" w14:textId="27C501E0" w:rsidR="003944B9" w:rsidRPr="001A4B94" w:rsidRDefault="00E66B89" w:rsidP="003944B9">
            <w:pPr>
              <w:tabs>
                <w:tab w:val="left" w:pos="426"/>
              </w:tabs>
              <w:rPr>
                <w:sz w:val="20"/>
                <w:szCs w:val="20"/>
                <w:lang w:val="tr-TR"/>
              </w:rPr>
            </w:pPr>
            <w:r w:rsidRPr="001A4B94">
              <w:rPr>
                <w:b/>
                <w:sz w:val="20"/>
                <w:szCs w:val="20"/>
                <w:lang w:val="tr-TR"/>
              </w:rPr>
              <w:t>Hedef</w:t>
            </w:r>
            <w:r w:rsidR="003944B9" w:rsidRPr="001A4B94">
              <w:rPr>
                <w:b/>
                <w:sz w:val="20"/>
                <w:szCs w:val="20"/>
                <w:lang w:val="tr-TR"/>
              </w:rPr>
              <w:t>:</w:t>
            </w:r>
            <w:r w:rsidR="003944B9" w:rsidRPr="001A4B94">
              <w:rPr>
                <w:sz w:val="20"/>
                <w:szCs w:val="20"/>
                <w:lang w:val="tr-TR"/>
              </w:rPr>
              <w:t xml:space="preserve"> 25</w:t>
            </w:r>
            <w:r w:rsidR="006C485E" w:rsidRPr="001A4B94">
              <w:rPr>
                <w:sz w:val="20"/>
                <w:szCs w:val="20"/>
                <w:lang w:val="tr-TR"/>
              </w:rPr>
              <w:t xml:space="preserve"> (2019)</w:t>
            </w:r>
          </w:p>
          <w:p w14:paraId="07BE93C9" w14:textId="77777777" w:rsidR="003944B9" w:rsidRPr="001A4B94" w:rsidRDefault="003944B9" w:rsidP="003944B9">
            <w:pPr>
              <w:tabs>
                <w:tab w:val="left" w:pos="426"/>
              </w:tabs>
              <w:rPr>
                <w:b/>
                <w:sz w:val="20"/>
                <w:szCs w:val="20"/>
                <w:lang w:val="tr-TR"/>
              </w:rPr>
            </w:pPr>
          </w:p>
          <w:p w14:paraId="35383FB7" w14:textId="49645188" w:rsidR="003944B9" w:rsidRPr="001A4B94" w:rsidRDefault="00E66B89" w:rsidP="003944B9">
            <w:pPr>
              <w:tabs>
                <w:tab w:val="left" w:pos="426"/>
              </w:tabs>
              <w:rPr>
                <w:sz w:val="20"/>
                <w:szCs w:val="20"/>
                <w:lang w:val="tr-TR"/>
              </w:rPr>
            </w:pPr>
            <w:r w:rsidRPr="001A4B94">
              <w:rPr>
                <w:sz w:val="20"/>
                <w:szCs w:val="20"/>
                <w:lang w:val="tr-TR"/>
              </w:rPr>
              <w:t xml:space="preserve">IFC müşterileri tarafından arıtılan kentsel atık su </w:t>
            </w:r>
            <w:r w:rsidR="003944B9" w:rsidRPr="001A4B94">
              <w:rPr>
                <w:sz w:val="20"/>
                <w:szCs w:val="20"/>
                <w:lang w:val="tr-TR"/>
              </w:rPr>
              <w:t>(Mm</w:t>
            </w:r>
            <w:r w:rsidR="003944B9" w:rsidRPr="001A4B94">
              <w:rPr>
                <w:sz w:val="20"/>
                <w:szCs w:val="20"/>
                <w:vertAlign w:val="superscript"/>
                <w:lang w:val="tr-TR"/>
              </w:rPr>
              <w:t>3</w:t>
            </w:r>
            <w:r w:rsidR="003944B9" w:rsidRPr="001A4B94">
              <w:rPr>
                <w:sz w:val="20"/>
                <w:szCs w:val="20"/>
                <w:lang w:val="tr-TR"/>
              </w:rPr>
              <w:t>)</w:t>
            </w:r>
          </w:p>
          <w:p w14:paraId="49F12413" w14:textId="1BF29104" w:rsidR="003944B9" w:rsidRPr="001A4B94" w:rsidRDefault="00E66B89" w:rsidP="003944B9">
            <w:pPr>
              <w:tabs>
                <w:tab w:val="left" w:pos="426"/>
              </w:tabs>
              <w:rPr>
                <w:sz w:val="20"/>
                <w:szCs w:val="20"/>
                <w:lang w:val="tr-TR"/>
              </w:rPr>
            </w:pPr>
            <w:r w:rsidRPr="001A4B94">
              <w:rPr>
                <w:b/>
                <w:sz w:val="20"/>
                <w:szCs w:val="20"/>
                <w:lang w:val="tr-TR"/>
              </w:rPr>
              <w:t>Başlangıç Durumu</w:t>
            </w:r>
            <w:r w:rsidR="003944B9" w:rsidRPr="001A4B94">
              <w:rPr>
                <w:b/>
                <w:sz w:val="20"/>
                <w:szCs w:val="20"/>
                <w:lang w:val="tr-TR"/>
              </w:rPr>
              <w:t>:</w:t>
            </w:r>
            <w:r w:rsidR="003944B9" w:rsidRPr="001A4B94">
              <w:rPr>
                <w:sz w:val="20"/>
                <w:szCs w:val="20"/>
                <w:lang w:val="tr-TR"/>
              </w:rPr>
              <w:t xml:space="preserve"> 0 (2015)</w:t>
            </w:r>
          </w:p>
          <w:p w14:paraId="4301C984" w14:textId="4BDE1E67" w:rsidR="003944B9" w:rsidRPr="001A4B94" w:rsidRDefault="00E66B89" w:rsidP="003944B9">
            <w:pPr>
              <w:tabs>
                <w:tab w:val="left" w:pos="426"/>
              </w:tabs>
              <w:rPr>
                <w:sz w:val="20"/>
                <w:szCs w:val="20"/>
                <w:lang w:val="tr-TR"/>
              </w:rPr>
            </w:pPr>
            <w:r w:rsidRPr="001A4B94">
              <w:rPr>
                <w:b/>
                <w:sz w:val="20"/>
                <w:szCs w:val="20"/>
                <w:lang w:val="tr-TR"/>
              </w:rPr>
              <w:t>Hedef</w:t>
            </w:r>
            <w:r w:rsidR="003944B9" w:rsidRPr="001A4B94">
              <w:rPr>
                <w:b/>
                <w:sz w:val="20"/>
                <w:szCs w:val="20"/>
                <w:lang w:val="tr-TR"/>
              </w:rPr>
              <w:t>:</w:t>
            </w:r>
            <w:r w:rsidR="003944B9" w:rsidRPr="001A4B94">
              <w:rPr>
                <w:sz w:val="20"/>
                <w:szCs w:val="20"/>
                <w:lang w:val="tr-TR"/>
              </w:rPr>
              <w:t xml:space="preserve">  4</w:t>
            </w:r>
            <w:r w:rsidR="005D32B6" w:rsidRPr="001A4B94">
              <w:rPr>
                <w:sz w:val="20"/>
                <w:szCs w:val="20"/>
                <w:lang w:val="tr-TR"/>
              </w:rPr>
              <w:t>.</w:t>
            </w:r>
            <w:r w:rsidR="003944B9" w:rsidRPr="001A4B94">
              <w:rPr>
                <w:sz w:val="20"/>
                <w:szCs w:val="20"/>
                <w:lang w:val="tr-TR"/>
              </w:rPr>
              <w:t>470</w:t>
            </w:r>
            <w:r w:rsidR="005D32B6" w:rsidRPr="001A4B94">
              <w:rPr>
                <w:sz w:val="20"/>
                <w:szCs w:val="20"/>
                <w:lang w:val="tr-TR"/>
              </w:rPr>
              <w:t>.</w:t>
            </w:r>
            <w:r w:rsidR="003944B9" w:rsidRPr="001A4B94">
              <w:rPr>
                <w:sz w:val="20"/>
                <w:szCs w:val="20"/>
                <w:lang w:val="tr-TR"/>
              </w:rPr>
              <w:t>000 (2019)</w:t>
            </w:r>
          </w:p>
          <w:p w14:paraId="369C93E9" w14:textId="77777777" w:rsidR="003944B9" w:rsidRPr="001A4B94" w:rsidRDefault="003944B9" w:rsidP="003944B9">
            <w:pPr>
              <w:tabs>
                <w:tab w:val="left" w:pos="426"/>
              </w:tabs>
              <w:rPr>
                <w:b/>
                <w:sz w:val="20"/>
                <w:szCs w:val="20"/>
                <w:lang w:val="tr-TR"/>
              </w:rPr>
            </w:pPr>
          </w:p>
          <w:p w14:paraId="2FE32C02" w14:textId="1EB0750D" w:rsidR="003944B9" w:rsidRPr="001A4B94" w:rsidRDefault="00E66B89" w:rsidP="003944B9">
            <w:pPr>
              <w:tabs>
                <w:tab w:val="left" w:pos="426"/>
              </w:tabs>
              <w:rPr>
                <w:sz w:val="20"/>
                <w:szCs w:val="20"/>
                <w:lang w:val="tr-TR"/>
              </w:rPr>
            </w:pPr>
            <w:r w:rsidRPr="001A4B94">
              <w:rPr>
                <w:sz w:val="20"/>
                <w:szCs w:val="20"/>
                <w:lang w:val="tr-TR"/>
              </w:rPr>
              <w:t>IFC müşteril</w:t>
            </w:r>
            <w:r w:rsidR="005D32B6" w:rsidRPr="001A4B94">
              <w:rPr>
                <w:sz w:val="20"/>
                <w:szCs w:val="20"/>
                <w:lang w:val="tr-TR"/>
              </w:rPr>
              <w:t>e</w:t>
            </w:r>
            <w:r w:rsidRPr="001A4B94">
              <w:rPr>
                <w:sz w:val="20"/>
                <w:szCs w:val="20"/>
                <w:lang w:val="tr-TR"/>
              </w:rPr>
              <w:t xml:space="preserve">ri tarafından bertaraf edilen kentsel katı atık </w:t>
            </w:r>
            <w:r w:rsidR="003944B9" w:rsidRPr="001A4B94">
              <w:rPr>
                <w:sz w:val="20"/>
                <w:szCs w:val="20"/>
                <w:lang w:val="tr-TR"/>
              </w:rPr>
              <w:t>(ton</w:t>
            </w:r>
            <w:r w:rsidRPr="001A4B94">
              <w:rPr>
                <w:sz w:val="20"/>
                <w:szCs w:val="20"/>
                <w:lang w:val="tr-TR"/>
              </w:rPr>
              <w:t xml:space="preserve"> </w:t>
            </w:r>
            <w:r w:rsidR="003944B9" w:rsidRPr="001A4B94">
              <w:rPr>
                <w:sz w:val="20"/>
                <w:szCs w:val="20"/>
                <w:lang w:val="tr-TR"/>
              </w:rPr>
              <w:t>/</w:t>
            </w:r>
            <w:r w:rsidRPr="001A4B94">
              <w:rPr>
                <w:sz w:val="20"/>
                <w:szCs w:val="20"/>
                <w:lang w:val="tr-TR"/>
              </w:rPr>
              <w:t xml:space="preserve"> </w:t>
            </w:r>
            <w:r w:rsidR="003944B9" w:rsidRPr="001A4B94">
              <w:rPr>
                <w:sz w:val="20"/>
                <w:szCs w:val="20"/>
                <w:lang w:val="tr-TR"/>
              </w:rPr>
              <w:t>y</w:t>
            </w:r>
            <w:r w:rsidRPr="001A4B94">
              <w:rPr>
                <w:sz w:val="20"/>
                <w:szCs w:val="20"/>
                <w:lang w:val="tr-TR"/>
              </w:rPr>
              <w:t>ıl</w:t>
            </w:r>
            <w:r w:rsidR="003944B9" w:rsidRPr="001A4B94">
              <w:rPr>
                <w:sz w:val="20"/>
                <w:szCs w:val="20"/>
                <w:lang w:val="tr-TR"/>
              </w:rPr>
              <w:t>)</w:t>
            </w:r>
          </w:p>
          <w:p w14:paraId="391C24D0" w14:textId="0C2515B2" w:rsidR="003944B9" w:rsidRPr="001A4B94" w:rsidRDefault="00E66B89" w:rsidP="003944B9">
            <w:pPr>
              <w:tabs>
                <w:tab w:val="left" w:pos="426"/>
              </w:tabs>
              <w:rPr>
                <w:sz w:val="20"/>
                <w:szCs w:val="20"/>
                <w:lang w:val="tr-TR"/>
              </w:rPr>
            </w:pPr>
            <w:r w:rsidRPr="001A4B94">
              <w:rPr>
                <w:b/>
                <w:sz w:val="20"/>
                <w:szCs w:val="20"/>
                <w:lang w:val="tr-TR"/>
              </w:rPr>
              <w:t>Başlangıç Durumu</w:t>
            </w:r>
            <w:r w:rsidR="003944B9" w:rsidRPr="001A4B94">
              <w:rPr>
                <w:b/>
                <w:sz w:val="20"/>
                <w:szCs w:val="20"/>
                <w:lang w:val="tr-TR"/>
              </w:rPr>
              <w:t>:</w:t>
            </w:r>
            <w:r w:rsidR="003944B9" w:rsidRPr="001A4B94">
              <w:rPr>
                <w:sz w:val="20"/>
                <w:szCs w:val="20"/>
                <w:lang w:val="tr-TR"/>
              </w:rPr>
              <w:t xml:space="preserve"> 0 (2015)</w:t>
            </w:r>
          </w:p>
          <w:p w14:paraId="07BD2279" w14:textId="6B9277F0" w:rsidR="003944B9" w:rsidRPr="001A4B94" w:rsidRDefault="00E66B89" w:rsidP="003944B9">
            <w:pPr>
              <w:tabs>
                <w:tab w:val="left" w:pos="426"/>
              </w:tabs>
              <w:rPr>
                <w:sz w:val="20"/>
                <w:szCs w:val="20"/>
                <w:lang w:val="tr-TR"/>
              </w:rPr>
            </w:pPr>
            <w:r w:rsidRPr="001A4B94">
              <w:rPr>
                <w:b/>
                <w:sz w:val="20"/>
                <w:szCs w:val="20"/>
                <w:lang w:val="tr-TR"/>
              </w:rPr>
              <w:t>Hedef</w:t>
            </w:r>
            <w:r w:rsidR="003944B9" w:rsidRPr="001A4B94">
              <w:rPr>
                <w:b/>
                <w:sz w:val="20"/>
                <w:szCs w:val="20"/>
                <w:lang w:val="tr-TR"/>
              </w:rPr>
              <w:t>:</w:t>
            </w:r>
            <w:r w:rsidR="005D32B6" w:rsidRPr="001A4B94">
              <w:rPr>
                <w:sz w:val="20"/>
                <w:szCs w:val="20"/>
                <w:lang w:val="tr-TR"/>
              </w:rPr>
              <w:t xml:space="preserve">  133.</w:t>
            </w:r>
            <w:r w:rsidR="003944B9" w:rsidRPr="001A4B94">
              <w:rPr>
                <w:sz w:val="20"/>
                <w:szCs w:val="20"/>
                <w:lang w:val="tr-TR"/>
              </w:rPr>
              <w:t>000 (2019)</w:t>
            </w:r>
          </w:p>
          <w:p w14:paraId="7DE02670" w14:textId="77777777" w:rsidR="003944B9" w:rsidRPr="001A4B94" w:rsidRDefault="003944B9" w:rsidP="003944B9">
            <w:pPr>
              <w:tabs>
                <w:tab w:val="left" w:pos="426"/>
              </w:tabs>
              <w:rPr>
                <w:b/>
                <w:sz w:val="20"/>
                <w:szCs w:val="20"/>
                <w:lang w:val="tr-TR"/>
              </w:rPr>
            </w:pPr>
          </w:p>
          <w:p w14:paraId="1B2F9685" w14:textId="793E4682" w:rsidR="003944B9" w:rsidRPr="001A4B94" w:rsidRDefault="003944B9" w:rsidP="003944B9">
            <w:pPr>
              <w:tabs>
                <w:tab w:val="left" w:pos="426"/>
              </w:tabs>
              <w:rPr>
                <w:sz w:val="20"/>
                <w:szCs w:val="20"/>
                <w:lang w:val="tr-TR"/>
              </w:rPr>
            </w:pPr>
            <w:r w:rsidRPr="001A4B94">
              <w:rPr>
                <w:sz w:val="20"/>
                <w:szCs w:val="20"/>
                <w:lang w:val="tr-TR"/>
              </w:rPr>
              <w:t>T</w:t>
            </w:r>
            <w:r w:rsidR="00E66B89" w:rsidRPr="001A4B94">
              <w:rPr>
                <w:sz w:val="20"/>
                <w:szCs w:val="20"/>
                <w:lang w:val="tr-TR"/>
              </w:rPr>
              <w:t xml:space="preserve">ürkiye Afet Yönetim Stratejisi ve Türkiye </w:t>
            </w:r>
            <w:r w:rsidRPr="001A4B94">
              <w:rPr>
                <w:sz w:val="20"/>
                <w:szCs w:val="20"/>
                <w:lang w:val="tr-TR"/>
              </w:rPr>
              <w:t xml:space="preserve">Risk </w:t>
            </w:r>
            <w:r w:rsidR="00E66B89" w:rsidRPr="001A4B94">
              <w:rPr>
                <w:sz w:val="20"/>
                <w:szCs w:val="20"/>
                <w:lang w:val="tr-TR"/>
              </w:rPr>
              <w:t xml:space="preserve">Azaltma Planının kabul edilmesi </w:t>
            </w:r>
          </w:p>
          <w:p w14:paraId="0BAE1B4D" w14:textId="7F9E3D70" w:rsidR="003944B9" w:rsidRPr="001A4B94" w:rsidRDefault="00E66B89" w:rsidP="003944B9">
            <w:pPr>
              <w:tabs>
                <w:tab w:val="left" w:pos="426"/>
              </w:tabs>
              <w:rPr>
                <w:sz w:val="20"/>
                <w:szCs w:val="20"/>
                <w:lang w:val="tr-TR"/>
              </w:rPr>
            </w:pPr>
            <w:r w:rsidRPr="001A4B94">
              <w:rPr>
                <w:b/>
                <w:sz w:val="20"/>
                <w:szCs w:val="20"/>
                <w:lang w:val="tr-TR"/>
              </w:rPr>
              <w:t>Başlangıç Durumu</w:t>
            </w:r>
            <w:r w:rsidR="003944B9" w:rsidRPr="001A4B94">
              <w:rPr>
                <w:b/>
                <w:sz w:val="20"/>
                <w:szCs w:val="20"/>
                <w:lang w:val="tr-TR"/>
              </w:rPr>
              <w:t>:</w:t>
            </w:r>
            <w:r w:rsidR="003944B9" w:rsidRPr="001A4B94">
              <w:rPr>
                <w:sz w:val="20"/>
                <w:szCs w:val="20"/>
                <w:lang w:val="tr-TR"/>
              </w:rPr>
              <w:t xml:space="preserve"> </w:t>
            </w:r>
            <w:r w:rsidR="008D2FBC" w:rsidRPr="001A4B94">
              <w:rPr>
                <w:sz w:val="20"/>
                <w:szCs w:val="20"/>
                <w:lang w:val="tr-TR"/>
              </w:rPr>
              <w:t xml:space="preserve">2016 yılında yok </w:t>
            </w:r>
          </w:p>
          <w:p w14:paraId="315A082E" w14:textId="73A8AFE0" w:rsidR="003944B9" w:rsidRPr="001A4B94" w:rsidRDefault="00E66B89" w:rsidP="003944B9">
            <w:pPr>
              <w:tabs>
                <w:tab w:val="left" w:pos="426"/>
              </w:tabs>
              <w:rPr>
                <w:sz w:val="20"/>
                <w:szCs w:val="20"/>
                <w:lang w:val="tr-TR"/>
              </w:rPr>
            </w:pPr>
            <w:r w:rsidRPr="001A4B94">
              <w:rPr>
                <w:b/>
                <w:sz w:val="20"/>
                <w:szCs w:val="20"/>
                <w:lang w:val="tr-TR"/>
              </w:rPr>
              <w:t>Hedef</w:t>
            </w:r>
            <w:r w:rsidR="003944B9" w:rsidRPr="001A4B94">
              <w:rPr>
                <w:b/>
                <w:sz w:val="20"/>
                <w:szCs w:val="20"/>
                <w:lang w:val="tr-TR"/>
              </w:rPr>
              <w:t>:</w:t>
            </w:r>
            <w:r w:rsidR="003944B9" w:rsidRPr="001A4B94">
              <w:rPr>
                <w:sz w:val="20"/>
                <w:szCs w:val="20"/>
                <w:lang w:val="tr-TR"/>
              </w:rPr>
              <w:t xml:space="preserve"> </w:t>
            </w:r>
            <w:r w:rsidR="008D2FBC" w:rsidRPr="001A4B94">
              <w:rPr>
                <w:sz w:val="20"/>
                <w:szCs w:val="20"/>
                <w:lang w:val="tr-TR"/>
              </w:rPr>
              <w:t>Var</w:t>
            </w:r>
          </w:p>
          <w:p w14:paraId="3011C1DC" w14:textId="77777777" w:rsidR="003944B9" w:rsidRPr="001A4B94" w:rsidRDefault="003944B9" w:rsidP="003944B9">
            <w:pPr>
              <w:tabs>
                <w:tab w:val="left" w:pos="426"/>
              </w:tabs>
              <w:rPr>
                <w:sz w:val="20"/>
                <w:szCs w:val="20"/>
                <w:lang w:val="tr-TR"/>
              </w:rPr>
            </w:pPr>
          </w:p>
        </w:tc>
        <w:tc>
          <w:tcPr>
            <w:tcW w:w="4860" w:type="dxa"/>
          </w:tcPr>
          <w:p w14:paraId="7D0286BB" w14:textId="3B6F8914" w:rsidR="003944B9" w:rsidRPr="001A4B94" w:rsidRDefault="008D2FBC" w:rsidP="003944B9">
            <w:pPr>
              <w:rPr>
                <w:b/>
                <w:color w:val="000000" w:themeColor="text1"/>
                <w:sz w:val="20"/>
                <w:szCs w:val="20"/>
                <w:lang w:val="tr-TR"/>
              </w:rPr>
            </w:pPr>
            <w:r w:rsidRPr="001A4B94">
              <w:rPr>
                <w:b/>
                <w:bCs/>
                <w:color w:val="000000" w:themeColor="text1"/>
                <w:sz w:val="20"/>
                <w:szCs w:val="20"/>
                <w:lang w:val="tr-TR"/>
              </w:rPr>
              <w:lastRenderedPageBreak/>
              <w:t>Devam eden finansman</w:t>
            </w:r>
            <w:r w:rsidR="003944B9" w:rsidRPr="001A4B94">
              <w:rPr>
                <w:b/>
                <w:bCs/>
                <w:color w:val="000000" w:themeColor="text1"/>
                <w:sz w:val="20"/>
                <w:szCs w:val="20"/>
                <w:lang w:val="tr-TR"/>
              </w:rPr>
              <w:t>:</w:t>
            </w:r>
          </w:p>
          <w:p w14:paraId="64F79E1B" w14:textId="25D56325" w:rsidR="003944B9" w:rsidRPr="001A4B94" w:rsidRDefault="008D2FBC" w:rsidP="003944B9">
            <w:pPr>
              <w:rPr>
                <w:color w:val="000000" w:themeColor="text1"/>
                <w:sz w:val="20"/>
                <w:szCs w:val="20"/>
                <w:lang w:val="tr-TR"/>
              </w:rPr>
            </w:pPr>
            <w:r w:rsidRPr="001A4B94">
              <w:rPr>
                <w:color w:val="000000" w:themeColor="text1"/>
                <w:sz w:val="20"/>
                <w:szCs w:val="20"/>
                <w:lang w:val="tr-TR"/>
              </w:rPr>
              <w:t xml:space="preserve">Belediye Hizmetleri Projesi </w:t>
            </w:r>
          </w:p>
          <w:p w14:paraId="0A795A7D" w14:textId="54CB9184" w:rsidR="003944B9" w:rsidRPr="001A4B94" w:rsidRDefault="00C15636" w:rsidP="003944B9">
            <w:pPr>
              <w:rPr>
                <w:color w:val="000000" w:themeColor="text1"/>
                <w:sz w:val="20"/>
                <w:szCs w:val="20"/>
                <w:lang w:val="tr-TR"/>
              </w:rPr>
            </w:pPr>
            <w:r w:rsidRPr="001A4B94">
              <w:rPr>
                <w:color w:val="000000" w:themeColor="text1"/>
                <w:sz w:val="20"/>
                <w:szCs w:val="20"/>
                <w:lang w:val="tr-TR"/>
              </w:rPr>
              <w:t xml:space="preserve">Tapu Kadastro Modernizasyon Projesi </w:t>
            </w:r>
          </w:p>
          <w:p w14:paraId="6C91175E" w14:textId="77777777" w:rsidR="003944B9" w:rsidRPr="001A4B94" w:rsidRDefault="003944B9" w:rsidP="003944B9">
            <w:pPr>
              <w:rPr>
                <w:b/>
                <w:bCs/>
                <w:color w:val="000000" w:themeColor="text1"/>
                <w:sz w:val="20"/>
                <w:szCs w:val="20"/>
                <w:lang w:val="tr-TR"/>
              </w:rPr>
            </w:pPr>
          </w:p>
          <w:p w14:paraId="153A6690" w14:textId="24CCB4F1" w:rsidR="003944B9" w:rsidRPr="001A4B94" w:rsidRDefault="00C15636" w:rsidP="003944B9">
            <w:pPr>
              <w:rPr>
                <w:b/>
                <w:color w:val="000000" w:themeColor="text1"/>
                <w:sz w:val="20"/>
                <w:szCs w:val="20"/>
                <w:lang w:val="tr-TR"/>
              </w:rPr>
            </w:pPr>
            <w:r w:rsidRPr="001A4B94">
              <w:rPr>
                <w:b/>
                <w:bCs/>
                <w:color w:val="000000" w:themeColor="text1"/>
                <w:sz w:val="20"/>
                <w:szCs w:val="20"/>
                <w:lang w:val="tr-TR"/>
              </w:rPr>
              <w:t>Yeni finansman</w:t>
            </w:r>
            <w:r w:rsidR="003944B9" w:rsidRPr="001A4B94">
              <w:rPr>
                <w:b/>
                <w:bCs/>
                <w:color w:val="000000" w:themeColor="text1"/>
                <w:sz w:val="20"/>
                <w:szCs w:val="20"/>
                <w:lang w:val="tr-TR"/>
              </w:rPr>
              <w:t>:</w:t>
            </w:r>
            <w:r w:rsidR="003944B9" w:rsidRPr="001A4B94">
              <w:rPr>
                <w:b/>
                <w:color w:val="000000" w:themeColor="text1"/>
                <w:sz w:val="20"/>
                <w:szCs w:val="20"/>
                <w:lang w:val="tr-TR"/>
              </w:rPr>
              <w:t xml:space="preserve"> </w:t>
            </w:r>
          </w:p>
          <w:p w14:paraId="7C7D6E10" w14:textId="7791AAEF" w:rsidR="003944B9" w:rsidRPr="001A4B94" w:rsidRDefault="00C15636" w:rsidP="003944B9">
            <w:pPr>
              <w:rPr>
                <w:color w:val="000000" w:themeColor="text1"/>
                <w:sz w:val="20"/>
                <w:szCs w:val="20"/>
                <w:lang w:val="tr-TR"/>
              </w:rPr>
            </w:pPr>
            <w:r w:rsidRPr="001A4B94">
              <w:rPr>
                <w:color w:val="000000" w:themeColor="text1"/>
                <w:sz w:val="20"/>
                <w:szCs w:val="20"/>
                <w:lang w:val="tr-TR"/>
              </w:rPr>
              <w:t xml:space="preserve">Sürdürülebilir Şehirler </w:t>
            </w:r>
            <w:r w:rsidR="003944B9" w:rsidRPr="001A4B94">
              <w:rPr>
                <w:color w:val="000000" w:themeColor="text1"/>
                <w:sz w:val="20"/>
                <w:szCs w:val="20"/>
                <w:lang w:val="tr-TR"/>
              </w:rPr>
              <w:t xml:space="preserve">1, 2, 3 </w:t>
            </w:r>
            <w:r w:rsidRPr="001A4B94">
              <w:rPr>
                <w:color w:val="000000" w:themeColor="text1"/>
                <w:sz w:val="20"/>
                <w:szCs w:val="20"/>
                <w:lang w:val="tr-TR"/>
              </w:rPr>
              <w:t xml:space="preserve">projeleri </w:t>
            </w:r>
          </w:p>
          <w:p w14:paraId="72F44E26" w14:textId="5621C27A" w:rsidR="003944B9" w:rsidRPr="001A4B94" w:rsidRDefault="00C15636" w:rsidP="003944B9">
            <w:pPr>
              <w:rPr>
                <w:color w:val="000000" w:themeColor="text1"/>
                <w:sz w:val="20"/>
                <w:szCs w:val="20"/>
                <w:lang w:val="tr-TR"/>
              </w:rPr>
            </w:pPr>
            <w:r w:rsidRPr="001A4B94">
              <w:rPr>
                <w:color w:val="000000" w:themeColor="text1"/>
                <w:sz w:val="20"/>
                <w:szCs w:val="20"/>
                <w:lang w:val="tr-TR"/>
              </w:rPr>
              <w:t xml:space="preserve">Afet Riski Yönetim Projesi </w:t>
            </w:r>
          </w:p>
          <w:p w14:paraId="21670F34" w14:textId="4FDF9BF8" w:rsidR="003944B9" w:rsidRPr="001A4B94" w:rsidRDefault="00C15636" w:rsidP="003944B9">
            <w:pPr>
              <w:rPr>
                <w:color w:val="000000" w:themeColor="text1"/>
                <w:sz w:val="20"/>
                <w:szCs w:val="20"/>
                <w:lang w:val="tr-TR"/>
              </w:rPr>
            </w:pPr>
            <w:r w:rsidRPr="001A4B94">
              <w:rPr>
                <w:color w:val="000000" w:themeColor="text1"/>
                <w:sz w:val="20"/>
                <w:szCs w:val="20"/>
                <w:lang w:val="tr-TR"/>
              </w:rPr>
              <w:t xml:space="preserve">Yeni </w:t>
            </w:r>
            <w:r w:rsidR="003944B9" w:rsidRPr="001A4B94">
              <w:rPr>
                <w:color w:val="000000" w:themeColor="text1"/>
                <w:sz w:val="20"/>
                <w:szCs w:val="20"/>
                <w:lang w:val="tr-TR"/>
              </w:rPr>
              <w:t xml:space="preserve">DPL </w:t>
            </w:r>
            <w:r w:rsidRPr="001A4B94">
              <w:rPr>
                <w:color w:val="000000" w:themeColor="text1"/>
                <w:sz w:val="20"/>
                <w:szCs w:val="20"/>
                <w:lang w:val="tr-TR"/>
              </w:rPr>
              <w:t xml:space="preserve">dizisi </w:t>
            </w:r>
          </w:p>
          <w:p w14:paraId="09BEFA10" w14:textId="014E36BA" w:rsidR="003944B9" w:rsidRPr="001A4B94" w:rsidRDefault="003944B9" w:rsidP="003944B9">
            <w:pPr>
              <w:rPr>
                <w:b/>
                <w:color w:val="000000" w:themeColor="text1"/>
                <w:sz w:val="20"/>
                <w:szCs w:val="20"/>
                <w:lang w:val="tr-TR"/>
              </w:rPr>
            </w:pPr>
          </w:p>
          <w:p w14:paraId="309631F2" w14:textId="77777777" w:rsidR="00C15636" w:rsidRPr="001A4B94" w:rsidRDefault="00C15636" w:rsidP="003944B9">
            <w:pPr>
              <w:rPr>
                <w:b/>
                <w:color w:val="000000" w:themeColor="text1"/>
                <w:sz w:val="20"/>
                <w:szCs w:val="20"/>
                <w:lang w:val="tr-TR"/>
              </w:rPr>
            </w:pPr>
          </w:p>
          <w:p w14:paraId="7E8BE5D1" w14:textId="5A9CE978" w:rsidR="003944B9" w:rsidRPr="001A4B94" w:rsidRDefault="00C15636" w:rsidP="00C15636">
            <w:pPr>
              <w:ind w:right="-57"/>
              <w:rPr>
                <w:b/>
                <w:color w:val="000000" w:themeColor="text1"/>
                <w:sz w:val="20"/>
                <w:szCs w:val="20"/>
                <w:lang w:val="tr-TR"/>
              </w:rPr>
            </w:pPr>
            <w:r w:rsidRPr="001A4B94">
              <w:rPr>
                <w:b/>
                <w:sz w:val="20"/>
                <w:szCs w:val="20"/>
                <w:lang w:val="tr-TR"/>
              </w:rPr>
              <w:lastRenderedPageBreak/>
              <w:t>Danışmanlık Hizmetleri ve Analitik Çalışmalar (ASA):</w:t>
            </w:r>
          </w:p>
          <w:p w14:paraId="57FC70FF" w14:textId="0818D157" w:rsidR="003944B9" w:rsidRPr="001A4B94" w:rsidRDefault="00C15636" w:rsidP="003944B9">
            <w:pPr>
              <w:rPr>
                <w:color w:val="000000" w:themeColor="text1"/>
                <w:sz w:val="20"/>
                <w:szCs w:val="20"/>
                <w:lang w:val="tr-TR"/>
              </w:rPr>
            </w:pPr>
            <w:r w:rsidRPr="001A4B94">
              <w:rPr>
                <w:color w:val="000000" w:themeColor="text1"/>
                <w:sz w:val="20"/>
                <w:szCs w:val="20"/>
                <w:lang w:val="tr-TR"/>
              </w:rPr>
              <w:t xml:space="preserve">Konut Çalışması </w:t>
            </w:r>
          </w:p>
          <w:p w14:paraId="0A87BA09" w14:textId="7889F8CA" w:rsidR="003944B9" w:rsidRPr="001A4B94" w:rsidRDefault="00C15636" w:rsidP="003944B9">
            <w:pPr>
              <w:rPr>
                <w:color w:val="000000" w:themeColor="text1"/>
                <w:sz w:val="20"/>
                <w:szCs w:val="20"/>
                <w:lang w:val="tr-TR"/>
              </w:rPr>
            </w:pPr>
            <w:r w:rsidRPr="001A4B94">
              <w:rPr>
                <w:color w:val="000000" w:themeColor="text1"/>
                <w:sz w:val="20"/>
                <w:szCs w:val="20"/>
                <w:lang w:val="tr-TR"/>
              </w:rPr>
              <w:t xml:space="preserve">Afet Riski Yönetimi </w:t>
            </w:r>
            <w:r w:rsidR="003944B9" w:rsidRPr="001A4B94">
              <w:rPr>
                <w:color w:val="000000" w:themeColor="text1"/>
                <w:sz w:val="20"/>
                <w:szCs w:val="20"/>
                <w:lang w:val="tr-TR"/>
              </w:rPr>
              <w:t xml:space="preserve">GFDRR </w:t>
            </w:r>
            <w:r w:rsidRPr="001A4B94">
              <w:rPr>
                <w:color w:val="000000" w:themeColor="text1"/>
                <w:sz w:val="20"/>
                <w:szCs w:val="20"/>
                <w:lang w:val="tr-TR"/>
              </w:rPr>
              <w:t xml:space="preserve">Hibesi kapsamında TY </w:t>
            </w:r>
          </w:p>
          <w:p w14:paraId="13F8A51E" w14:textId="3F6D58F8" w:rsidR="003944B9" w:rsidRPr="001A4B94" w:rsidRDefault="00C15636" w:rsidP="003944B9">
            <w:pPr>
              <w:rPr>
                <w:color w:val="000000" w:themeColor="text1"/>
                <w:sz w:val="20"/>
                <w:szCs w:val="20"/>
                <w:lang w:val="tr-TR"/>
              </w:rPr>
            </w:pPr>
            <w:r w:rsidRPr="001A4B94">
              <w:rPr>
                <w:color w:val="000000" w:themeColor="text1"/>
                <w:sz w:val="20"/>
                <w:szCs w:val="20"/>
                <w:lang w:val="tr-TR"/>
              </w:rPr>
              <w:t>AB</w:t>
            </w:r>
            <w:r w:rsidR="00FB0363" w:rsidRPr="001A4B94">
              <w:rPr>
                <w:color w:val="000000" w:themeColor="text1"/>
                <w:sz w:val="20"/>
                <w:szCs w:val="20"/>
                <w:lang w:val="tr-TR"/>
              </w:rPr>
              <w:t>/</w:t>
            </w:r>
            <w:r w:rsidR="003944B9" w:rsidRPr="001A4B94">
              <w:rPr>
                <w:color w:val="000000" w:themeColor="text1"/>
                <w:sz w:val="20"/>
                <w:szCs w:val="20"/>
                <w:lang w:val="tr-TR"/>
              </w:rPr>
              <w:t xml:space="preserve">IPA </w:t>
            </w:r>
            <w:r w:rsidRPr="001A4B94">
              <w:rPr>
                <w:color w:val="000000" w:themeColor="text1"/>
                <w:sz w:val="20"/>
                <w:szCs w:val="20"/>
                <w:lang w:val="tr-TR"/>
              </w:rPr>
              <w:t xml:space="preserve">Sürdürülebilir Şehirler  Hibesi </w:t>
            </w:r>
          </w:p>
          <w:p w14:paraId="44E32C11" w14:textId="77777777" w:rsidR="003944B9" w:rsidRPr="001A4B94" w:rsidRDefault="003944B9" w:rsidP="003944B9">
            <w:pPr>
              <w:rPr>
                <w:b/>
                <w:bCs/>
                <w:color w:val="000000" w:themeColor="text1"/>
                <w:sz w:val="20"/>
                <w:szCs w:val="20"/>
                <w:lang w:val="tr-TR"/>
              </w:rPr>
            </w:pPr>
          </w:p>
          <w:p w14:paraId="5A1E5C8B" w14:textId="77777777" w:rsidR="003944B9" w:rsidRPr="001A4B94" w:rsidRDefault="003944B9" w:rsidP="003944B9">
            <w:pPr>
              <w:rPr>
                <w:b/>
                <w:color w:val="000000" w:themeColor="text1"/>
                <w:sz w:val="20"/>
                <w:szCs w:val="20"/>
                <w:lang w:val="tr-TR"/>
              </w:rPr>
            </w:pPr>
            <w:r w:rsidRPr="001A4B94">
              <w:rPr>
                <w:b/>
                <w:bCs/>
                <w:color w:val="000000" w:themeColor="text1"/>
                <w:sz w:val="20"/>
                <w:szCs w:val="20"/>
                <w:lang w:val="tr-TR"/>
              </w:rPr>
              <w:t xml:space="preserve">IFC: </w:t>
            </w:r>
          </w:p>
          <w:p w14:paraId="59D12E91" w14:textId="1F43D68E" w:rsidR="003944B9" w:rsidRPr="001A4B94" w:rsidRDefault="00C15636" w:rsidP="003944B9">
            <w:pPr>
              <w:rPr>
                <w:sz w:val="20"/>
                <w:szCs w:val="20"/>
                <w:lang w:val="tr-TR"/>
              </w:rPr>
            </w:pPr>
            <w:r w:rsidRPr="001A4B94">
              <w:rPr>
                <w:sz w:val="20"/>
                <w:szCs w:val="20"/>
                <w:lang w:val="tr-TR"/>
              </w:rPr>
              <w:t xml:space="preserve">Şehirler platformu </w:t>
            </w:r>
            <w:r w:rsidR="003944B9" w:rsidRPr="001A4B94">
              <w:rPr>
                <w:sz w:val="20"/>
                <w:szCs w:val="20"/>
                <w:lang w:val="tr-TR"/>
              </w:rPr>
              <w:t xml:space="preserve">– </w:t>
            </w:r>
            <w:r w:rsidRPr="001A4B94">
              <w:rPr>
                <w:sz w:val="20"/>
                <w:szCs w:val="20"/>
                <w:lang w:val="tr-TR"/>
              </w:rPr>
              <w:t xml:space="preserve">danışmanlık hizmetleri </w:t>
            </w:r>
          </w:p>
          <w:p w14:paraId="48F443FF" w14:textId="25E5B648" w:rsidR="003944B9" w:rsidRPr="001A4B94" w:rsidRDefault="00C15636" w:rsidP="003944B9">
            <w:pPr>
              <w:rPr>
                <w:sz w:val="20"/>
                <w:szCs w:val="20"/>
                <w:lang w:val="tr-TR"/>
              </w:rPr>
            </w:pPr>
            <w:r w:rsidRPr="001A4B94">
              <w:rPr>
                <w:sz w:val="20"/>
                <w:szCs w:val="20"/>
                <w:lang w:val="tr-TR"/>
              </w:rPr>
              <w:t xml:space="preserve">İstanbul, İzmir, Antalya, Bursa ve kredi değerlik durumlarına göre başka büyük şehirlerde belediye altyapı yatırımları </w:t>
            </w:r>
          </w:p>
          <w:p w14:paraId="3446D403" w14:textId="3C1A5490" w:rsidR="003944B9" w:rsidRPr="001A4B94" w:rsidRDefault="003944B9" w:rsidP="003944B9">
            <w:pPr>
              <w:rPr>
                <w:b/>
                <w:sz w:val="20"/>
                <w:szCs w:val="20"/>
                <w:lang w:val="tr-TR"/>
              </w:rPr>
            </w:pPr>
          </w:p>
        </w:tc>
      </w:tr>
      <w:tr w:rsidR="003944B9" w:rsidRPr="001A4B94" w14:paraId="2F4CE5EF" w14:textId="77777777" w:rsidTr="00BA590B">
        <w:tc>
          <w:tcPr>
            <w:tcW w:w="13225" w:type="dxa"/>
            <w:gridSpan w:val="3"/>
            <w:shd w:val="clear" w:color="auto" w:fill="EDEDED" w:themeFill="accent3" w:themeFillTint="33"/>
          </w:tcPr>
          <w:p w14:paraId="1BE15A2B" w14:textId="6EE21DF8" w:rsidR="003944B9" w:rsidRPr="001A4B94" w:rsidRDefault="003944B9" w:rsidP="00D4352F">
            <w:pPr>
              <w:tabs>
                <w:tab w:val="left" w:pos="426"/>
              </w:tabs>
              <w:spacing w:before="120" w:after="120"/>
              <w:jc w:val="center"/>
              <w:rPr>
                <w:b/>
                <w:sz w:val="22"/>
                <w:szCs w:val="22"/>
                <w:lang w:val="tr-TR"/>
              </w:rPr>
            </w:pPr>
            <w:r w:rsidRPr="001A4B94">
              <w:rPr>
                <w:b/>
                <w:sz w:val="22"/>
                <w:szCs w:val="22"/>
                <w:lang w:val="tr-TR"/>
              </w:rPr>
              <w:t xml:space="preserve">CPF </w:t>
            </w:r>
            <w:r w:rsidR="00C15636" w:rsidRPr="001A4B94">
              <w:rPr>
                <w:b/>
                <w:sz w:val="22"/>
                <w:szCs w:val="22"/>
                <w:lang w:val="tr-TR"/>
              </w:rPr>
              <w:t>Ama</w:t>
            </w:r>
            <w:r w:rsidR="00604859" w:rsidRPr="001A4B94">
              <w:rPr>
                <w:b/>
                <w:sz w:val="22"/>
                <w:szCs w:val="22"/>
                <w:lang w:val="tr-TR"/>
              </w:rPr>
              <w:t>cı</w:t>
            </w:r>
            <w:r w:rsidRPr="001A4B94">
              <w:rPr>
                <w:b/>
                <w:sz w:val="22"/>
                <w:szCs w:val="22"/>
                <w:lang w:val="tr-TR"/>
              </w:rPr>
              <w:t xml:space="preserve"> 9: </w:t>
            </w:r>
            <w:r w:rsidR="00604859" w:rsidRPr="001A4B94">
              <w:rPr>
                <w:b/>
                <w:sz w:val="22"/>
                <w:szCs w:val="22"/>
                <w:lang w:val="tr-TR"/>
              </w:rPr>
              <w:t xml:space="preserve">Altyapı Varlıklarının ve Doğal Sermayenin Sürdürülebilirliğinin Arttırılması  </w:t>
            </w:r>
          </w:p>
        </w:tc>
      </w:tr>
      <w:tr w:rsidR="003944B9" w:rsidRPr="001A4B94" w14:paraId="0ADEE908" w14:textId="77777777" w:rsidTr="00747261">
        <w:tc>
          <w:tcPr>
            <w:tcW w:w="13225" w:type="dxa"/>
            <w:gridSpan w:val="3"/>
          </w:tcPr>
          <w:p w14:paraId="2EA7C4B5" w14:textId="488143F9" w:rsidR="003944B9" w:rsidRPr="001A4B94" w:rsidRDefault="00604859" w:rsidP="003944B9">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1"/>
                <w:szCs w:val="21"/>
                <w:lang w:val="tr-TR"/>
              </w:rPr>
            </w:pPr>
            <w:r w:rsidRPr="001A4B94">
              <w:rPr>
                <w:rFonts w:ascii="Times New Roman" w:eastAsia="MS Mincho" w:hAnsi="Times New Roman"/>
                <w:b/>
                <w:sz w:val="21"/>
                <w:szCs w:val="21"/>
                <w:lang w:val="tr-TR"/>
              </w:rPr>
              <w:t>Müdahale Mantığı</w:t>
            </w:r>
            <w:r w:rsidR="003944B9" w:rsidRPr="001A4B94">
              <w:rPr>
                <w:rFonts w:ascii="Times New Roman" w:hAnsi="Times New Roman"/>
                <w:b/>
                <w:sz w:val="21"/>
                <w:szCs w:val="21"/>
                <w:lang w:val="tr-TR"/>
              </w:rPr>
              <w:t>:</w:t>
            </w:r>
            <w:r w:rsidR="003944B9" w:rsidRPr="001A4B94">
              <w:rPr>
                <w:rFonts w:ascii="Times New Roman" w:hAnsi="Times New Roman"/>
                <w:sz w:val="21"/>
                <w:szCs w:val="21"/>
                <w:lang w:val="tr-TR"/>
              </w:rPr>
              <w:t xml:space="preserve">  </w:t>
            </w:r>
            <w:r w:rsidR="00182CC4" w:rsidRPr="001A4B94">
              <w:rPr>
                <w:rFonts w:ascii="Times New Roman" w:hAnsi="Times New Roman"/>
                <w:sz w:val="21"/>
                <w:szCs w:val="21"/>
                <w:lang w:val="tr-TR"/>
              </w:rPr>
              <w:t>Kamu varlıklarının ve doğal sermayenin kullanılmasında verimliliğin arttırılması, Sistematik Ülke Değerlendirmesinde iklim değişikliği üzerinde olumlu etkileri olacak kilit bir kalkınma zorluğu olarak vurgulanmıştır</w:t>
            </w:r>
            <w:r w:rsidR="006E2AC3" w:rsidRPr="001A4B94">
              <w:rPr>
                <w:rFonts w:ascii="Times New Roman" w:hAnsi="Times New Roman"/>
                <w:sz w:val="21"/>
                <w:szCs w:val="21"/>
                <w:lang w:val="tr-TR"/>
              </w:rPr>
              <w:t xml:space="preserve">.  </w:t>
            </w:r>
            <w:r w:rsidR="00706A8D" w:rsidRPr="001A4B94">
              <w:rPr>
                <w:rFonts w:ascii="Times New Roman" w:hAnsi="Times New Roman"/>
                <w:sz w:val="21"/>
                <w:szCs w:val="21"/>
                <w:lang w:val="tr-TR"/>
              </w:rPr>
              <w:t>Özellikle enerji tüketiminde verimliliğin arttırılması Türkiye’nin rekabet gücü ve sürdürülebilir ekonomik büyümesi için kilit öneme sahiptir</w:t>
            </w:r>
            <w:r w:rsidR="003944B9" w:rsidRPr="001A4B94">
              <w:rPr>
                <w:rFonts w:ascii="Times New Roman" w:hAnsi="Times New Roman"/>
                <w:sz w:val="21"/>
                <w:szCs w:val="21"/>
                <w:lang w:val="tr-TR"/>
              </w:rPr>
              <w:t xml:space="preserve">. </w:t>
            </w:r>
            <w:r w:rsidR="00706A8D" w:rsidRPr="001A4B94">
              <w:rPr>
                <w:rFonts w:ascii="Times New Roman" w:hAnsi="Times New Roman"/>
                <w:sz w:val="21"/>
                <w:szCs w:val="21"/>
                <w:lang w:val="tr-TR"/>
              </w:rPr>
              <w:t>Dünya Bankası Grubu’nun enerji verimliliği alanındaki programı iyi bir şekilde geliştirilmiştir ve KOBİ Enerji Verimliliği Projesi, Özel Sektör Yenilenebilir Enerji ve Enerji Verimliliği Projesi yoluyla IBRD yatırımları devam etmektedir. Aynı zamanda  sürdürülebilir ve yenilenebilir enerji geniş kapsamlı bir IFC finansman programı da mevcuttur</w:t>
            </w:r>
            <w:r w:rsidR="003944B9" w:rsidRPr="001A4B94">
              <w:rPr>
                <w:rFonts w:ascii="Times New Roman" w:hAnsi="Times New Roman"/>
                <w:sz w:val="21"/>
                <w:szCs w:val="21"/>
                <w:lang w:val="tr-TR"/>
              </w:rPr>
              <w:t xml:space="preserve">.  </w:t>
            </w:r>
            <w:r w:rsidR="00706A8D" w:rsidRPr="001A4B94">
              <w:rPr>
                <w:rFonts w:ascii="Times New Roman" w:hAnsi="Times New Roman"/>
                <w:sz w:val="21"/>
                <w:szCs w:val="21"/>
                <w:lang w:val="tr-TR"/>
              </w:rPr>
              <w:t>Bu projeler müşteri talebine bağlı olarak devam niteliğinde  veya tevsi niteliğinde projeler ile uygulanmaya devam edecektir</w:t>
            </w:r>
            <w:r w:rsidR="00277184" w:rsidRPr="001A4B94">
              <w:rPr>
                <w:rFonts w:ascii="Times New Roman" w:hAnsi="Times New Roman"/>
                <w:sz w:val="21"/>
                <w:szCs w:val="21"/>
                <w:lang w:val="tr-TR"/>
              </w:rPr>
              <w:t xml:space="preserve">; </w:t>
            </w:r>
            <w:r w:rsidR="003944B9" w:rsidRPr="001A4B94">
              <w:rPr>
                <w:rFonts w:ascii="Times New Roman" w:hAnsi="Times New Roman"/>
                <w:sz w:val="21"/>
                <w:szCs w:val="21"/>
                <w:lang w:val="tr-TR"/>
              </w:rPr>
              <w:t xml:space="preserve"> </w:t>
            </w:r>
            <w:r w:rsidR="00A85CEA" w:rsidRPr="001A4B94">
              <w:rPr>
                <w:rFonts w:ascii="Times New Roman" w:hAnsi="Times New Roman"/>
                <w:sz w:val="21"/>
                <w:szCs w:val="21"/>
                <w:lang w:val="tr-TR"/>
              </w:rPr>
              <w:t>bu kapsamda olası bir yeni yatırım operasyonu yoluyla kamu binalarında enerji verimliliği için de destek sağlanabilecektir.</w:t>
            </w:r>
            <w:r w:rsidR="003944B9" w:rsidRPr="001A4B94">
              <w:rPr>
                <w:rFonts w:ascii="Times New Roman" w:hAnsi="Times New Roman"/>
                <w:sz w:val="21"/>
                <w:szCs w:val="21"/>
                <w:lang w:val="tr-TR"/>
              </w:rPr>
              <w:t xml:space="preserve">  </w:t>
            </w:r>
            <w:r w:rsidR="00A85CEA" w:rsidRPr="001A4B94">
              <w:rPr>
                <w:rFonts w:ascii="Times New Roman" w:hAnsi="Times New Roman"/>
                <w:sz w:val="21"/>
                <w:szCs w:val="21"/>
                <w:lang w:val="tr-TR"/>
              </w:rPr>
              <w:t xml:space="preserve">Ayrıca, IBRD, hibe finansmanlı bir Piyasa Hazırlık  Ortaklığı Projesi (PMR) yoluyla karbon fiyatlandırması araçlarının ve piyasalarının geliştirilmesini desteklemektedir.  </w:t>
            </w:r>
            <w:r w:rsidR="003944B9" w:rsidRPr="001A4B94">
              <w:rPr>
                <w:rFonts w:ascii="Times New Roman" w:hAnsi="Times New Roman"/>
                <w:sz w:val="21"/>
                <w:szCs w:val="21"/>
                <w:lang w:val="tr-TR"/>
              </w:rPr>
              <w:t>ASA program</w:t>
            </w:r>
            <w:r w:rsidR="00A85CEA" w:rsidRPr="001A4B94">
              <w:rPr>
                <w:rFonts w:ascii="Times New Roman" w:hAnsi="Times New Roman"/>
                <w:sz w:val="21"/>
                <w:szCs w:val="21"/>
                <w:lang w:val="tr-TR"/>
              </w:rPr>
              <w:t xml:space="preserve">ı yakacak amaçlı kullanılan odun kaynaklarının </w:t>
            </w:r>
            <w:r w:rsidR="003944B9" w:rsidRPr="001A4B94">
              <w:rPr>
                <w:rFonts w:ascii="Times New Roman" w:hAnsi="Times New Roman"/>
                <w:sz w:val="21"/>
                <w:szCs w:val="21"/>
                <w:lang w:val="tr-TR"/>
              </w:rPr>
              <w:t xml:space="preserve"> </w:t>
            </w:r>
            <w:r w:rsidR="00A85CEA" w:rsidRPr="001A4B94">
              <w:rPr>
                <w:rFonts w:ascii="Times New Roman" w:hAnsi="Times New Roman"/>
                <w:sz w:val="21"/>
                <w:szCs w:val="21"/>
                <w:lang w:val="tr-TR"/>
              </w:rPr>
              <w:t xml:space="preserve">etkin kullanımını desteklemektedir </w:t>
            </w:r>
            <w:r w:rsidR="003944B9" w:rsidRPr="001A4B94">
              <w:rPr>
                <w:rFonts w:ascii="Times New Roman" w:hAnsi="Times New Roman"/>
                <w:sz w:val="21"/>
                <w:szCs w:val="21"/>
                <w:lang w:val="tr-TR"/>
              </w:rPr>
              <w:t>(</w:t>
            </w:r>
            <w:r w:rsidR="00A85CEA" w:rsidRPr="001A4B94">
              <w:rPr>
                <w:rFonts w:ascii="Times New Roman" w:hAnsi="Times New Roman"/>
                <w:sz w:val="21"/>
                <w:szCs w:val="21"/>
                <w:lang w:val="tr-TR"/>
              </w:rPr>
              <w:t xml:space="preserve">ve gelecekte bu çalışmanın ölçeğinin </w:t>
            </w:r>
            <w:r w:rsidR="00504454" w:rsidRPr="001A4B94">
              <w:rPr>
                <w:rFonts w:ascii="Times New Roman" w:hAnsi="Times New Roman"/>
                <w:sz w:val="21"/>
                <w:szCs w:val="21"/>
                <w:lang w:val="tr-TR"/>
              </w:rPr>
              <w:t>y</w:t>
            </w:r>
            <w:r w:rsidR="00A85CEA" w:rsidRPr="001A4B94">
              <w:rPr>
                <w:rFonts w:ascii="Times New Roman" w:hAnsi="Times New Roman"/>
                <w:sz w:val="21"/>
                <w:szCs w:val="21"/>
                <w:lang w:val="tr-TR"/>
              </w:rPr>
              <w:t>ükseltilmesi öngörüleb</w:t>
            </w:r>
            <w:r w:rsidR="00504454" w:rsidRPr="001A4B94">
              <w:rPr>
                <w:rFonts w:ascii="Times New Roman" w:hAnsi="Times New Roman"/>
                <w:sz w:val="21"/>
                <w:szCs w:val="21"/>
                <w:lang w:val="tr-TR"/>
              </w:rPr>
              <w:t>i</w:t>
            </w:r>
            <w:r w:rsidR="00A85CEA" w:rsidRPr="001A4B94">
              <w:rPr>
                <w:rFonts w:ascii="Times New Roman" w:hAnsi="Times New Roman"/>
                <w:sz w:val="21"/>
                <w:szCs w:val="21"/>
                <w:lang w:val="tr-TR"/>
              </w:rPr>
              <w:t>lir</w:t>
            </w:r>
            <w:r w:rsidR="003944B9" w:rsidRPr="001A4B94">
              <w:rPr>
                <w:rFonts w:ascii="Times New Roman" w:hAnsi="Times New Roman"/>
                <w:sz w:val="21"/>
                <w:szCs w:val="21"/>
                <w:lang w:val="tr-TR"/>
              </w:rPr>
              <w:t>)</w:t>
            </w:r>
            <w:r w:rsidR="00504454" w:rsidRPr="001A4B94">
              <w:rPr>
                <w:rFonts w:ascii="Times New Roman" w:hAnsi="Times New Roman"/>
                <w:sz w:val="21"/>
                <w:szCs w:val="21"/>
                <w:lang w:val="tr-TR"/>
              </w:rPr>
              <w:t xml:space="preserve">. Ayrıca 12 numaralı Sürdürülebilir Kalkınma Hedefinin </w:t>
            </w:r>
            <w:r w:rsidR="00504454" w:rsidRPr="001A4B94">
              <w:rPr>
                <w:rFonts w:ascii="Times New Roman" w:hAnsi="Times New Roman"/>
                <w:sz w:val="21"/>
                <w:szCs w:val="21"/>
                <w:lang w:val="tr-TR"/>
              </w:rPr>
              <w:lastRenderedPageBreak/>
              <w:t>(SKH) nasıl finanse edileceği ile ilgili olarak sürdürülebilir üretim ve tüketim üzerinde odaklanan bir çalışma yürütülmektedir</w:t>
            </w:r>
            <w:r w:rsidR="003944B9" w:rsidRPr="001A4B94">
              <w:rPr>
                <w:rFonts w:ascii="Times New Roman" w:hAnsi="Times New Roman"/>
                <w:sz w:val="21"/>
                <w:szCs w:val="21"/>
                <w:lang w:val="tr-TR"/>
              </w:rPr>
              <w:t xml:space="preserve">. </w:t>
            </w:r>
            <w:r w:rsidR="00504454" w:rsidRPr="001A4B94">
              <w:rPr>
                <w:rFonts w:ascii="Times New Roman" w:hAnsi="Times New Roman"/>
                <w:sz w:val="21"/>
                <w:szCs w:val="21"/>
                <w:lang w:val="tr-TR"/>
              </w:rPr>
              <w:t>IBRD’nin yeni sosyal ve çevresel çerçevesi, sosyal ve çevresel sürdürülebilirlik politikaları ve analitik çalışmaları hakkında diyalogun geliştirilmesi ve ülke içi kapasitenin oluşturulması için sağlam bir temel sunacaktır</w:t>
            </w:r>
            <w:r w:rsidR="003944B9" w:rsidRPr="001A4B94">
              <w:rPr>
                <w:rFonts w:ascii="Times New Roman" w:hAnsi="Times New Roman"/>
                <w:sz w:val="21"/>
                <w:szCs w:val="21"/>
                <w:lang w:val="tr-TR"/>
              </w:rPr>
              <w:t xml:space="preserve">.  </w:t>
            </w:r>
            <w:r w:rsidR="00504454" w:rsidRPr="001A4B94">
              <w:rPr>
                <w:rFonts w:ascii="Times New Roman" w:hAnsi="Times New Roman"/>
                <w:sz w:val="21"/>
                <w:szCs w:val="21"/>
                <w:lang w:val="tr-TR"/>
              </w:rPr>
              <w:t>Dünya Bankası Grubu ayrıca su ve orman kaynaklarının sürdürülebilir kullanımı gibi Sistematik Ülke Değerlendirmesinde önemli olarak tespit edilen alanlarda genişletilmiş bir program uygulanmasını savunacaktır</w:t>
            </w:r>
            <w:r w:rsidR="006E2AC3" w:rsidRPr="001A4B94">
              <w:rPr>
                <w:rFonts w:ascii="Times New Roman" w:hAnsi="Times New Roman"/>
                <w:sz w:val="21"/>
                <w:szCs w:val="21"/>
                <w:lang w:val="tr-TR"/>
              </w:rPr>
              <w:t xml:space="preserve">. </w:t>
            </w:r>
            <w:r w:rsidR="00504454" w:rsidRPr="001A4B94">
              <w:rPr>
                <w:rFonts w:ascii="Times New Roman" w:hAnsi="Times New Roman"/>
                <w:sz w:val="21"/>
                <w:szCs w:val="21"/>
                <w:lang w:val="tr-TR"/>
              </w:rPr>
              <w:t>Bu program Türkiye’deki en kırılgan kesimler arasında sayılan küçük ölçekli çiftçileri ve orman topluluklarını destekleyecektir</w:t>
            </w:r>
            <w:r w:rsidR="006E2AC3" w:rsidRPr="001A4B94">
              <w:rPr>
                <w:rFonts w:ascii="Times New Roman" w:hAnsi="Times New Roman"/>
                <w:sz w:val="21"/>
                <w:szCs w:val="21"/>
                <w:lang w:val="tr-TR"/>
              </w:rPr>
              <w:t xml:space="preserve">. </w:t>
            </w:r>
            <w:r w:rsidR="00504454" w:rsidRPr="001A4B94">
              <w:rPr>
                <w:rFonts w:ascii="Times New Roman" w:hAnsi="Times New Roman"/>
                <w:sz w:val="21"/>
                <w:szCs w:val="21"/>
                <w:lang w:val="tr-TR"/>
              </w:rPr>
              <w:t>Su sektöründe, olası bir IBRD sulama projesi görüşülmektedir</w:t>
            </w:r>
            <w:r w:rsidR="006E2AC3" w:rsidRPr="001A4B94">
              <w:rPr>
                <w:rFonts w:ascii="Times New Roman" w:hAnsi="Times New Roman"/>
                <w:sz w:val="21"/>
                <w:szCs w:val="21"/>
                <w:lang w:val="tr-TR"/>
              </w:rPr>
              <w:t xml:space="preserve">.  </w:t>
            </w:r>
            <w:r w:rsidR="002349E4" w:rsidRPr="001A4B94">
              <w:rPr>
                <w:rFonts w:ascii="Times New Roman" w:hAnsi="Times New Roman"/>
                <w:sz w:val="21"/>
                <w:szCs w:val="21"/>
                <w:lang w:val="tr-TR"/>
              </w:rPr>
              <w:t>Ormancılık sektöründe, son Ormancılık Politika Notunda yer alan tavsiyeler, orman sektöründe KOBİ’lerin büyümesinin hızlandırılması üzerinde odaklanacak potansiyel bir projeye ilişkin görüşmeler başlatılmasını sağlamıştır</w:t>
            </w:r>
            <w:r w:rsidR="006E2AC3" w:rsidRPr="001A4B94">
              <w:rPr>
                <w:rFonts w:ascii="Times New Roman" w:hAnsi="Times New Roman"/>
                <w:sz w:val="21"/>
                <w:szCs w:val="21"/>
                <w:lang w:val="tr-TR"/>
              </w:rPr>
              <w:t xml:space="preserve">.  </w:t>
            </w:r>
            <w:r w:rsidR="002349E4" w:rsidRPr="001A4B94">
              <w:rPr>
                <w:rFonts w:ascii="Times New Roman" w:hAnsi="Times New Roman"/>
                <w:sz w:val="21"/>
                <w:szCs w:val="21"/>
                <w:lang w:val="tr-TR"/>
              </w:rPr>
              <w:t>Tarımda da ortak çalışmalar yapılması mümkündür</w:t>
            </w:r>
            <w:r w:rsidR="006E2AC3" w:rsidRPr="001A4B94">
              <w:rPr>
                <w:rFonts w:ascii="Times New Roman" w:hAnsi="Times New Roman"/>
                <w:sz w:val="21"/>
                <w:szCs w:val="21"/>
                <w:lang w:val="tr-TR"/>
              </w:rPr>
              <w:t xml:space="preserve">. </w:t>
            </w:r>
            <w:r w:rsidR="002349E4" w:rsidRPr="001A4B94">
              <w:rPr>
                <w:rFonts w:ascii="Times New Roman" w:hAnsi="Times New Roman"/>
                <w:sz w:val="21"/>
                <w:szCs w:val="21"/>
                <w:lang w:val="tr-TR"/>
              </w:rPr>
              <w:t>Son olarak</w:t>
            </w:r>
            <w:r w:rsidR="006E2AC3" w:rsidRPr="001A4B94">
              <w:rPr>
                <w:rFonts w:ascii="Times New Roman" w:hAnsi="Times New Roman"/>
                <w:sz w:val="21"/>
                <w:szCs w:val="21"/>
                <w:lang w:val="tr-TR"/>
              </w:rPr>
              <w:t xml:space="preserve">, </w:t>
            </w:r>
            <w:r w:rsidR="002349E4" w:rsidRPr="001A4B94">
              <w:rPr>
                <w:rFonts w:ascii="Times New Roman" w:hAnsi="Times New Roman"/>
                <w:sz w:val="21"/>
                <w:szCs w:val="21"/>
                <w:lang w:val="tr-TR"/>
              </w:rPr>
              <w:t>Dünya Bankası Grubu ulaştırma ile ilgili konularda AB tarafından finanse edilen teknik yardım sağlamaktadır; örneğin çok modlu ulaşım stratejisi, kentsel ulaşım, ve öncelikli demiryolu yatırımları gibi. Bu çalışmalardan bazıları CPF dönemi içerisinde finansman fırsatları ortaya koyabilir</w:t>
            </w:r>
            <w:r w:rsidR="006E2AC3" w:rsidRPr="001A4B94">
              <w:rPr>
                <w:rFonts w:ascii="Times New Roman" w:hAnsi="Times New Roman"/>
                <w:sz w:val="21"/>
                <w:szCs w:val="21"/>
                <w:lang w:val="tr-TR"/>
              </w:rPr>
              <w:t>.</w:t>
            </w:r>
          </w:p>
          <w:p w14:paraId="753229C5" w14:textId="77777777" w:rsidR="003944B9" w:rsidRPr="001A4B94" w:rsidRDefault="003944B9" w:rsidP="003944B9">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1"/>
                <w:szCs w:val="21"/>
                <w:lang w:val="tr-TR"/>
              </w:rPr>
            </w:pPr>
          </w:p>
          <w:p w14:paraId="1CA541ED" w14:textId="61BF956A" w:rsidR="003944B9" w:rsidRPr="001A4B94" w:rsidRDefault="00717291" w:rsidP="00550713">
            <w:pPr>
              <w:pStyle w:val="ListeParagraf"/>
              <w:tabs>
                <w:tab w:val="left" w:pos="426"/>
                <w:tab w:val="left" w:pos="2970"/>
              </w:tabs>
              <w:autoSpaceDE w:val="0"/>
              <w:autoSpaceDN w:val="0"/>
              <w:adjustRightInd w:val="0"/>
              <w:spacing w:after="0" w:line="240" w:lineRule="auto"/>
              <w:ind w:left="0"/>
              <w:jc w:val="both"/>
              <w:rPr>
                <w:rFonts w:ascii="Times New Roman" w:hAnsi="Times New Roman"/>
                <w:sz w:val="21"/>
                <w:szCs w:val="21"/>
                <w:lang w:val="tr-TR"/>
              </w:rPr>
            </w:pPr>
            <w:r w:rsidRPr="001A4B94">
              <w:rPr>
                <w:rFonts w:ascii="Times New Roman" w:hAnsi="Times New Roman"/>
                <w:color w:val="000000" w:themeColor="text1"/>
                <w:sz w:val="21"/>
                <w:szCs w:val="21"/>
                <w:lang w:val="tr-TR"/>
              </w:rPr>
              <w:t xml:space="preserve"> IFC, enerji verimliliğini arttırmak ve sera gazı emisyonlarını azaltmak amacıyla, imalat, KOBİ, belediye ve ulaştırma altyapısı alanlarında özel sektör yatırımlarını desteklemeye devam edecektir</w:t>
            </w:r>
            <w:r w:rsidR="003944B9" w:rsidRPr="001A4B94">
              <w:rPr>
                <w:rFonts w:ascii="Times New Roman" w:hAnsi="Times New Roman"/>
                <w:color w:val="000000" w:themeColor="text1"/>
                <w:sz w:val="21"/>
                <w:szCs w:val="21"/>
                <w:lang w:val="tr-TR"/>
              </w:rPr>
              <w:t xml:space="preserve">. </w:t>
            </w:r>
            <w:r w:rsidR="00930A8A" w:rsidRPr="001A4B94">
              <w:rPr>
                <w:rFonts w:ascii="Times New Roman" w:hAnsi="Times New Roman"/>
                <w:color w:val="000000" w:themeColor="text1"/>
                <w:sz w:val="21"/>
                <w:szCs w:val="21"/>
                <w:lang w:val="tr-TR"/>
              </w:rPr>
              <w:t>IFC ayrıca portföyü enerji verimliliği alanında odaklanan aracı kuruluşlara uzun vadeli finansman sağlayacak, enerji yoğunluğunu ve kirliliği azaltmak için sektör düzeyinde doğrudan ortak çalışmalar yapmanın yollarını araştıracaktır</w:t>
            </w:r>
            <w:r w:rsidR="003944B9" w:rsidRPr="001A4B94">
              <w:rPr>
                <w:rFonts w:ascii="Times New Roman" w:hAnsi="Times New Roman"/>
                <w:color w:val="000000" w:themeColor="text1"/>
                <w:sz w:val="21"/>
                <w:szCs w:val="21"/>
                <w:lang w:val="tr-TR"/>
              </w:rPr>
              <w:t xml:space="preserve">. IFC </w:t>
            </w:r>
            <w:r w:rsidR="005C3356" w:rsidRPr="001A4B94">
              <w:rPr>
                <w:rFonts w:ascii="Times New Roman" w:hAnsi="Times New Roman"/>
                <w:color w:val="000000" w:themeColor="text1"/>
                <w:sz w:val="21"/>
                <w:szCs w:val="21"/>
                <w:lang w:val="tr-TR"/>
              </w:rPr>
              <w:t xml:space="preserve">hem </w:t>
            </w:r>
            <w:r w:rsidR="0022681B" w:rsidRPr="001A4B94">
              <w:rPr>
                <w:rFonts w:ascii="Times New Roman" w:hAnsi="Times New Roman"/>
                <w:color w:val="000000" w:themeColor="text1"/>
                <w:sz w:val="21"/>
                <w:szCs w:val="21"/>
                <w:lang w:val="tr-TR"/>
              </w:rPr>
              <w:t>imalat, tarım</w:t>
            </w:r>
            <w:r w:rsidR="008B715F" w:rsidRPr="001A4B94">
              <w:rPr>
                <w:rFonts w:ascii="Times New Roman" w:hAnsi="Times New Roman"/>
                <w:color w:val="000000" w:themeColor="text1"/>
                <w:sz w:val="21"/>
                <w:szCs w:val="21"/>
                <w:lang w:val="tr-TR"/>
              </w:rPr>
              <w:t>s</w:t>
            </w:r>
            <w:r w:rsidR="0022681B" w:rsidRPr="001A4B94">
              <w:rPr>
                <w:rFonts w:ascii="Times New Roman" w:hAnsi="Times New Roman"/>
                <w:color w:val="000000" w:themeColor="text1"/>
                <w:sz w:val="21"/>
                <w:szCs w:val="21"/>
                <w:lang w:val="tr-TR"/>
              </w:rPr>
              <w:t xml:space="preserve">al işletme ve hizmetler sektöründe yapılan yatırımlar yoluyla doğrudan hem de finansal kuruluşlar yoluyla (örneğin yeşil tahviller ve ipotek teminatlı tahviller gibi yenilikçi araçları kullanarak) kaynak verimliliğine </w:t>
            </w:r>
            <w:r w:rsidR="00855005" w:rsidRPr="001A4B94">
              <w:rPr>
                <w:rFonts w:ascii="Times New Roman" w:hAnsi="Times New Roman"/>
                <w:color w:val="000000" w:themeColor="text1"/>
                <w:sz w:val="21"/>
                <w:szCs w:val="21"/>
                <w:lang w:val="tr-TR"/>
              </w:rPr>
              <w:t>yönelik</w:t>
            </w:r>
            <w:r w:rsidR="0022681B" w:rsidRPr="001A4B94">
              <w:rPr>
                <w:rFonts w:ascii="Times New Roman" w:hAnsi="Times New Roman"/>
                <w:color w:val="000000" w:themeColor="text1"/>
                <w:sz w:val="21"/>
                <w:szCs w:val="21"/>
                <w:lang w:val="tr-TR"/>
              </w:rPr>
              <w:t xml:space="preserve"> </w:t>
            </w:r>
            <w:r w:rsidR="00855005" w:rsidRPr="001A4B94">
              <w:rPr>
                <w:rFonts w:ascii="Times New Roman" w:hAnsi="Times New Roman"/>
                <w:color w:val="000000" w:themeColor="text1"/>
                <w:sz w:val="21"/>
                <w:szCs w:val="21"/>
                <w:lang w:val="tr-TR"/>
              </w:rPr>
              <w:t>finansmanı</w:t>
            </w:r>
            <w:r w:rsidR="0022681B" w:rsidRPr="001A4B94">
              <w:rPr>
                <w:rFonts w:ascii="Times New Roman" w:hAnsi="Times New Roman"/>
                <w:color w:val="000000" w:themeColor="text1"/>
                <w:sz w:val="21"/>
                <w:szCs w:val="21"/>
                <w:lang w:val="tr-TR"/>
              </w:rPr>
              <w:t xml:space="preserve"> arttırmaya devam edecektir</w:t>
            </w:r>
            <w:r w:rsidR="003944B9" w:rsidRPr="001A4B94">
              <w:rPr>
                <w:rFonts w:ascii="Times New Roman" w:hAnsi="Times New Roman"/>
                <w:color w:val="000000" w:themeColor="text1"/>
                <w:sz w:val="21"/>
                <w:szCs w:val="21"/>
                <w:lang w:val="tr-TR"/>
              </w:rPr>
              <w:t xml:space="preserve">.  </w:t>
            </w:r>
            <w:r w:rsidR="0022681B" w:rsidRPr="001A4B94">
              <w:rPr>
                <w:rFonts w:ascii="Times New Roman" w:hAnsi="Times New Roman"/>
                <w:color w:val="000000" w:themeColor="text1"/>
                <w:sz w:val="21"/>
                <w:szCs w:val="21"/>
                <w:lang w:val="tr-TR"/>
              </w:rPr>
              <w:t>Belediye düzeyinde, enerji açısından verimli toplu taşıma, belediye binaları, atık yönetimi, atıktan enerji üretimi ve sokak aydınlatması projelerini destekleme fırsatlarını araştıracaktır</w:t>
            </w:r>
            <w:r w:rsidR="003944B9" w:rsidRPr="001A4B94">
              <w:rPr>
                <w:rFonts w:ascii="Times New Roman" w:hAnsi="Times New Roman"/>
                <w:color w:val="000000" w:themeColor="text1"/>
                <w:sz w:val="21"/>
                <w:szCs w:val="21"/>
                <w:lang w:val="tr-TR"/>
              </w:rPr>
              <w:t xml:space="preserve">.  </w:t>
            </w:r>
            <w:r w:rsidR="0022681B" w:rsidRPr="001A4B94">
              <w:rPr>
                <w:rFonts w:ascii="Times New Roman" w:hAnsi="Times New Roman"/>
                <w:color w:val="000000" w:themeColor="text1"/>
                <w:sz w:val="21"/>
                <w:szCs w:val="21"/>
                <w:lang w:val="tr-TR"/>
              </w:rPr>
              <w:t>IFC finansmana ek olarak Türkiye’nin evsel konut ve sanayi sektörlerinde yeni enerji verimliliği uygulamaları getirmek için kilit kurumlara ve şirketlere danışmanlık desteği ve eğitim sağlayacaktır</w:t>
            </w:r>
            <w:r w:rsidR="003944B9" w:rsidRPr="001A4B94">
              <w:rPr>
                <w:rFonts w:ascii="Times New Roman" w:hAnsi="Times New Roman"/>
                <w:color w:val="000000" w:themeColor="text1"/>
                <w:sz w:val="21"/>
                <w:szCs w:val="21"/>
                <w:lang w:val="tr-TR"/>
              </w:rPr>
              <w:t xml:space="preserve">.  </w:t>
            </w:r>
            <w:r w:rsidR="00855005" w:rsidRPr="001A4B94">
              <w:rPr>
                <w:rFonts w:ascii="Times New Roman" w:hAnsi="Times New Roman"/>
                <w:color w:val="000000" w:themeColor="text1"/>
                <w:sz w:val="21"/>
                <w:szCs w:val="21"/>
                <w:lang w:val="tr-TR"/>
              </w:rPr>
              <w:t>MIGA enerji verimliliğini arttırmak ve genel emisyon seviyelerini düşürmek için belediye altyapısı için sağladığı desteği arttırmaya hazırdır. Bu bağlamda, MIGA geçmişte İstanbul ve İzmir’e sağlanan desteğe benzer şekilde önemli belediye altyapı projeleri için kredi garantileri sağlayabili</w:t>
            </w:r>
            <w:r w:rsidR="008B715F" w:rsidRPr="001A4B94">
              <w:rPr>
                <w:rFonts w:ascii="Times New Roman" w:hAnsi="Times New Roman"/>
                <w:color w:val="000000" w:themeColor="text1"/>
                <w:sz w:val="21"/>
                <w:szCs w:val="21"/>
                <w:lang w:val="tr-TR"/>
              </w:rPr>
              <w:t>r</w:t>
            </w:r>
            <w:r w:rsidR="003944B9" w:rsidRPr="001A4B94">
              <w:rPr>
                <w:rFonts w:ascii="Times New Roman" w:hAnsi="Times New Roman"/>
                <w:color w:val="000000" w:themeColor="text1"/>
                <w:sz w:val="21"/>
                <w:szCs w:val="21"/>
                <w:lang w:val="tr-TR"/>
              </w:rPr>
              <w:t xml:space="preserve">.  </w:t>
            </w:r>
          </w:p>
        </w:tc>
      </w:tr>
      <w:tr w:rsidR="008B715F" w:rsidRPr="001A4B94" w14:paraId="1C28411B" w14:textId="77777777" w:rsidTr="00622088">
        <w:tc>
          <w:tcPr>
            <w:tcW w:w="3955" w:type="dxa"/>
          </w:tcPr>
          <w:p w14:paraId="61BAEA22" w14:textId="596937FB" w:rsidR="008B715F" w:rsidRPr="001A4B94" w:rsidRDefault="008B715F" w:rsidP="008B715F">
            <w:pPr>
              <w:rPr>
                <w:i/>
                <w:sz w:val="20"/>
                <w:szCs w:val="20"/>
                <w:lang w:val="tr-TR"/>
              </w:rPr>
            </w:pPr>
            <w:r w:rsidRPr="001A4B94">
              <w:rPr>
                <w:b/>
                <w:sz w:val="22"/>
                <w:szCs w:val="20"/>
                <w:lang w:val="tr-TR"/>
              </w:rPr>
              <w:t xml:space="preserve">CPF Amaç Göstergeleri </w:t>
            </w:r>
          </w:p>
        </w:tc>
        <w:tc>
          <w:tcPr>
            <w:tcW w:w="4410" w:type="dxa"/>
          </w:tcPr>
          <w:p w14:paraId="5AB50160" w14:textId="6571F445" w:rsidR="008B715F" w:rsidRPr="001A4B94" w:rsidRDefault="008B715F" w:rsidP="008B715F">
            <w:pPr>
              <w:tabs>
                <w:tab w:val="left" w:pos="426"/>
              </w:tabs>
              <w:rPr>
                <w:sz w:val="20"/>
                <w:szCs w:val="20"/>
                <w:lang w:val="tr-TR"/>
              </w:rPr>
            </w:pPr>
            <w:r w:rsidRPr="001A4B94">
              <w:rPr>
                <w:b/>
                <w:sz w:val="22"/>
                <w:szCs w:val="20"/>
                <w:lang w:val="tr-TR"/>
              </w:rPr>
              <w:t xml:space="preserve">Destekleyici İlerleme Göstergeleri </w:t>
            </w:r>
          </w:p>
        </w:tc>
        <w:tc>
          <w:tcPr>
            <w:tcW w:w="4860" w:type="dxa"/>
          </w:tcPr>
          <w:p w14:paraId="6D02B6B5" w14:textId="3B6C0B02" w:rsidR="008B715F" w:rsidRPr="001A4B94" w:rsidRDefault="008B715F" w:rsidP="008B715F">
            <w:pPr>
              <w:rPr>
                <w:b/>
                <w:sz w:val="20"/>
                <w:szCs w:val="20"/>
                <w:lang w:val="tr-TR"/>
              </w:rPr>
            </w:pPr>
            <w:r w:rsidRPr="001A4B94">
              <w:rPr>
                <w:b/>
                <w:sz w:val="22"/>
                <w:szCs w:val="20"/>
                <w:lang w:val="tr-TR"/>
              </w:rPr>
              <w:t xml:space="preserve">DBG Programı </w:t>
            </w:r>
          </w:p>
        </w:tc>
      </w:tr>
      <w:tr w:rsidR="003944B9" w:rsidRPr="001A4B94" w14:paraId="6554B2AC" w14:textId="77777777" w:rsidTr="00622088">
        <w:tc>
          <w:tcPr>
            <w:tcW w:w="3955" w:type="dxa"/>
          </w:tcPr>
          <w:p w14:paraId="27979E9D" w14:textId="1FE243C0" w:rsidR="003944B9" w:rsidRPr="001A4B94" w:rsidRDefault="00500F83" w:rsidP="003944B9">
            <w:pPr>
              <w:rPr>
                <w:i/>
                <w:sz w:val="20"/>
                <w:szCs w:val="20"/>
                <w:lang w:val="tr-TR"/>
              </w:rPr>
            </w:pPr>
            <w:r w:rsidRPr="001A4B94">
              <w:rPr>
                <w:i/>
                <w:sz w:val="20"/>
                <w:szCs w:val="20"/>
                <w:lang w:val="tr-TR"/>
              </w:rPr>
              <w:t>DBG tarafından f</w:t>
            </w:r>
            <w:r w:rsidR="0085537F" w:rsidRPr="001A4B94">
              <w:rPr>
                <w:i/>
                <w:sz w:val="20"/>
                <w:szCs w:val="20"/>
                <w:lang w:val="tr-TR"/>
              </w:rPr>
              <w:t>inanse edile</w:t>
            </w:r>
            <w:r w:rsidRPr="001A4B94">
              <w:rPr>
                <w:i/>
                <w:sz w:val="20"/>
                <w:szCs w:val="20"/>
                <w:lang w:val="tr-TR"/>
              </w:rPr>
              <w:t xml:space="preserve">n enerji sektörü projeleri yoluyla sağlanan kümülatif enerji tasarrufu </w:t>
            </w:r>
            <w:r w:rsidR="003944B9" w:rsidRPr="001A4B94">
              <w:rPr>
                <w:i/>
                <w:sz w:val="20"/>
                <w:szCs w:val="20"/>
                <w:lang w:val="tr-TR"/>
              </w:rPr>
              <w:t xml:space="preserve">(MWh). </w:t>
            </w:r>
          </w:p>
          <w:p w14:paraId="7EACC3F3" w14:textId="7B809811" w:rsidR="003944B9" w:rsidRPr="001A4B94" w:rsidRDefault="00500F83" w:rsidP="003944B9">
            <w:pPr>
              <w:rPr>
                <w:i/>
                <w:sz w:val="20"/>
                <w:szCs w:val="20"/>
                <w:lang w:val="tr-TR"/>
              </w:rPr>
            </w:pPr>
            <w:r w:rsidRPr="001A4B94">
              <w:rPr>
                <w:b/>
                <w:i/>
                <w:sz w:val="20"/>
                <w:szCs w:val="20"/>
                <w:lang w:val="tr-TR"/>
              </w:rPr>
              <w:t>Başlangıç Durumu</w:t>
            </w:r>
            <w:r w:rsidR="003944B9" w:rsidRPr="001A4B94">
              <w:rPr>
                <w:i/>
                <w:sz w:val="20"/>
                <w:szCs w:val="20"/>
                <w:lang w:val="tr-TR"/>
              </w:rPr>
              <w:t xml:space="preserve">: </w:t>
            </w:r>
            <w:r w:rsidR="0085537F" w:rsidRPr="001A4B94">
              <w:rPr>
                <w:i/>
                <w:sz w:val="20"/>
                <w:szCs w:val="20"/>
                <w:lang w:val="tr-TR"/>
              </w:rPr>
              <w:t xml:space="preserve">2016 yılında </w:t>
            </w:r>
            <w:r w:rsidR="003944B9" w:rsidRPr="001A4B94">
              <w:rPr>
                <w:i/>
                <w:sz w:val="20"/>
                <w:szCs w:val="20"/>
                <w:lang w:val="tr-TR"/>
              </w:rPr>
              <w:t>1</w:t>
            </w:r>
            <w:r w:rsidR="0085537F" w:rsidRPr="001A4B94">
              <w:rPr>
                <w:i/>
                <w:sz w:val="20"/>
                <w:szCs w:val="20"/>
                <w:lang w:val="tr-TR"/>
              </w:rPr>
              <w:t>.</w:t>
            </w:r>
            <w:r w:rsidR="003944B9" w:rsidRPr="001A4B94">
              <w:rPr>
                <w:i/>
                <w:sz w:val="20"/>
                <w:szCs w:val="20"/>
                <w:lang w:val="tr-TR"/>
              </w:rPr>
              <w:t>116</w:t>
            </w:r>
            <w:r w:rsidR="0085537F" w:rsidRPr="001A4B94">
              <w:rPr>
                <w:i/>
                <w:sz w:val="20"/>
                <w:szCs w:val="20"/>
                <w:lang w:val="tr-TR"/>
              </w:rPr>
              <w:t>.</w:t>
            </w:r>
            <w:r w:rsidR="003944B9" w:rsidRPr="001A4B94">
              <w:rPr>
                <w:i/>
                <w:sz w:val="20"/>
                <w:szCs w:val="20"/>
                <w:lang w:val="tr-TR"/>
              </w:rPr>
              <w:t xml:space="preserve">000 </w:t>
            </w:r>
          </w:p>
          <w:p w14:paraId="44E63617" w14:textId="2E075064" w:rsidR="003944B9" w:rsidRPr="001A4B94" w:rsidRDefault="00500F83" w:rsidP="003944B9">
            <w:pPr>
              <w:rPr>
                <w:i/>
                <w:sz w:val="20"/>
                <w:szCs w:val="20"/>
                <w:lang w:val="tr-TR"/>
              </w:rPr>
            </w:pPr>
            <w:r w:rsidRPr="001A4B94">
              <w:rPr>
                <w:b/>
                <w:i/>
                <w:sz w:val="20"/>
                <w:szCs w:val="20"/>
                <w:lang w:val="tr-TR"/>
              </w:rPr>
              <w:t>Hedef</w:t>
            </w:r>
            <w:r w:rsidR="003944B9" w:rsidRPr="001A4B94">
              <w:rPr>
                <w:b/>
                <w:i/>
                <w:sz w:val="20"/>
                <w:szCs w:val="20"/>
                <w:lang w:val="tr-TR"/>
              </w:rPr>
              <w:t>:</w:t>
            </w:r>
            <w:r w:rsidR="003944B9" w:rsidRPr="001A4B94">
              <w:rPr>
                <w:i/>
                <w:sz w:val="20"/>
                <w:szCs w:val="20"/>
                <w:lang w:val="tr-TR"/>
              </w:rPr>
              <w:t xml:space="preserve">  </w:t>
            </w:r>
            <w:r w:rsidR="0085537F" w:rsidRPr="001A4B94">
              <w:rPr>
                <w:i/>
                <w:sz w:val="20"/>
                <w:szCs w:val="20"/>
                <w:lang w:val="tr-TR"/>
              </w:rPr>
              <w:t xml:space="preserve">2021 yılında </w:t>
            </w:r>
            <w:r w:rsidR="003944B9" w:rsidRPr="001A4B94">
              <w:rPr>
                <w:i/>
                <w:sz w:val="20"/>
                <w:szCs w:val="20"/>
                <w:lang w:val="tr-TR"/>
              </w:rPr>
              <w:t>6</w:t>
            </w:r>
            <w:r w:rsidR="0085537F" w:rsidRPr="001A4B94">
              <w:rPr>
                <w:i/>
                <w:sz w:val="20"/>
                <w:szCs w:val="20"/>
                <w:lang w:val="tr-TR"/>
              </w:rPr>
              <w:t>.</w:t>
            </w:r>
            <w:r w:rsidR="003944B9" w:rsidRPr="001A4B94">
              <w:rPr>
                <w:i/>
                <w:sz w:val="20"/>
                <w:szCs w:val="20"/>
                <w:lang w:val="tr-TR"/>
              </w:rPr>
              <w:t>000</w:t>
            </w:r>
            <w:r w:rsidR="0085537F" w:rsidRPr="001A4B94">
              <w:rPr>
                <w:i/>
                <w:sz w:val="20"/>
                <w:szCs w:val="20"/>
                <w:lang w:val="tr-TR"/>
              </w:rPr>
              <w:t>.</w:t>
            </w:r>
            <w:r w:rsidR="003944B9" w:rsidRPr="001A4B94">
              <w:rPr>
                <w:i/>
                <w:sz w:val="20"/>
                <w:szCs w:val="20"/>
                <w:lang w:val="tr-TR"/>
              </w:rPr>
              <w:t xml:space="preserve">000 </w:t>
            </w:r>
          </w:p>
          <w:p w14:paraId="34FEDEB2" w14:textId="77777777" w:rsidR="006E2AC3" w:rsidRPr="001A4B94" w:rsidRDefault="006E2AC3" w:rsidP="003944B9">
            <w:pPr>
              <w:rPr>
                <w:i/>
                <w:sz w:val="20"/>
                <w:szCs w:val="20"/>
                <w:lang w:val="tr-TR"/>
              </w:rPr>
            </w:pPr>
          </w:p>
          <w:p w14:paraId="34EEC5F0" w14:textId="7309A39C" w:rsidR="003944B9" w:rsidRPr="001A4B94" w:rsidRDefault="00500F83" w:rsidP="003944B9">
            <w:pPr>
              <w:rPr>
                <w:i/>
                <w:sz w:val="20"/>
                <w:szCs w:val="20"/>
                <w:lang w:val="tr-TR"/>
              </w:rPr>
            </w:pPr>
            <w:r w:rsidRPr="001A4B94">
              <w:rPr>
                <w:i/>
                <w:sz w:val="20"/>
                <w:szCs w:val="20"/>
                <w:lang w:val="tr-TR"/>
              </w:rPr>
              <w:t>DBG programı yoluyla azaltılan veya önlenen yıllık sera gazı emi</w:t>
            </w:r>
            <w:r w:rsidR="0085537F" w:rsidRPr="001A4B94">
              <w:rPr>
                <w:i/>
                <w:sz w:val="20"/>
                <w:szCs w:val="20"/>
                <w:lang w:val="tr-TR"/>
              </w:rPr>
              <w:t>s</w:t>
            </w:r>
            <w:r w:rsidRPr="001A4B94">
              <w:rPr>
                <w:i/>
                <w:sz w:val="20"/>
                <w:szCs w:val="20"/>
                <w:lang w:val="tr-TR"/>
              </w:rPr>
              <w:t xml:space="preserve">yonu miktarı </w:t>
            </w:r>
            <w:r w:rsidR="003944B9" w:rsidRPr="001A4B94">
              <w:rPr>
                <w:i/>
                <w:sz w:val="20"/>
                <w:szCs w:val="20"/>
                <w:lang w:val="tr-TR"/>
              </w:rPr>
              <w:t>(</w:t>
            </w:r>
            <w:r w:rsidR="0085537F" w:rsidRPr="001A4B94">
              <w:rPr>
                <w:i/>
                <w:sz w:val="20"/>
                <w:szCs w:val="20"/>
                <w:lang w:val="tr-TR"/>
              </w:rPr>
              <w:t xml:space="preserve">ton </w:t>
            </w:r>
            <w:r w:rsidR="003944B9" w:rsidRPr="001A4B94">
              <w:rPr>
                <w:i/>
                <w:sz w:val="20"/>
                <w:szCs w:val="20"/>
                <w:lang w:val="tr-TR"/>
              </w:rPr>
              <w:t>/</w:t>
            </w:r>
            <w:r w:rsidR="0085537F" w:rsidRPr="001A4B94">
              <w:rPr>
                <w:i/>
                <w:sz w:val="20"/>
                <w:szCs w:val="20"/>
                <w:lang w:val="tr-TR"/>
              </w:rPr>
              <w:t xml:space="preserve"> </w:t>
            </w:r>
            <w:r w:rsidR="003944B9" w:rsidRPr="001A4B94">
              <w:rPr>
                <w:i/>
                <w:sz w:val="20"/>
                <w:szCs w:val="20"/>
                <w:lang w:val="tr-TR"/>
              </w:rPr>
              <w:t>y</w:t>
            </w:r>
            <w:r w:rsidR="0085537F" w:rsidRPr="001A4B94">
              <w:rPr>
                <w:i/>
                <w:sz w:val="20"/>
                <w:szCs w:val="20"/>
                <w:lang w:val="tr-TR"/>
              </w:rPr>
              <w:t>ıl</w:t>
            </w:r>
            <w:r w:rsidR="003944B9" w:rsidRPr="001A4B94">
              <w:rPr>
                <w:i/>
                <w:sz w:val="20"/>
                <w:szCs w:val="20"/>
                <w:lang w:val="tr-TR"/>
              </w:rPr>
              <w:t xml:space="preserve">) </w:t>
            </w:r>
          </w:p>
          <w:p w14:paraId="2425D1B9" w14:textId="286761CF" w:rsidR="006E2AC3" w:rsidRPr="001A4B94" w:rsidRDefault="00500F83" w:rsidP="003944B9">
            <w:pPr>
              <w:rPr>
                <w:i/>
                <w:sz w:val="20"/>
                <w:szCs w:val="20"/>
                <w:lang w:val="tr-TR"/>
              </w:rPr>
            </w:pPr>
            <w:r w:rsidRPr="001A4B94">
              <w:rPr>
                <w:b/>
                <w:i/>
                <w:sz w:val="20"/>
                <w:szCs w:val="20"/>
                <w:lang w:val="tr-TR"/>
              </w:rPr>
              <w:t>Başlangıç Durumu</w:t>
            </w:r>
            <w:r w:rsidR="003944B9" w:rsidRPr="001A4B94">
              <w:rPr>
                <w:b/>
                <w:i/>
                <w:sz w:val="20"/>
                <w:szCs w:val="20"/>
                <w:lang w:val="tr-TR"/>
              </w:rPr>
              <w:t>:</w:t>
            </w:r>
            <w:r w:rsidR="003944B9" w:rsidRPr="001A4B94">
              <w:rPr>
                <w:i/>
                <w:sz w:val="20"/>
                <w:szCs w:val="20"/>
                <w:lang w:val="tr-TR"/>
              </w:rPr>
              <w:t xml:space="preserve"> </w:t>
            </w:r>
            <w:r w:rsidR="0085537F" w:rsidRPr="001A4B94">
              <w:rPr>
                <w:i/>
                <w:sz w:val="20"/>
                <w:szCs w:val="20"/>
                <w:lang w:val="tr-TR"/>
              </w:rPr>
              <w:t xml:space="preserve">2016 yılında </w:t>
            </w:r>
            <w:r w:rsidR="003944B9" w:rsidRPr="001A4B94">
              <w:rPr>
                <w:i/>
                <w:sz w:val="20"/>
                <w:szCs w:val="20"/>
                <w:lang w:val="tr-TR"/>
              </w:rPr>
              <w:t>40</w:t>
            </w:r>
            <w:r w:rsidR="0085537F" w:rsidRPr="001A4B94">
              <w:rPr>
                <w:i/>
                <w:sz w:val="20"/>
                <w:szCs w:val="20"/>
                <w:lang w:val="tr-TR"/>
              </w:rPr>
              <w:t>.</w:t>
            </w:r>
            <w:r w:rsidR="003944B9" w:rsidRPr="001A4B94">
              <w:rPr>
                <w:i/>
                <w:sz w:val="20"/>
                <w:szCs w:val="20"/>
                <w:lang w:val="tr-TR"/>
              </w:rPr>
              <w:t xml:space="preserve">000 </w:t>
            </w:r>
          </w:p>
          <w:p w14:paraId="0D54B13C" w14:textId="3A1743D9" w:rsidR="003944B9" w:rsidRPr="001A4B94" w:rsidRDefault="00500F83" w:rsidP="003944B9">
            <w:pPr>
              <w:rPr>
                <w:i/>
                <w:sz w:val="20"/>
                <w:szCs w:val="20"/>
                <w:lang w:val="tr-TR"/>
              </w:rPr>
            </w:pPr>
            <w:r w:rsidRPr="001A4B94">
              <w:rPr>
                <w:b/>
                <w:i/>
                <w:sz w:val="20"/>
                <w:szCs w:val="20"/>
                <w:lang w:val="tr-TR"/>
              </w:rPr>
              <w:t>Hedef</w:t>
            </w:r>
            <w:r w:rsidR="003944B9" w:rsidRPr="001A4B94">
              <w:rPr>
                <w:b/>
                <w:i/>
                <w:sz w:val="20"/>
                <w:szCs w:val="20"/>
                <w:lang w:val="tr-TR"/>
              </w:rPr>
              <w:t>:</w:t>
            </w:r>
            <w:r w:rsidR="003944B9" w:rsidRPr="001A4B94">
              <w:rPr>
                <w:i/>
                <w:sz w:val="20"/>
                <w:szCs w:val="20"/>
                <w:lang w:val="tr-TR"/>
              </w:rPr>
              <w:t xml:space="preserve">  844</w:t>
            </w:r>
            <w:r w:rsidR="0085537F" w:rsidRPr="001A4B94">
              <w:rPr>
                <w:i/>
                <w:sz w:val="20"/>
                <w:szCs w:val="20"/>
                <w:lang w:val="tr-TR"/>
              </w:rPr>
              <w:t>.</w:t>
            </w:r>
            <w:r w:rsidR="003944B9" w:rsidRPr="001A4B94">
              <w:rPr>
                <w:i/>
                <w:sz w:val="20"/>
                <w:szCs w:val="20"/>
                <w:lang w:val="tr-TR"/>
              </w:rPr>
              <w:t>400 IBRD</w:t>
            </w:r>
            <w:r w:rsidR="00141886" w:rsidRPr="001A4B94">
              <w:rPr>
                <w:i/>
                <w:sz w:val="20"/>
                <w:szCs w:val="20"/>
                <w:lang w:val="tr-TR"/>
              </w:rPr>
              <w:t xml:space="preserve"> </w:t>
            </w:r>
            <w:r w:rsidR="0085537F" w:rsidRPr="001A4B94">
              <w:rPr>
                <w:i/>
                <w:sz w:val="20"/>
                <w:szCs w:val="20"/>
                <w:lang w:val="tr-TR"/>
              </w:rPr>
              <w:t>azaltımı</w:t>
            </w:r>
            <w:r w:rsidR="003944B9" w:rsidRPr="001A4B94">
              <w:rPr>
                <w:i/>
                <w:sz w:val="20"/>
                <w:szCs w:val="20"/>
                <w:lang w:val="tr-TR"/>
              </w:rPr>
              <w:t>, 373</w:t>
            </w:r>
            <w:r w:rsidR="0085537F" w:rsidRPr="001A4B94">
              <w:rPr>
                <w:i/>
                <w:sz w:val="20"/>
                <w:szCs w:val="20"/>
                <w:lang w:val="tr-TR"/>
              </w:rPr>
              <w:t>.</w:t>
            </w:r>
            <w:r w:rsidR="003944B9" w:rsidRPr="001A4B94">
              <w:rPr>
                <w:i/>
                <w:sz w:val="20"/>
                <w:szCs w:val="20"/>
                <w:lang w:val="tr-TR"/>
              </w:rPr>
              <w:t>000 IFC</w:t>
            </w:r>
            <w:r w:rsidR="0085537F" w:rsidRPr="001A4B94">
              <w:rPr>
                <w:i/>
                <w:sz w:val="20"/>
                <w:szCs w:val="20"/>
                <w:lang w:val="tr-TR"/>
              </w:rPr>
              <w:t xml:space="preserve"> azaltımı</w:t>
            </w:r>
            <w:r w:rsidR="00C42F34" w:rsidRPr="001A4B94">
              <w:rPr>
                <w:i/>
                <w:sz w:val="20"/>
                <w:szCs w:val="20"/>
                <w:lang w:val="tr-TR"/>
              </w:rPr>
              <w:t>, 600</w:t>
            </w:r>
            <w:r w:rsidR="0085537F" w:rsidRPr="001A4B94">
              <w:rPr>
                <w:i/>
                <w:sz w:val="20"/>
                <w:szCs w:val="20"/>
                <w:lang w:val="tr-TR"/>
              </w:rPr>
              <w:t>.</w:t>
            </w:r>
            <w:r w:rsidR="00C42F34" w:rsidRPr="001A4B94">
              <w:rPr>
                <w:i/>
                <w:sz w:val="20"/>
                <w:szCs w:val="20"/>
                <w:lang w:val="tr-TR"/>
              </w:rPr>
              <w:t>000</w:t>
            </w:r>
            <w:r w:rsidR="00D4352F" w:rsidRPr="001A4B94">
              <w:rPr>
                <w:i/>
                <w:sz w:val="20"/>
                <w:szCs w:val="20"/>
                <w:lang w:val="tr-TR"/>
              </w:rPr>
              <w:t xml:space="preserve"> </w:t>
            </w:r>
            <w:r w:rsidR="0085537F" w:rsidRPr="001A4B94">
              <w:rPr>
                <w:i/>
                <w:sz w:val="20"/>
                <w:szCs w:val="20"/>
                <w:lang w:val="tr-TR"/>
              </w:rPr>
              <w:t xml:space="preserve">GB standartlarının kabulü yoluyla ülke düzeyinde önlenen emisyon </w:t>
            </w:r>
            <w:r w:rsidR="00C42F34" w:rsidRPr="001A4B94">
              <w:rPr>
                <w:i/>
                <w:sz w:val="20"/>
                <w:szCs w:val="20"/>
                <w:lang w:val="tr-TR"/>
              </w:rPr>
              <w:t xml:space="preserve">(2021) </w:t>
            </w:r>
          </w:p>
          <w:p w14:paraId="26D1D346" w14:textId="77777777" w:rsidR="003944B9" w:rsidRPr="001A4B94" w:rsidRDefault="003944B9" w:rsidP="003944B9">
            <w:pPr>
              <w:rPr>
                <w:b/>
                <w:i/>
                <w:sz w:val="20"/>
                <w:szCs w:val="20"/>
                <w:lang w:val="tr-TR"/>
              </w:rPr>
            </w:pPr>
          </w:p>
          <w:p w14:paraId="5D2CAB85" w14:textId="77777777" w:rsidR="003944B9" w:rsidRPr="001A4B94" w:rsidRDefault="003944B9" w:rsidP="00610E8D">
            <w:pPr>
              <w:rPr>
                <w:i/>
                <w:sz w:val="20"/>
                <w:szCs w:val="20"/>
                <w:lang w:val="tr-TR"/>
              </w:rPr>
            </w:pPr>
          </w:p>
        </w:tc>
        <w:tc>
          <w:tcPr>
            <w:tcW w:w="4410" w:type="dxa"/>
          </w:tcPr>
          <w:p w14:paraId="09135962" w14:textId="351E76D3" w:rsidR="000F0805" w:rsidRPr="001A4B94" w:rsidRDefault="0085537F" w:rsidP="000F0805">
            <w:pPr>
              <w:rPr>
                <w:sz w:val="20"/>
                <w:szCs w:val="20"/>
                <w:lang w:val="tr-TR"/>
              </w:rPr>
            </w:pPr>
            <w:r w:rsidRPr="001A4B94">
              <w:rPr>
                <w:sz w:val="20"/>
                <w:szCs w:val="20"/>
                <w:lang w:val="tr-TR"/>
              </w:rPr>
              <w:t xml:space="preserve">Karbon piyasasına ilişkin politika </w:t>
            </w:r>
            <w:r w:rsidR="005743D3" w:rsidRPr="001A4B94">
              <w:rPr>
                <w:sz w:val="20"/>
                <w:szCs w:val="20"/>
                <w:lang w:val="tr-TR"/>
              </w:rPr>
              <w:t>seçeneklerinin</w:t>
            </w:r>
            <w:r w:rsidRPr="001A4B94">
              <w:rPr>
                <w:sz w:val="20"/>
                <w:szCs w:val="20"/>
                <w:lang w:val="tr-TR"/>
              </w:rPr>
              <w:t xml:space="preserve"> Hükümete </w:t>
            </w:r>
            <w:r w:rsidR="005743D3" w:rsidRPr="001A4B94">
              <w:rPr>
                <w:sz w:val="20"/>
                <w:szCs w:val="20"/>
                <w:lang w:val="tr-TR"/>
              </w:rPr>
              <w:t>sunulması</w:t>
            </w:r>
            <w:r w:rsidRPr="001A4B94">
              <w:rPr>
                <w:sz w:val="20"/>
                <w:szCs w:val="20"/>
                <w:lang w:val="tr-TR"/>
              </w:rPr>
              <w:t xml:space="preserve"> ve Hükümet tarafından değerlendirilmesi </w:t>
            </w:r>
          </w:p>
          <w:p w14:paraId="58630B0D" w14:textId="77777777" w:rsidR="003944B9" w:rsidRPr="001A4B94" w:rsidRDefault="003944B9" w:rsidP="003944B9">
            <w:pPr>
              <w:rPr>
                <w:sz w:val="20"/>
                <w:szCs w:val="20"/>
                <w:lang w:val="tr-TR"/>
              </w:rPr>
            </w:pPr>
          </w:p>
          <w:p w14:paraId="6AABDCF1" w14:textId="0748D039" w:rsidR="003944B9" w:rsidRPr="001A4B94" w:rsidRDefault="0085537F" w:rsidP="003944B9">
            <w:pPr>
              <w:rPr>
                <w:sz w:val="20"/>
                <w:szCs w:val="20"/>
                <w:u w:val="single"/>
                <w:lang w:val="tr-TR"/>
              </w:rPr>
            </w:pPr>
            <w:r w:rsidRPr="001A4B94">
              <w:rPr>
                <w:sz w:val="20"/>
                <w:szCs w:val="20"/>
                <w:u w:val="single"/>
                <w:lang w:val="tr-TR"/>
              </w:rPr>
              <w:t xml:space="preserve">Eğer DBG programı kapsamında bu </w:t>
            </w:r>
            <w:r w:rsidR="005743D3" w:rsidRPr="001A4B94">
              <w:rPr>
                <w:sz w:val="20"/>
                <w:szCs w:val="20"/>
                <w:u w:val="single"/>
                <w:lang w:val="tr-TR"/>
              </w:rPr>
              <w:t>alanlar</w:t>
            </w:r>
            <w:r w:rsidRPr="001A4B94">
              <w:rPr>
                <w:sz w:val="20"/>
                <w:szCs w:val="20"/>
                <w:u w:val="single"/>
                <w:lang w:val="tr-TR"/>
              </w:rPr>
              <w:t xml:space="preserve"> geliştirilirse, CPF PLR zamanında aşağıdaki göstergeler </w:t>
            </w:r>
            <w:r w:rsidR="003944B9" w:rsidRPr="001A4B94">
              <w:rPr>
                <w:sz w:val="20"/>
                <w:szCs w:val="20"/>
                <w:u w:val="single"/>
                <w:lang w:val="tr-TR"/>
              </w:rPr>
              <w:t xml:space="preserve">– </w:t>
            </w:r>
            <w:r w:rsidRPr="001A4B94">
              <w:rPr>
                <w:sz w:val="20"/>
                <w:szCs w:val="20"/>
                <w:u w:val="single"/>
                <w:lang w:val="tr-TR"/>
              </w:rPr>
              <w:t>veya başka ilgili göstergeler–</w:t>
            </w:r>
            <w:r w:rsidR="003944B9" w:rsidRPr="001A4B94">
              <w:rPr>
                <w:sz w:val="20"/>
                <w:szCs w:val="20"/>
                <w:u w:val="single"/>
                <w:lang w:val="tr-TR"/>
              </w:rPr>
              <w:t xml:space="preserve"> </w:t>
            </w:r>
            <w:r w:rsidRPr="001A4B94">
              <w:rPr>
                <w:sz w:val="20"/>
                <w:szCs w:val="20"/>
                <w:u w:val="single"/>
                <w:lang w:val="tr-TR"/>
              </w:rPr>
              <w:t>değerlendirilebilir</w:t>
            </w:r>
            <w:r w:rsidR="003944B9" w:rsidRPr="001A4B94">
              <w:rPr>
                <w:sz w:val="20"/>
                <w:szCs w:val="20"/>
                <w:u w:val="single"/>
                <w:lang w:val="tr-TR"/>
              </w:rPr>
              <w:t>:</w:t>
            </w:r>
          </w:p>
          <w:p w14:paraId="5E4806FB" w14:textId="77777777" w:rsidR="003944B9" w:rsidRPr="001A4B94" w:rsidRDefault="003944B9" w:rsidP="003944B9">
            <w:pPr>
              <w:rPr>
                <w:sz w:val="20"/>
                <w:szCs w:val="20"/>
                <w:lang w:val="tr-TR"/>
              </w:rPr>
            </w:pPr>
          </w:p>
          <w:p w14:paraId="0C40A793" w14:textId="6D43C99D" w:rsidR="003944B9" w:rsidRPr="001A4B94" w:rsidRDefault="0085537F" w:rsidP="003944B9">
            <w:pPr>
              <w:rPr>
                <w:sz w:val="20"/>
                <w:szCs w:val="20"/>
                <w:lang w:val="tr-TR"/>
              </w:rPr>
            </w:pPr>
            <w:r w:rsidRPr="001A4B94">
              <w:rPr>
                <w:sz w:val="20"/>
                <w:szCs w:val="20"/>
                <w:lang w:val="tr-TR"/>
              </w:rPr>
              <w:t>Ulusal Akıllı Ula</w:t>
            </w:r>
            <w:r w:rsidR="005743D3" w:rsidRPr="001A4B94">
              <w:rPr>
                <w:sz w:val="20"/>
                <w:szCs w:val="20"/>
                <w:lang w:val="tr-TR"/>
              </w:rPr>
              <w:t>ş</w:t>
            </w:r>
            <w:r w:rsidRPr="001A4B94">
              <w:rPr>
                <w:sz w:val="20"/>
                <w:szCs w:val="20"/>
                <w:lang w:val="tr-TR"/>
              </w:rPr>
              <w:t xml:space="preserve">ım Sistemleri </w:t>
            </w:r>
            <w:r w:rsidR="007247C3" w:rsidRPr="001A4B94">
              <w:rPr>
                <w:sz w:val="20"/>
                <w:szCs w:val="20"/>
                <w:lang w:val="tr-TR"/>
              </w:rPr>
              <w:t>(</w:t>
            </w:r>
            <w:r w:rsidRPr="001A4B94">
              <w:rPr>
                <w:sz w:val="20"/>
                <w:szCs w:val="20"/>
                <w:lang w:val="tr-TR"/>
              </w:rPr>
              <w:t>AUS</w:t>
            </w:r>
            <w:r w:rsidR="007247C3" w:rsidRPr="001A4B94">
              <w:rPr>
                <w:sz w:val="20"/>
                <w:szCs w:val="20"/>
                <w:lang w:val="tr-TR"/>
              </w:rPr>
              <w:t xml:space="preserve">) </w:t>
            </w:r>
            <w:r w:rsidRPr="001A4B94">
              <w:rPr>
                <w:sz w:val="20"/>
                <w:szCs w:val="20"/>
                <w:lang w:val="tr-TR"/>
              </w:rPr>
              <w:t xml:space="preserve">stratejisinin uygulamaya </w:t>
            </w:r>
            <w:r w:rsidR="005743D3" w:rsidRPr="001A4B94">
              <w:rPr>
                <w:sz w:val="20"/>
                <w:szCs w:val="20"/>
                <w:lang w:val="tr-TR"/>
              </w:rPr>
              <w:t>konulması</w:t>
            </w:r>
            <w:r w:rsidRPr="001A4B94">
              <w:rPr>
                <w:sz w:val="20"/>
                <w:szCs w:val="20"/>
                <w:lang w:val="tr-TR"/>
              </w:rPr>
              <w:t xml:space="preserve"> </w:t>
            </w:r>
          </w:p>
          <w:p w14:paraId="27696475" w14:textId="5E5E1D6A" w:rsidR="003944B9" w:rsidRPr="001A4B94" w:rsidRDefault="0085537F" w:rsidP="003944B9">
            <w:pPr>
              <w:rPr>
                <w:sz w:val="20"/>
                <w:szCs w:val="20"/>
                <w:lang w:val="tr-TR"/>
              </w:rPr>
            </w:pPr>
            <w:r w:rsidRPr="001A4B94">
              <w:rPr>
                <w:b/>
                <w:sz w:val="20"/>
                <w:szCs w:val="20"/>
                <w:lang w:val="tr-TR"/>
              </w:rPr>
              <w:t>Başlangıç Durumu</w:t>
            </w:r>
            <w:r w:rsidR="003944B9" w:rsidRPr="001A4B94">
              <w:rPr>
                <w:b/>
                <w:sz w:val="20"/>
                <w:szCs w:val="20"/>
                <w:lang w:val="tr-TR"/>
              </w:rPr>
              <w:t>:</w:t>
            </w:r>
            <w:r w:rsidR="003944B9" w:rsidRPr="001A4B94">
              <w:rPr>
                <w:sz w:val="20"/>
                <w:szCs w:val="20"/>
                <w:lang w:val="tr-TR"/>
              </w:rPr>
              <w:t xml:space="preserve"> </w:t>
            </w:r>
            <w:r w:rsidRPr="001A4B94">
              <w:rPr>
                <w:sz w:val="20"/>
                <w:szCs w:val="20"/>
                <w:lang w:val="tr-TR"/>
              </w:rPr>
              <w:t>Yok</w:t>
            </w:r>
          </w:p>
          <w:p w14:paraId="113F9CDF" w14:textId="6D8A1604" w:rsidR="003944B9" w:rsidRPr="001A4B94" w:rsidRDefault="0085537F" w:rsidP="003944B9">
            <w:pPr>
              <w:rPr>
                <w:sz w:val="20"/>
                <w:szCs w:val="20"/>
                <w:lang w:val="tr-TR"/>
              </w:rPr>
            </w:pPr>
            <w:r w:rsidRPr="001A4B94">
              <w:rPr>
                <w:b/>
                <w:sz w:val="20"/>
                <w:szCs w:val="20"/>
                <w:lang w:val="tr-TR"/>
              </w:rPr>
              <w:t>Hedef</w:t>
            </w:r>
            <w:r w:rsidR="003944B9" w:rsidRPr="001A4B94">
              <w:rPr>
                <w:b/>
                <w:sz w:val="20"/>
                <w:szCs w:val="20"/>
                <w:lang w:val="tr-TR"/>
              </w:rPr>
              <w:t>:</w:t>
            </w:r>
            <w:r w:rsidR="003944B9" w:rsidRPr="001A4B94">
              <w:rPr>
                <w:sz w:val="20"/>
                <w:szCs w:val="20"/>
                <w:lang w:val="tr-TR"/>
              </w:rPr>
              <w:t xml:space="preserve"> </w:t>
            </w:r>
            <w:r w:rsidRPr="001A4B94">
              <w:rPr>
                <w:sz w:val="20"/>
                <w:szCs w:val="20"/>
                <w:lang w:val="tr-TR"/>
              </w:rPr>
              <w:t>Var</w:t>
            </w:r>
            <w:r w:rsidR="003944B9" w:rsidRPr="001A4B94">
              <w:rPr>
                <w:sz w:val="20"/>
                <w:szCs w:val="20"/>
                <w:lang w:val="tr-TR"/>
              </w:rPr>
              <w:t>.</w:t>
            </w:r>
          </w:p>
          <w:p w14:paraId="4658BE72" w14:textId="77777777" w:rsidR="000F0805" w:rsidRPr="001A4B94" w:rsidRDefault="000F0805" w:rsidP="003944B9">
            <w:pPr>
              <w:rPr>
                <w:sz w:val="20"/>
                <w:szCs w:val="20"/>
                <w:lang w:val="tr-TR"/>
              </w:rPr>
            </w:pPr>
          </w:p>
          <w:p w14:paraId="389D0D25" w14:textId="7B2A0F3E" w:rsidR="003944B9" w:rsidRPr="001A4B94" w:rsidRDefault="005743D3" w:rsidP="003944B9">
            <w:pPr>
              <w:rPr>
                <w:sz w:val="20"/>
                <w:szCs w:val="20"/>
                <w:lang w:val="tr-TR"/>
              </w:rPr>
            </w:pPr>
            <w:r w:rsidRPr="001A4B94">
              <w:rPr>
                <w:sz w:val="20"/>
                <w:szCs w:val="20"/>
                <w:lang w:val="tr-TR"/>
              </w:rPr>
              <w:t>Hasat ve ağaçlandırma faaliyetlerine daha fazla özel sektör katılımını sağlamak için Orman Kanununda, yönetmeliklerinde veya politikalarında değişiklik yapılması</w:t>
            </w:r>
            <w:r w:rsidR="003944B9" w:rsidRPr="001A4B94">
              <w:rPr>
                <w:sz w:val="20"/>
                <w:szCs w:val="20"/>
                <w:lang w:val="tr-TR"/>
              </w:rPr>
              <w:t>.</w:t>
            </w:r>
          </w:p>
          <w:p w14:paraId="7C0E0660" w14:textId="137A79A7" w:rsidR="003944B9" w:rsidRPr="001A4B94" w:rsidRDefault="0085537F" w:rsidP="003944B9">
            <w:pPr>
              <w:rPr>
                <w:sz w:val="20"/>
                <w:szCs w:val="20"/>
                <w:lang w:val="tr-TR"/>
              </w:rPr>
            </w:pPr>
            <w:r w:rsidRPr="001A4B94">
              <w:rPr>
                <w:b/>
                <w:sz w:val="20"/>
                <w:szCs w:val="20"/>
                <w:lang w:val="tr-TR"/>
              </w:rPr>
              <w:lastRenderedPageBreak/>
              <w:t>Başlangıç Durumu</w:t>
            </w:r>
            <w:r w:rsidR="003944B9" w:rsidRPr="001A4B94">
              <w:rPr>
                <w:b/>
                <w:sz w:val="20"/>
                <w:szCs w:val="20"/>
                <w:lang w:val="tr-TR"/>
              </w:rPr>
              <w:t>:</w:t>
            </w:r>
            <w:r w:rsidR="003944B9" w:rsidRPr="001A4B94">
              <w:rPr>
                <w:sz w:val="20"/>
                <w:szCs w:val="20"/>
                <w:lang w:val="tr-TR"/>
              </w:rPr>
              <w:t xml:space="preserve"> Minimal </w:t>
            </w:r>
            <w:r w:rsidR="003944B9" w:rsidRPr="001A4B94">
              <w:rPr>
                <w:sz w:val="20"/>
                <w:szCs w:val="20"/>
                <w:lang w:val="tr-TR"/>
              </w:rPr>
              <w:tab/>
            </w:r>
          </w:p>
          <w:p w14:paraId="189FC8A2" w14:textId="2BC2277E" w:rsidR="003944B9" w:rsidRPr="001A4B94" w:rsidRDefault="0085537F" w:rsidP="003944B9">
            <w:pPr>
              <w:tabs>
                <w:tab w:val="left" w:pos="426"/>
              </w:tabs>
              <w:rPr>
                <w:sz w:val="20"/>
                <w:szCs w:val="20"/>
                <w:lang w:val="tr-TR"/>
              </w:rPr>
            </w:pPr>
            <w:r w:rsidRPr="001A4B94">
              <w:rPr>
                <w:b/>
                <w:sz w:val="20"/>
                <w:szCs w:val="20"/>
                <w:lang w:val="tr-TR"/>
              </w:rPr>
              <w:t>Hedef</w:t>
            </w:r>
            <w:r w:rsidR="003944B9" w:rsidRPr="001A4B94">
              <w:rPr>
                <w:b/>
                <w:sz w:val="20"/>
                <w:szCs w:val="20"/>
                <w:lang w:val="tr-TR"/>
              </w:rPr>
              <w:t>:</w:t>
            </w:r>
            <w:r w:rsidR="003944B9" w:rsidRPr="001A4B94">
              <w:rPr>
                <w:sz w:val="20"/>
                <w:szCs w:val="20"/>
                <w:lang w:val="tr-TR"/>
              </w:rPr>
              <w:t xml:space="preserve"> 2 </w:t>
            </w:r>
            <w:r w:rsidRPr="001A4B94">
              <w:rPr>
                <w:sz w:val="20"/>
                <w:szCs w:val="20"/>
                <w:lang w:val="tr-TR"/>
              </w:rPr>
              <w:t>veya daha fazla pilot bölge</w:t>
            </w:r>
            <w:r w:rsidR="005743D3" w:rsidRPr="001A4B94">
              <w:rPr>
                <w:sz w:val="20"/>
                <w:szCs w:val="20"/>
                <w:lang w:val="tr-TR"/>
              </w:rPr>
              <w:t>de</w:t>
            </w:r>
            <w:r w:rsidRPr="001A4B94">
              <w:rPr>
                <w:sz w:val="20"/>
                <w:szCs w:val="20"/>
                <w:lang w:val="tr-TR"/>
              </w:rPr>
              <w:t xml:space="preserve"> </w:t>
            </w:r>
          </w:p>
          <w:p w14:paraId="4F8A45CA" w14:textId="77777777" w:rsidR="000F0805" w:rsidRPr="001A4B94" w:rsidRDefault="000F0805" w:rsidP="00610E8D">
            <w:pPr>
              <w:rPr>
                <w:b/>
                <w:sz w:val="20"/>
                <w:szCs w:val="20"/>
                <w:lang w:val="tr-TR"/>
              </w:rPr>
            </w:pPr>
          </w:p>
          <w:p w14:paraId="15BCEE6D" w14:textId="41178B15" w:rsidR="00610E8D" w:rsidRPr="001A4B94" w:rsidRDefault="00610E8D" w:rsidP="003944B9">
            <w:pPr>
              <w:tabs>
                <w:tab w:val="left" w:pos="426"/>
              </w:tabs>
              <w:rPr>
                <w:sz w:val="20"/>
                <w:szCs w:val="20"/>
                <w:lang w:val="tr-TR"/>
              </w:rPr>
            </w:pPr>
          </w:p>
        </w:tc>
        <w:tc>
          <w:tcPr>
            <w:tcW w:w="4860" w:type="dxa"/>
          </w:tcPr>
          <w:p w14:paraId="64887812" w14:textId="3FA58FC7" w:rsidR="003944B9" w:rsidRPr="001A4B94" w:rsidRDefault="005743D3" w:rsidP="003944B9">
            <w:pPr>
              <w:rPr>
                <w:b/>
                <w:bCs/>
                <w:color w:val="000000" w:themeColor="text1"/>
                <w:sz w:val="20"/>
                <w:szCs w:val="20"/>
                <w:lang w:val="tr-TR"/>
              </w:rPr>
            </w:pPr>
            <w:r w:rsidRPr="001A4B94">
              <w:rPr>
                <w:b/>
                <w:bCs/>
                <w:color w:val="000000" w:themeColor="text1"/>
                <w:sz w:val="20"/>
                <w:szCs w:val="20"/>
                <w:lang w:val="tr-TR"/>
              </w:rPr>
              <w:lastRenderedPageBreak/>
              <w:t>Devam eden finansman</w:t>
            </w:r>
            <w:r w:rsidR="003944B9" w:rsidRPr="001A4B94">
              <w:rPr>
                <w:b/>
                <w:bCs/>
                <w:color w:val="000000" w:themeColor="text1"/>
                <w:sz w:val="20"/>
                <w:szCs w:val="20"/>
                <w:lang w:val="tr-TR"/>
              </w:rPr>
              <w:t>:</w:t>
            </w:r>
          </w:p>
          <w:p w14:paraId="627342DF" w14:textId="32C0C824" w:rsidR="003944B9" w:rsidRPr="001A4B94" w:rsidRDefault="005743D3" w:rsidP="003944B9">
            <w:pPr>
              <w:rPr>
                <w:sz w:val="20"/>
                <w:szCs w:val="20"/>
                <w:lang w:val="tr-TR"/>
              </w:rPr>
            </w:pPr>
            <w:r w:rsidRPr="001A4B94">
              <w:rPr>
                <w:sz w:val="20"/>
                <w:szCs w:val="20"/>
                <w:lang w:val="tr-TR"/>
              </w:rPr>
              <w:t xml:space="preserve">Yenilenebilir Enerji Entegrasyon Projesi </w:t>
            </w:r>
          </w:p>
          <w:p w14:paraId="7AD95A45" w14:textId="5CC3061F" w:rsidR="003944B9" w:rsidRPr="001A4B94" w:rsidRDefault="005743D3" w:rsidP="003944B9">
            <w:pPr>
              <w:rPr>
                <w:sz w:val="20"/>
                <w:szCs w:val="20"/>
                <w:lang w:val="tr-TR"/>
              </w:rPr>
            </w:pPr>
            <w:r w:rsidRPr="001A4B94">
              <w:rPr>
                <w:sz w:val="20"/>
                <w:szCs w:val="20"/>
                <w:lang w:val="tr-TR"/>
              </w:rPr>
              <w:t xml:space="preserve">KOBİ Enerji Verimliliği Projesi </w:t>
            </w:r>
          </w:p>
          <w:p w14:paraId="7F691388" w14:textId="51CB114B" w:rsidR="003944B9" w:rsidRPr="001A4B94" w:rsidRDefault="005743D3" w:rsidP="003944B9">
            <w:pPr>
              <w:rPr>
                <w:sz w:val="20"/>
                <w:szCs w:val="20"/>
                <w:lang w:val="tr-TR"/>
              </w:rPr>
            </w:pPr>
            <w:r w:rsidRPr="001A4B94">
              <w:rPr>
                <w:sz w:val="20"/>
                <w:szCs w:val="20"/>
                <w:lang w:val="tr-TR"/>
              </w:rPr>
              <w:t xml:space="preserve">Özel Sektör Yenilenebilir Enerji ve Enerji Verimliliği Projesi </w:t>
            </w:r>
          </w:p>
          <w:p w14:paraId="7D1F3C04" w14:textId="6BE4F6E3" w:rsidR="003944B9" w:rsidRPr="001A4B94" w:rsidRDefault="005743D3" w:rsidP="003944B9">
            <w:pPr>
              <w:rPr>
                <w:sz w:val="20"/>
                <w:szCs w:val="20"/>
                <w:lang w:val="tr-TR"/>
              </w:rPr>
            </w:pPr>
            <w:r w:rsidRPr="001A4B94">
              <w:rPr>
                <w:sz w:val="20"/>
                <w:szCs w:val="20"/>
                <w:lang w:val="tr-TR"/>
              </w:rPr>
              <w:t>AB/IPA Enerji</w:t>
            </w:r>
            <w:r w:rsidR="003944B9" w:rsidRPr="001A4B94">
              <w:rPr>
                <w:sz w:val="20"/>
                <w:szCs w:val="20"/>
                <w:lang w:val="tr-TR"/>
              </w:rPr>
              <w:t xml:space="preserve"> Proje</w:t>
            </w:r>
            <w:r w:rsidRPr="001A4B94">
              <w:rPr>
                <w:sz w:val="20"/>
                <w:szCs w:val="20"/>
                <w:lang w:val="tr-TR"/>
              </w:rPr>
              <w:t>si</w:t>
            </w:r>
          </w:p>
          <w:p w14:paraId="324E7026" w14:textId="77777777" w:rsidR="003944B9" w:rsidRPr="001A4B94" w:rsidRDefault="003944B9" w:rsidP="003944B9">
            <w:pPr>
              <w:rPr>
                <w:b/>
                <w:bCs/>
                <w:color w:val="000000" w:themeColor="text1"/>
                <w:sz w:val="20"/>
                <w:szCs w:val="20"/>
                <w:lang w:val="tr-TR"/>
              </w:rPr>
            </w:pPr>
          </w:p>
          <w:p w14:paraId="06311DAD" w14:textId="5C38D786" w:rsidR="003944B9" w:rsidRPr="001A4B94" w:rsidRDefault="00846AF8" w:rsidP="003944B9">
            <w:pPr>
              <w:rPr>
                <w:b/>
                <w:color w:val="000000" w:themeColor="text1"/>
                <w:sz w:val="20"/>
                <w:szCs w:val="20"/>
                <w:lang w:val="tr-TR"/>
              </w:rPr>
            </w:pPr>
            <w:r w:rsidRPr="001A4B94">
              <w:rPr>
                <w:b/>
                <w:bCs/>
                <w:color w:val="000000" w:themeColor="text1"/>
                <w:sz w:val="20"/>
                <w:szCs w:val="20"/>
                <w:lang w:val="tr-TR"/>
              </w:rPr>
              <w:t>Yeni finansman</w:t>
            </w:r>
            <w:r w:rsidR="003944B9" w:rsidRPr="001A4B94">
              <w:rPr>
                <w:b/>
                <w:bCs/>
                <w:color w:val="000000" w:themeColor="text1"/>
                <w:sz w:val="20"/>
                <w:szCs w:val="20"/>
                <w:lang w:val="tr-TR"/>
              </w:rPr>
              <w:t>:</w:t>
            </w:r>
            <w:r w:rsidR="003944B9" w:rsidRPr="001A4B94">
              <w:rPr>
                <w:b/>
                <w:color w:val="000000" w:themeColor="text1"/>
                <w:sz w:val="20"/>
                <w:szCs w:val="20"/>
                <w:lang w:val="tr-TR"/>
              </w:rPr>
              <w:t xml:space="preserve"> </w:t>
            </w:r>
          </w:p>
          <w:p w14:paraId="254C2E58" w14:textId="705D2E6C" w:rsidR="003944B9" w:rsidRPr="001A4B94" w:rsidRDefault="00846AF8" w:rsidP="003944B9">
            <w:pPr>
              <w:rPr>
                <w:color w:val="000000" w:themeColor="text1"/>
                <w:sz w:val="20"/>
                <w:szCs w:val="20"/>
                <w:lang w:val="tr-TR"/>
              </w:rPr>
            </w:pPr>
            <w:r w:rsidRPr="001A4B94">
              <w:rPr>
                <w:color w:val="000000" w:themeColor="text1"/>
                <w:sz w:val="20"/>
                <w:szCs w:val="20"/>
                <w:lang w:val="tr-TR"/>
              </w:rPr>
              <w:t>Yeni DPL’ler</w:t>
            </w:r>
          </w:p>
          <w:p w14:paraId="769ABE28" w14:textId="11E9A852" w:rsidR="003944B9" w:rsidRPr="001A4B94" w:rsidRDefault="00846AF8" w:rsidP="003944B9">
            <w:pPr>
              <w:rPr>
                <w:color w:val="000000" w:themeColor="text1"/>
                <w:sz w:val="20"/>
                <w:szCs w:val="20"/>
                <w:lang w:val="tr-TR"/>
              </w:rPr>
            </w:pPr>
            <w:r w:rsidRPr="001A4B94">
              <w:rPr>
                <w:color w:val="000000" w:themeColor="text1"/>
                <w:sz w:val="20"/>
                <w:szCs w:val="20"/>
                <w:lang w:val="tr-TR"/>
              </w:rPr>
              <w:t xml:space="preserve">Sulama Rehabilitasyon Projesi </w:t>
            </w:r>
          </w:p>
          <w:p w14:paraId="297DFCB8" w14:textId="7C793F8D" w:rsidR="003944B9" w:rsidRPr="001A4B94" w:rsidRDefault="000F62ED" w:rsidP="003944B9">
            <w:pPr>
              <w:rPr>
                <w:color w:val="000000" w:themeColor="text1"/>
                <w:sz w:val="20"/>
                <w:szCs w:val="20"/>
                <w:lang w:val="tr-TR"/>
              </w:rPr>
            </w:pPr>
            <w:r w:rsidRPr="001A4B94">
              <w:rPr>
                <w:color w:val="000000" w:themeColor="text1"/>
                <w:sz w:val="20"/>
                <w:szCs w:val="20"/>
                <w:lang w:val="tr-TR"/>
              </w:rPr>
              <w:t xml:space="preserve">Ulaştırma/Lojistik ve/veya Sürdürülebilir Orman Yönetimini destekleyecek gelecekteki olası projeler </w:t>
            </w:r>
          </w:p>
          <w:p w14:paraId="6154DFCE" w14:textId="77777777" w:rsidR="003944B9" w:rsidRPr="001A4B94" w:rsidRDefault="003944B9" w:rsidP="003944B9">
            <w:pPr>
              <w:rPr>
                <w:color w:val="000000" w:themeColor="text1"/>
                <w:sz w:val="20"/>
                <w:szCs w:val="20"/>
                <w:lang w:val="tr-TR"/>
              </w:rPr>
            </w:pPr>
          </w:p>
          <w:p w14:paraId="101ACE2F" w14:textId="004C8895" w:rsidR="003944B9" w:rsidRPr="001A4B94" w:rsidRDefault="000F62ED" w:rsidP="000F62ED">
            <w:pPr>
              <w:ind w:right="-199"/>
              <w:rPr>
                <w:b/>
                <w:color w:val="000000" w:themeColor="text1"/>
                <w:sz w:val="20"/>
                <w:szCs w:val="20"/>
                <w:lang w:val="tr-TR"/>
              </w:rPr>
            </w:pPr>
            <w:r w:rsidRPr="001A4B94">
              <w:rPr>
                <w:b/>
                <w:sz w:val="20"/>
                <w:szCs w:val="20"/>
                <w:lang w:val="tr-TR"/>
              </w:rPr>
              <w:t>Danışmanlık Hizmetleri ve Analitik Çalışmalar (ASA):</w:t>
            </w:r>
          </w:p>
          <w:p w14:paraId="6F64AD93" w14:textId="7BB6F8EF" w:rsidR="003944B9" w:rsidRPr="001A4B94" w:rsidRDefault="000F62ED" w:rsidP="003944B9">
            <w:pPr>
              <w:rPr>
                <w:color w:val="000000" w:themeColor="text1"/>
                <w:sz w:val="20"/>
                <w:szCs w:val="20"/>
                <w:lang w:val="tr-TR"/>
              </w:rPr>
            </w:pPr>
            <w:r w:rsidRPr="001A4B94">
              <w:rPr>
                <w:color w:val="000000" w:themeColor="text1"/>
                <w:sz w:val="20"/>
                <w:szCs w:val="20"/>
                <w:lang w:val="tr-TR"/>
              </w:rPr>
              <w:t xml:space="preserve">Ormancılık Çalışması </w:t>
            </w:r>
          </w:p>
          <w:p w14:paraId="0463CBB4" w14:textId="137864A6" w:rsidR="003944B9" w:rsidRPr="001A4B94" w:rsidRDefault="000F62ED" w:rsidP="003944B9">
            <w:pPr>
              <w:rPr>
                <w:color w:val="000000" w:themeColor="text1"/>
                <w:sz w:val="20"/>
                <w:szCs w:val="20"/>
                <w:lang w:val="tr-TR"/>
              </w:rPr>
            </w:pPr>
            <w:r w:rsidRPr="001A4B94">
              <w:rPr>
                <w:color w:val="000000" w:themeColor="text1"/>
                <w:sz w:val="20"/>
                <w:szCs w:val="20"/>
                <w:lang w:val="tr-TR"/>
              </w:rPr>
              <w:t xml:space="preserve">Üretkenlik ile ilgili Ülke Ekonomik Memorandum - </w:t>
            </w:r>
            <w:r w:rsidR="003944B9" w:rsidRPr="001A4B94">
              <w:rPr>
                <w:color w:val="000000" w:themeColor="text1"/>
                <w:sz w:val="20"/>
                <w:szCs w:val="20"/>
                <w:lang w:val="tr-TR"/>
              </w:rPr>
              <w:t xml:space="preserve">CEM </w:t>
            </w:r>
          </w:p>
          <w:p w14:paraId="038A7011" w14:textId="5B488A0D" w:rsidR="003944B9" w:rsidRPr="001A4B94" w:rsidRDefault="003944B9" w:rsidP="003944B9">
            <w:pPr>
              <w:rPr>
                <w:color w:val="000000" w:themeColor="text1"/>
                <w:sz w:val="20"/>
                <w:szCs w:val="20"/>
                <w:lang w:val="tr-TR"/>
              </w:rPr>
            </w:pPr>
          </w:p>
          <w:p w14:paraId="08E4FDB3" w14:textId="77777777" w:rsidR="000F62ED" w:rsidRPr="001A4B94" w:rsidRDefault="000F62ED" w:rsidP="003944B9">
            <w:pPr>
              <w:rPr>
                <w:color w:val="000000" w:themeColor="text1"/>
                <w:sz w:val="20"/>
                <w:szCs w:val="20"/>
                <w:lang w:val="tr-TR"/>
              </w:rPr>
            </w:pPr>
          </w:p>
          <w:p w14:paraId="70F9EE13" w14:textId="77777777" w:rsidR="003944B9" w:rsidRPr="001A4B94" w:rsidRDefault="003944B9" w:rsidP="003944B9">
            <w:pPr>
              <w:rPr>
                <w:b/>
                <w:color w:val="000000" w:themeColor="text1"/>
                <w:sz w:val="20"/>
                <w:szCs w:val="20"/>
                <w:lang w:val="tr-TR"/>
              </w:rPr>
            </w:pPr>
            <w:r w:rsidRPr="001A4B94">
              <w:rPr>
                <w:b/>
                <w:color w:val="000000" w:themeColor="text1"/>
                <w:sz w:val="20"/>
                <w:szCs w:val="20"/>
                <w:lang w:val="tr-TR"/>
              </w:rPr>
              <w:lastRenderedPageBreak/>
              <w:t>IFC:</w:t>
            </w:r>
          </w:p>
          <w:p w14:paraId="3F2F4E0E" w14:textId="1470E3D0" w:rsidR="003944B9" w:rsidRPr="001A4B94" w:rsidRDefault="00D1230D" w:rsidP="003944B9">
            <w:pPr>
              <w:rPr>
                <w:color w:val="000000" w:themeColor="text1"/>
                <w:sz w:val="20"/>
                <w:szCs w:val="20"/>
                <w:lang w:val="tr-TR"/>
              </w:rPr>
            </w:pPr>
            <w:r w:rsidRPr="001A4B94">
              <w:rPr>
                <w:color w:val="000000" w:themeColor="text1"/>
                <w:sz w:val="20"/>
                <w:szCs w:val="20"/>
                <w:lang w:val="tr-TR"/>
              </w:rPr>
              <w:t xml:space="preserve">Kaynak verimliliği projelerini desteklemeye yönelik </w:t>
            </w:r>
            <w:r w:rsidR="003944B9" w:rsidRPr="001A4B94">
              <w:rPr>
                <w:color w:val="000000" w:themeColor="text1"/>
                <w:sz w:val="20"/>
                <w:szCs w:val="20"/>
                <w:lang w:val="tr-TR"/>
              </w:rPr>
              <w:t xml:space="preserve">IFC </w:t>
            </w:r>
            <w:r w:rsidRPr="001A4B94">
              <w:rPr>
                <w:color w:val="000000" w:themeColor="text1"/>
                <w:sz w:val="20"/>
                <w:szCs w:val="20"/>
                <w:lang w:val="tr-TR"/>
              </w:rPr>
              <w:t xml:space="preserve">finansmanı </w:t>
            </w:r>
          </w:p>
          <w:p w14:paraId="14D2525E" w14:textId="2D0AC9A0" w:rsidR="003944B9" w:rsidRPr="001A4B94" w:rsidRDefault="00D1230D" w:rsidP="003944B9">
            <w:pPr>
              <w:rPr>
                <w:color w:val="000000" w:themeColor="text1"/>
                <w:sz w:val="20"/>
                <w:szCs w:val="20"/>
                <w:lang w:val="tr-TR"/>
              </w:rPr>
            </w:pPr>
            <w:r w:rsidRPr="001A4B94">
              <w:rPr>
                <w:color w:val="000000" w:themeColor="text1"/>
                <w:sz w:val="20"/>
                <w:szCs w:val="20"/>
                <w:lang w:val="tr-TR"/>
              </w:rPr>
              <w:t xml:space="preserve">YE / EV </w:t>
            </w:r>
            <w:r w:rsidR="00CA7E39" w:rsidRPr="001A4B94">
              <w:rPr>
                <w:color w:val="000000" w:themeColor="text1"/>
                <w:sz w:val="20"/>
                <w:szCs w:val="20"/>
                <w:lang w:val="tr-TR"/>
              </w:rPr>
              <w:t>projelerini</w:t>
            </w:r>
            <w:r w:rsidRPr="001A4B94">
              <w:rPr>
                <w:color w:val="000000" w:themeColor="text1"/>
                <w:sz w:val="20"/>
                <w:szCs w:val="20"/>
                <w:lang w:val="tr-TR"/>
              </w:rPr>
              <w:t xml:space="preserve"> desteklemek için IFC tarafından finansal aracılara sağlanacak uzun vadeli krediler </w:t>
            </w:r>
          </w:p>
          <w:p w14:paraId="63AEAD79" w14:textId="5584F374" w:rsidR="003944B9" w:rsidRPr="001A4B94" w:rsidRDefault="00062F44" w:rsidP="003944B9">
            <w:pPr>
              <w:rPr>
                <w:color w:val="000000" w:themeColor="text1"/>
                <w:sz w:val="20"/>
                <w:szCs w:val="20"/>
                <w:lang w:val="tr-TR"/>
              </w:rPr>
            </w:pPr>
            <w:r w:rsidRPr="001A4B94">
              <w:rPr>
                <w:color w:val="000000" w:themeColor="text1"/>
                <w:sz w:val="20"/>
                <w:szCs w:val="20"/>
                <w:lang w:val="tr-TR"/>
              </w:rPr>
              <w:t xml:space="preserve">Modern, enerji açısından verimli belediye binalarına yapılacak </w:t>
            </w:r>
            <w:r w:rsidR="003944B9" w:rsidRPr="001A4B94">
              <w:rPr>
                <w:color w:val="000000" w:themeColor="text1"/>
                <w:sz w:val="20"/>
                <w:szCs w:val="20"/>
                <w:lang w:val="tr-TR"/>
              </w:rPr>
              <w:t xml:space="preserve">IFC </w:t>
            </w:r>
            <w:r w:rsidRPr="001A4B94">
              <w:rPr>
                <w:color w:val="000000" w:themeColor="text1"/>
                <w:sz w:val="20"/>
                <w:szCs w:val="20"/>
                <w:lang w:val="tr-TR"/>
              </w:rPr>
              <w:t xml:space="preserve">yatırımları ve danışmanlık hizmetleri </w:t>
            </w:r>
            <w:r w:rsidR="003944B9" w:rsidRPr="001A4B94">
              <w:rPr>
                <w:color w:val="000000" w:themeColor="text1"/>
                <w:sz w:val="20"/>
                <w:szCs w:val="20"/>
                <w:lang w:val="tr-TR"/>
              </w:rPr>
              <w:t>(</w:t>
            </w:r>
            <w:r w:rsidRPr="001A4B94">
              <w:rPr>
                <w:color w:val="000000" w:themeColor="text1"/>
                <w:sz w:val="20"/>
                <w:szCs w:val="20"/>
                <w:lang w:val="tr-TR"/>
              </w:rPr>
              <w:t>toplu taşıma</w:t>
            </w:r>
            <w:r w:rsidR="003944B9" w:rsidRPr="001A4B94">
              <w:rPr>
                <w:color w:val="000000" w:themeColor="text1"/>
                <w:sz w:val="20"/>
                <w:szCs w:val="20"/>
                <w:lang w:val="tr-TR"/>
              </w:rPr>
              <w:t xml:space="preserve">, </w:t>
            </w:r>
            <w:r w:rsidRPr="001A4B94">
              <w:rPr>
                <w:color w:val="000000" w:themeColor="text1"/>
                <w:sz w:val="20"/>
                <w:szCs w:val="20"/>
                <w:lang w:val="tr-TR"/>
              </w:rPr>
              <w:t>su</w:t>
            </w:r>
            <w:r w:rsidR="003944B9" w:rsidRPr="001A4B94">
              <w:rPr>
                <w:color w:val="000000" w:themeColor="text1"/>
                <w:sz w:val="20"/>
                <w:szCs w:val="20"/>
                <w:lang w:val="tr-TR"/>
              </w:rPr>
              <w:t xml:space="preserve">, </w:t>
            </w:r>
            <w:r w:rsidRPr="001A4B94">
              <w:rPr>
                <w:color w:val="000000" w:themeColor="text1"/>
                <w:sz w:val="20"/>
                <w:szCs w:val="20"/>
                <w:lang w:val="tr-TR"/>
              </w:rPr>
              <w:t>atık su</w:t>
            </w:r>
            <w:r w:rsidR="003944B9" w:rsidRPr="001A4B94">
              <w:rPr>
                <w:color w:val="000000" w:themeColor="text1"/>
                <w:sz w:val="20"/>
                <w:szCs w:val="20"/>
                <w:lang w:val="tr-TR"/>
              </w:rPr>
              <w:t xml:space="preserve">, </w:t>
            </w:r>
            <w:r w:rsidRPr="001A4B94">
              <w:rPr>
                <w:color w:val="000000" w:themeColor="text1"/>
                <w:sz w:val="20"/>
                <w:szCs w:val="20"/>
                <w:lang w:val="tr-TR"/>
              </w:rPr>
              <w:t>sokak aydınlatması</w:t>
            </w:r>
            <w:r w:rsidR="003944B9" w:rsidRPr="001A4B94">
              <w:rPr>
                <w:color w:val="000000" w:themeColor="text1"/>
                <w:sz w:val="20"/>
                <w:szCs w:val="20"/>
                <w:lang w:val="tr-TR"/>
              </w:rPr>
              <w:t xml:space="preserve">, </w:t>
            </w:r>
            <w:r w:rsidRPr="001A4B94">
              <w:rPr>
                <w:color w:val="000000" w:themeColor="text1"/>
                <w:sz w:val="20"/>
                <w:szCs w:val="20"/>
                <w:lang w:val="tr-TR"/>
              </w:rPr>
              <w:t>enerji açısından verimli binalar, vs.</w:t>
            </w:r>
            <w:r w:rsidR="003944B9" w:rsidRPr="001A4B94">
              <w:rPr>
                <w:color w:val="000000" w:themeColor="text1"/>
                <w:sz w:val="20"/>
                <w:szCs w:val="20"/>
                <w:lang w:val="tr-TR"/>
              </w:rPr>
              <w:t>)</w:t>
            </w:r>
          </w:p>
          <w:p w14:paraId="0C138EA9" w14:textId="638A1A7E" w:rsidR="003944B9" w:rsidRPr="001A4B94" w:rsidRDefault="00CA7E39" w:rsidP="00550713">
            <w:pPr>
              <w:rPr>
                <w:color w:val="000000" w:themeColor="text1"/>
                <w:sz w:val="20"/>
                <w:szCs w:val="20"/>
                <w:lang w:val="tr-TR"/>
              </w:rPr>
            </w:pPr>
            <w:r w:rsidRPr="001A4B94">
              <w:rPr>
                <w:color w:val="000000" w:themeColor="text1"/>
                <w:sz w:val="20"/>
                <w:szCs w:val="20"/>
                <w:lang w:val="tr-TR"/>
              </w:rPr>
              <w:t xml:space="preserve">Yeşil binalar ve sanayi bölgeleri hakkında </w:t>
            </w:r>
            <w:r w:rsidR="003944B9" w:rsidRPr="001A4B94">
              <w:rPr>
                <w:color w:val="000000" w:themeColor="text1"/>
                <w:sz w:val="20"/>
                <w:szCs w:val="20"/>
                <w:lang w:val="tr-TR"/>
              </w:rPr>
              <w:t xml:space="preserve">IFC </w:t>
            </w:r>
            <w:r w:rsidRPr="001A4B94">
              <w:rPr>
                <w:color w:val="000000" w:themeColor="text1"/>
                <w:sz w:val="20"/>
                <w:szCs w:val="20"/>
                <w:lang w:val="tr-TR"/>
              </w:rPr>
              <w:t xml:space="preserve">danışmanlık hizmetleri </w:t>
            </w:r>
          </w:p>
        </w:tc>
      </w:tr>
    </w:tbl>
    <w:p w14:paraId="132AEB33" w14:textId="77777777" w:rsidR="003C6355" w:rsidRPr="001A4B94" w:rsidRDefault="003C6355">
      <w:pPr>
        <w:rPr>
          <w:lang w:val="tr-TR"/>
        </w:rPr>
      </w:pPr>
    </w:p>
    <w:p w14:paraId="4642F68E" w14:textId="6AE15E9B" w:rsidR="0007114B" w:rsidRPr="001A4B94" w:rsidRDefault="0007114B">
      <w:pPr>
        <w:spacing w:after="160" w:line="259" w:lineRule="auto"/>
        <w:rPr>
          <w:lang w:val="tr-TR"/>
        </w:rPr>
      </w:pPr>
    </w:p>
    <w:p w14:paraId="254BF742" w14:textId="77777777" w:rsidR="007C1ED3" w:rsidRPr="001A4B94" w:rsidRDefault="0007114B" w:rsidP="003944B9">
      <w:pPr>
        <w:spacing w:after="160" w:line="259" w:lineRule="auto"/>
        <w:rPr>
          <w:lang w:val="tr-TR"/>
        </w:rPr>
        <w:sectPr w:rsidR="007C1ED3" w:rsidRPr="001A4B94" w:rsidSect="007C1ED3">
          <w:footerReference w:type="default" r:id="rId31"/>
          <w:pgSz w:w="15840" w:h="12240" w:orient="landscape"/>
          <w:pgMar w:top="1440" w:right="1440" w:bottom="1440" w:left="1440" w:header="720" w:footer="720" w:gutter="0"/>
          <w:cols w:space="720"/>
          <w:titlePg/>
          <w:docGrid w:linePitch="360"/>
        </w:sectPr>
      </w:pPr>
      <w:r w:rsidRPr="001A4B94">
        <w:rPr>
          <w:lang w:val="tr-TR"/>
        </w:rPr>
        <w:br w:type="page"/>
      </w:r>
    </w:p>
    <w:p w14:paraId="2D23CF43" w14:textId="7E588750" w:rsidR="00430325" w:rsidRPr="001A4B94" w:rsidRDefault="00430325" w:rsidP="003944B9">
      <w:pPr>
        <w:spacing w:after="160" w:line="259" w:lineRule="auto"/>
        <w:rPr>
          <w:rFonts w:ascii="Garamond" w:hAnsi="Garamond"/>
          <w:lang w:val="tr-TR"/>
        </w:rPr>
      </w:pPr>
    </w:p>
    <w:p w14:paraId="0F8E8840" w14:textId="04B990CE" w:rsidR="00747261" w:rsidRPr="001A4B94" w:rsidRDefault="0022613F" w:rsidP="00162B5B">
      <w:pPr>
        <w:pStyle w:val="Balk1"/>
        <w:jc w:val="center"/>
        <w:rPr>
          <w:rFonts w:ascii="Times New Roman" w:hAnsi="Times New Roman" w:cs="Times New Roman"/>
          <w:b/>
          <w:color w:val="auto"/>
          <w:sz w:val="28"/>
          <w:lang w:val="tr-TR"/>
        </w:rPr>
      </w:pPr>
      <w:bookmarkStart w:id="23" w:name="_Toc494977332"/>
      <w:r w:rsidRPr="001A4B94">
        <w:rPr>
          <w:rFonts w:ascii="Times New Roman" w:hAnsi="Times New Roman" w:cs="Times New Roman"/>
          <w:b/>
          <w:color w:val="auto"/>
          <w:sz w:val="28"/>
          <w:lang w:val="tr-TR"/>
        </w:rPr>
        <w:t>Ek</w:t>
      </w:r>
      <w:r w:rsidR="00CE3B6C" w:rsidRPr="001A4B94">
        <w:rPr>
          <w:rFonts w:ascii="Times New Roman" w:hAnsi="Times New Roman" w:cs="Times New Roman"/>
          <w:b/>
          <w:color w:val="auto"/>
          <w:sz w:val="28"/>
          <w:lang w:val="tr-TR"/>
        </w:rPr>
        <w:t xml:space="preserve"> </w:t>
      </w:r>
      <w:r w:rsidR="00747261" w:rsidRPr="001A4B94">
        <w:rPr>
          <w:rFonts w:ascii="Times New Roman" w:hAnsi="Times New Roman" w:cs="Times New Roman"/>
          <w:b/>
          <w:color w:val="auto"/>
          <w:sz w:val="28"/>
          <w:lang w:val="tr-TR"/>
        </w:rPr>
        <w:t>2. CPS (</w:t>
      </w:r>
      <w:r w:rsidR="009F387C" w:rsidRPr="001A4B94">
        <w:rPr>
          <w:rFonts w:ascii="Times New Roman" w:hAnsi="Times New Roman" w:cs="Times New Roman"/>
          <w:b/>
          <w:color w:val="auto"/>
          <w:sz w:val="28"/>
          <w:lang w:val="tr-TR"/>
        </w:rPr>
        <w:t>2012 MY – 2016 MY</w:t>
      </w:r>
      <w:r w:rsidR="00747261" w:rsidRPr="001A4B94">
        <w:rPr>
          <w:rFonts w:ascii="Times New Roman" w:hAnsi="Times New Roman" w:cs="Times New Roman"/>
          <w:b/>
          <w:color w:val="auto"/>
          <w:sz w:val="28"/>
          <w:lang w:val="tr-TR"/>
        </w:rPr>
        <w:t xml:space="preserve">) </w:t>
      </w:r>
      <w:r w:rsidR="009F387C" w:rsidRPr="001A4B94">
        <w:rPr>
          <w:rFonts w:ascii="Times New Roman" w:hAnsi="Times New Roman" w:cs="Times New Roman"/>
          <w:b/>
          <w:color w:val="auto"/>
          <w:sz w:val="28"/>
          <w:lang w:val="tr-TR"/>
        </w:rPr>
        <w:t>Tamamlama ve Öğrenme İnceleme Raporu</w:t>
      </w:r>
      <w:bookmarkEnd w:id="23"/>
      <w:r w:rsidR="009F387C" w:rsidRPr="001A4B94">
        <w:rPr>
          <w:rFonts w:ascii="Times New Roman" w:hAnsi="Times New Roman" w:cs="Times New Roman"/>
          <w:b/>
          <w:color w:val="auto"/>
          <w:sz w:val="28"/>
          <w:lang w:val="tr-TR"/>
        </w:rPr>
        <w:t xml:space="preserve"> </w:t>
      </w:r>
    </w:p>
    <w:p w14:paraId="3FB44C67" w14:textId="77777777" w:rsidR="00CE3B6C" w:rsidRPr="001A4B94" w:rsidRDefault="00CE3B6C" w:rsidP="00747261">
      <w:pPr>
        <w:spacing w:after="160"/>
        <w:rPr>
          <w:rFonts w:eastAsiaTheme="minorHAnsi"/>
          <w:b/>
          <w:sz w:val="22"/>
          <w:szCs w:val="22"/>
          <w:lang w:val="tr-TR"/>
        </w:rPr>
      </w:pPr>
    </w:p>
    <w:p w14:paraId="6A0DC083" w14:textId="5BF8A622" w:rsidR="00747261" w:rsidRPr="001A4B94" w:rsidRDefault="00747261" w:rsidP="00747261">
      <w:pPr>
        <w:spacing w:after="160"/>
        <w:rPr>
          <w:rFonts w:eastAsiaTheme="minorHAnsi"/>
          <w:sz w:val="22"/>
          <w:szCs w:val="22"/>
          <w:lang w:val="tr-TR"/>
        </w:rPr>
      </w:pPr>
      <w:r w:rsidRPr="001A4B94">
        <w:rPr>
          <w:rFonts w:eastAsiaTheme="minorHAnsi"/>
          <w:b/>
          <w:sz w:val="22"/>
          <w:szCs w:val="22"/>
          <w:lang w:val="tr-TR"/>
        </w:rPr>
        <w:t>CPS</w:t>
      </w:r>
      <w:r w:rsidR="00E54F69" w:rsidRPr="001A4B94">
        <w:rPr>
          <w:rFonts w:eastAsiaTheme="minorHAnsi"/>
          <w:b/>
          <w:sz w:val="22"/>
          <w:szCs w:val="22"/>
          <w:lang w:val="tr-TR"/>
        </w:rPr>
        <w:t>’in Kurulda Görüşülmesi</w:t>
      </w:r>
      <w:r w:rsidRPr="001A4B94">
        <w:rPr>
          <w:rFonts w:eastAsiaTheme="minorHAnsi"/>
          <w:sz w:val="22"/>
          <w:szCs w:val="22"/>
          <w:lang w:val="tr-TR"/>
        </w:rPr>
        <w:t xml:space="preserve">: </w:t>
      </w:r>
      <w:r w:rsidR="00E54F69" w:rsidRPr="001A4B94">
        <w:rPr>
          <w:rFonts w:eastAsiaTheme="minorHAnsi"/>
          <w:sz w:val="22"/>
          <w:szCs w:val="22"/>
          <w:lang w:val="tr-TR"/>
        </w:rPr>
        <w:t xml:space="preserve">27 Mart </w:t>
      </w:r>
      <w:r w:rsidRPr="001A4B94">
        <w:rPr>
          <w:rFonts w:eastAsiaTheme="minorHAnsi"/>
          <w:sz w:val="22"/>
          <w:szCs w:val="22"/>
          <w:lang w:val="tr-TR"/>
        </w:rPr>
        <w:t>2012</w:t>
      </w:r>
    </w:p>
    <w:p w14:paraId="2C9F4373" w14:textId="723A6679" w:rsidR="00747261" w:rsidRPr="001A4B94" w:rsidRDefault="00747261" w:rsidP="00747261">
      <w:pPr>
        <w:spacing w:after="160"/>
        <w:rPr>
          <w:rFonts w:eastAsiaTheme="minorHAnsi"/>
          <w:sz w:val="22"/>
          <w:szCs w:val="22"/>
          <w:lang w:val="tr-TR"/>
        </w:rPr>
      </w:pPr>
      <w:r w:rsidRPr="001A4B94">
        <w:rPr>
          <w:rFonts w:eastAsiaTheme="minorHAnsi"/>
          <w:b/>
          <w:sz w:val="22"/>
          <w:szCs w:val="22"/>
          <w:lang w:val="tr-TR"/>
        </w:rPr>
        <w:t xml:space="preserve">CPS </w:t>
      </w:r>
      <w:r w:rsidR="00E54F69" w:rsidRPr="001A4B94">
        <w:rPr>
          <w:rFonts w:eastAsiaTheme="minorHAnsi"/>
          <w:b/>
          <w:sz w:val="22"/>
          <w:szCs w:val="22"/>
          <w:lang w:val="tr-TR"/>
        </w:rPr>
        <w:t xml:space="preserve">İlerleme Raporu </w:t>
      </w:r>
      <w:r w:rsidRPr="001A4B94">
        <w:rPr>
          <w:rFonts w:eastAsiaTheme="minorHAnsi"/>
          <w:b/>
          <w:sz w:val="22"/>
          <w:szCs w:val="22"/>
          <w:lang w:val="tr-TR"/>
        </w:rPr>
        <w:t>(</w:t>
      </w:r>
      <w:r w:rsidR="00E54F69" w:rsidRPr="001A4B94">
        <w:rPr>
          <w:rFonts w:eastAsiaTheme="minorHAnsi"/>
          <w:b/>
          <w:sz w:val="22"/>
          <w:szCs w:val="22"/>
          <w:lang w:val="tr-TR"/>
        </w:rPr>
        <w:t>Kurul’a Sunulması</w:t>
      </w:r>
      <w:r w:rsidRPr="001A4B94">
        <w:rPr>
          <w:rFonts w:eastAsiaTheme="minorHAnsi"/>
          <w:b/>
          <w:sz w:val="22"/>
          <w:szCs w:val="22"/>
          <w:lang w:val="tr-TR"/>
        </w:rPr>
        <w:t>)</w:t>
      </w:r>
      <w:r w:rsidRPr="001A4B94">
        <w:rPr>
          <w:rFonts w:eastAsiaTheme="minorHAnsi"/>
          <w:sz w:val="22"/>
          <w:szCs w:val="22"/>
          <w:lang w:val="tr-TR"/>
        </w:rPr>
        <w:t xml:space="preserve">: </w:t>
      </w:r>
      <w:r w:rsidR="00E54F69" w:rsidRPr="001A4B94">
        <w:rPr>
          <w:rFonts w:eastAsiaTheme="minorHAnsi"/>
          <w:sz w:val="22"/>
          <w:szCs w:val="22"/>
          <w:lang w:val="tr-TR"/>
        </w:rPr>
        <w:t xml:space="preserve">3 Ekim </w:t>
      </w:r>
      <w:r w:rsidRPr="001A4B94">
        <w:rPr>
          <w:rFonts w:eastAsiaTheme="minorHAnsi"/>
          <w:sz w:val="22"/>
          <w:szCs w:val="22"/>
          <w:lang w:val="tr-TR"/>
        </w:rPr>
        <w:t>2014</w:t>
      </w:r>
    </w:p>
    <w:p w14:paraId="023AAE8C" w14:textId="47AB7EF4" w:rsidR="00747261" w:rsidRPr="001A4B94" w:rsidRDefault="00747261" w:rsidP="00CE3B6C">
      <w:pPr>
        <w:pBdr>
          <w:bottom w:val="single" w:sz="6" w:space="1" w:color="auto"/>
        </w:pBdr>
        <w:spacing w:after="160"/>
        <w:rPr>
          <w:rFonts w:eastAsiaTheme="minorHAnsi"/>
          <w:sz w:val="22"/>
          <w:szCs w:val="22"/>
          <w:lang w:val="tr-TR"/>
        </w:rPr>
      </w:pPr>
      <w:r w:rsidRPr="001A4B94">
        <w:rPr>
          <w:rFonts w:eastAsiaTheme="minorHAnsi"/>
          <w:b/>
          <w:sz w:val="22"/>
          <w:szCs w:val="22"/>
          <w:lang w:val="tr-TR"/>
        </w:rPr>
        <w:t xml:space="preserve">CPS </w:t>
      </w:r>
      <w:r w:rsidR="00E54F69" w:rsidRPr="001A4B94">
        <w:rPr>
          <w:rFonts w:eastAsiaTheme="minorHAnsi"/>
          <w:b/>
          <w:sz w:val="22"/>
          <w:szCs w:val="22"/>
          <w:lang w:val="tr-TR"/>
        </w:rPr>
        <w:t>Tamamlama ve Öğrenme İncelemesinin Kapsadığı Dönem</w:t>
      </w:r>
      <w:r w:rsidR="00CE3B6C" w:rsidRPr="001A4B94">
        <w:rPr>
          <w:rFonts w:eastAsiaTheme="minorHAnsi"/>
          <w:sz w:val="22"/>
          <w:szCs w:val="22"/>
          <w:lang w:val="tr-TR"/>
        </w:rPr>
        <w:t xml:space="preserve">: </w:t>
      </w:r>
      <w:r w:rsidR="00E54F69" w:rsidRPr="001A4B94">
        <w:rPr>
          <w:rFonts w:eastAsiaTheme="minorHAnsi"/>
          <w:sz w:val="22"/>
          <w:szCs w:val="22"/>
          <w:lang w:val="tr-TR"/>
        </w:rPr>
        <w:t>2012 M</w:t>
      </w:r>
      <w:r w:rsidR="00901FEA" w:rsidRPr="001A4B94">
        <w:rPr>
          <w:rFonts w:eastAsiaTheme="minorHAnsi"/>
          <w:sz w:val="22"/>
          <w:szCs w:val="22"/>
          <w:lang w:val="tr-TR"/>
        </w:rPr>
        <w:t>Y -</w:t>
      </w:r>
      <w:r w:rsidR="00E54F69" w:rsidRPr="001A4B94">
        <w:rPr>
          <w:rFonts w:eastAsiaTheme="minorHAnsi"/>
          <w:sz w:val="22"/>
          <w:szCs w:val="22"/>
          <w:lang w:val="tr-TR"/>
        </w:rPr>
        <w:t xml:space="preserve"> 2016 MY </w:t>
      </w:r>
    </w:p>
    <w:p w14:paraId="2046DA72" w14:textId="74CD6BAD" w:rsidR="00747261" w:rsidRPr="001A4B94" w:rsidRDefault="00E54F69" w:rsidP="00C24F8F">
      <w:pPr>
        <w:numPr>
          <w:ilvl w:val="0"/>
          <w:numId w:val="20"/>
        </w:numPr>
        <w:spacing w:after="160" w:line="259" w:lineRule="auto"/>
        <w:contextualSpacing/>
        <w:jc w:val="center"/>
        <w:rPr>
          <w:rFonts w:eastAsiaTheme="minorHAnsi"/>
          <w:b/>
          <w:sz w:val="22"/>
          <w:szCs w:val="22"/>
          <w:lang w:val="tr-TR"/>
        </w:rPr>
      </w:pPr>
      <w:r w:rsidRPr="001A4B94">
        <w:rPr>
          <w:rFonts w:eastAsiaTheme="minorHAnsi"/>
          <w:b/>
          <w:sz w:val="22"/>
          <w:szCs w:val="22"/>
          <w:lang w:val="tr-TR"/>
        </w:rPr>
        <w:t xml:space="preserve">KİLİT BULGULARIN ÖZETİ </w:t>
      </w:r>
    </w:p>
    <w:p w14:paraId="593719FC" w14:textId="77777777" w:rsidR="00747261" w:rsidRPr="001A4B94" w:rsidRDefault="00747261" w:rsidP="00747261">
      <w:pPr>
        <w:spacing w:after="160"/>
        <w:ind w:left="720"/>
        <w:contextualSpacing/>
        <w:jc w:val="both"/>
        <w:rPr>
          <w:rFonts w:eastAsiaTheme="minorHAnsi"/>
          <w:b/>
          <w:sz w:val="22"/>
          <w:szCs w:val="22"/>
          <w:lang w:val="tr-TR"/>
        </w:rPr>
      </w:pPr>
    </w:p>
    <w:p w14:paraId="31ECCFD5" w14:textId="17C9B251" w:rsidR="00747261" w:rsidRPr="001A4B94" w:rsidRDefault="00E54F69" w:rsidP="008C660D">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Türkiye’nin 2007-2013 </w:t>
      </w:r>
      <w:r w:rsidR="001D1F9D" w:rsidRPr="001A4B94">
        <w:rPr>
          <w:rFonts w:eastAsiaTheme="minorHAnsi"/>
          <w:b/>
          <w:sz w:val="22"/>
          <w:szCs w:val="22"/>
          <w:lang w:val="tr-TR"/>
        </w:rPr>
        <w:t xml:space="preserve">ve </w:t>
      </w:r>
      <w:r w:rsidRPr="001A4B94">
        <w:rPr>
          <w:rFonts w:eastAsiaTheme="minorHAnsi"/>
          <w:b/>
          <w:sz w:val="22"/>
          <w:szCs w:val="22"/>
          <w:lang w:val="tr-TR"/>
        </w:rPr>
        <w:t xml:space="preserve">2014-18  dönemlerine ait Ulusal Kalkınma Planları (UKP), CPS </w:t>
      </w:r>
      <w:r w:rsidRPr="001A4B94">
        <w:rPr>
          <w:rFonts w:eastAsiaTheme="minorHAnsi"/>
          <w:sz w:val="22"/>
          <w:szCs w:val="22"/>
          <w:lang w:val="tr-TR"/>
        </w:rPr>
        <w:t>(2012-15 MY)</w:t>
      </w:r>
      <w:r w:rsidRPr="001A4B94">
        <w:rPr>
          <w:rFonts w:eastAsiaTheme="minorHAnsi"/>
          <w:b/>
          <w:sz w:val="22"/>
          <w:szCs w:val="22"/>
          <w:lang w:val="tr-TR"/>
        </w:rPr>
        <w:t xml:space="preserve"> amaçlarının stratejik temellerini oluşturmuştur:</w:t>
      </w:r>
      <w:r w:rsidR="00747261" w:rsidRPr="001A4B94">
        <w:rPr>
          <w:rFonts w:eastAsiaTheme="minorHAnsi"/>
          <w:sz w:val="22"/>
          <w:szCs w:val="22"/>
          <w:lang w:val="tr-TR"/>
        </w:rPr>
        <w:t xml:space="preserve"> (i) </w:t>
      </w:r>
      <w:r w:rsidR="00BA28F7" w:rsidRPr="001A4B94">
        <w:rPr>
          <w:rFonts w:eastAsiaTheme="minorHAnsi"/>
          <w:sz w:val="22"/>
          <w:szCs w:val="22"/>
          <w:lang w:val="tr-TR"/>
        </w:rPr>
        <w:t>Rekabet Güc</w:t>
      </w:r>
      <w:r w:rsidR="008C660D" w:rsidRPr="001A4B94">
        <w:rPr>
          <w:rFonts w:eastAsiaTheme="minorHAnsi"/>
          <w:sz w:val="22"/>
          <w:szCs w:val="22"/>
          <w:lang w:val="tr-TR"/>
        </w:rPr>
        <w:t>ünün ve İstihdamın Arttırılması</w:t>
      </w:r>
      <w:r w:rsidR="00747261" w:rsidRPr="001A4B94">
        <w:rPr>
          <w:rFonts w:eastAsiaTheme="minorHAnsi"/>
          <w:sz w:val="22"/>
          <w:szCs w:val="22"/>
          <w:lang w:val="tr-TR"/>
        </w:rPr>
        <w:t xml:space="preserve">; (ii) </w:t>
      </w:r>
      <w:r w:rsidR="008C660D" w:rsidRPr="001A4B94">
        <w:rPr>
          <w:rFonts w:eastAsiaTheme="minorHAnsi"/>
          <w:sz w:val="22"/>
          <w:szCs w:val="22"/>
          <w:lang w:val="tr-TR"/>
        </w:rPr>
        <w:t>Eşitliğin ve Kamu Hizmetlerinin İyileştirilmesi</w:t>
      </w:r>
      <w:r w:rsidR="00747261" w:rsidRPr="001A4B94">
        <w:rPr>
          <w:rFonts w:eastAsiaTheme="minorHAnsi"/>
          <w:sz w:val="22"/>
          <w:szCs w:val="22"/>
          <w:lang w:val="tr-TR"/>
        </w:rPr>
        <w:t xml:space="preserve">; (iii) </w:t>
      </w:r>
      <w:r w:rsidR="008C660D" w:rsidRPr="001A4B94">
        <w:rPr>
          <w:rFonts w:eastAsiaTheme="minorHAnsi"/>
          <w:sz w:val="22"/>
          <w:szCs w:val="22"/>
          <w:lang w:val="tr-TR"/>
        </w:rPr>
        <w:t>Sürdürülebilir Kalkınmanın Derinleştirilmesi</w:t>
      </w:r>
      <w:r w:rsidR="00747261" w:rsidRPr="001A4B94">
        <w:rPr>
          <w:rFonts w:eastAsiaTheme="minorHAnsi"/>
          <w:sz w:val="22"/>
          <w:szCs w:val="22"/>
          <w:lang w:val="tr-TR"/>
        </w:rPr>
        <w:t xml:space="preserve">; </w:t>
      </w:r>
      <w:r w:rsidR="008C660D" w:rsidRPr="001A4B94">
        <w:rPr>
          <w:rFonts w:eastAsiaTheme="minorHAnsi"/>
          <w:sz w:val="22"/>
          <w:szCs w:val="22"/>
          <w:lang w:val="tr-TR"/>
        </w:rPr>
        <w:t>ve t</w:t>
      </w:r>
      <w:r w:rsidR="001D1F9D" w:rsidRPr="001A4B94">
        <w:rPr>
          <w:rFonts w:eastAsiaTheme="minorHAnsi"/>
          <w:sz w:val="22"/>
          <w:szCs w:val="22"/>
          <w:lang w:val="tr-TR"/>
        </w:rPr>
        <w:t>ü</w:t>
      </w:r>
      <w:r w:rsidR="008C660D" w:rsidRPr="001A4B94">
        <w:rPr>
          <w:rFonts w:eastAsiaTheme="minorHAnsi"/>
          <w:sz w:val="22"/>
          <w:szCs w:val="22"/>
          <w:lang w:val="tr-TR"/>
        </w:rPr>
        <w:t>m eksenleri kapsayan ortak amaç olarak “Türkiye’nin Deneyimlerini, Sonuçlarını, Bilgilerini ve Kapasitesini Paylaşmak”</w:t>
      </w:r>
      <w:r w:rsidR="00747261" w:rsidRPr="001A4B94">
        <w:rPr>
          <w:rFonts w:eastAsiaTheme="minorHAnsi"/>
          <w:sz w:val="22"/>
          <w:szCs w:val="22"/>
          <w:lang w:val="tr-TR"/>
        </w:rPr>
        <w:t xml:space="preserve">. CPS </w:t>
      </w:r>
      <w:r w:rsidR="008C660D" w:rsidRPr="001A4B94">
        <w:rPr>
          <w:rFonts w:eastAsiaTheme="minorHAnsi"/>
          <w:sz w:val="22"/>
          <w:szCs w:val="22"/>
          <w:lang w:val="tr-TR"/>
        </w:rPr>
        <w:t xml:space="preserve">İlerleme Raporunda </w:t>
      </w:r>
      <w:r w:rsidR="00747261" w:rsidRPr="001A4B94">
        <w:rPr>
          <w:rFonts w:eastAsiaTheme="minorHAnsi"/>
          <w:sz w:val="22"/>
          <w:szCs w:val="22"/>
          <w:lang w:val="tr-TR"/>
        </w:rPr>
        <w:t xml:space="preserve">(CPSPR, </w:t>
      </w:r>
      <w:r w:rsidR="008C660D" w:rsidRPr="001A4B94">
        <w:rPr>
          <w:rFonts w:eastAsiaTheme="minorHAnsi"/>
          <w:sz w:val="22"/>
          <w:szCs w:val="22"/>
          <w:lang w:val="tr-TR"/>
        </w:rPr>
        <w:t>2014 MY)</w:t>
      </w:r>
      <w:r w:rsidR="00901FEA" w:rsidRPr="001A4B94">
        <w:rPr>
          <w:rFonts w:eastAsiaTheme="minorHAnsi"/>
          <w:sz w:val="22"/>
          <w:szCs w:val="22"/>
          <w:lang w:val="tr-TR"/>
        </w:rPr>
        <w:t xml:space="preserve"> belirtildiği gibi</w:t>
      </w:r>
      <w:r w:rsidR="008C660D" w:rsidRPr="001A4B94">
        <w:rPr>
          <w:rFonts w:eastAsiaTheme="minorHAnsi"/>
          <w:sz w:val="22"/>
          <w:szCs w:val="22"/>
          <w:lang w:val="tr-TR"/>
        </w:rPr>
        <w:t>, Hükümet tarafından iletilen talep üzerine CPS dönemi Türkiye’deki seçim döngüsü ile daha iyi bir uyumlaşma için 2016 mali yılını da kapsayacak şekil</w:t>
      </w:r>
      <w:r w:rsidR="001D1F9D" w:rsidRPr="001A4B94">
        <w:rPr>
          <w:rFonts w:eastAsiaTheme="minorHAnsi"/>
          <w:sz w:val="22"/>
          <w:szCs w:val="22"/>
          <w:lang w:val="tr-TR"/>
        </w:rPr>
        <w:t>d</w:t>
      </w:r>
      <w:r w:rsidR="008C660D" w:rsidRPr="001A4B94">
        <w:rPr>
          <w:rFonts w:eastAsiaTheme="minorHAnsi"/>
          <w:sz w:val="22"/>
          <w:szCs w:val="22"/>
          <w:lang w:val="tr-TR"/>
        </w:rPr>
        <w:t xml:space="preserve">e </w:t>
      </w:r>
      <w:r w:rsidR="001D1F9D" w:rsidRPr="001A4B94">
        <w:rPr>
          <w:rFonts w:eastAsiaTheme="minorHAnsi"/>
          <w:sz w:val="22"/>
          <w:szCs w:val="22"/>
          <w:lang w:val="tr-TR"/>
        </w:rPr>
        <w:t>uzatılmıştır</w:t>
      </w:r>
      <w:r w:rsidR="00747261" w:rsidRPr="001A4B94">
        <w:rPr>
          <w:rFonts w:eastAsiaTheme="minorHAnsi"/>
          <w:sz w:val="22"/>
          <w:szCs w:val="22"/>
          <w:lang w:val="tr-TR"/>
        </w:rPr>
        <w:t xml:space="preserve">. </w:t>
      </w:r>
    </w:p>
    <w:p w14:paraId="64EDFECF" w14:textId="77777777" w:rsidR="00747261" w:rsidRPr="001A4B94" w:rsidRDefault="00747261" w:rsidP="00747261">
      <w:pPr>
        <w:spacing w:after="160"/>
        <w:ind w:left="360"/>
        <w:contextualSpacing/>
        <w:jc w:val="both"/>
        <w:rPr>
          <w:rFonts w:eastAsiaTheme="minorHAnsi"/>
          <w:sz w:val="22"/>
          <w:szCs w:val="22"/>
          <w:lang w:val="tr-TR"/>
        </w:rPr>
      </w:pPr>
    </w:p>
    <w:p w14:paraId="195542A3" w14:textId="3062188A" w:rsidR="00747261" w:rsidRPr="001A4B94" w:rsidRDefault="001D1F9D" w:rsidP="00C24F8F">
      <w:pPr>
        <w:numPr>
          <w:ilvl w:val="0"/>
          <w:numId w:val="21"/>
        </w:numPr>
        <w:spacing w:after="160" w:line="259" w:lineRule="auto"/>
        <w:contextualSpacing/>
        <w:jc w:val="both"/>
        <w:rPr>
          <w:rFonts w:eastAsiaTheme="minorHAnsi"/>
          <w:sz w:val="22"/>
          <w:szCs w:val="22"/>
          <w:lang w:val="tr-TR"/>
        </w:rPr>
      </w:pPr>
      <w:r w:rsidRPr="001A4B94">
        <w:rPr>
          <w:rFonts w:eastAsiaTheme="minorEastAsia"/>
          <w:b/>
          <w:sz w:val="22"/>
          <w:szCs w:val="22"/>
          <w:lang w:val="tr-TR" w:eastAsia="ja-JP"/>
        </w:rPr>
        <w:t xml:space="preserve">Genel </w:t>
      </w:r>
      <w:r w:rsidR="00747261" w:rsidRPr="001A4B94">
        <w:rPr>
          <w:rFonts w:eastAsiaTheme="minorEastAsia"/>
          <w:b/>
          <w:sz w:val="22"/>
          <w:szCs w:val="22"/>
          <w:lang w:val="tr-TR" w:eastAsia="ja-JP"/>
        </w:rPr>
        <w:t>CPS program performan</w:t>
      </w:r>
      <w:r w:rsidRPr="001A4B94">
        <w:rPr>
          <w:rFonts w:eastAsiaTheme="minorEastAsia"/>
          <w:b/>
          <w:sz w:val="22"/>
          <w:szCs w:val="22"/>
          <w:lang w:val="tr-TR" w:eastAsia="ja-JP"/>
        </w:rPr>
        <w:t>sı Orta Derecede Tatmin Ed</w:t>
      </w:r>
      <w:r w:rsidR="00203158" w:rsidRPr="001A4B94">
        <w:rPr>
          <w:rFonts w:eastAsiaTheme="minorEastAsia"/>
          <w:b/>
          <w:sz w:val="22"/>
          <w:szCs w:val="22"/>
          <w:lang w:val="tr-TR" w:eastAsia="ja-JP"/>
        </w:rPr>
        <w:t>i</w:t>
      </w:r>
      <w:r w:rsidRPr="001A4B94">
        <w:rPr>
          <w:rFonts w:eastAsiaTheme="minorEastAsia"/>
          <w:b/>
          <w:sz w:val="22"/>
          <w:szCs w:val="22"/>
          <w:lang w:val="tr-TR" w:eastAsia="ja-JP"/>
        </w:rPr>
        <w:t>ci (MS) olarak derecelendirilmiştir</w:t>
      </w:r>
      <w:r w:rsidR="00747261" w:rsidRPr="001A4B94">
        <w:rPr>
          <w:rFonts w:eastAsiaTheme="minorEastAsia"/>
          <w:b/>
          <w:sz w:val="22"/>
          <w:szCs w:val="22"/>
          <w:lang w:val="tr-TR" w:eastAsia="ja-JP"/>
        </w:rPr>
        <w:t>.</w:t>
      </w:r>
      <w:r w:rsidR="00747261" w:rsidRPr="001A4B94">
        <w:rPr>
          <w:rFonts w:eastAsiaTheme="minorEastAsia"/>
          <w:sz w:val="22"/>
          <w:szCs w:val="22"/>
          <w:lang w:val="tr-TR" w:eastAsia="ja-JP"/>
        </w:rPr>
        <w:t xml:space="preserve"> </w:t>
      </w:r>
      <w:r w:rsidR="00203158" w:rsidRPr="001A4B94">
        <w:rPr>
          <w:rFonts w:eastAsiaTheme="minorEastAsia"/>
          <w:sz w:val="22"/>
          <w:szCs w:val="22"/>
          <w:lang w:val="tr-TR" w:eastAsia="ja-JP"/>
        </w:rPr>
        <w:t>Bu derecelendirme</w:t>
      </w:r>
      <w:r w:rsidR="00D61B6A" w:rsidRPr="001A4B94">
        <w:rPr>
          <w:rFonts w:eastAsiaTheme="minorEastAsia"/>
          <w:sz w:val="22"/>
          <w:szCs w:val="22"/>
          <w:lang w:val="tr-TR" w:eastAsia="ja-JP"/>
        </w:rPr>
        <w:t>, CPS İlerleme rap</w:t>
      </w:r>
      <w:r w:rsidR="00F34F8C" w:rsidRPr="001A4B94">
        <w:rPr>
          <w:rFonts w:eastAsiaTheme="minorEastAsia"/>
          <w:sz w:val="22"/>
          <w:szCs w:val="22"/>
          <w:lang w:val="tr-TR" w:eastAsia="ja-JP"/>
        </w:rPr>
        <w:t>o</w:t>
      </w:r>
      <w:r w:rsidR="00D61B6A" w:rsidRPr="001A4B94">
        <w:rPr>
          <w:rFonts w:eastAsiaTheme="minorEastAsia"/>
          <w:sz w:val="22"/>
          <w:szCs w:val="22"/>
          <w:lang w:val="tr-TR" w:eastAsia="ja-JP"/>
        </w:rPr>
        <w:t xml:space="preserve">ru yoluyla revize edilen, </w:t>
      </w:r>
      <w:r w:rsidR="00F34F8C" w:rsidRPr="001A4B94">
        <w:rPr>
          <w:rFonts w:eastAsiaTheme="minorEastAsia"/>
          <w:sz w:val="22"/>
          <w:szCs w:val="22"/>
          <w:lang w:val="tr-TR" w:eastAsia="ja-JP"/>
        </w:rPr>
        <w:t>Öz Değerlendirme Çerçevesine dayanmaktadır ve 33 CPS sonucunun çoğunun başarıldığı veya kısmen başarıldığı dikkate alınarak kararlaştırılmıştır</w:t>
      </w:r>
      <w:r w:rsidR="00747261" w:rsidRPr="001A4B94">
        <w:rPr>
          <w:rFonts w:eastAsiaTheme="minorEastAsia"/>
          <w:sz w:val="22"/>
          <w:szCs w:val="22"/>
          <w:lang w:val="tr-TR" w:eastAsia="ja-JP"/>
        </w:rPr>
        <w:t>.</w:t>
      </w:r>
    </w:p>
    <w:p w14:paraId="76EA2F38" w14:textId="77777777" w:rsidR="00747261" w:rsidRPr="001A4B94" w:rsidRDefault="00747261" w:rsidP="00747261">
      <w:pPr>
        <w:spacing w:after="160"/>
        <w:ind w:left="360"/>
        <w:contextualSpacing/>
        <w:jc w:val="both"/>
        <w:rPr>
          <w:rFonts w:eastAsiaTheme="minorHAnsi"/>
          <w:sz w:val="22"/>
          <w:szCs w:val="22"/>
          <w:lang w:val="tr-TR"/>
        </w:rPr>
      </w:pPr>
    </w:p>
    <w:p w14:paraId="1122668A" w14:textId="01E6A86B" w:rsidR="00747261" w:rsidRPr="001A4B94" w:rsidRDefault="00F34F8C" w:rsidP="00BA02FC">
      <w:pPr>
        <w:numPr>
          <w:ilvl w:val="0"/>
          <w:numId w:val="21"/>
        </w:numPr>
        <w:spacing w:before="120" w:after="160" w:line="259" w:lineRule="auto"/>
        <w:contextualSpacing/>
        <w:jc w:val="both"/>
        <w:rPr>
          <w:rFonts w:eastAsiaTheme="minorHAnsi"/>
          <w:sz w:val="22"/>
          <w:szCs w:val="22"/>
          <w:lang w:val="tr-TR"/>
        </w:rPr>
      </w:pPr>
      <w:r w:rsidRPr="001A4B94">
        <w:rPr>
          <w:rFonts w:eastAsiaTheme="minorHAnsi"/>
          <w:b/>
          <w:sz w:val="22"/>
          <w:szCs w:val="22"/>
          <w:lang w:val="tr-TR"/>
        </w:rPr>
        <w:t>CPS’in tasarımı ve uygulanması bakımından genel DBG performansı İyi olarak derecelendirilmiştir</w:t>
      </w:r>
      <w:r w:rsidR="00747261" w:rsidRPr="001A4B94">
        <w:rPr>
          <w:rFonts w:eastAsiaTheme="minorHAnsi"/>
          <w:b/>
          <w:sz w:val="22"/>
          <w:szCs w:val="22"/>
          <w:lang w:val="tr-TR"/>
        </w:rPr>
        <w:t xml:space="preserve">. </w:t>
      </w:r>
      <w:r w:rsidRPr="001A4B94">
        <w:rPr>
          <w:rFonts w:eastAsiaTheme="minorHAnsi"/>
          <w:sz w:val="22"/>
          <w:szCs w:val="22"/>
          <w:lang w:val="tr-TR"/>
        </w:rPr>
        <w:t>DBG bünyesindeki ve</w:t>
      </w:r>
      <w:r w:rsidRPr="001A4B94">
        <w:rPr>
          <w:rFonts w:eastAsiaTheme="minorHAnsi"/>
          <w:b/>
          <w:sz w:val="22"/>
          <w:szCs w:val="22"/>
          <w:lang w:val="tr-TR"/>
        </w:rPr>
        <w:t xml:space="preserve"> </w:t>
      </w:r>
      <w:r w:rsidRPr="001A4B94">
        <w:rPr>
          <w:rFonts w:eastAsiaTheme="minorHAnsi"/>
          <w:sz w:val="22"/>
          <w:szCs w:val="22"/>
          <w:lang w:val="tr-TR"/>
        </w:rPr>
        <w:t xml:space="preserve">kalkınma ortakları ile olan işbirliği yeterli olarak değerlendirilmiştir ve finansman </w:t>
      </w:r>
      <w:r w:rsidR="00747261" w:rsidRPr="001A4B94">
        <w:rPr>
          <w:rFonts w:eastAsiaTheme="minorHAnsi"/>
          <w:sz w:val="22"/>
          <w:szCs w:val="22"/>
          <w:lang w:val="tr-TR"/>
        </w:rPr>
        <w:t>program</w:t>
      </w:r>
      <w:r w:rsidRPr="001A4B94">
        <w:rPr>
          <w:rFonts w:eastAsiaTheme="minorHAnsi"/>
          <w:sz w:val="22"/>
          <w:szCs w:val="22"/>
          <w:lang w:val="tr-TR"/>
        </w:rPr>
        <w:t>ı</w:t>
      </w:r>
      <w:r w:rsidR="00747261" w:rsidRPr="001A4B94">
        <w:rPr>
          <w:rFonts w:eastAsiaTheme="minorHAnsi"/>
          <w:sz w:val="22"/>
          <w:szCs w:val="22"/>
          <w:lang w:val="tr-TR"/>
        </w:rPr>
        <w:t xml:space="preserve"> </w:t>
      </w:r>
      <w:r w:rsidR="002C483C" w:rsidRPr="001A4B94">
        <w:rPr>
          <w:rFonts w:eastAsiaTheme="minorHAnsi"/>
          <w:sz w:val="22"/>
          <w:szCs w:val="22"/>
          <w:lang w:val="tr-TR"/>
        </w:rPr>
        <w:t>bilg</w:t>
      </w:r>
      <w:r w:rsidR="005E2882" w:rsidRPr="001A4B94">
        <w:rPr>
          <w:rFonts w:eastAsiaTheme="minorHAnsi"/>
          <w:sz w:val="22"/>
          <w:szCs w:val="22"/>
          <w:lang w:val="tr-TR"/>
        </w:rPr>
        <w:t>i</w:t>
      </w:r>
      <w:r w:rsidR="002C483C" w:rsidRPr="001A4B94">
        <w:rPr>
          <w:rFonts w:eastAsiaTheme="minorHAnsi"/>
          <w:sz w:val="22"/>
          <w:szCs w:val="22"/>
          <w:lang w:val="tr-TR"/>
        </w:rPr>
        <w:t xml:space="preserve"> ürünleri ile tamamlanmıştır</w:t>
      </w:r>
      <w:r w:rsidR="00747261" w:rsidRPr="001A4B94">
        <w:rPr>
          <w:rFonts w:eastAsiaTheme="minorHAnsi"/>
          <w:sz w:val="22"/>
          <w:szCs w:val="22"/>
          <w:lang w:val="tr-TR"/>
        </w:rPr>
        <w:t>.</w:t>
      </w:r>
      <w:r w:rsidR="000623A6" w:rsidRPr="001A4B94">
        <w:rPr>
          <w:rFonts w:eastAsiaTheme="minorHAnsi"/>
          <w:sz w:val="22"/>
          <w:szCs w:val="22"/>
          <w:lang w:val="tr-TR"/>
        </w:rPr>
        <w:t xml:space="preserve"> CPS döneminde </w:t>
      </w:r>
      <w:r w:rsidR="00747261" w:rsidRPr="001A4B94">
        <w:rPr>
          <w:rFonts w:eastAsiaTheme="minorHAnsi"/>
          <w:sz w:val="22"/>
          <w:szCs w:val="22"/>
          <w:lang w:val="tr-TR"/>
        </w:rPr>
        <w:t xml:space="preserve"> IFC</w:t>
      </w:r>
      <w:r w:rsidR="000623A6" w:rsidRPr="001A4B94">
        <w:rPr>
          <w:rFonts w:eastAsiaTheme="minorHAnsi"/>
          <w:sz w:val="22"/>
          <w:szCs w:val="22"/>
          <w:lang w:val="tr-TR"/>
        </w:rPr>
        <w:t xml:space="preserve"> ve </w:t>
      </w:r>
      <w:r w:rsidR="00747261" w:rsidRPr="001A4B94">
        <w:rPr>
          <w:rFonts w:eastAsiaTheme="minorHAnsi"/>
          <w:sz w:val="22"/>
          <w:szCs w:val="22"/>
          <w:lang w:val="tr-TR"/>
        </w:rPr>
        <w:t>IBRD</w:t>
      </w:r>
      <w:r w:rsidR="000623A6" w:rsidRPr="001A4B94">
        <w:rPr>
          <w:rFonts w:eastAsiaTheme="minorHAnsi"/>
          <w:sz w:val="22"/>
          <w:szCs w:val="22"/>
          <w:lang w:val="tr-TR"/>
        </w:rPr>
        <w:t xml:space="preserve">’nin bileşik toplam </w:t>
      </w:r>
      <w:r w:rsidR="00747261" w:rsidRPr="001A4B94">
        <w:rPr>
          <w:rFonts w:eastAsiaTheme="minorHAnsi"/>
          <w:sz w:val="22"/>
          <w:szCs w:val="22"/>
          <w:lang w:val="tr-TR"/>
        </w:rPr>
        <w:t xml:space="preserve"> </w:t>
      </w:r>
      <w:r w:rsidR="000623A6" w:rsidRPr="001A4B94">
        <w:rPr>
          <w:rFonts w:eastAsiaTheme="minorHAnsi"/>
          <w:sz w:val="22"/>
          <w:szCs w:val="22"/>
          <w:lang w:val="tr-TR"/>
        </w:rPr>
        <w:t>faaliyetleri 7,8 milyar ABD</w:t>
      </w:r>
      <w:r w:rsidR="00B804F9" w:rsidRPr="001A4B94">
        <w:rPr>
          <w:rFonts w:eastAsiaTheme="minorHAnsi"/>
          <w:sz w:val="22"/>
          <w:szCs w:val="22"/>
          <w:lang w:val="tr-TR"/>
        </w:rPr>
        <w:t>$</w:t>
      </w:r>
      <w:r w:rsidR="000623A6" w:rsidRPr="001A4B94">
        <w:rPr>
          <w:rFonts w:eastAsiaTheme="minorHAnsi"/>
          <w:sz w:val="22"/>
          <w:szCs w:val="22"/>
          <w:lang w:val="tr-TR"/>
        </w:rPr>
        <w:t>’na</w:t>
      </w:r>
      <w:r w:rsidR="00B804F9" w:rsidRPr="001A4B94">
        <w:rPr>
          <w:rFonts w:eastAsiaTheme="minorHAnsi"/>
          <w:sz w:val="22"/>
          <w:szCs w:val="22"/>
          <w:lang w:val="tr-TR"/>
        </w:rPr>
        <w:t xml:space="preserve"> ulaşırken, 2016 MY sonu itibariyle MIGA garantilerinin  risk toplamı 1 milyar 695 milyon ABD$’na ulaşmıştır. Türkiye IFC’nin küresel olarak ikinci en büyük müşterisi olmuştur:  IFC’nin uzun vadeli finansman olarak kendi hesabına yaptığı yatırımları 2012-16 MY programı için beklenen 2,5 – 2,8 milyar ABD$ düzeyinin çok üzerinde, 3,58 milyar ABD$ olarak gerçekleşmiştir</w:t>
      </w:r>
      <w:r w:rsidR="00747261" w:rsidRPr="001A4B94">
        <w:rPr>
          <w:rFonts w:eastAsiaTheme="minorHAnsi"/>
          <w:sz w:val="22"/>
          <w:szCs w:val="22"/>
          <w:lang w:val="tr-TR"/>
        </w:rPr>
        <w:t xml:space="preserve">. CPS </w:t>
      </w:r>
      <w:r w:rsidR="00B804F9" w:rsidRPr="001A4B94">
        <w:rPr>
          <w:rFonts w:eastAsiaTheme="minorHAnsi"/>
          <w:sz w:val="22"/>
          <w:szCs w:val="22"/>
          <w:lang w:val="tr-TR"/>
        </w:rPr>
        <w:t>döneminde</w:t>
      </w:r>
      <w:r w:rsidR="004A2761" w:rsidRPr="001A4B94">
        <w:rPr>
          <w:rFonts w:eastAsiaTheme="minorHAnsi"/>
          <w:sz w:val="22"/>
          <w:szCs w:val="22"/>
          <w:lang w:val="tr-TR"/>
        </w:rPr>
        <w:t>, MIGA garantilerine ilişkin risk toplamı 2013 MY ile 2016 MY arasında 458 milyon ABD$’dan 1 milyar 695 milyon ABD$’na yükse</w:t>
      </w:r>
      <w:r w:rsidR="00BA02FC" w:rsidRPr="001A4B94">
        <w:rPr>
          <w:rFonts w:eastAsiaTheme="minorHAnsi"/>
          <w:sz w:val="22"/>
          <w:szCs w:val="22"/>
          <w:lang w:val="tr-TR"/>
        </w:rPr>
        <w:t>l</w:t>
      </w:r>
      <w:r w:rsidR="004A2761" w:rsidRPr="001A4B94">
        <w:rPr>
          <w:rFonts w:eastAsiaTheme="minorHAnsi"/>
          <w:sz w:val="22"/>
          <w:szCs w:val="22"/>
          <w:lang w:val="tr-TR"/>
        </w:rPr>
        <w:t xml:space="preserve">miştir. Böylelikle </w:t>
      </w:r>
      <w:r w:rsidR="00BA02FC" w:rsidRPr="001A4B94">
        <w:rPr>
          <w:rFonts w:eastAsiaTheme="minorHAnsi"/>
          <w:sz w:val="22"/>
          <w:szCs w:val="22"/>
          <w:lang w:val="tr-TR"/>
        </w:rPr>
        <w:t>ürün bileşimi geleneksel siyasi risk sigortasından krediler için sağlanan ödenmeme riski teminatlarına kadar çeşitlilik  gösteren Türkiye MIGA’nın en yüksek risk toplamına sahip ülkesi olmuştur</w:t>
      </w:r>
      <w:r w:rsidR="00747261" w:rsidRPr="001A4B94">
        <w:rPr>
          <w:rFonts w:eastAsiaTheme="minorHAnsi"/>
          <w:sz w:val="22"/>
          <w:szCs w:val="22"/>
          <w:lang w:val="tr-TR"/>
        </w:rPr>
        <w:t>.</w:t>
      </w:r>
    </w:p>
    <w:p w14:paraId="6FC484E3" w14:textId="77777777" w:rsidR="00747261" w:rsidRPr="001A4B94" w:rsidRDefault="00747261" w:rsidP="00747261">
      <w:pPr>
        <w:spacing w:after="160"/>
        <w:ind w:left="720"/>
        <w:contextualSpacing/>
        <w:rPr>
          <w:rFonts w:eastAsiaTheme="minorHAnsi"/>
          <w:b/>
          <w:sz w:val="22"/>
          <w:szCs w:val="22"/>
          <w:lang w:val="tr-TR"/>
        </w:rPr>
      </w:pPr>
    </w:p>
    <w:p w14:paraId="612AE09D" w14:textId="67740821" w:rsidR="00747261" w:rsidRPr="001A4B94" w:rsidRDefault="00747261" w:rsidP="00C24F8F">
      <w:pPr>
        <w:numPr>
          <w:ilvl w:val="0"/>
          <w:numId w:val="20"/>
        </w:numPr>
        <w:spacing w:after="160" w:line="259" w:lineRule="auto"/>
        <w:contextualSpacing/>
        <w:jc w:val="center"/>
        <w:rPr>
          <w:rFonts w:eastAsiaTheme="minorHAnsi"/>
          <w:sz w:val="22"/>
          <w:szCs w:val="22"/>
          <w:lang w:val="tr-TR"/>
        </w:rPr>
      </w:pPr>
      <w:r w:rsidRPr="001A4B94">
        <w:rPr>
          <w:rFonts w:eastAsiaTheme="minorHAnsi"/>
          <w:b/>
          <w:sz w:val="22"/>
          <w:szCs w:val="22"/>
          <w:lang w:val="tr-TR"/>
        </w:rPr>
        <w:t xml:space="preserve">CPS </w:t>
      </w:r>
      <w:r w:rsidR="00BA02FC" w:rsidRPr="001A4B94">
        <w:rPr>
          <w:rFonts w:eastAsiaTheme="minorHAnsi"/>
          <w:b/>
          <w:sz w:val="22"/>
          <w:szCs w:val="22"/>
          <w:lang w:val="tr-TR"/>
        </w:rPr>
        <w:t xml:space="preserve">KALKINMA SONUCU </w:t>
      </w:r>
    </w:p>
    <w:p w14:paraId="44F7D375" w14:textId="77777777" w:rsidR="00747261" w:rsidRPr="001A4B94" w:rsidRDefault="00747261" w:rsidP="00747261">
      <w:pPr>
        <w:spacing w:after="160"/>
        <w:ind w:left="720"/>
        <w:contextualSpacing/>
        <w:rPr>
          <w:rFonts w:eastAsiaTheme="minorHAnsi"/>
          <w:b/>
          <w:sz w:val="22"/>
          <w:szCs w:val="22"/>
          <w:lang w:val="tr-TR"/>
        </w:rPr>
      </w:pPr>
    </w:p>
    <w:p w14:paraId="727802F9" w14:textId="2FCA9D73" w:rsidR="00747261" w:rsidRPr="001A4B94" w:rsidRDefault="00747261" w:rsidP="00C24F8F">
      <w:pPr>
        <w:numPr>
          <w:ilvl w:val="0"/>
          <w:numId w:val="21"/>
        </w:numPr>
        <w:spacing w:before="120" w:after="160" w:line="259" w:lineRule="auto"/>
        <w:contextualSpacing/>
        <w:jc w:val="both"/>
        <w:rPr>
          <w:rFonts w:eastAsiaTheme="minorHAnsi"/>
          <w:b/>
          <w:sz w:val="22"/>
          <w:szCs w:val="22"/>
          <w:lang w:val="tr-TR"/>
        </w:rPr>
      </w:pPr>
      <w:r w:rsidRPr="001A4B94">
        <w:rPr>
          <w:rFonts w:eastAsiaTheme="minorHAnsi"/>
          <w:b/>
          <w:sz w:val="22"/>
          <w:szCs w:val="22"/>
          <w:lang w:val="tr-TR"/>
        </w:rPr>
        <w:t xml:space="preserve">CPS </w:t>
      </w:r>
      <w:r w:rsidR="00BA02FC" w:rsidRPr="001A4B94">
        <w:rPr>
          <w:rFonts w:eastAsiaTheme="minorHAnsi"/>
          <w:b/>
          <w:sz w:val="22"/>
          <w:szCs w:val="22"/>
          <w:lang w:val="tr-TR"/>
        </w:rPr>
        <w:t xml:space="preserve">Kalkınma Sonucu </w:t>
      </w:r>
      <w:r w:rsidR="0023563A" w:rsidRPr="001A4B94">
        <w:rPr>
          <w:rFonts w:eastAsiaTheme="minorHAnsi"/>
          <w:b/>
          <w:sz w:val="22"/>
          <w:szCs w:val="22"/>
          <w:lang w:val="tr-TR"/>
        </w:rPr>
        <w:t>notu “Orta Derecede Tatmin Edici” olarak değerlendirilmiştir</w:t>
      </w:r>
      <w:r w:rsidRPr="001A4B94">
        <w:rPr>
          <w:rFonts w:eastAsiaTheme="minorHAnsi"/>
          <w:b/>
          <w:sz w:val="22"/>
          <w:szCs w:val="22"/>
          <w:lang w:val="tr-TR"/>
        </w:rPr>
        <w:t xml:space="preserve">. </w:t>
      </w:r>
      <w:r w:rsidR="0023563A" w:rsidRPr="001A4B94">
        <w:rPr>
          <w:rFonts w:eastAsiaTheme="minorHAnsi"/>
          <w:sz w:val="22"/>
          <w:szCs w:val="22"/>
          <w:lang w:val="tr-TR"/>
        </w:rPr>
        <w:t>P</w:t>
      </w:r>
      <w:r w:rsidRPr="001A4B94">
        <w:rPr>
          <w:rFonts w:eastAsiaTheme="minorHAnsi"/>
          <w:sz w:val="22"/>
          <w:szCs w:val="22"/>
          <w:lang w:val="tr-TR"/>
        </w:rPr>
        <w:t xml:space="preserve">rogram </w:t>
      </w:r>
      <w:r w:rsidR="0023563A" w:rsidRPr="001A4B94">
        <w:rPr>
          <w:rFonts w:eastAsiaTheme="minorHAnsi"/>
          <w:sz w:val="22"/>
          <w:szCs w:val="22"/>
          <w:lang w:val="tr-TR"/>
        </w:rPr>
        <w:t>üç stratejik amaç, sekiz tematik alan (CPS İlerleme Raporu zamanında ondan sekize indirilmiştir)  ve çoğu ya tamamen ya da kısmen başarılan 33 sonuç etrafında yapılandırılmıştır</w:t>
      </w:r>
      <w:r w:rsidRPr="001A4B94">
        <w:rPr>
          <w:rFonts w:eastAsiaTheme="minorEastAsia"/>
          <w:sz w:val="22"/>
          <w:szCs w:val="22"/>
          <w:lang w:val="tr-TR" w:eastAsia="ja-JP"/>
        </w:rPr>
        <w:t>.</w:t>
      </w:r>
      <w:r w:rsidRPr="001A4B94">
        <w:rPr>
          <w:rFonts w:eastAsiaTheme="minorHAnsi"/>
          <w:sz w:val="22"/>
          <w:szCs w:val="22"/>
          <w:lang w:val="tr-TR"/>
        </w:rPr>
        <w:t xml:space="preserve"> </w:t>
      </w:r>
      <w:r w:rsidR="0023563A" w:rsidRPr="001A4B94">
        <w:rPr>
          <w:rFonts w:eastAsiaTheme="minorHAnsi"/>
          <w:sz w:val="22"/>
          <w:szCs w:val="22"/>
          <w:lang w:val="tr-TR"/>
        </w:rPr>
        <w:t xml:space="preserve">Üç eksenin ortak bir alanı olarak “Türkiye’nin </w:t>
      </w:r>
      <w:r w:rsidR="00387355" w:rsidRPr="001A4B94">
        <w:rPr>
          <w:rFonts w:eastAsiaTheme="minorHAnsi"/>
          <w:sz w:val="22"/>
          <w:szCs w:val="22"/>
          <w:lang w:val="tr-TR"/>
        </w:rPr>
        <w:t>D</w:t>
      </w:r>
      <w:r w:rsidR="0023563A" w:rsidRPr="001A4B94">
        <w:rPr>
          <w:rFonts w:eastAsiaTheme="minorHAnsi"/>
          <w:sz w:val="22"/>
          <w:szCs w:val="22"/>
          <w:lang w:val="tr-TR"/>
        </w:rPr>
        <w:t>eneyimlerinin Paylaşılması” Tematik bir öncelik olarak belirlenmiştir, ancak bununla ilişkili olarak belirlenen bir göst</w:t>
      </w:r>
      <w:r w:rsidR="0093520B" w:rsidRPr="001A4B94">
        <w:rPr>
          <w:rFonts w:eastAsiaTheme="minorHAnsi"/>
          <w:sz w:val="22"/>
          <w:szCs w:val="22"/>
          <w:lang w:val="tr-TR"/>
        </w:rPr>
        <w:t>e</w:t>
      </w:r>
      <w:r w:rsidR="0023563A" w:rsidRPr="001A4B94">
        <w:rPr>
          <w:rFonts w:eastAsiaTheme="minorHAnsi"/>
          <w:sz w:val="22"/>
          <w:szCs w:val="22"/>
          <w:lang w:val="tr-TR"/>
        </w:rPr>
        <w:t xml:space="preserve">rge bulunmamaktadır ve bu CLR raporunda </w:t>
      </w:r>
      <w:r w:rsidR="0093520B" w:rsidRPr="001A4B94">
        <w:rPr>
          <w:rFonts w:eastAsiaTheme="minorHAnsi"/>
          <w:sz w:val="22"/>
          <w:szCs w:val="22"/>
          <w:lang w:val="tr-TR"/>
        </w:rPr>
        <w:t>ölçülebilir</w:t>
      </w:r>
      <w:r w:rsidR="0023563A" w:rsidRPr="001A4B94">
        <w:rPr>
          <w:rFonts w:eastAsiaTheme="minorHAnsi"/>
          <w:sz w:val="22"/>
          <w:szCs w:val="22"/>
          <w:lang w:val="tr-TR"/>
        </w:rPr>
        <w:t xml:space="preserve"> bir amaçtan ziyade tematik bir öncelik</w:t>
      </w:r>
      <w:r w:rsidR="0093520B" w:rsidRPr="001A4B94">
        <w:rPr>
          <w:rFonts w:eastAsiaTheme="minorHAnsi"/>
          <w:sz w:val="22"/>
          <w:szCs w:val="22"/>
          <w:lang w:val="tr-TR"/>
        </w:rPr>
        <w:t xml:space="preserve"> olarak ele alınmaktadır</w:t>
      </w:r>
      <w:r w:rsidRPr="001A4B94">
        <w:rPr>
          <w:rFonts w:eastAsiaTheme="minorHAnsi"/>
          <w:sz w:val="22"/>
          <w:szCs w:val="22"/>
          <w:lang w:val="tr-TR"/>
        </w:rPr>
        <w:t xml:space="preserve">.  </w:t>
      </w:r>
    </w:p>
    <w:p w14:paraId="0116F1A3" w14:textId="77777777" w:rsidR="00747261" w:rsidRPr="001A4B94" w:rsidRDefault="00747261" w:rsidP="00162B5B">
      <w:pPr>
        <w:rPr>
          <w:rFonts w:eastAsiaTheme="minorHAnsi"/>
          <w:b/>
          <w:lang w:val="tr-TR"/>
        </w:rPr>
      </w:pPr>
    </w:p>
    <w:p w14:paraId="6840B256" w14:textId="25630275" w:rsidR="00747261" w:rsidRPr="001A4B94" w:rsidRDefault="0093520B" w:rsidP="00C24F8F">
      <w:pPr>
        <w:pStyle w:val="ListeParagraf"/>
        <w:numPr>
          <w:ilvl w:val="0"/>
          <w:numId w:val="35"/>
        </w:numPr>
        <w:spacing w:after="160"/>
        <w:ind w:left="720"/>
        <w:jc w:val="both"/>
        <w:rPr>
          <w:rFonts w:ascii="Times New Roman" w:eastAsiaTheme="minorHAnsi" w:hAnsi="Times New Roman"/>
          <w:b/>
          <w:lang w:val="tr-TR"/>
        </w:rPr>
      </w:pPr>
      <w:bookmarkStart w:id="24" w:name="_Toc437354024"/>
      <w:r w:rsidRPr="001A4B94">
        <w:rPr>
          <w:rFonts w:ascii="Times New Roman" w:eastAsiaTheme="minorHAnsi" w:hAnsi="Times New Roman"/>
          <w:b/>
          <w:lang w:val="tr-TR"/>
        </w:rPr>
        <w:t>Birinci Stratejik Amaç</w:t>
      </w:r>
      <w:r w:rsidR="00747261" w:rsidRPr="001A4B94">
        <w:rPr>
          <w:rFonts w:ascii="Times New Roman" w:eastAsiaTheme="minorHAnsi" w:hAnsi="Times New Roman"/>
          <w:b/>
          <w:lang w:val="tr-TR"/>
        </w:rPr>
        <w:t xml:space="preserve">: </w:t>
      </w:r>
      <w:r w:rsidRPr="001A4B94">
        <w:rPr>
          <w:rFonts w:ascii="Times New Roman" w:eastAsiaTheme="minorHAnsi" w:hAnsi="Times New Roman"/>
          <w:b/>
          <w:lang w:val="tr-TR"/>
        </w:rPr>
        <w:t xml:space="preserve">Rekabet Gücünün ve İstihdamın Arttırılması    </w:t>
      </w:r>
      <w:r w:rsidR="00747261" w:rsidRPr="001A4B94">
        <w:rPr>
          <w:rFonts w:ascii="Times New Roman" w:eastAsiaTheme="minorHAnsi" w:hAnsi="Times New Roman"/>
          <w:b/>
          <w:lang w:val="tr-TR"/>
        </w:rPr>
        <w:t xml:space="preserve">– </w:t>
      </w:r>
      <w:r w:rsidRPr="001A4B94">
        <w:rPr>
          <w:rFonts w:ascii="Times New Roman" w:eastAsiaTheme="minorHAnsi" w:hAnsi="Times New Roman"/>
          <w:b/>
          <w:lang w:val="tr-TR"/>
        </w:rPr>
        <w:t xml:space="preserve">Kısmen başarıldı </w:t>
      </w:r>
    </w:p>
    <w:bookmarkEnd w:id="24"/>
    <w:p w14:paraId="31F54A88" w14:textId="74A5D1FD" w:rsidR="00747261" w:rsidRPr="001A4B94" w:rsidRDefault="00747261" w:rsidP="00747261">
      <w:pPr>
        <w:spacing w:after="160"/>
        <w:ind w:left="360"/>
        <w:jc w:val="both"/>
        <w:rPr>
          <w:rFonts w:eastAsiaTheme="minorHAnsi"/>
          <w:b/>
          <w:sz w:val="22"/>
          <w:szCs w:val="22"/>
          <w:lang w:val="tr-TR"/>
        </w:rPr>
      </w:pPr>
      <w:r w:rsidRPr="001A4B94">
        <w:rPr>
          <w:rFonts w:eastAsiaTheme="minorHAnsi"/>
          <w:b/>
          <w:sz w:val="22"/>
          <w:szCs w:val="22"/>
          <w:lang w:val="tr-TR"/>
        </w:rPr>
        <w:lastRenderedPageBreak/>
        <w:t xml:space="preserve">A.1 </w:t>
      </w:r>
      <w:r w:rsidR="0093520B" w:rsidRPr="001A4B94">
        <w:rPr>
          <w:rFonts w:eastAsiaTheme="minorHAnsi"/>
          <w:b/>
          <w:sz w:val="22"/>
          <w:szCs w:val="22"/>
          <w:lang w:val="tr-TR"/>
        </w:rPr>
        <w:t xml:space="preserve">Tematik Alan </w:t>
      </w:r>
      <w:r w:rsidRPr="001A4B94">
        <w:rPr>
          <w:rFonts w:eastAsiaTheme="minorHAnsi"/>
          <w:b/>
          <w:sz w:val="22"/>
          <w:szCs w:val="22"/>
          <w:lang w:val="tr-TR"/>
        </w:rPr>
        <w:t xml:space="preserve">1: </w:t>
      </w:r>
      <w:r w:rsidR="0093520B" w:rsidRPr="001A4B94">
        <w:rPr>
          <w:rFonts w:eastAsiaTheme="minorHAnsi"/>
          <w:b/>
          <w:sz w:val="22"/>
          <w:szCs w:val="22"/>
          <w:lang w:val="tr-TR"/>
        </w:rPr>
        <w:t xml:space="preserve">Makroekonomik ve finansal istikrarın sürdürülmesi ve ihracatın, yurt içi tasarrufların ve dışsal etkilere karşı dayanıklılığın güçlendirilmesi </w:t>
      </w:r>
    </w:p>
    <w:p w14:paraId="2A3920D8" w14:textId="3E914D08" w:rsidR="00747261" w:rsidRPr="001A4B94" w:rsidRDefault="0093520B"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T</w:t>
      </w:r>
      <w:r w:rsidR="00747261" w:rsidRPr="001A4B94">
        <w:rPr>
          <w:rFonts w:eastAsiaTheme="minorHAnsi"/>
          <w:b/>
          <w:sz w:val="22"/>
          <w:szCs w:val="22"/>
          <w:lang w:val="tr-TR"/>
        </w:rPr>
        <w:t>emati</w:t>
      </w:r>
      <w:r w:rsidRPr="001A4B94">
        <w:rPr>
          <w:rFonts w:eastAsiaTheme="minorHAnsi"/>
          <w:b/>
          <w:sz w:val="22"/>
          <w:szCs w:val="22"/>
          <w:lang w:val="tr-TR"/>
        </w:rPr>
        <w:t xml:space="preserve">k alan </w:t>
      </w:r>
      <w:r w:rsidR="00747261" w:rsidRPr="001A4B94">
        <w:rPr>
          <w:rFonts w:eastAsiaTheme="minorHAnsi"/>
          <w:b/>
          <w:sz w:val="22"/>
          <w:szCs w:val="22"/>
          <w:lang w:val="tr-TR"/>
        </w:rPr>
        <w:t xml:space="preserve">1 </w:t>
      </w:r>
      <w:r w:rsidRPr="001A4B94">
        <w:rPr>
          <w:rFonts w:eastAsiaTheme="minorHAnsi"/>
          <w:b/>
          <w:sz w:val="22"/>
          <w:szCs w:val="22"/>
          <w:lang w:val="tr-TR"/>
        </w:rPr>
        <w:t>sonuçları kısmen başarılmıştır</w:t>
      </w:r>
      <w:r w:rsidR="00747261" w:rsidRPr="001A4B94">
        <w:rPr>
          <w:rFonts w:eastAsiaTheme="minorHAnsi"/>
          <w:b/>
          <w:sz w:val="22"/>
          <w:szCs w:val="22"/>
          <w:lang w:val="tr-TR"/>
        </w:rPr>
        <w:t xml:space="preserve">:  </w:t>
      </w:r>
      <w:r w:rsidRPr="001A4B94">
        <w:rPr>
          <w:rFonts w:eastAsiaTheme="minorHAnsi"/>
          <w:b/>
          <w:sz w:val="22"/>
          <w:szCs w:val="22"/>
          <w:lang w:val="tr-TR"/>
        </w:rPr>
        <w:t>iki sonuç göstergesinden birisi karşılanmış, birisi ise karşılanamamıştır</w:t>
      </w:r>
      <w:r w:rsidR="00747261" w:rsidRPr="001A4B94">
        <w:rPr>
          <w:rFonts w:eastAsiaTheme="minorHAnsi"/>
          <w:sz w:val="22"/>
          <w:szCs w:val="22"/>
          <w:lang w:val="tr-TR"/>
        </w:rPr>
        <w:t xml:space="preserve">.  </w:t>
      </w:r>
      <w:r w:rsidR="00AF1FDA" w:rsidRPr="001A4B94">
        <w:rPr>
          <w:rFonts w:eastAsiaTheme="minorHAnsi"/>
          <w:sz w:val="22"/>
          <w:szCs w:val="22"/>
          <w:lang w:val="tr-TR"/>
        </w:rPr>
        <w:t>Birinci sonuç göstergesi yeni gönüllü emeklilik sistemine katılımın arttırılmasını öngörmekteydi</w:t>
      </w:r>
      <w:r w:rsidR="00747261" w:rsidRPr="001A4B94">
        <w:rPr>
          <w:rFonts w:eastAsiaTheme="minorHAnsi"/>
          <w:sz w:val="22"/>
          <w:szCs w:val="22"/>
          <w:lang w:val="tr-TR"/>
        </w:rPr>
        <w:t xml:space="preserve">: </w:t>
      </w:r>
      <w:r w:rsidR="00AF1FDA" w:rsidRPr="001A4B94">
        <w:rPr>
          <w:rFonts w:eastAsiaTheme="minorHAnsi"/>
          <w:sz w:val="22"/>
          <w:szCs w:val="22"/>
          <w:lang w:val="tr-TR"/>
        </w:rPr>
        <w:t>2012 yılında 3,1 milyon katılımcı mevcut iken, 2016 MY sonuna kadar yüzde 100’lük bir artış ile 6,2 milyon katılımcıya ulaşılmıştır</w:t>
      </w:r>
      <w:r w:rsidR="00747261" w:rsidRPr="001A4B94">
        <w:rPr>
          <w:rFonts w:eastAsiaTheme="minorHAnsi"/>
          <w:sz w:val="22"/>
          <w:szCs w:val="22"/>
          <w:lang w:val="tr-TR"/>
        </w:rPr>
        <w:t xml:space="preserve">. </w:t>
      </w:r>
      <w:r w:rsidR="00AF1FDA" w:rsidRPr="001A4B94">
        <w:rPr>
          <w:rFonts w:eastAsiaTheme="minorHAnsi"/>
          <w:sz w:val="22"/>
          <w:szCs w:val="22"/>
          <w:lang w:val="tr-TR"/>
        </w:rPr>
        <w:t xml:space="preserve">İkinci sonuç göstergesi, gelir vergisi beyannamesi  veren mükellef sayısında yüzde 10’luk bir artış öngörmüştür. Bu sonuç, henüz çıkarılamayan yeni bir gelir vergisi kanunu ile ilişkilendirildiğinden dolayı </w:t>
      </w:r>
      <w:r w:rsidR="00747261" w:rsidRPr="001A4B94">
        <w:rPr>
          <w:rFonts w:eastAsiaTheme="minorHAnsi"/>
          <w:sz w:val="22"/>
          <w:szCs w:val="22"/>
          <w:lang w:val="tr-TR"/>
        </w:rPr>
        <w:t xml:space="preserve"> </w:t>
      </w:r>
      <w:r w:rsidR="00AF1FDA" w:rsidRPr="001A4B94">
        <w:rPr>
          <w:rFonts w:eastAsiaTheme="minorHAnsi"/>
          <w:sz w:val="22"/>
          <w:szCs w:val="22"/>
          <w:lang w:val="tr-TR"/>
        </w:rPr>
        <w:t>başarılamamıştır</w:t>
      </w:r>
      <w:r w:rsidR="00747261" w:rsidRPr="001A4B94">
        <w:rPr>
          <w:rFonts w:eastAsiaTheme="minorHAnsi"/>
          <w:sz w:val="22"/>
          <w:szCs w:val="22"/>
          <w:lang w:val="tr-TR"/>
        </w:rPr>
        <w:t xml:space="preserve">. </w:t>
      </w:r>
    </w:p>
    <w:p w14:paraId="6CADC559" w14:textId="77777777" w:rsidR="00747261" w:rsidRPr="001A4B94" w:rsidRDefault="00747261" w:rsidP="00747261">
      <w:pPr>
        <w:spacing w:after="160" w:line="259" w:lineRule="auto"/>
        <w:contextualSpacing/>
        <w:jc w:val="both"/>
        <w:rPr>
          <w:rFonts w:eastAsiaTheme="minorHAnsi"/>
          <w:sz w:val="22"/>
          <w:szCs w:val="22"/>
          <w:lang w:val="tr-TR"/>
        </w:rPr>
      </w:pPr>
    </w:p>
    <w:p w14:paraId="6178E117" w14:textId="53343BE1" w:rsidR="00747261" w:rsidRPr="001A4B94" w:rsidRDefault="00AF1FDA" w:rsidP="00C24F8F">
      <w:pPr>
        <w:numPr>
          <w:ilvl w:val="0"/>
          <w:numId w:val="21"/>
        </w:numPr>
        <w:spacing w:before="120" w:after="160" w:line="259" w:lineRule="auto"/>
        <w:contextualSpacing/>
        <w:jc w:val="both"/>
        <w:rPr>
          <w:sz w:val="22"/>
          <w:szCs w:val="22"/>
          <w:lang w:val="tr-TR"/>
        </w:rPr>
      </w:pPr>
      <w:r w:rsidRPr="001A4B94">
        <w:rPr>
          <w:b/>
          <w:sz w:val="22"/>
          <w:szCs w:val="22"/>
          <w:lang w:val="tr-TR"/>
        </w:rPr>
        <w:t>DBG’nin bu sonuç alanındaki amaçl</w:t>
      </w:r>
      <w:r w:rsidR="00872F1E" w:rsidRPr="001A4B94">
        <w:rPr>
          <w:b/>
          <w:sz w:val="22"/>
          <w:szCs w:val="22"/>
          <w:lang w:val="tr-TR"/>
        </w:rPr>
        <w:t>a</w:t>
      </w:r>
      <w:r w:rsidRPr="001A4B94">
        <w:rPr>
          <w:b/>
          <w:sz w:val="22"/>
          <w:szCs w:val="22"/>
          <w:lang w:val="tr-TR"/>
        </w:rPr>
        <w:t xml:space="preserve">rının temelinde </w:t>
      </w:r>
      <w:r w:rsidR="00D76C01" w:rsidRPr="001A4B94">
        <w:rPr>
          <w:b/>
          <w:sz w:val="22"/>
          <w:szCs w:val="22"/>
          <w:lang w:val="tr-TR"/>
        </w:rPr>
        <w:t xml:space="preserve">gecikmelerle de </w:t>
      </w:r>
      <w:r w:rsidR="00387355" w:rsidRPr="001A4B94">
        <w:rPr>
          <w:b/>
          <w:sz w:val="22"/>
          <w:szCs w:val="22"/>
          <w:lang w:val="tr-TR"/>
        </w:rPr>
        <w:t xml:space="preserve">olsa </w:t>
      </w:r>
      <w:r w:rsidR="00D76C01" w:rsidRPr="001A4B94">
        <w:rPr>
          <w:b/>
          <w:sz w:val="22"/>
          <w:szCs w:val="22"/>
          <w:lang w:val="tr-TR"/>
        </w:rPr>
        <w:t>uygulamaya konulan DPL dizi</w:t>
      </w:r>
      <w:r w:rsidR="00872F1E" w:rsidRPr="001A4B94">
        <w:rPr>
          <w:b/>
          <w:sz w:val="22"/>
          <w:szCs w:val="22"/>
          <w:lang w:val="tr-TR"/>
        </w:rPr>
        <w:t>l</w:t>
      </w:r>
      <w:r w:rsidR="00D76C01" w:rsidRPr="001A4B94">
        <w:rPr>
          <w:b/>
          <w:sz w:val="22"/>
          <w:szCs w:val="22"/>
          <w:lang w:val="tr-TR"/>
        </w:rPr>
        <w:t>eri yer almıştır</w:t>
      </w:r>
      <w:r w:rsidR="00747261" w:rsidRPr="001A4B94">
        <w:rPr>
          <w:b/>
          <w:sz w:val="22"/>
          <w:szCs w:val="22"/>
          <w:lang w:val="tr-TR"/>
        </w:rPr>
        <w:t>.</w:t>
      </w:r>
      <w:r w:rsidR="00747261" w:rsidRPr="001A4B94">
        <w:rPr>
          <w:sz w:val="22"/>
          <w:szCs w:val="22"/>
          <w:lang w:val="tr-TR"/>
        </w:rPr>
        <w:t xml:space="preserve"> </w:t>
      </w:r>
      <w:r w:rsidR="00D76C01" w:rsidRPr="001A4B94">
        <w:rPr>
          <w:sz w:val="22"/>
          <w:szCs w:val="22"/>
          <w:lang w:val="tr-TR"/>
        </w:rPr>
        <w:t>CPS dönemin</w:t>
      </w:r>
      <w:r w:rsidR="00872F1E" w:rsidRPr="001A4B94">
        <w:rPr>
          <w:sz w:val="22"/>
          <w:szCs w:val="22"/>
          <w:lang w:val="tr-TR"/>
        </w:rPr>
        <w:t>d</w:t>
      </w:r>
      <w:r w:rsidR="00D76C01" w:rsidRPr="001A4B94">
        <w:rPr>
          <w:sz w:val="22"/>
          <w:szCs w:val="22"/>
          <w:lang w:val="tr-TR"/>
        </w:rPr>
        <w:t>e iki DPL uygulamaya konulmuştur</w:t>
      </w:r>
      <w:r w:rsidR="00747261" w:rsidRPr="001A4B94">
        <w:rPr>
          <w:sz w:val="22"/>
          <w:szCs w:val="22"/>
          <w:lang w:val="tr-TR"/>
        </w:rPr>
        <w:t xml:space="preserve">: </w:t>
      </w:r>
      <w:r w:rsidR="00D76C01" w:rsidRPr="001A4B94">
        <w:rPr>
          <w:sz w:val="22"/>
          <w:szCs w:val="22"/>
          <w:lang w:val="tr-TR"/>
        </w:rPr>
        <w:t>800 milyon ABD$ tut</w:t>
      </w:r>
      <w:r w:rsidR="00872F1E" w:rsidRPr="001A4B94">
        <w:rPr>
          <w:sz w:val="22"/>
          <w:szCs w:val="22"/>
          <w:lang w:val="tr-TR"/>
        </w:rPr>
        <w:t>a</w:t>
      </w:r>
      <w:r w:rsidR="00D76C01" w:rsidRPr="001A4B94">
        <w:rPr>
          <w:sz w:val="22"/>
          <w:szCs w:val="22"/>
          <w:lang w:val="tr-TR"/>
        </w:rPr>
        <w:t xml:space="preserve">rındaki Rekabetçilik ve Tasarruflar DPL </w:t>
      </w:r>
      <w:r w:rsidR="00747261" w:rsidRPr="001A4B94">
        <w:rPr>
          <w:sz w:val="22"/>
          <w:szCs w:val="22"/>
          <w:lang w:val="tr-TR"/>
        </w:rPr>
        <w:t>(</w:t>
      </w:r>
      <w:r w:rsidR="00D76C01" w:rsidRPr="001A4B94">
        <w:rPr>
          <w:sz w:val="22"/>
          <w:szCs w:val="22"/>
          <w:lang w:val="tr-TR"/>
        </w:rPr>
        <w:t>2013 MY</w:t>
      </w:r>
      <w:r w:rsidR="00747261" w:rsidRPr="001A4B94">
        <w:rPr>
          <w:sz w:val="22"/>
          <w:szCs w:val="22"/>
          <w:lang w:val="tr-TR"/>
        </w:rPr>
        <w:t xml:space="preserve">) </w:t>
      </w:r>
      <w:r w:rsidR="00D76C01" w:rsidRPr="001A4B94">
        <w:rPr>
          <w:sz w:val="22"/>
          <w:szCs w:val="22"/>
          <w:lang w:val="tr-TR"/>
        </w:rPr>
        <w:t>ve iki oper</w:t>
      </w:r>
      <w:r w:rsidR="00872F1E" w:rsidRPr="001A4B94">
        <w:rPr>
          <w:sz w:val="22"/>
          <w:szCs w:val="22"/>
          <w:lang w:val="tr-TR"/>
        </w:rPr>
        <w:t>a</w:t>
      </w:r>
      <w:r w:rsidR="00D76C01" w:rsidRPr="001A4B94">
        <w:rPr>
          <w:sz w:val="22"/>
          <w:szCs w:val="22"/>
          <w:lang w:val="tr-TR"/>
        </w:rPr>
        <w:t>syon şeklinde planlanan Paylaşılan Büyümenin Sürdürülmesi</w:t>
      </w:r>
      <w:r w:rsidR="00747261" w:rsidRPr="001A4B94">
        <w:rPr>
          <w:sz w:val="22"/>
          <w:szCs w:val="22"/>
          <w:lang w:val="tr-TR"/>
        </w:rPr>
        <w:t xml:space="preserve"> </w:t>
      </w:r>
      <w:r w:rsidR="00D76C01" w:rsidRPr="001A4B94">
        <w:rPr>
          <w:sz w:val="22"/>
          <w:szCs w:val="22"/>
          <w:lang w:val="tr-TR"/>
        </w:rPr>
        <w:t xml:space="preserve">DPL dizisinin 500 milyon ABD$’lık birinci operasyonu </w:t>
      </w:r>
      <w:r w:rsidR="00747261" w:rsidRPr="001A4B94">
        <w:rPr>
          <w:sz w:val="22"/>
          <w:szCs w:val="22"/>
          <w:lang w:val="tr-TR"/>
        </w:rPr>
        <w:t>(</w:t>
      </w:r>
      <w:r w:rsidR="00D76C01" w:rsidRPr="001A4B94">
        <w:rPr>
          <w:sz w:val="22"/>
          <w:szCs w:val="22"/>
          <w:lang w:val="tr-TR"/>
        </w:rPr>
        <w:t>2015 MY</w:t>
      </w:r>
      <w:r w:rsidR="00747261" w:rsidRPr="001A4B94">
        <w:rPr>
          <w:sz w:val="22"/>
          <w:szCs w:val="22"/>
          <w:lang w:val="tr-TR"/>
        </w:rPr>
        <w:t xml:space="preserve">). </w:t>
      </w:r>
      <w:r w:rsidR="00D76C01" w:rsidRPr="001A4B94">
        <w:rPr>
          <w:sz w:val="22"/>
          <w:szCs w:val="22"/>
          <w:lang w:val="tr-TR"/>
        </w:rPr>
        <w:t>2015 yılında üst üste ya</w:t>
      </w:r>
      <w:r w:rsidR="00872F1E" w:rsidRPr="001A4B94">
        <w:rPr>
          <w:sz w:val="22"/>
          <w:szCs w:val="22"/>
          <w:lang w:val="tr-TR"/>
        </w:rPr>
        <w:t>p</w:t>
      </w:r>
      <w:r w:rsidR="00D76C01" w:rsidRPr="001A4B94">
        <w:rPr>
          <w:sz w:val="22"/>
          <w:szCs w:val="22"/>
          <w:lang w:val="tr-TR"/>
        </w:rPr>
        <w:t>ılan iki genel se</w:t>
      </w:r>
      <w:r w:rsidR="00872F1E" w:rsidRPr="001A4B94">
        <w:rPr>
          <w:sz w:val="22"/>
          <w:szCs w:val="22"/>
          <w:lang w:val="tr-TR"/>
        </w:rPr>
        <w:t>ç</w:t>
      </w:r>
      <w:r w:rsidR="00D76C01" w:rsidRPr="001A4B94">
        <w:rPr>
          <w:sz w:val="22"/>
          <w:szCs w:val="22"/>
          <w:lang w:val="tr-TR"/>
        </w:rPr>
        <w:t xml:space="preserve">im </w:t>
      </w:r>
      <w:r w:rsidR="00872F1E" w:rsidRPr="001A4B94">
        <w:rPr>
          <w:sz w:val="22"/>
          <w:szCs w:val="22"/>
          <w:lang w:val="tr-TR"/>
        </w:rPr>
        <w:t xml:space="preserve">(Haziran ve Kasım 2015) </w:t>
      </w:r>
      <w:r w:rsidR="00D76C01" w:rsidRPr="001A4B94">
        <w:rPr>
          <w:sz w:val="22"/>
          <w:szCs w:val="22"/>
          <w:lang w:val="tr-TR"/>
        </w:rPr>
        <w:t xml:space="preserve">DPL ile ilgili görüşmeleri yeni bir Hükümet kuruluncaya kadar arka plana attığı </w:t>
      </w:r>
      <w:r w:rsidR="00747261" w:rsidRPr="001A4B94">
        <w:rPr>
          <w:sz w:val="22"/>
          <w:szCs w:val="22"/>
          <w:lang w:val="tr-TR"/>
        </w:rPr>
        <w:t xml:space="preserve"> </w:t>
      </w:r>
      <w:r w:rsidR="00872F1E" w:rsidRPr="001A4B94">
        <w:rPr>
          <w:sz w:val="22"/>
          <w:szCs w:val="22"/>
          <w:lang w:val="tr-TR"/>
        </w:rPr>
        <w:t>için, önerilen ikinci operasyon uygulamaya konulamamıştır</w:t>
      </w:r>
      <w:r w:rsidR="00747261" w:rsidRPr="001A4B94">
        <w:rPr>
          <w:sz w:val="22"/>
          <w:szCs w:val="22"/>
          <w:lang w:val="tr-TR"/>
        </w:rPr>
        <w:t xml:space="preserve">. </w:t>
      </w:r>
    </w:p>
    <w:p w14:paraId="75600FA3" w14:textId="77777777" w:rsidR="00747261" w:rsidRPr="001A4B94" w:rsidRDefault="00747261" w:rsidP="00747261">
      <w:pPr>
        <w:spacing w:after="160" w:line="259" w:lineRule="auto"/>
        <w:ind w:left="720"/>
        <w:contextualSpacing/>
        <w:rPr>
          <w:sz w:val="22"/>
          <w:szCs w:val="22"/>
          <w:lang w:val="tr-TR"/>
        </w:rPr>
      </w:pPr>
    </w:p>
    <w:p w14:paraId="0144C9B8" w14:textId="155168A3" w:rsidR="00747261" w:rsidRPr="001A4B94" w:rsidRDefault="00747261" w:rsidP="00763672">
      <w:pPr>
        <w:numPr>
          <w:ilvl w:val="0"/>
          <w:numId w:val="21"/>
        </w:numPr>
        <w:spacing w:before="120" w:after="160" w:line="259" w:lineRule="auto"/>
        <w:contextualSpacing/>
        <w:jc w:val="both"/>
        <w:rPr>
          <w:b/>
          <w:sz w:val="22"/>
          <w:szCs w:val="22"/>
          <w:lang w:val="tr-TR"/>
        </w:rPr>
      </w:pPr>
      <w:r w:rsidRPr="001A4B94">
        <w:rPr>
          <w:b/>
          <w:sz w:val="22"/>
          <w:szCs w:val="22"/>
          <w:lang w:val="tr-TR"/>
        </w:rPr>
        <w:t>Bank</w:t>
      </w:r>
      <w:r w:rsidR="002C787C" w:rsidRPr="001A4B94">
        <w:rPr>
          <w:b/>
          <w:sz w:val="22"/>
          <w:szCs w:val="22"/>
          <w:lang w:val="tr-TR"/>
        </w:rPr>
        <w:t>a ayrıca bir</w:t>
      </w:r>
      <w:r w:rsidR="006262BC" w:rsidRPr="001A4B94">
        <w:rPr>
          <w:b/>
          <w:sz w:val="22"/>
          <w:szCs w:val="22"/>
          <w:lang w:val="tr-TR"/>
        </w:rPr>
        <w:t>i</w:t>
      </w:r>
      <w:r w:rsidR="002C787C" w:rsidRPr="001A4B94">
        <w:rPr>
          <w:b/>
          <w:sz w:val="22"/>
          <w:szCs w:val="22"/>
          <w:lang w:val="tr-TR"/>
        </w:rPr>
        <w:t>nci Tematik alanı destekleyici olarak geniş bir bilgi programı sunmuştur</w:t>
      </w:r>
      <w:r w:rsidRPr="001A4B94">
        <w:rPr>
          <w:b/>
          <w:sz w:val="22"/>
          <w:szCs w:val="22"/>
          <w:lang w:val="tr-TR"/>
        </w:rPr>
        <w:t xml:space="preserve">. </w:t>
      </w:r>
      <w:r w:rsidRPr="001A4B94">
        <w:rPr>
          <w:sz w:val="22"/>
          <w:szCs w:val="22"/>
          <w:lang w:val="tr-TR"/>
        </w:rPr>
        <w:t xml:space="preserve"> </w:t>
      </w:r>
      <w:r w:rsidR="002C787C" w:rsidRPr="001A4B94">
        <w:rPr>
          <w:sz w:val="22"/>
          <w:szCs w:val="22"/>
          <w:lang w:val="tr-TR"/>
        </w:rPr>
        <w:t xml:space="preserve">Hazırlanan birçok bilgi ürünü arasında </w:t>
      </w:r>
      <w:r w:rsidRPr="001A4B94">
        <w:rPr>
          <w:sz w:val="22"/>
          <w:szCs w:val="22"/>
          <w:lang w:val="tr-TR"/>
        </w:rPr>
        <w:t>(</w:t>
      </w:r>
      <w:r w:rsidR="006262BC" w:rsidRPr="001A4B94">
        <w:rPr>
          <w:sz w:val="22"/>
          <w:szCs w:val="22"/>
          <w:lang w:val="tr-TR"/>
        </w:rPr>
        <w:t>sonuç matrisi</w:t>
      </w:r>
      <w:r w:rsidR="002C787C" w:rsidRPr="001A4B94">
        <w:rPr>
          <w:sz w:val="22"/>
          <w:szCs w:val="22"/>
          <w:lang w:val="tr-TR"/>
        </w:rPr>
        <w:t>n</w:t>
      </w:r>
      <w:r w:rsidR="006262BC" w:rsidRPr="001A4B94">
        <w:rPr>
          <w:sz w:val="22"/>
          <w:szCs w:val="22"/>
          <w:lang w:val="tr-TR"/>
        </w:rPr>
        <w:t>d</w:t>
      </w:r>
      <w:r w:rsidR="002C787C" w:rsidRPr="001A4B94">
        <w:rPr>
          <w:sz w:val="22"/>
          <w:szCs w:val="22"/>
          <w:lang w:val="tr-TR"/>
        </w:rPr>
        <w:t>e listelenmiştir</w:t>
      </w:r>
      <w:r w:rsidRPr="001A4B94">
        <w:rPr>
          <w:sz w:val="22"/>
          <w:szCs w:val="22"/>
          <w:lang w:val="tr-TR"/>
        </w:rPr>
        <w:t xml:space="preserve">), </w:t>
      </w:r>
      <w:r w:rsidR="00865C9F" w:rsidRPr="001A4B94">
        <w:rPr>
          <w:sz w:val="22"/>
          <w:szCs w:val="22"/>
          <w:lang w:val="tr-TR"/>
        </w:rPr>
        <w:t xml:space="preserve">en </w:t>
      </w:r>
      <w:r w:rsidR="006262BC" w:rsidRPr="001A4B94">
        <w:rPr>
          <w:sz w:val="22"/>
          <w:szCs w:val="22"/>
          <w:lang w:val="tr-TR"/>
        </w:rPr>
        <w:t>ö</w:t>
      </w:r>
      <w:r w:rsidR="00865C9F" w:rsidRPr="001A4B94">
        <w:rPr>
          <w:sz w:val="22"/>
          <w:szCs w:val="22"/>
          <w:lang w:val="tr-TR"/>
        </w:rPr>
        <w:t>nemlileri T</w:t>
      </w:r>
      <w:r w:rsidR="006262BC" w:rsidRPr="001A4B94">
        <w:rPr>
          <w:sz w:val="22"/>
          <w:szCs w:val="22"/>
          <w:lang w:val="tr-TR"/>
        </w:rPr>
        <w:t>ü</w:t>
      </w:r>
      <w:r w:rsidR="00865C9F" w:rsidRPr="001A4B94">
        <w:rPr>
          <w:sz w:val="22"/>
          <w:szCs w:val="22"/>
          <w:lang w:val="tr-TR"/>
        </w:rPr>
        <w:t>rkiye’nin yük</w:t>
      </w:r>
      <w:r w:rsidR="006262BC" w:rsidRPr="001A4B94">
        <w:rPr>
          <w:sz w:val="22"/>
          <w:szCs w:val="22"/>
          <w:lang w:val="tr-TR"/>
        </w:rPr>
        <w:t>s</w:t>
      </w:r>
      <w:r w:rsidR="00865C9F" w:rsidRPr="001A4B94">
        <w:rPr>
          <w:sz w:val="22"/>
          <w:szCs w:val="22"/>
          <w:lang w:val="tr-TR"/>
        </w:rPr>
        <w:t>ek gelir eşi</w:t>
      </w:r>
      <w:r w:rsidR="006262BC" w:rsidRPr="001A4B94">
        <w:rPr>
          <w:sz w:val="22"/>
          <w:szCs w:val="22"/>
          <w:lang w:val="tr-TR"/>
        </w:rPr>
        <w:t>ğine ilerleme s</w:t>
      </w:r>
      <w:r w:rsidR="00865C9F" w:rsidRPr="001A4B94">
        <w:rPr>
          <w:sz w:val="22"/>
          <w:szCs w:val="22"/>
          <w:lang w:val="tr-TR"/>
        </w:rPr>
        <w:t>ürecini kapsamlı bir şekilde analiz eden ve Türkiye’nin deneyimlerini küresel olarak paylaşma Tematik önceliğine katkıda bu</w:t>
      </w:r>
      <w:r w:rsidR="006262BC" w:rsidRPr="001A4B94">
        <w:rPr>
          <w:sz w:val="22"/>
          <w:szCs w:val="22"/>
          <w:lang w:val="tr-TR"/>
        </w:rPr>
        <w:t>l</w:t>
      </w:r>
      <w:r w:rsidR="00865C9F" w:rsidRPr="001A4B94">
        <w:rPr>
          <w:sz w:val="22"/>
          <w:szCs w:val="22"/>
          <w:lang w:val="tr-TR"/>
        </w:rPr>
        <w:t>unan</w:t>
      </w:r>
      <w:r w:rsidRPr="001A4B94">
        <w:rPr>
          <w:sz w:val="22"/>
          <w:szCs w:val="22"/>
          <w:lang w:val="tr-TR"/>
        </w:rPr>
        <w:t xml:space="preserve"> </w:t>
      </w:r>
      <w:r w:rsidRPr="001A4B94">
        <w:rPr>
          <w:i/>
          <w:sz w:val="22"/>
          <w:szCs w:val="22"/>
          <w:lang w:val="tr-TR"/>
        </w:rPr>
        <w:t>T</w:t>
      </w:r>
      <w:r w:rsidR="00865C9F" w:rsidRPr="001A4B94">
        <w:rPr>
          <w:i/>
          <w:sz w:val="22"/>
          <w:szCs w:val="22"/>
          <w:lang w:val="tr-TR"/>
        </w:rPr>
        <w:t xml:space="preserve">ürkiye’nin Deneyimleri </w:t>
      </w:r>
      <w:r w:rsidR="00865C9F" w:rsidRPr="001A4B94">
        <w:rPr>
          <w:sz w:val="22"/>
          <w:szCs w:val="22"/>
          <w:lang w:val="tr-TR"/>
        </w:rPr>
        <w:t>başlıklı</w:t>
      </w:r>
      <w:r w:rsidR="00865C9F" w:rsidRPr="001A4B94">
        <w:rPr>
          <w:i/>
          <w:sz w:val="22"/>
          <w:szCs w:val="22"/>
          <w:lang w:val="tr-TR"/>
        </w:rPr>
        <w:t xml:space="preserve"> </w:t>
      </w:r>
      <w:r w:rsidR="00865C9F" w:rsidRPr="001A4B94">
        <w:rPr>
          <w:sz w:val="22"/>
          <w:szCs w:val="22"/>
          <w:lang w:val="tr-TR"/>
        </w:rPr>
        <w:t xml:space="preserve">amiral gemisi raporu </w:t>
      </w:r>
      <w:r w:rsidRPr="001A4B94">
        <w:rPr>
          <w:sz w:val="22"/>
          <w:szCs w:val="22"/>
          <w:lang w:val="tr-TR"/>
        </w:rPr>
        <w:t>(</w:t>
      </w:r>
      <w:r w:rsidR="00865C9F" w:rsidRPr="001A4B94">
        <w:rPr>
          <w:sz w:val="22"/>
          <w:szCs w:val="22"/>
          <w:lang w:val="tr-TR"/>
        </w:rPr>
        <w:t>2015 MY</w:t>
      </w:r>
      <w:r w:rsidR="006262BC" w:rsidRPr="001A4B94">
        <w:rPr>
          <w:sz w:val="22"/>
          <w:szCs w:val="22"/>
          <w:lang w:val="tr-TR"/>
        </w:rPr>
        <w:t>) ile Türkiye’nin ticaret performansını ve rekabet gücünü arttırmaya yönelik politika seçeneklerinin ve müdahalelerin tespit edildiği bir Ülke Ekonomik Memorandumu (CEM) yer almaktadır</w:t>
      </w:r>
      <w:r w:rsidRPr="001A4B94">
        <w:rPr>
          <w:sz w:val="22"/>
          <w:szCs w:val="22"/>
          <w:lang w:val="tr-TR"/>
        </w:rPr>
        <w:t xml:space="preserve">. </w:t>
      </w:r>
      <w:r w:rsidR="006262BC" w:rsidRPr="001A4B94">
        <w:rPr>
          <w:sz w:val="22"/>
          <w:szCs w:val="22"/>
          <w:lang w:val="tr-TR"/>
        </w:rPr>
        <w:t>Bu raporlar yaygın bir şekilde tanıtılmıştır ve yüksek gelir eşiğinin ötesinde sürdürülebilir büyümenin sağlanması için ekonomik kurumların önemli hakkında faydalı bir tartışma başlatmıştır</w:t>
      </w:r>
      <w:r w:rsidRPr="001A4B94">
        <w:rPr>
          <w:sz w:val="22"/>
          <w:szCs w:val="22"/>
          <w:lang w:val="tr-TR"/>
        </w:rPr>
        <w:t xml:space="preserve">.  </w:t>
      </w:r>
      <w:r w:rsidR="006F5F36" w:rsidRPr="001A4B94">
        <w:rPr>
          <w:sz w:val="22"/>
          <w:szCs w:val="22"/>
          <w:lang w:val="tr-TR"/>
        </w:rPr>
        <w:t>Bu çalışmalar ayrıca raporların tartışıldığı dönemin Hükümetin 25 Öncelikli Dönüşüm Programı açıklamasıyla aynı dönemlere rastlaması ile birlikte, yurt içindeki politika tartışmaları için de bilgi girdisi sağlamıştır</w:t>
      </w:r>
      <w:r w:rsidRPr="001A4B94">
        <w:rPr>
          <w:sz w:val="22"/>
          <w:szCs w:val="22"/>
          <w:lang w:val="tr-TR"/>
        </w:rPr>
        <w:t>.</w:t>
      </w:r>
      <w:r w:rsidRPr="001A4B94" w:rsidDel="00B313FD">
        <w:rPr>
          <w:sz w:val="22"/>
          <w:szCs w:val="22"/>
          <w:lang w:val="tr-TR"/>
        </w:rPr>
        <w:t xml:space="preserve"> </w:t>
      </w:r>
      <w:r w:rsidRPr="001A4B94">
        <w:rPr>
          <w:sz w:val="22"/>
          <w:szCs w:val="22"/>
          <w:lang w:val="tr-TR"/>
        </w:rPr>
        <w:t xml:space="preserve"> </w:t>
      </w:r>
      <w:r w:rsidR="006F5F36" w:rsidRPr="001A4B94">
        <w:rPr>
          <w:sz w:val="22"/>
          <w:szCs w:val="22"/>
          <w:lang w:val="tr-TR"/>
        </w:rPr>
        <w:t>Bunlara ek olarak iki teknik rapor da Hükümetin politikalarına katkıda bulunmuştur</w:t>
      </w:r>
      <w:r w:rsidRPr="001A4B94">
        <w:rPr>
          <w:sz w:val="22"/>
          <w:szCs w:val="22"/>
          <w:lang w:val="tr-TR"/>
        </w:rPr>
        <w:t xml:space="preserve">: </w:t>
      </w:r>
      <w:r w:rsidR="00C4374F" w:rsidRPr="001A4B94">
        <w:rPr>
          <w:sz w:val="22"/>
          <w:szCs w:val="22"/>
          <w:lang w:val="tr-TR"/>
        </w:rPr>
        <w:t>Türkiye’nin</w:t>
      </w:r>
      <w:r w:rsidRPr="001A4B94">
        <w:rPr>
          <w:sz w:val="22"/>
          <w:szCs w:val="22"/>
          <w:lang w:val="tr-TR"/>
        </w:rPr>
        <w:t xml:space="preserve"> </w:t>
      </w:r>
      <w:r w:rsidR="00C4374F" w:rsidRPr="001A4B94">
        <w:rPr>
          <w:sz w:val="22"/>
          <w:szCs w:val="22"/>
          <w:lang w:val="tr-TR"/>
        </w:rPr>
        <w:t>son on yıllık dönemdeki mali politikalarının analiz edildiği ve mali politikaların daha geniş kapsamlı makroekonomik sonuçlarının (özellikle gelecekteki ekonomik büyümesi desteklemeleri bakımından) tespit edildiği bir Kamu Harcama İncelemesi</w:t>
      </w:r>
      <w:r w:rsidRPr="001A4B94">
        <w:rPr>
          <w:sz w:val="22"/>
          <w:szCs w:val="22"/>
          <w:lang w:val="tr-TR"/>
        </w:rPr>
        <w:t xml:space="preserve">; </w:t>
      </w:r>
      <w:r w:rsidR="00C4374F" w:rsidRPr="001A4B94">
        <w:rPr>
          <w:sz w:val="22"/>
          <w:szCs w:val="22"/>
          <w:lang w:val="tr-TR"/>
        </w:rPr>
        <w:t>ve Gümrük Birliği’nin etkilerinin nitel ve nicel açıdan tahmin edildiği ve bu ticaret anlaşmasının hem Türkiye hem de AB için çok önemli olduğunu ortaya koyan Gümrük Birliği Değerlendirmesi raporu</w:t>
      </w:r>
      <w:r w:rsidRPr="001A4B94">
        <w:rPr>
          <w:sz w:val="22"/>
          <w:szCs w:val="22"/>
          <w:lang w:val="tr-TR"/>
        </w:rPr>
        <w:t>.</w:t>
      </w:r>
    </w:p>
    <w:p w14:paraId="46FB41BB" w14:textId="77777777" w:rsidR="00747261" w:rsidRPr="001A4B94" w:rsidRDefault="00747261" w:rsidP="00747261">
      <w:pPr>
        <w:spacing w:before="120" w:after="160" w:line="259" w:lineRule="auto"/>
        <w:contextualSpacing/>
        <w:jc w:val="both"/>
        <w:rPr>
          <w:b/>
          <w:sz w:val="22"/>
          <w:szCs w:val="22"/>
          <w:lang w:val="tr-TR"/>
        </w:rPr>
      </w:pPr>
    </w:p>
    <w:p w14:paraId="30156B04" w14:textId="3CB9E6F9" w:rsidR="00747261" w:rsidRPr="001A4B94" w:rsidRDefault="00747261" w:rsidP="00747261">
      <w:pPr>
        <w:spacing w:after="160"/>
        <w:ind w:left="360"/>
        <w:jc w:val="both"/>
        <w:rPr>
          <w:rFonts w:eastAsiaTheme="minorHAnsi"/>
          <w:b/>
          <w:sz w:val="22"/>
          <w:szCs w:val="22"/>
          <w:lang w:val="tr-TR"/>
        </w:rPr>
      </w:pPr>
      <w:r w:rsidRPr="001A4B94">
        <w:rPr>
          <w:rFonts w:eastAsiaTheme="minorHAnsi"/>
          <w:b/>
          <w:sz w:val="22"/>
          <w:szCs w:val="22"/>
          <w:lang w:val="tr-TR"/>
        </w:rPr>
        <w:t xml:space="preserve">A.2. </w:t>
      </w:r>
      <w:r w:rsidR="00823B97" w:rsidRPr="001A4B94">
        <w:rPr>
          <w:rFonts w:eastAsiaTheme="minorHAnsi"/>
          <w:b/>
          <w:sz w:val="22"/>
          <w:szCs w:val="22"/>
          <w:lang w:val="tr-TR"/>
        </w:rPr>
        <w:t xml:space="preserve">Tematik Alan 2: Yatırım ve iş ortamının iyileştirilmesi; finansmana erişimin derinleştirilmesi ve yaygınlaştırılması; istihdamın arttırılması </w:t>
      </w:r>
    </w:p>
    <w:p w14:paraId="40B753B7" w14:textId="77831AB8" w:rsidR="00747261" w:rsidRPr="001A4B94" w:rsidRDefault="00823B97" w:rsidP="00C24F8F">
      <w:pPr>
        <w:numPr>
          <w:ilvl w:val="0"/>
          <w:numId w:val="21"/>
        </w:numPr>
        <w:spacing w:before="120" w:after="160" w:line="259" w:lineRule="auto"/>
        <w:contextualSpacing/>
        <w:jc w:val="both"/>
        <w:rPr>
          <w:rFonts w:eastAsiaTheme="minorHAnsi"/>
          <w:sz w:val="22"/>
          <w:szCs w:val="22"/>
          <w:lang w:val="tr-TR"/>
        </w:rPr>
      </w:pPr>
      <w:r w:rsidRPr="001A4B94">
        <w:rPr>
          <w:rFonts w:eastAsiaTheme="minorHAnsi"/>
          <w:b/>
          <w:sz w:val="22"/>
          <w:szCs w:val="22"/>
          <w:lang w:val="tr-TR"/>
        </w:rPr>
        <w:t>Tematik Alan 2 sonuçları kısmen başarılmıştır</w:t>
      </w:r>
      <w:r w:rsidR="00747261" w:rsidRPr="001A4B94">
        <w:rPr>
          <w:rFonts w:eastAsiaTheme="minorHAnsi"/>
          <w:b/>
          <w:sz w:val="22"/>
          <w:szCs w:val="22"/>
          <w:lang w:val="tr-TR"/>
        </w:rPr>
        <w:t xml:space="preserve">. </w:t>
      </w:r>
      <w:r w:rsidRPr="001A4B94">
        <w:rPr>
          <w:rFonts w:eastAsiaTheme="minorHAnsi"/>
          <w:sz w:val="22"/>
          <w:szCs w:val="22"/>
          <w:lang w:val="tr-TR"/>
        </w:rPr>
        <w:t>Beş sonuç göstergesi karşılanırken</w:t>
      </w:r>
      <w:r w:rsidR="00747261" w:rsidRPr="001A4B94">
        <w:rPr>
          <w:rFonts w:eastAsiaTheme="minorHAnsi" w:cstheme="minorBidi"/>
          <w:sz w:val="22"/>
          <w:szCs w:val="22"/>
          <w:lang w:val="tr-TR"/>
        </w:rPr>
        <w:t xml:space="preserve">, </w:t>
      </w:r>
      <w:r w:rsidRPr="001A4B94">
        <w:rPr>
          <w:rFonts w:eastAsiaTheme="minorHAnsi" w:cstheme="minorBidi"/>
          <w:sz w:val="22"/>
          <w:szCs w:val="22"/>
          <w:lang w:val="tr-TR"/>
        </w:rPr>
        <w:t xml:space="preserve">biri kısmen başarılmış, biri doğrulanamamış ve </w:t>
      </w:r>
      <w:r w:rsidR="00E04F2F" w:rsidRPr="001A4B94">
        <w:rPr>
          <w:rFonts w:eastAsiaTheme="minorHAnsi" w:cstheme="minorBidi"/>
          <w:sz w:val="22"/>
          <w:szCs w:val="22"/>
          <w:lang w:val="tr-TR"/>
        </w:rPr>
        <w:t>i</w:t>
      </w:r>
      <w:r w:rsidRPr="001A4B94">
        <w:rPr>
          <w:rFonts w:eastAsiaTheme="minorHAnsi" w:cstheme="minorBidi"/>
          <w:sz w:val="22"/>
          <w:szCs w:val="22"/>
          <w:lang w:val="tr-TR"/>
        </w:rPr>
        <w:t>kisi karşılanamamıştır</w:t>
      </w:r>
      <w:r w:rsidR="00747261" w:rsidRPr="001A4B94">
        <w:rPr>
          <w:rFonts w:eastAsiaTheme="minorHAnsi" w:cstheme="minorBidi"/>
          <w:sz w:val="22"/>
          <w:szCs w:val="22"/>
          <w:lang w:val="tr-TR"/>
        </w:rPr>
        <w:t>.</w:t>
      </w:r>
      <w:r w:rsidR="00747261" w:rsidRPr="001A4B94">
        <w:rPr>
          <w:rFonts w:eastAsiaTheme="minorHAnsi"/>
          <w:b/>
          <w:sz w:val="22"/>
          <w:szCs w:val="22"/>
          <w:lang w:val="tr-TR"/>
        </w:rPr>
        <w:t xml:space="preserve">  </w:t>
      </w:r>
    </w:p>
    <w:p w14:paraId="54137676" w14:textId="77777777" w:rsidR="00747261" w:rsidRPr="001A4B94" w:rsidRDefault="00747261" w:rsidP="00747261">
      <w:pPr>
        <w:spacing w:before="120" w:after="160"/>
        <w:ind w:left="360"/>
        <w:contextualSpacing/>
        <w:jc w:val="both"/>
        <w:rPr>
          <w:rFonts w:eastAsiaTheme="minorHAnsi"/>
          <w:sz w:val="22"/>
          <w:szCs w:val="22"/>
          <w:lang w:val="tr-TR"/>
        </w:rPr>
      </w:pPr>
    </w:p>
    <w:p w14:paraId="09B464B0" w14:textId="15EA02C1" w:rsidR="00747261" w:rsidRPr="001A4B94" w:rsidRDefault="00E04F2F" w:rsidP="00C24F8F">
      <w:pPr>
        <w:numPr>
          <w:ilvl w:val="0"/>
          <w:numId w:val="21"/>
        </w:numPr>
        <w:spacing w:before="120" w:after="160" w:line="259" w:lineRule="auto"/>
        <w:contextualSpacing/>
        <w:jc w:val="both"/>
        <w:rPr>
          <w:rFonts w:eastAsiaTheme="minorHAnsi"/>
          <w:sz w:val="22"/>
          <w:szCs w:val="22"/>
          <w:lang w:val="tr-TR"/>
        </w:rPr>
      </w:pPr>
      <w:r w:rsidRPr="001A4B94">
        <w:rPr>
          <w:rFonts w:eastAsiaTheme="minorHAnsi"/>
          <w:b/>
          <w:sz w:val="22"/>
          <w:szCs w:val="22"/>
          <w:lang w:val="tr-TR"/>
        </w:rPr>
        <w:t>Fikri mülkiyet haklarının iyileştirilmesi ile ilgili gösterge CPS dönemi içerisinde başarılamamış</w:t>
      </w:r>
      <w:r w:rsidR="00747261" w:rsidRPr="001A4B94">
        <w:rPr>
          <w:rFonts w:eastAsiaTheme="minorHAnsi"/>
          <w:b/>
          <w:sz w:val="22"/>
          <w:szCs w:val="22"/>
          <w:lang w:val="tr-TR"/>
        </w:rPr>
        <w:t xml:space="preserve">, </w:t>
      </w:r>
      <w:r w:rsidRPr="001A4B94">
        <w:rPr>
          <w:rFonts w:eastAsiaTheme="minorHAnsi"/>
          <w:b/>
          <w:sz w:val="22"/>
          <w:szCs w:val="22"/>
          <w:lang w:val="tr-TR"/>
        </w:rPr>
        <w:t>ancak kanun sonuçta Aralık 2016’da kabul edilmiştir.</w:t>
      </w:r>
      <w:r w:rsidR="00747261" w:rsidRPr="001A4B94">
        <w:rPr>
          <w:rFonts w:eastAsiaTheme="minorHAnsi"/>
          <w:b/>
          <w:sz w:val="22"/>
          <w:szCs w:val="22"/>
          <w:lang w:val="tr-TR"/>
        </w:rPr>
        <w:t xml:space="preserve"> </w:t>
      </w:r>
      <w:r w:rsidRPr="001A4B94">
        <w:rPr>
          <w:rFonts w:eastAsiaTheme="minorHAnsi"/>
          <w:sz w:val="22"/>
          <w:szCs w:val="22"/>
          <w:lang w:val="tr-TR"/>
        </w:rPr>
        <w:t>2016 MY sonu itibariyle sadece 5.512 yeni patent başvurusu yapıldığı için (2013 yılındaki başlangıç seviyesi 5.600 idi),</w:t>
      </w:r>
      <w:r w:rsidRPr="001A4B94">
        <w:rPr>
          <w:rFonts w:eastAsiaTheme="minorHAnsi"/>
          <w:b/>
          <w:sz w:val="22"/>
          <w:szCs w:val="22"/>
          <w:lang w:val="tr-TR"/>
        </w:rPr>
        <w:t xml:space="preserve"> </w:t>
      </w:r>
      <w:r w:rsidRPr="001A4B94">
        <w:rPr>
          <w:rFonts w:eastAsiaTheme="minorHAnsi"/>
          <w:sz w:val="22"/>
          <w:szCs w:val="22"/>
          <w:lang w:val="tr-TR"/>
        </w:rPr>
        <w:t xml:space="preserve">giriş engellerinin azaltılması ve fikri mülkiyet sahipliğinin geliştirilmesi ile ilgili alt göstergeler </w:t>
      </w:r>
      <w:r w:rsidR="00E20993" w:rsidRPr="001A4B94">
        <w:rPr>
          <w:rFonts w:eastAsiaTheme="minorHAnsi"/>
          <w:sz w:val="22"/>
          <w:szCs w:val="22"/>
          <w:lang w:val="tr-TR"/>
        </w:rPr>
        <w:t xml:space="preserve">(i)  </w:t>
      </w:r>
      <w:r w:rsidRPr="001A4B94">
        <w:rPr>
          <w:rFonts w:eastAsiaTheme="minorHAnsi"/>
          <w:sz w:val="22"/>
          <w:szCs w:val="22"/>
          <w:lang w:val="tr-TR"/>
        </w:rPr>
        <w:t>karşılanamamıştır</w:t>
      </w:r>
      <w:r w:rsidR="00747261" w:rsidRPr="001A4B94">
        <w:rPr>
          <w:rFonts w:eastAsiaTheme="minorHAnsi"/>
          <w:sz w:val="22"/>
          <w:szCs w:val="22"/>
          <w:lang w:val="tr-TR"/>
        </w:rPr>
        <w:t xml:space="preserve">. </w:t>
      </w:r>
      <w:r w:rsidRPr="001A4B94">
        <w:rPr>
          <w:rFonts w:eastAsiaTheme="minorHAnsi"/>
          <w:sz w:val="22"/>
          <w:szCs w:val="22"/>
          <w:lang w:val="tr-TR"/>
        </w:rPr>
        <w:t xml:space="preserve">Şirket tescil sistemine (MERNİS) kayıtlı şirket sayısı ile ilgili </w:t>
      </w:r>
      <w:r w:rsidR="006B2056" w:rsidRPr="001A4B94">
        <w:rPr>
          <w:rFonts w:eastAsiaTheme="minorHAnsi"/>
          <w:sz w:val="22"/>
          <w:szCs w:val="22"/>
          <w:lang w:val="tr-TR"/>
        </w:rPr>
        <w:t xml:space="preserve">alt </w:t>
      </w:r>
      <w:r w:rsidRPr="001A4B94">
        <w:rPr>
          <w:rFonts w:eastAsiaTheme="minorHAnsi"/>
          <w:sz w:val="22"/>
          <w:szCs w:val="22"/>
          <w:lang w:val="tr-TR"/>
        </w:rPr>
        <w:t>gösterge</w:t>
      </w:r>
      <w:r w:rsidR="00E20993" w:rsidRPr="001A4B94">
        <w:rPr>
          <w:rFonts w:eastAsiaTheme="minorHAnsi"/>
          <w:sz w:val="22"/>
          <w:szCs w:val="22"/>
          <w:lang w:val="tr-TR"/>
        </w:rPr>
        <w:t xml:space="preserve"> (ii)</w:t>
      </w:r>
      <w:r w:rsidRPr="001A4B94">
        <w:rPr>
          <w:rFonts w:eastAsiaTheme="minorHAnsi"/>
          <w:sz w:val="22"/>
          <w:szCs w:val="22"/>
          <w:lang w:val="tr-TR"/>
        </w:rPr>
        <w:t>, veriler açık bir şekilde yayınlanmadığı için  doğrulanamamıştır (2012 yılındaki başlangıç düzeyi kayıtlı 204 şirket idi)</w:t>
      </w:r>
      <w:r w:rsidR="00747261" w:rsidRPr="001A4B94">
        <w:rPr>
          <w:rFonts w:eastAsiaTheme="minorHAnsi"/>
          <w:sz w:val="22"/>
          <w:szCs w:val="22"/>
          <w:lang w:val="tr-TR"/>
        </w:rPr>
        <w:t>.</w:t>
      </w:r>
    </w:p>
    <w:p w14:paraId="688762EA" w14:textId="77777777" w:rsidR="00747261" w:rsidRPr="001A4B94" w:rsidRDefault="00747261" w:rsidP="00747261">
      <w:pPr>
        <w:spacing w:after="160" w:line="259" w:lineRule="auto"/>
        <w:ind w:left="720"/>
        <w:contextualSpacing/>
        <w:rPr>
          <w:rFonts w:eastAsiaTheme="minorHAnsi"/>
          <w:sz w:val="22"/>
          <w:szCs w:val="22"/>
          <w:lang w:val="tr-TR"/>
        </w:rPr>
      </w:pPr>
    </w:p>
    <w:p w14:paraId="2CEAA6F1" w14:textId="1D6243E9" w:rsidR="00747261" w:rsidRPr="001A4B94" w:rsidRDefault="00E04F2F" w:rsidP="00C24F8F">
      <w:pPr>
        <w:numPr>
          <w:ilvl w:val="0"/>
          <w:numId w:val="21"/>
        </w:numPr>
        <w:spacing w:before="120" w:after="160" w:line="259" w:lineRule="auto"/>
        <w:contextualSpacing/>
        <w:jc w:val="both"/>
        <w:rPr>
          <w:sz w:val="22"/>
          <w:szCs w:val="22"/>
          <w:lang w:val="tr-TR"/>
        </w:rPr>
      </w:pPr>
      <w:r w:rsidRPr="001A4B94">
        <w:rPr>
          <w:rFonts w:eastAsiaTheme="minorHAnsi"/>
          <w:b/>
          <w:sz w:val="22"/>
          <w:szCs w:val="22"/>
          <w:lang w:val="tr-TR"/>
        </w:rPr>
        <w:lastRenderedPageBreak/>
        <w:t>Öte yandan</w:t>
      </w:r>
      <w:r w:rsidR="00747261" w:rsidRPr="001A4B94">
        <w:rPr>
          <w:rFonts w:eastAsiaTheme="minorHAnsi"/>
          <w:b/>
          <w:sz w:val="22"/>
          <w:szCs w:val="22"/>
          <w:lang w:val="tr-TR"/>
        </w:rPr>
        <w:t xml:space="preserve">, </w:t>
      </w:r>
      <w:r w:rsidRPr="001A4B94">
        <w:rPr>
          <w:rFonts w:eastAsiaTheme="minorHAnsi"/>
          <w:b/>
          <w:sz w:val="22"/>
          <w:szCs w:val="22"/>
          <w:lang w:val="tr-TR"/>
        </w:rPr>
        <w:t xml:space="preserve">özel sektörün finansmana erişimini arttırmak ile ilgili alt göstergeler </w:t>
      </w:r>
      <w:r w:rsidR="006B2056" w:rsidRPr="001A4B94">
        <w:rPr>
          <w:rFonts w:eastAsiaTheme="minorHAnsi"/>
          <w:b/>
          <w:sz w:val="22"/>
          <w:szCs w:val="22"/>
          <w:lang w:val="tr-TR"/>
        </w:rPr>
        <w:t>büyük ölçüde başarılmıştır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6B2056" w:rsidRPr="001A4B94">
        <w:rPr>
          <w:rFonts w:eastAsiaTheme="minorHAnsi"/>
          <w:sz w:val="22"/>
          <w:szCs w:val="22"/>
          <w:lang w:val="tr-TR"/>
        </w:rPr>
        <w:t xml:space="preserve">IBRD finansmanından yararlanan şirketlerin performansını ölçen alt göstergeler </w:t>
      </w:r>
      <w:r w:rsidR="00747261" w:rsidRPr="001A4B94">
        <w:rPr>
          <w:rFonts w:eastAsiaTheme="minorHAnsi"/>
          <w:sz w:val="22"/>
          <w:szCs w:val="22"/>
          <w:lang w:val="tr-TR"/>
        </w:rPr>
        <w:t xml:space="preserve">(iii-iv) </w:t>
      </w:r>
      <w:r w:rsidR="006B2056" w:rsidRPr="001A4B94">
        <w:rPr>
          <w:rFonts w:eastAsiaTheme="minorHAnsi"/>
          <w:sz w:val="22"/>
          <w:szCs w:val="22"/>
          <w:lang w:val="tr-TR"/>
        </w:rPr>
        <w:t xml:space="preserve">ile </w:t>
      </w:r>
      <w:r w:rsidR="00E20993" w:rsidRPr="001A4B94">
        <w:rPr>
          <w:rFonts w:eastAsiaTheme="minorHAnsi"/>
          <w:sz w:val="22"/>
          <w:szCs w:val="22"/>
          <w:lang w:val="tr-TR"/>
        </w:rPr>
        <w:t>ilgili</w:t>
      </w:r>
      <w:r w:rsidR="006B2056" w:rsidRPr="001A4B94">
        <w:rPr>
          <w:rFonts w:eastAsiaTheme="minorHAnsi"/>
          <w:sz w:val="22"/>
          <w:szCs w:val="22"/>
          <w:lang w:val="tr-TR"/>
        </w:rPr>
        <w:t xml:space="preserve"> olarak, bu şirketler ihracat ve satış artışında daha iyi performans göstermiştir</w:t>
      </w:r>
      <w:r w:rsidR="00747261" w:rsidRPr="001A4B94">
        <w:rPr>
          <w:rFonts w:eastAsiaTheme="minorHAnsi"/>
          <w:sz w:val="22"/>
          <w:szCs w:val="22"/>
          <w:lang w:val="tr-TR"/>
        </w:rPr>
        <w:t xml:space="preserve">. </w:t>
      </w:r>
      <w:r w:rsidR="006B2056" w:rsidRPr="001A4B94">
        <w:rPr>
          <w:rFonts w:eastAsiaTheme="minorHAnsi"/>
          <w:sz w:val="22"/>
          <w:szCs w:val="22"/>
          <w:lang w:val="tr-TR"/>
        </w:rPr>
        <w:t xml:space="preserve">Geçtiğimiz yıllarda finansal kuruluşlarda tasarrufu olan kadınların oranı ile ilgili alt gösterge </w:t>
      </w:r>
      <w:r w:rsidR="00747261" w:rsidRPr="001A4B94">
        <w:rPr>
          <w:rFonts w:eastAsiaTheme="minorHAnsi"/>
          <w:sz w:val="22"/>
          <w:szCs w:val="22"/>
          <w:lang w:val="tr-TR"/>
        </w:rPr>
        <w:t xml:space="preserve">(v) </w:t>
      </w:r>
      <w:r w:rsidR="006B2056" w:rsidRPr="001A4B94">
        <w:rPr>
          <w:rFonts w:eastAsiaTheme="minorHAnsi"/>
          <w:sz w:val="22"/>
          <w:szCs w:val="22"/>
          <w:lang w:val="tr-TR"/>
        </w:rPr>
        <w:t>yüzde 3,3’lük hedef değeri geçmiştir ve 2015 sonu itibariyle yüzde 5,5’e</w:t>
      </w:r>
      <w:r w:rsidR="00E20993" w:rsidRPr="001A4B94">
        <w:rPr>
          <w:rFonts w:eastAsiaTheme="minorHAnsi"/>
          <w:sz w:val="22"/>
          <w:szCs w:val="22"/>
          <w:lang w:val="tr-TR"/>
        </w:rPr>
        <w:t xml:space="preserve"> </w:t>
      </w:r>
      <w:r w:rsidR="006B2056" w:rsidRPr="001A4B94">
        <w:rPr>
          <w:rFonts w:eastAsiaTheme="minorHAnsi"/>
          <w:sz w:val="22"/>
          <w:szCs w:val="22"/>
          <w:lang w:val="tr-TR"/>
        </w:rPr>
        <w:t>ulaşmıştır</w:t>
      </w:r>
      <w:r w:rsidR="00747261" w:rsidRPr="001A4B94">
        <w:rPr>
          <w:rFonts w:eastAsiaTheme="minorHAnsi"/>
          <w:sz w:val="22"/>
          <w:szCs w:val="22"/>
          <w:lang w:val="tr-TR"/>
        </w:rPr>
        <w:t xml:space="preserve">. </w:t>
      </w:r>
      <w:r w:rsidR="006B2056" w:rsidRPr="001A4B94">
        <w:rPr>
          <w:rFonts w:eastAsiaTheme="minorHAnsi"/>
          <w:sz w:val="22"/>
          <w:szCs w:val="22"/>
          <w:lang w:val="tr-TR"/>
        </w:rPr>
        <w:t>Ancak şirket tahvilleri ihracındaki artış hedefi ile ilg</w:t>
      </w:r>
      <w:r w:rsidR="00E20993" w:rsidRPr="001A4B94">
        <w:rPr>
          <w:rFonts w:eastAsiaTheme="minorHAnsi"/>
          <w:sz w:val="22"/>
          <w:szCs w:val="22"/>
          <w:lang w:val="tr-TR"/>
        </w:rPr>
        <w:t>i</w:t>
      </w:r>
      <w:r w:rsidR="006B2056" w:rsidRPr="001A4B94">
        <w:rPr>
          <w:rFonts w:eastAsiaTheme="minorHAnsi"/>
          <w:sz w:val="22"/>
          <w:szCs w:val="22"/>
          <w:lang w:val="tr-TR"/>
        </w:rPr>
        <w:t xml:space="preserve">li alt gösterge </w:t>
      </w:r>
      <w:r w:rsidR="00747261" w:rsidRPr="001A4B94">
        <w:rPr>
          <w:rFonts w:eastAsiaTheme="minorHAnsi"/>
          <w:sz w:val="22"/>
          <w:szCs w:val="22"/>
          <w:lang w:val="tr-TR"/>
        </w:rPr>
        <w:t xml:space="preserve">(vi) </w:t>
      </w:r>
      <w:r w:rsidR="006B2056" w:rsidRPr="001A4B94">
        <w:rPr>
          <w:rFonts w:eastAsiaTheme="minorHAnsi"/>
          <w:sz w:val="22"/>
          <w:szCs w:val="22"/>
          <w:lang w:val="tr-TR"/>
        </w:rPr>
        <w:t>piyasadaki daralma sebebiyle başarılamamıştır. IBRD finansmanından yararlanan finansal kuruluşlar için takibe düşen kredil</w:t>
      </w:r>
      <w:r w:rsidR="00E20993" w:rsidRPr="001A4B94">
        <w:rPr>
          <w:rFonts w:eastAsiaTheme="minorHAnsi"/>
          <w:sz w:val="22"/>
          <w:szCs w:val="22"/>
          <w:lang w:val="tr-TR"/>
        </w:rPr>
        <w:t>e</w:t>
      </w:r>
      <w:r w:rsidR="006B2056" w:rsidRPr="001A4B94">
        <w:rPr>
          <w:rFonts w:eastAsiaTheme="minorHAnsi"/>
          <w:sz w:val="22"/>
          <w:szCs w:val="22"/>
          <w:lang w:val="tr-TR"/>
        </w:rPr>
        <w:t>rde daha iyi performans gösterilmesi üzerin</w:t>
      </w:r>
      <w:r w:rsidR="00E20993" w:rsidRPr="001A4B94">
        <w:rPr>
          <w:rFonts w:eastAsiaTheme="minorHAnsi"/>
          <w:sz w:val="22"/>
          <w:szCs w:val="22"/>
          <w:lang w:val="tr-TR"/>
        </w:rPr>
        <w:t>d</w:t>
      </w:r>
      <w:r w:rsidR="006B2056" w:rsidRPr="001A4B94">
        <w:rPr>
          <w:rFonts w:eastAsiaTheme="minorHAnsi"/>
          <w:sz w:val="22"/>
          <w:szCs w:val="22"/>
          <w:lang w:val="tr-TR"/>
        </w:rPr>
        <w:t xml:space="preserve">e odaklanan alt gösterge </w:t>
      </w:r>
      <w:r w:rsidR="00747261" w:rsidRPr="001A4B94">
        <w:rPr>
          <w:rFonts w:eastAsiaTheme="minorHAnsi"/>
          <w:sz w:val="22"/>
          <w:szCs w:val="22"/>
          <w:lang w:val="tr-TR"/>
        </w:rPr>
        <w:t xml:space="preserve">(vii) </w:t>
      </w:r>
      <w:r w:rsidR="006B2056" w:rsidRPr="001A4B94">
        <w:rPr>
          <w:rFonts w:eastAsiaTheme="minorHAnsi"/>
          <w:sz w:val="22"/>
          <w:szCs w:val="22"/>
          <w:lang w:val="tr-TR"/>
        </w:rPr>
        <w:t>karışık sonuçlar vermiştir</w:t>
      </w:r>
      <w:r w:rsidR="00747261" w:rsidRPr="001A4B94">
        <w:rPr>
          <w:rFonts w:eastAsiaTheme="minorHAnsi"/>
          <w:sz w:val="22"/>
          <w:szCs w:val="22"/>
          <w:lang w:val="tr-TR"/>
        </w:rPr>
        <w:t xml:space="preserve">. </w:t>
      </w:r>
      <w:r w:rsidR="006B2056" w:rsidRPr="001A4B94">
        <w:rPr>
          <w:rFonts w:eastAsiaTheme="minorHAnsi"/>
          <w:sz w:val="22"/>
          <w:szCs w:val="22"/>
          <w:lang w:val="tr-TR"/>
        </w:rPr>
        <w:t>Aynı zamanda, IFC programı ile ilişkili sonuç g</w:t>
      </w:r>
      <w:r w:rsidR="00E20993" w:rsidRPr="001A4B94">
        <w:rPr>
          <w:rFonts w:eastAsiaTheme="minorHAnsi"/>
          <w:sz w:val="22"/>
          <w:szCs w:val="22"/>
          <w:lang w:val="tr-TR"/>
        </w:rPr>
        <w:t>ö</w:t>
      </w:r>
      <w:r w:rsidR="006B2056" w:rsidRPr="001A4B94">
        <w:rPr>
          <w:rFonts w:eastAsiaTheme="minorHAnsi"/>
          <w:sz w:val="22"/>
          <w:szCs w:val="22"/>
          <w:lang w:val="tr-TR"/>
        </w:rPr>
        <w:t xml:space="preserve">stergeleri tamamen başarılmıştır: </w:t>
      </w:r>
      <w:r w:rsidR="00747261" w:rsidRPr="001A4B94">
        <w:rPr>
          <w:rFonts w:eastAsiaTheme="minorHAnsi"/>
          <w:sz w:val="22"/>
          <w:szCs w:val="22"/>
          <w:lang w:val="tr-TR"/>
        </w:rPr>
        <w:t xml:space="preserve">IFC </w:t>
      </w:r>
      <w:r w:rsidR="006B2056" w:rsidRPr="001A4B94">
        <w:rPr>
          <w:rFonts w:eastAsiaTheme="minorHAnsi"/>
          <w:sz w:val="22"/>
          <w:szCs w:val="22"/>
          <w:lang w:val="tr-TR"/>
        </w:rPr>
        <w:t>yaklaşık 760.000 KOBİ müşterisine ve yaklaşık 112.000 ilave çif</w:t>
      </w:r>
      <w:r w:rsidR="00E20993" w:rsidRPr="001A4B94">
        <w:rPr>
          <w:rFonts w:eastAsiaTheme="minorHAnsi"/>
          <w:sz w:val="22"/>
          <w:szCs w:val="22"/>
          <w:lang w:val="tr-TR"/>
        </w:rPr>
        <w:t>t</w:t>
      </w:r>
      <w:r w:rsidR="006B2056" w:rsidRPr="001A4B94">
        <w:rPr>
          <w:rFonts w:eastAsiaTheme="minorHAnsi"/>
          <w:sz w:val="22"/>
          <w:szCs w:val="22"/>
          <w:lang w:val="tr-TR"/>
        </w:rPr>
        <w:t xml:space="preserve">çiye ulaşmış ve 70.000 kişilik istihdam hedeflenirken yaklaşık 66.000 kişiye doğrudan iş yaratılmıştır </w:t>
      </w:r>
      <w:r w:rsidR="00747261" w:rsidRPr="001A4B94">
        <w:rPr>
          <w:rFonts w:eastAsiaTheme="minorHAnsi"/>
          <w:sz w:val="22"/>
          <w:szCs w:val="22"/>
          <w:lang w:val="tr-TR"/>
        </w:rPr>
        <w:t>(viii).</w:t>
      </w:r>
      <w:r w:rsidR="00747261" w:rsidRPr="001A4B94">
        <w:rPr>
          <w:rFonts w:eastAsiaTheme="minorHAnsi"/>
          <w:color w:val="FF0000"/>
          <w:sz w:val="22"/>
          <w:szCs w:val="22"/>
          <w:lang w:val="tr-TR"/>
        </w:rPr>
        <w:t xml:space="preserve"> </w:t>
      </w:r>
    </w:p>
    <w:p w14:paraId="41132FA9" w14:textId="77777777" w:rsidR="00747261" w:rsidRPr="001A4B94" w:rsidRDefault="00747261" w:rsidP="00747261">
      <w:pPr>
        <w:spacing w:before="120" w:after="160"/>
        <w:ind w:left="360"/>
        <w:contextualSpacing/>
        <w:jc w:val="both"/>
        <w:rPr>
          <w:rFonts w:eastAsiaTheme="minorHAnsi"/>
          <w:sz w:val="22"/>
          <w:szCs w:val="22"/>
          <w:lang w:val="tr-TR"/>
        </w:rPr>
      </w:pPr>
    </w:p>
    <w:p w14:paraId="18184482" w14:textId="5DD3F45F" w:rsidR="00747261" w:rsidRPr="001A4B94" w:rsidRDefault="00A04866" w:rsidP="00C24F8F">
      <w:pPr>
        <w:numPr>
          <w:ilvl w:val="0"/>
          <w:numId w:val="21"/>
        </w:numPr>
        <w:spacing w:before="120"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Bank</w:t>
      </w:r>
      <w:r w:rsidR="00E20993" w:rsidRPr="001A4B94">
        <w:rPr>
          <w:rFonts w:eastAsiaTheme="minorHAnsi"/>
          <w:b/>
          <w:sz w:val="22"/>
          <w:szCs w:val="22"/>
          <w:lang w:val="tr-TR"/>
        </w:rPr>
        <w:t>a</w:t>
      </w:r>
      <w:r w:rsidR="0035412A" w:rsidRPr="001A4B94">
        <w:rPr>
          <w:rFonts w:eastAsiaTheme="minorHAnsi"/>
          <w:b/>
          <w:sz w:val="22"/>
          <w:szCs w:val="22"/>
          <w:lang w:val="tr-TR"/>
        </w:rPr>
        <w:t>,</w:t>
      </w:r>
      <w:r w:rsidR="00747261" w:rsidRPr="001A4B94">
        <w:rPr>
          <w:rFonts w:eastAsiaTheme="minorHAnsi"/>
          <w:b/>
          <w:sz w:val="22"/>
          <w:szCs w:val="22"/>
          <w:lang w:val="tr-TR"/>
        </w:rPr>
        <w:t xml:space="preserve"> </w:t>
      </w:r>
      <w:r w:rsidR="00E20993" w:rsidRPr="001A4B94">
        <w:rPr>
          <w:rFonts w:eastAsiaTheme="minorHAnsi"/>
          <w:b/>
          <w:sz w:val="22"/>
          <w:szCs w:val="22"/>
          <w:lang w:val="tr-TR"/>
        </w:rPr>
        <w:t>kredi hatlarını bankacılık sektörü</w:t>
      </w:r>
      <w:r w:rsidR="0035412A" w:rsidRPr="001A4B94">
        <w:rPr>
          <w:rFonts w:eastAsiaTheme="minorHAnsi"/>
          <w:b/>
          <w:sz w:val="22"/>
          <w:szCs w:val="22"/>
          <w:lang w:val="tr-TR"/>
        </w:rPr>
        <w:t xml:space="preserve"> için </w:t>
      </w:r>
      <w:r w:rsidR="00E20993" w:rsidRPr="001A4B94">
        <w:rPr>
          <w:rFonts w:eastAsiaTheme="minorHAnsi"/>
          <w:b/>
          <w:sz w:val="22"/>
          <w:szCs w:val="22"/>
          <w:lang w:val="tr-TR"/>
        </w:rPr>
        <w:t>finansman vadesini uzatmaya yönelik bir köprü kredi gibi kullanarak</w:t>
      </w:r>
      <w:r w:rsidR="0035412A" w:rsidRPr="001A4B94">
        <w:rPr>
          <w:rFonts w:eastAsiaTheme="minorHAnsi"/>
          <w:b/>
          <w:sz w:val="22"/>
          <w:szCs w:val="22"/>
          <w:lang w:val="tr-TR"/>
        </w:rPr>
        <w:t xml:space="preserve"> ve </w:t>
      </w:r>
      <w:r w:rsidR="004C5A7F" w:rsidRPr="001A4B94">
        <w:rPr>
          <w:rFonts w:eastAsiaTheme="minorHAnsi"/>
          <w:b/>
          <w:sz w:val="22"/>
          <w:szCs w:val="22"/>
          <w:lang w:val="tr-TR"/>
        </w:rPr>
        <w:t xml:space="preserve">KOBİ’lerin, ihracatçıların ve diğer hedef sektörlerin </w:t>
      </w:r>
      <w:r w:rsidR="004C5A7F" w:rsidRPr="001A4B94">
        <w:rPr>
          <w:rFonts w:eastAsiaTheme="minorHAnsi"/>
          <w:sz w:val="22"/>
          <w:szCs w:val="22"/>
          <w:lang w:val="tr-TR"/>
        </w:rPr>
        <w:t xml:space="preserve">(yenilenebilir enerji ve enerji verimliliği gibi) </w:t>
      </w:r>
      <w:r w:rsidR="004C5A7F" w:rsidRPr="001A4B94">
        <w:rPr>
          <w:rFonts w:eastAsiaTheme="minorHAnsi"/>
          <w:b/>
          <w:sz w:val="22"/>
          <w:szCs w:val="22"/>
          <w:lang w:val="tr-TR"/>
        </w:rPr>
        <w:t xml:space="preserve">kullanabileceği araçların çeşitliliğini arttırarak, </w:t>
      </w:r>
      <w:r w:rsidR="0035412A" w:rsidRPr="001A4B94">
        <w:rPr>
          <w:rFonts w:eastAsiaTheme="minorHAnsi"/>
          <w:b/>
          <w:sz w:val="22"/>
          <w:szCs w:val="22"/>
          <w:lang w:val="tr-TR"/>
        </w:rPr>
        <w:t>2013 ve 2015 DPL finansmanlarını ve bir projeler dizisi</w:t>
      </w:r>
      <w:r w:rsidR="004C5A7F" w:rsidRPr="001A4B94">
        <w:rPr>
          <w:rFonts w:eastAsiaTheme="minorHAnsi"/>
          <w:b/>
          <w:sz w:val="22"/>
          <w:szCs w:val="22"/>
          <w:lang w:val="tr-TR"/>
        </w:rPr>
        <w:t>ni</w:t>
      </w:r>
      <w:r w:rsidR="0035412A" w:rsidRPr="001A4B94">
        <w:rPr>
          <w:rFonts w:eastAsiaTheme="minorHAnsi"/>
          <w:b/>
          <w:sz w:val="22"/>
          <w:szCs w:val="22"/>
          <w:lang w:val="tr-TR"/>
        </w:rPr>
        <w:t xml:space="preserve"> sunmuştur</w:t>
      </w:r>
      <w:r w:rsidR="00747261" w:rsidRPr="001A4B94">
        <w:rPr>
          <w:rFonts w:eastAsiaTheme="minorHAnsi"/>
          <w:sz w:val="22"/>
          <w:szCs w:val="22"/>
          <w:lang w:val="tr-TR"/>
        </w:rPr>
        <w:t xml:space="preserve">. </w:t>
      </w:r>
      <w:r w:rsidR="004C5A7F" w:rsidRPr="001A4B94">
        <w:rPr>
          <w:rFonts w:eastAsiaTheme="minorHAnsi"/>
          <w:sz w:val="22"/>
          <w:szCs w:val="22"/>
          <w:lang w:val="tr-TR"/>
        </w:rPr>
        <w:t xml:space="preserve">Danışmanlık </w:t>
      </w:r>
      <w:r w:rsidR="00B630A7" w:rsidRPr="001A4B94">
        <w:rPr>
          <w:rFonts w:eastAsiaTheme="minorHAnsi"/>
          <w:sz w:val="22"/>
          <w:szCs w:val="22"/>
          <w:lang w:val="tr-TR"/>
        </w:rPr>
        <w:t>Hizmetleri</w:t>
      </w:r>
      <w:r w:rsidR="004C5A7F" w:rsidRPr="001A4B94">
        <w:rPr>
          <w:rFonts w:eastAsiaTheme="minorHAnsi"/>
          <w:sz w:val="22"/>
          <w:szCs w:val="22"/>
          <w:lang w:val="tr-TR"/>
        </w:rPr>
        <w:t xml:space="preserve"> ve Analitik Çalışmalar </w:t>
      </w:r>
      <w:r w:rsidR="00747261" w:rsidRPr="001A4B94">
        <w:rPr>
          <w:rFonts w:eastAsiaTheme="minorHAnsi"/>
          <w:sz w:val="22"/>
          <w:szCs w:val="22"/>
          <w:lang w:val="tr-TR"/>
        </w:rPr>
        <w:t xml:space="preserve">(ASA) </w:t>
      </w:r>
      <w:r w:rsidR="004C5A7F" w:rsidRPr="001A4B94">
        <w:rPr>
          <w:rFonts w:eastAsiaTheme="minorHAnsi"/>
          <w:sz w:val="22"/>
          <w:szCs w:val="22"/>
          <w:lang w:val="tr-TR"/>
        </w:rPr>
        <w:t>bu projelerin tasarımı için bilgi girdisi sağlamış ve konsolide denetleme ve banka çözülümü</w:t>
      </w:r>
      <w:r w:rsidR="00747261" w:rsidRPr="001A4B94">
        <w:rPr>
          <w:rFonts w:eastAsiaTheme="minorHAnsi"/>
          <w:sz w:val="22"/>
          <w:szCs w:val="22"/>
          <w:lang w:val="tr-TR"/>
        </w:rPr>
        <w:t xml:space="preserve">, </w:t>
      </w:r>
      <w:r w:rsidR="004C5A7F" w:rsidRPr="001A4B94">
        <w:rPr>
          <w:rFonts w:eastAsiaTheme="minorHAnsi"/>
          <w:sz w:val="22"/>
          <w:szCs w:val="22"/>
          <w:lang w:val="tr-TR"/>
        </w:rPr>
        <w:t>şirket tahvilleri ile</w:t>
      </w:r>
      <w:r w:rsidR="00B630A7" w:rsidRPr="001A4B94">
        <w:rPr>
          <w:rFonts w:eastAsiaTheme="minorHAnsi"/>
          <w:sz w:val="22"/>
          <w:szCs w:val="22"/>
          <w:lang w:val="tr-TR"/>
        </w:rPr>
        <w:t xml:space="preserve"> </w:t>
      </w:r>
      <w:r w:rsidR="004C5A7F" w:rsidRPr="001A4B94">
        <w:rPr>
          <w:rFonts w:eastAsiaTheme="minorHAnsi"/>
          <w:sz w:val="22"/>
          <w:szCs w:val="22"/>
          <w:lang w:val="tr-TR"/>
        </w:rPr>
        <w:t xml:space="preserve">ilişkili olarak sermaye piyasasının </w:t>
      </w:r>
      <w:r w:rsidR="00B630A7" w:rsidRPr="001A4B94">
        <w:rPr>
          <w:rFonts w:eastAsiaTheme="minorHAnsi"/>
          <w:sz w:val="22"/>
          <w:szCs w:val="22"/>
          <w:lang w:val="tr-TR"/>
        </w:rPr>
        <w:t>geliştirilmesi</w:t>
      </w:r>
      <w:r w:rsidR="004C5A7F" w:rsidRPr="001A4B94">
        <w:rPr>
          <w:rFonts w:eastAsiaTheme="minorHAnsi"/>
          <w:sz w:val="22"/>
          <w:szCs w:val="22"/>
          <w:lang w:val="tr-TR"/>
        </w:rPr>
        <w:t xml:space="preserve"> (</w:t>
      </w:r>
      <w:r w:rsidR="00747261" w:rsidRPr="001A4B94">
        <w:rPr>
          <w:rFonts w:eastAsiaTheme="minorHAnsi"/>
          <w:sz w:val="22"/>
          <w:szCs w:val="22"/>
          <w:lang w:val="tr-TR"/>
        </w:rPr>
        <w:t>IFC</w:t>
      </w:r>
      <w:r w:rsidR="004C5A7F" w:rsidRPr="001A4B94">
        <w:rPr>
          <w:rFonts w:eastAsiaTheme="minorHAnsi"/>
          <w:sz w:val="22"/>
          <w:szCs w:val="22"/>
          <w:lang w:val="tr-TR"/>
        </w:rPr>
        <w:t xml:space="preserve"> ile ortaklaşa</w:t>
      </w:r>
      <w:r w:rsidR="00747261" w:rsidRPr="001A4B94">
        <w:rPr>
          <w:rFonts w:eastAsiaTheme="minorHAnsi"/>
          <w:sz w:val="22"/>
          <w:szCs w:val="22"/>
          <w:lang w:val="tr-TR"/>
        </w:rPr>
        <w:t xml:space="preserve">), </w:t>
      </w:r>
      <w:r w:rsidR="004C5A7F" w:rsidRPr="001A4B94">
        <w:rPr>
          <w:rFonts w:eastAsiaTheme="minorHAnsi"/>
          <w:sz w:val="22"/>
          <w:szCs w:val="22"/>
          <w:lang w:val="tr-TR"/>
        </w:rPr>
        <w:t>yatırım fonları</w:t>
      </w:r>
      <w:r w:rsidR="00747261" w:rsidRPr="001A4B94">
        <w:rPr>
          <w:rFonts w:eastAsiaTheme="minorHAnsi"/>
          <w:sz w:val="22"/>
          <w:szCs w:val="22"/>
          <w:lang w:val="tr-TR"/>
        </w:rPr>
        <w:t xml:space="preserve">, </w:t>
      </w:r>
      <w:r w:rsidR="004C5A7F" w:rsidRPr="001A4B94">
        <w:rPr>
          <w:rFonts w:eastAsiaTheme="minorHAnsi"/>
          <w:sz w:val="22"/>
          <w:szCs w:val="22"/>
          <w:lang w:val="tr-TR"/>
        </w:rPr>
        <w:t>emeklilik fonları</w:t>
      </w:r>
      <w:r w:rsidR="00747261" w:rsidRPr="001A4B94">
        <w:rPr>
          <w:rFonts w:eastAsiaTheme="minorHAnsi"/>
          <w:sz w:val="22"/>
          <w:szCs w:val="22"/>
          <w:lang w:val="tr-TR"/>
        </w:rPr>
        <w:t xml:space="preserve">, </w:t>
      </w:r>
      <w:r w:rsidR="004C5A7F" w:rsidRPr="001A4B94">
        <w:rPr>
          <w:rFonts w:eastAsiaTheme="minorHAnsi"/>
          <w:sz w:val="22"/>
          <w:szCs w:val="22"/>
          <w:lang w:val="tr-TR"/>
        </w:rPr>
        <w:t>mikro</w:t>
      </w:r>
      <w:r w:rsidR="00B630A7" w:rsidRPr="001A4B94">
        <w:rPr>
          <w:rFonts w:eastAsiaTheme="minorHAnsi"/>
          <w:sz w:val="22"/>
          <w:szCs w:val="22"/>
          <w:lang w:val="tr-TR"/>
        </w:rPr>
        <w:t>-</w:t>
      </w:r>
      <w:r w:rsidR="004C5A7F" w:rsidRPr="001A4B94">
        <w:rPr>
          <w:rFonts w:eastAsiaTheme="minorHAnsi"/>
          <w:sz w:val="22"/>
          <w:szCs w:val="22"/>
          <w:lang w:val="tr-TR"/>
        </w:rPr>
        <w:t>finans desteği</w:t>
      </w:r>
      <w:r w:rsidR="00747261" w:rsidRPr="001A4B94">
        <w:rPr>
          <w:rFonts w:eastAsiaTheme="minorHAnsi"/>
          <w:sz w:val="22"/>
          <w:szCs w:val="22"/>
          <w:lang w:val="tr-TR"/>
        </w:rPr>
        <w:t xml:space="preserve">, </w:t>
      </w:r>
      <w:r w:rsidR="004C5A7F" w:rsidRPr="001A4B94">
        <w:rPr>
          <w:rFonts w:eastAsiaTheme="minorHAnsi"/>
          <w:sz w:val="22"/>
          <w:szCs w:val="22"/>
          <w:lang w:val="tr-TR"/>
        </w:rPr>
        <w:t xml:space="preserve">finansal </w:t>
      </w:r>
      <w:r w:rsidR="00B630A7" w:rsidRPr="001A4B94">
        <w:rPr>
          <w:rFonts w:eastAsiaTheme="minorHAnsi"/>
          <w:sz w:val="22"/>
          <w:szCs w:val="22"/>
          <w:lang w:val="tr-TR"/>
        </w:rPr>
        <w:t>tabana</w:t>
      </w:r>
      <w:r w:rsidR="004C5A7F" w:rsidRPr="001A4B94">
        <w:rPr>
          <w:rFonts w:eastAsiaTheme="minorHAnsi"/>
          <w:sz w:val="22"/>
          <w:szCs w:val="22"/>
          <w:lang w:val="tr-TR"/>
        </w:rPr>
        <w:t xml:space="preserve"> yayma ve finansal sektör altyapısı (özellikle teminatlı işlemler ve ödeme gücü denetlemesinin güçlendirilmesi</w:t>
      </w:r>
      <w:r w:rsidR="00026721" w:rsidRPr="001A4B94">
        <w:rPr>
          <w:rFonts w:eastAsiaTheme="minorHAnsi"/>
          <w:sz w:val="22"/>
          <w:szCs w:val="22"/>
          <w:lang w:val="tr-TR"/>
        </w:rPr>
        <w:t xml:space="preserve">) </w:t>
      </w:r>
      <w:r w:rsidR="004C5A7F" w:rsidRPr="001A4B94">
        <w:rPr>
          <w:rFonts w:eastAsiaTheme="minorHAnsi"/>
          <w:sz w:val="22"/>
          <w:szCs w:val="22"/>
          <w:lang w:val="tr-TR"/>
        </w:rPr>
        <w:t>gibi konuları kapsamıştır</w:t>
      </w:r>
      <w:r w:rsidR="00747261" w:rsidRPr="001A4B94">
        <w:rPr>
          <w:rFonts w:eastAsiaTheme="minorHAnsi"/>
          <w:sz w:val="22"/>
          <w:szCs w:val="22"/>
          <w:lang w:val="tr-TR"/>
        </w:rPr>
        <w:t>.</w:t>
      </w:r>
      <w:r w:rsidR="00747261" w:rsidRPr="001A4B94">
        <w:rPr>
          <w:rFonts w:eastAsiaTheme="minorHAnsi"/>
          <w:b/>
          <w:sz w:val="22"/>
          <w:szCs w:val="22"/>
          <w:vertAlign w:val="superscript"/>
          <w:lang w:val="tr-TR"/>
        </w:rPr>
        <w:t xml:space="preserve"> </w:t>
      </w:r>
      <w:r w:rsidR="00747261" w:rsidRPr="001A4B94">
        <w:rPr>
          <w:rFonts w:eastAsiaTheme="minorHAnsi"/>
          <w:b/>
          <w:sz w:val="22"/>
          <w:szCs w:val="22"/>
          <w:vertAlign w:val="superscript"/>
          <w:lang w:val="tr-TR"/>
        </w:rPr>
        <w:footnoteReference w:id="8"/>
      </w:r>
      <w:r w:rsidR="00747261" w:rsidRPr="001A4B94">
        <w:rPr>
          <w:rFonts w:eastAsiaTheme="minorHAnsi"/>
          <w:sz w:val="22"/>
          <w:szCs w:val="22"/>
          <w:lang w:val="tr-TR"/>
        </w:rPr>
        <w:t xml:space="preserve">  </w:t>
      </w:r>
    </w:p>
    <w:p w14:paraId="7608E818" w14:textId="77777777" w:rsidR="00747261" w:rsidRPr="001A4B94" w:rsidRDefault="00747261" w:rsidP="00747261">
      <w:pPr>
        <w:spacing w:before="120" w:after="160"/>
        <w:ind w:left="360"/>
        <w:contextualSpacing/>
        <w:jc w:val="both"/>
        <w:rPr>
          <w:rFonts w:eastAsiaTheme="minorHAnsi"/>
          <w:sz w:val="22"/>
          <w:szCs w:val="22"/>
          <w:lang w:val="tr-TR"/>
        </w:rPr>
      </w:pPr>
    </w:p>
    <w:p w14:paraId="4EBCDBC0" w14:textId="1E631B2E" w:rsidR="00747261" w:rsidRPr="001A4B94" w:rsidRDefault="00A04866" w:rsidP="00C24F8F">
      <w:pPr>
        <w:numPr>
          <w:ilvl w:val="0"/>
          <w:numId w:val="21"/>
        </w:numPr>
        <w:spacing w:before="120"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4C5A7F" w:rsidRPr="001A4B94">
        <w:rPr>
          <w:rFonts w:eastAsiaTheme="minorHAnsi"/>
          <w:b/>
          <w:sz w:val="22"/>
          <w:szCs w:val="22"/>
          <w:lang w:val="tr-TR"/>
        </w:rPr>
        <w:t>IFC’nin katkısı, bankacılık sektöründe derinliğin ve rekabetin arttırılması ve kurumsal müşterilerin d</w:t>
      </w:r>
      <w:r w:rsidR="00B630A7" w:rsidRPr="001A4B94">
        <w:rPr>
          <w:rFonts w:eastAsiaTheme="minorHAnsi"/>
          <w:b/>
          <w:sz w:val="22"/>
          <w:szCs w:val="22"/>
          <w:lang w:val="tr-TR"/>
        </w:rPr>
        <w:t>e</w:t>
      </w:r>
      <w:r w:rsidR="004C5A7F" w:rsidRPr="001A4B94">
        <w:rPr>
          <w:rFonts w:eastAsiaTheme="minorHAnsi"/>
          <w:b/>
          <w:sz w:val="22"/>
          <w:szCs w:val="22"/>
          <w:lang w:val="tr-TR"/>
        </w:rPr>
        <w:t>steklenmesi için seküritizasyon yapısının kullanımını içermiştir</w:t>
      </w:r>
      <w:r w:rsidR="00747261" w:rsidRPr="001A4B94">
        <w:rPr>
          <w:rFonts w:eastAsiaTheme="minorHAnsi"/>
          <w:b/>
          <w:sz w:val="22"/>
          <w:szCs w:val="22"/>
          <w:lang w:val="tr-TR"/>
        </w:rPr>
        <w:t xml:space="preserve">.  </w:t>
      </w:r>
      <w:r w:rsidR="004C5A7F" w:rsidRPr="001A4B94">
        <w:rPr>
          <w:rFonts w:eastAsiaTheme="minorHAnsi"/>
          <w:sz w:val="22"/>
          <w:szCs w:val="22"/>
          <w:lang w:val="tr-TR"/>
        </w:rPr>
        <w:t xml:space="preserve">Önceki </w:t>
      </w:r>
      <w:r w:rsidR="00747261" w:rsidRPr="001A4B94">
        <w:rPr>
          <w:rFonts w:eastAsiaTheme="minorHAnsi"/>
          <w:sz w:val="22"/>
          <w:szCs w:val="22"/>
          <w:lang w:val="tr-TR"/>
        </w:rPr>
        <w:t xml:space="preserve">CPS </w:t>
      </w:r>
      <w:r w:rsidR="004C5A7F" w:rsidRPr="001A4B94">
        <w:rPr>
          <w:rFonts w:eastAsiaTheme="minorHAnsi"/>
          <w:sz w:val="22"/>
          <w:szCs w:val="22"/>
          <w:lang w:val="tr-TR"/>
        </w:rPr>
        <w:t xml:space="preserve">döneminde </w:t>
      </w:r>
      <w:r w:rsidR="00747261" w:rsidRPr="001A4B94">
        <w:rPr>
          <w:rFonts w:eastAsiaTheme="minorHAnsi"/>
          <w:sz w:val="22"/>
          <w:szCs w:val="22"/>
          <w:lang w:val="tr-TR"/>
        </w:rPr>
        <w:t>(</w:t>
      </w:r>
      <w:r w:rsidR="004C5A7F" w:rsidRPr="001A4B94">
        <w:rPr>
          <w:rFonts w:eastAsiaTheme="minorHAnsi"/>
          <w:sz w:val="22"/>
          <w:szCs w:val="22"/>
          <w:lang w:val="tr-TR"/>
        </w:rPr>
        <w:t>2008-11 MY</w:t>
      </w:r>
      <w:r w:rsidR="00747261" w:rsidRPr="001A4B94">
        <w:rPr>
          <w:rFonts w:eastAsiaTheme="minorHAnsi"/>
          <w:sz w:val="22"/>
          <w:szCs w:val="22"/>
          <w:lang w:val="tr-TR"/>
        </w:rPr>
        <w:t xml:space="preserve">), IFC </w:t>
      </w:r>
      <w:r w:rsidR="004C5A7F" w:rsidRPr="001A4B94">
        <w:rPr>
          <w:rFonts w:eastAsiaTheme="minorHAnsi"/>
          <w:sz w:val="22"/>
          <w:szCs w:val="22"/>
          <w:lang w:val="tr-TR"/>
        </w:rPr>
        <w:t xml:space="preserve">Türkiye’de Çeşitlendirilmiş Ödeme Hakları (DPR) varlık sınıfını yeniden canlandırmak için </w:t>
      </w:r>
      <w:r w:rsidR="00747261" w:rsidRPr="001A4B94">
        <w:rPr>
          <w:rFonts w:eastAsiaTheme="minorHAnsi"/>
          <w:sz w:val="22"/>
          <w:szCs w:val="22"/>
          <w:lang w:val="tr-TR"/>
        </w:rPr>
        <w:t xml:space="preserve">Akbank </w:t>
      </w:r>
      <w:r w:rsidR="004C5A7F" w:rsidRPr="001A4B94">
        <w:rPr>
          <w:rFonts w:eastAsiaTheme="minorHAnsi"/>
          <w:sz w:val="22"/>
          <w:szCs w:val="22"/>
          <w:lang w:val="tr-TR"/>
        </w:rPr>
        <w:t>ile birlikte çalışmıştı</w:t>
      </w:r>
      <w:r w:rsidR="00747261" w:rsidRPr="001A4B94">
        <w:rPr>
          <w:rFonts w:eastAsiaTheme="minorHAnsi"/>
          <w:sz w:val="22"/>
          <w:szCs w:val="22"/>
          <w:lang w:val="tr-TR"/>
        </w:rPr>
        <w:t xml:space="preserve">. </w:t>
      </w:r>
      <w:r w:rsidR="004C5A7F" w:rsidRPr="001A4B94">
        <w:rPr>
          <w:rFonts w:eastAsiaTheme="minorHAnsi"/>
          <w:sz w:val="22"/>
          <w:szCs w:val="22"/>
          <w:lang w:val="tr-TR"/>
        </w:rPr>
        <w:t>Bu başarılı ilk projeden sonra, Finansbank, Yapı</w:t>
      </w:r>
      <w:r w:rsidR="00747261" w:rsidRPr="001A4B94">
        <w:rPr>
          <w:rFonts w:eastAsiaTheme="minorHAnsi"/>
          <w:sz w:val="22"/>
          <w:szCs w:val="22"/>
          <w:lang w:val="tr-TR"/>
        </w:rPr>
        <w:t xml:space="preserve"> Kredi Bank, Denizbank </w:t>
      </w:r>
      <w:r w:rsidR="004C5A7F" w:rsidRPr="001A4B94">
        <w:rPr>
          <w:rFonts w:eastAsiaTheme="minorHAnsi"/>
          <w:sz w:val="22"/>
          <w:szCs w:val="22"/>
          <w:lang w:val="tr-TR"/>
        </w:rPr>
        <w:t xml:space="preserve">ve </w:t>
      </w:r>
      <w:r w:rsidR="00747261" w:rsidRPr="001A4B94">
        <w:rPr>
          <w:rFonts w:eastAsiaTheme="minorHAnsi"/>
          <w:sz w:val="22"/>
          <w:szCs w:val="22"/>
          <w:lang w:val="tr-TR"/>
        </w:rPr>
        <w:t>Garanti Bank</w:t>
      </w:r>
      <w:r w:rsidR="004C5A7F" w:rsidRPr="001A4B94">
        <w:rPr>
          <w:rFonts w:eastAsiaTheme="minorHAnsi"/>
          <w:sz w:val="22"/>
          <w:szCs w:val="22"/>
          <w:lang w:val="tr-TR"/>
        </w:rPr>
        <w:t xml:space="preserve">ası da IFC’nin desteği ile benzer programlar başlatmıştır ve DPR ihraçlarının tutarları </w:t>
      </w:r>
      <w:r w:rsidR="00F904DF" w:rsidRPr="001A4B94">
        <w:rPr>
          <w:rFonts w:eastAsiaTheme="minorHAnsi"/>
          <w:sz w:val="22"/>
          <w:szCs w:val="22"/>
          <w:lang w:val="tr-TR"/>
        </w:rPr>
        <w:t>tarımsal</w:t>
      </w:r>
      <w:r w:rsidR="004C5A7F" w:rsidRPr="001A4B94">
        <w:rPr>
          <w:rFonts w:eastAsiaTheme="minorHAnsi"/>
          <w:sz w:val="22"/>
          <w:szCs w:val="22"/>
          <w:lang w:val="tr-TR"/>
        </w:rPr>
        <w:t xml:space="preserve"> işletmelere</w:t>
      </w:r>
      <w:r w:rsidR="00747261" w:rsidRPr="001A4B94">
        <w:rPr>
          <w:rFonts w:eastAsiaTheme="minorHAnsi"/>
          <w:sz w:val="22"/>
          <w:szCs w:val="22"/>
          <w:lang w:val="tr-TR"/>
        </w:rPr>
        <w:t xml:space="preserve">, </w:t>
      </w:r>
      <w:r w:rsidR="004C5A7F" w:rsidRPr="001A4B94">
        <w:rPr>
          <w:rFonts w:eastAsiaTheme="minorHAnsi"/>
          <w:sz w:val="22"/>
          <w:szCs w:val="22"/>
          <w:lang w:val="tr-TR"/>
        </w:rPr>
        <w:t>M-KOBİ’lere ve sürdürülebilir enerji projelerine kredi kullandırmak için kullanılmıştır.  Güçlü kr</w:t>
      </w:r>
      <w:r w:rsidR="00026721" w:rsidRPr="001A4B94">
        <w:rPr>
          <w:rFonts w:eastAsiaTheme="minorHAnsi"/>
          <w:sz w:val="22"/>
          <w:szCs w:val="22"/>
          <w:lang w:val="tr-TR"/>
        </w:rPr>
        <w:t>e</w:t>
      </w:r>
      <w:r w:rsidR="004C5A7F" w:rsidRPr="001A4B94">
        <w:rPr>
          <w:rFonts w:eastAsiaTheme="minorHAnsi"/>
          <w:sz w:val="22"/>
          <w:szCs w:val="22"/>
          <w:lang w:val="tr-TR"/>
        </w:rPr>
        <w:t>di yapıları ve kıyı ötesi na</w:t>
      </w:r>
      <w:r w:rsidR="00B630A7" w:rsidRPr="001A4B94">
        <w:rPr>
          <w:rFonts w:eastAsiaTheme="minorHAnsi"/>
          <w:sz w:val="22"/>
          <w:szCs w:val="22"/>
          <w:lang w:val="tr-TR"/>
        </w:rPr>
        <w:t>k</w:t>
      </w:r>
      <w:r w:rsidR="004C5A7F" w:rsidRPr="001A4B94">
        <w:rPr>
          <w:rFonts w:eastAsiaTheme="minorHAnsi"/>
          <w:sz w:val="22"/>
          <w:szCs w:val="22"/>
          <w:lang w:val="tr-TR"/>
        </w:rPr>
        <w:t>it akışlarına bağlı olmaları sebebiyle DPR’lar o zamandan bu yana Türk bankalarına uzun vadeli sermaye sağlamak için kritik araçlardan birisi haline gelmiştir</w:t>
      </w:r>
      <w:r w:rsidR="00747261" w:rsidRPr="001A4B94">
        <w:rPr>
          <w:rFonts w:eastAsiaTheme="minorHAnsi"/>
          <w:sz w:val="22"/>
          <w:szCs w:val="22"/>
          <w:lang w:val="tr-TR"/>
        </w:rPr>
        <w:t xml:space="preserve">. IFC </w:t>
      </w:r>
      <w:r w:rsidR="004C5A7F" w:rsidRPr="001A4B94">
        <w:rPr>
          <w:rFonts w:eastAsiaTheme="minorHAnsi"/>
          <w:sz w:val="22"/>
          <w:szCs w:val="22"/>
          <w:lang w:val="tr-TR"/>
        </w:rPr>
        <w:t>Türk şirketleri ile doğrudan birlikte çalışarak sermaye piyasası finansmanına erişimlerine yardımcı olmuştur</w:t>
      </w:r>
      <w:r w:rsidR="00747261" w:rsidRPr="001A4B94">
        <w:rPr>
          <w:rFonts w:eastAsiaTheme="minorHAnsi"/>
          <w:sz w:val="22"/>
          <w:szCs w:val="22"/>
          <w:lang w:val="tr-TR"/>
        </w:rPr>
        <w:t xml:space="preserve">. </w:t>
      </w:r>
      <w:r w:rsidR="004C5A7F" w:rsidRPr="001A4B94">
        <w:rPr>
          <w:rFonts w:eastAsiaTheme="minorHAnsi"/>
          <w:sz w:val="22"/>
          <w:szCs w:val="22"/>
          <w:lang w:val="tr-TR"/>
        </w:rPr>
        <w:t>Mersin Uluslararası Limanı tarafından gerçekleştirilen 450 milyon $’lık Eurobond ihracına çıpa yatırımcı olarak destek vermiştir ve bu Türkiye’nin ilk ve tek varlık altyapısı Eurobond ihracı olmuştur</w:t>
      </w:r>
      <w:r w:rsidR="00747261" w:rsidRPr="001A4B94">
        <w:rPr>
          <w:rFonts w:eastAsiaTheme="minorHAnsi"/>
          <w:sz w:val="22"/>
          <w:szCs w:val="22"/>
          <w:lang w:val="tr-TR"/>
        </w:rPr>
        <w:t>.</w:t>
      </w:r>
    </w:p>
    <w:p w14:paraId="3E47387B" w14:textId="77777777" w:rsidR="00747261" w:rsidRPr="001A4B94" w:rsidRDefault="00747261" w:rsidP="00747261">
      <w:pPr>
        <w:spacing w:after="160" w:line="259" w:lineRule="auto"/>
        <w:ind w:left="720"/>
        <w:contextualSpacing/>
        <w:rPr>
          <w:rFonts w:eastAsiaTheme="minorHAnsi"/>
          <w:sz w:val="22"/>
          <w:szCs w:val="22"/>
          <w:lang w:val="tr-TR"/>
        </w:rPr>
      </w:pPr>
    </w:p>
    <w:p w14:paraId="4D4E9775" w14:textId="5B167C51" w:rsidR="00747261" w:rsidRPr="001A4B94" w:rsidRDefault="004C5A7F" w:rsidP="00C24F8F">
      <w:pPr>
        <w:numPr>
          <w:ilvl w:val="0"/>
          <w:numId w:val="21"/>
        </w:numPr>
        <w:spacing w:before="120" w:after="160" w:line="259" w:lineRule="auto"/>
        <w:contextualSpacing/>
        <w:jc w:val="both"/>
        <w:rPr>
          <w:rFonts w:eastAsiaTheme="minorHAnsi"/>
          <w:b/>
          <w:sz w:val="22"/>
          <w:szCs w:val="22"/>
          <w:lang w:val="tr-TR"/>
        </w:rPr>
      </w:pPr>
      <w:r w:rsidRPr="001A4B94">
        <w:rPr>
          <w:rFonts w:eastAsiaTheme="minorHAnsi"/>
          <w:sz w:val="22"/>
          <w:szCs w:val="22"/>
          <w:lang w:val="tr-TR"/>
        </w:rPr>
        <w:t>Beşeri kalkınma ile ilg</w:t>
      </w:r>
      <w:r w:rsidR="00B630A7" w:rsidRPr="001A4B94">
        <w:rPr>
          <w:rFonts w:eastAsiaTheme="minorHAnsi"/>
          <w:sz w:val="22"/>
          <w:szCs w:val="22"/>
          <w:lang w:val="tr-TR"/>
        </w:rPr>
        <w:t>i</w:t>
      </w:r>
      <w:r w:rsidRPr="001A4B94">
        <w:rPr>
          <w:rFonts w:eastAsiaTheme="minorHAnsi"/>
          <w:sz w:val="22"/>
          <w:szCs w:val="22"/>
          <w:lang w:val="tr-TR"/>
        </w:rPr>
        <w:t xml:space="preserve">li program odaklı bir Teknik </w:t>
      </w:r>
      <w:r w:rsidR="00026721" w:rsidRPr="001A4B94">
        <w:rPr>
          <w:rFonts w:eastAsiaTheme="minorHAnsi"/>
          <w:sz w:val="22"/>
          <w:szCs w:val="22"/>
          <w:lang w:val="tr-TR"/>
        </w:rPr>
        <w:t>Y</w:t>
      </w:r>
      <w:r w:rsidRPr="001A4B94">
        <w:rPr>
          <w:rFonts w:eastAsiaTheme="minorHAnsi"/>
          <w:sz w:val="22"/>
          <w:szCs w:val="22"/>
          <w:lang w:val="tr-TR"/>
        </w:rPr>
        <w:t xml:space="preserve">ardım </w:t>
      </w:r>
      <w:r w:rsidR="00747261" w:rsidRPr="001A4B94">
        <w:rPr>
          <w:rFonts w:eastAsiaTheme="minorHAnsi"/>
          <w:sz w:val="22"/>
          <w:szCs w:val="22"/>
          <w:lang w:val="tr-TR"/>
        </w:rPr>
        <w:t>(</w:t>
      </w:r>
      <w:r w:rsidRPr="001A4B94">
        <w:rPr>
          <w:rFonts w:eastAsiaTheme="minorHAnsi"/>
          <w:sz w:val="22"/>
          <w:szCs w:val="22"/>
          <w:lang w:val="tr-TR"/>
        </w:rPr>
        <w:t>2012-13 MY</w:t>
      </w:r>
      <w:r w:rsidR="00747261" w:rsidRPr="001A4B94">
        <w:rPr>
          <w:rFonts w:eastAsiaTheme="minorHAnsi"/>
          <w:sz w:val="22"/>
          <w:szCs w:val="22"/>
          <w:lang w:val="tr-TR"/>
        </w:rPr>
        <w:t xml:space="preserve">), </w:t>
      </w:r>
      <w:r w:rsidRPr="001A4B94">
        <w:rPr>
          <w:rFonts w:eastAsiaTheme="minorHAnsi"/>
          <w:sz w:val="22"/>
          <w:szCs w:val="22"/>
          <w:lang w:val="tr-TR"/>
        </w:rPr>
        <w:t xml:space="preserve">program odaklı bir istihdam dizisi </w:t>
      </w:r>
      <w:r w:rsidR="00747261" w:rsidRPr="001A4B94">
        <w:rPr>
          <w:rFonts w:eastAsiaTheme="minorHAnsi"/>
          <w:sz w:val="22"/>
          <w:szCs w:val="22"/>
          <w:lang w:val="tr-TR"/>
        </w:rPr>
        <w:t>(</w:t>
      </w:r>
      <w:r w:rsidRPr="001A4B94">
        <w:rPr>
          <w:rFonts w:eastAsiaTheme="minorHAnsi"/>
          <w:sz w:val="22"/>
          <w:szCs w:val="22"/>
          <w:lang w:val="tr-TR"/>
        </w:rPr>
        <w:t>2012-15 MY</w:t>
      </w:r>
      <w:r w:rsidR="00747261" w:rsidRPr="001A4B94">
        <w:rPr>
          <w:rFonts w:eastAsiaTheme="minorHAnsi"/>
          <w:sz w:val="22"/>
          <w:szCs w:val="22"/>
          <w:lang w:val="tr-TR"/>
        </w:rPr>
        <w:t xml:space="preserve">), </w:t>
      </w:r>
      <w:r w:rsidRPr="001A4B94">
        <w:rPr>
          <w:rFonts w:eastAsiaTheme="minorHAnsi"/>
          <w:sz w:val="22"/>
          <w:szCs w:val="22"/>
          <w:lang w:val="tr-TR"/>
        </w:rPr>
        <w:t xml:space="preserve">rekabetçilik analizi </w:t>
      </w:r>
      <w:r w:rsidR="00747261" w:rsidRPr="001A4B94">
        <w:rPr>
          <w:rFonts w:eastAsiaTheme="minorHAnsi"/>
          <w:sz w:val="22"/>
          <w:szCs w:val="22"/>
          <w:lang w:val="tr-TR"/>
        </w:rPr>
        <w:t>(</w:t>
      </w:r>
      <w:r w:rsidRPr="001A4B94">
        <w:rPr>
          <w:rFonts w:eastAsiaTheme="minorHAnsi"/>
          <w:sz w:val="22"/>
          <w:szCs w:val="22"/>
          <w:lang w:val="tr-TR"/>
        </w:rPr>
        <w:t>2014 MY</w:t>
      </w:r>
      <w:r w:rsidR="00747261" w:rsidRPr="001A4B94">
        <w:rPr>
          <w:rFonts w:eastAsiaTheme="minorHAnsi"/>
          <w:sz w:val="22"/>
          <w:szCs w:val="22"/>
          <w:lang w:val="tr-TR"/>
        </w:rPr>
        <w:t xml:space="preserve">), </w:t>
      </w:r>
      <w:r w:rsidRPr="001A4B94">
        <w:rPr>
          <w:rFonts w:eastAsiaTheme="minorHAnsi"/>
          <w:sz w:val="22"/>
          <w:szCs w:val="22"/>
          <w:lang w:val="tr-TR"/>
        </w:rPr>
        <w:t xml:space="preserve">yenilikçilik ve iş ortamı </w:t>
      </w:r>
      <w:r w:rsidR="00747261" w:rsidRPr="001A4B94">
        <w:rPr>
          <w:rFonts w:eastAsiaTheme="minorHAnsi"/>
          <w:sz w:val="22"/>
          <w:szCs w:val="22"/>
          <w:lang w:val="tr-TR"/>
        </w:rPr>
        <w:t>(</w:t>
      </w:r>
      <w:r w:rsidRPr="001A4B94">
        <w:rPr>
          <w:rFonts w:eastAsiaTheme="minorHAnsi"/>
          <w:sz w:val="22"/>
          <w:szCs w:val="22"/>
          <w:lang w:val="tr-TR"/>
        </w:rPr>
        <w:t>2015 MY</w:t>
      </w:r>
      <w:r w:rsidR="00747261" w:rsidRPr="001A4B94">
        <w:rPr>
          <w:rFonts w:eastAsiaTheme="minorHAnsi"/>
          <w:sz w:val="22"/>
          <w:szCs w:val="22"/>
          <w:lang w:val="tr-TR"/>
        </w:rPr>
        <w:t xml:space="preserve">), </w:t>
      </w:r>
      <w:r w:rsidRPr="001A4B94">
        <w:rPr>
          <w:rFonts w:eastAsiaTheme="minorHAnsi"/>
          <w:sz w:val="22"/>
          <w:szCs w:val="22"/>
          <w:lang w:val="tr-TR"/>
        </w:rPr>
        <w:t>değer zinciri ticareti</w:t>
      </w:r>
      <w:r w:rsidR="00747261" w:rsidRPr="001A4B94">
        <w:rPr>
          <w:rFonts w:eastAsiaTheme="minorHAnsi"/>
          <w:sz w:val="22"/>
          <w:szCs w:val="22"/>
          <w:lang w:val="tr-TR"/>
        </w:rPr>
        <w:t xml:space="preserve">, </w:t>
      </w:r>
      <w:r w:rsidRPr="001A4B94">
        <w:rPr>
          <w:rFonts w:eastAsiaTheme="minorHAnsi"/>
          <w:sz w:val="22"/>
          <w:szCs w:val="22"/>
          <w:lang w:val="tr-TR"/>
        </w:rPr>
        <w:t xml:space="preserve">hizmetler ve lojistik program odaklı çalışma dizileri (2015 MY’dan itibaren) yoluyla </w:t>
      </w:r>
      <w:r w:rsidRPr="001A4B94">
        <w:rPr>
          <w:rFonts w:eastAsiaTheme="minorHAnsi"/>
          <w:b/>
          <w:sz w:val="22"/>
          <w:szCs w:val="22"/>
          <w:lang w:val="tr-TR"/>
        </w:rPr>
        <w:t xml:space="preserve">istihdam yaratma ve yatırım ortamı ile ilgili bilgiler </w:t>
      </w:r>
      <w:r w:rsidRPr="001A4B94">
        <w:rPr>
          <w:rFonts w:eastAsiaTheme="minorHAnsi"/>
          <w:sz w:val="22"/>
          <w:szCs w:val="22"/>
          <w:lang w:val="tr-TR"/>
        </w:rPr>
        <w:t>üretilmiştir.</w:t>
      </w:r>
      <w:r w:rsidRPr="001A4B94">
        <w:rPr>
          <w:rFonts w:eastAsiaTheme="minorHAnsi"/>
          <w:b/>
          <w:sz w:val="22"/>
          <w:szCs w:val="22"/>
          <w:lang w:val="tr-TR"/>
        </w:rPr>
        <w:t xml:space="preserve"> </w:t>
      </w:r>
      <w:r w:rsidRPr="001A4B94">
        <w:rPr>
          <w:rFonts w:eastAsiaTheme="minorHAnsi"/>
          <w:sz w:val="22"/>
          <w:szCs w:val="22"/>
          <w:lang w:val="tr-TR"/>
        </w:rPr>
        <w:t>AB’nin Katılım Öncesi Yardım Aracı (IPA) ile finanse edilen</w:t>
      </w:r>
      <w:r w:rsidRPr="001A4B94">
        <w:rPr>
          <w:rFonts w:eastAsiaTheme="minorHAnsi"/>
          <w:b/>
          <w:sz w:val="22"/>
          <w:szCs w:val="22"/>
          <w:lang w:val="tr-TR"/>
        </w:rPr>
        <w:t xml:space="preserve"> </w:t>
      </w:r>
      <w:r w:rsidRPr="001A4B94">
        <w:rPr>
          <w:rFonts w:eastAsiaTheme="minorHAnsi"/>
          <w:sz w:val="22"/>
          <w:szCs w:val="22"/>
          <w:lang w:val="tr-TR"/>
        </w:rPr>
        <w:t>ve Türkiye’deki ilk Geri Ödenebili</w:t>
      </w:r>
      <w:r w:rsidR="00B630A7" w:rsidRPr="001A4B94">
        <w:rPr>
          <w:rFonts w:eastAsiaTheme="minorHAnsi"/>
          <w:sz w:val="22"/>
          <w:szCs w:val="22"/>
          <w:lang w:val="tr-TR"/>
        </w:rPr>
        <w:t>r</w:t>
      </w:r>
      <w:r w:rsidRPr="001A4B94">
        <w:rPr>
          <w:rFonts w:eastAsiaTheme="minorHAnsi"/>
          <w:sz w:val="22"/>
          <w:szCs w:val="22"/>
          <w:lang w:val="tr-TR"/>
        </w:rPr>
        <w:t xml:space="preserve"> Danışmanlık Hizmeti (RAS) çıktısı olan</w:t>
      </w:r>
      <w:r w:rsidRPr="001A4B94">
        <w:rPr>
          <w:rFonts w:eastAsiaTheme="minorHAnsi"/>
          <w:b/>
          <w:sz w:val="22"/>
          <w:szCs w:val="22"/>
          <w:lang w:val="tr-TR"/>
        </w:rPr>
        <w:t xml:space="preserve"> </w:t>
      </w:r>
      <w:r w:rsidRPr="001A4B94">
        <w:rPr>
          <w:rFonts w:eastAsiaTheme="minorHAnsi"/>
          <w:sz w:val="22"/>
          <w:szCs w:val="22"/>
          <w:lang w:val="tr-TR"/>
        </w:rPr>
        <w:t>Bölgesel Yatırım Ortamı Değerlendirmesi</w:t>
      </w:r>
      <w:r w:rsidRPr="001A4B94">
        <w:rPr>
          <w:rFonts w:eastAsiaTheme="minorHAnsi"/>
          <w:b/>
          <w:sz w:val="22"/>
          <w:szCs w:val="22"/>
          <w:lang w:val="tr-TR"/>
        </w:rPr>
        <w:t xml:space="preserve"> </w:t>
      </w:r>
      <w:r w:rsidR="00747261" w:rsidRPr="001A4B94">
        <w:rPr>
          <w:rFonts w:eastAsiaTheme="minorHAnsi"/>
          <w:sz w:val="22"/>
          <w:szCs w:val="22"/>
          <w:lang w:val="tr-TR"/>
        </w:rPr>
        <w:t xml:space="preserve">(RICA) </w:t>
      </w:r>
      <w:r w:rsidRPr="001A4B94">
        <w:rPr>
          <w:rFonts w:eastAsiaTheme="minorHAnsi"/>
          <w:sz w:val="22"/>
          <w:szCs w:val="22"/>
          <w:lang w:val="tr-TR"/>
        </w:rPr>
        <w:t>projesi tamamlanmıştır. Ayrıca Eylül 2016’da bölg</w:t>
      </w:r>
      <w:r w:rsidR="00B630A7" w:rsidRPr="001A4B94">
        <w:rPr>
          <w:rFonts w:eastAsiaTheme="minorHAnsi"/>
          <w:sz w:val="22"/>
          <w:szCs w:val="22"/>
          <w:lang w:val="tr-TR"/>
        </w:rPr>
        <w:t>e</w:t>
      </w:r>
      <w:r w:rsidRPr="001A4B94">
        <w:rPr>
          <w:rFonts w:eastAsiaTheme="minorHAnsi"/>
          <w:sz w:val="22"/>
          <w:szCs w:val="22"/>
          <w:lang w:val="tr-TR"/>
        </w:rPr>
        <w:t>sel düzeydeki</w:t>
      </w:r>
      <w:r w:rsidR="00B630A7" w:rsidRPr="001A4B94">
        <w:rPr>
          <w:rFonts w:eastAsiaTheme="minorHAnsi"/>
          <w:sz w:val="22"/>
          <w:szCs w:val="22"/>
          <w:lang w:val="tr-TR"/>
        </w:rPr>
        <w:t xml:space="preserve"> </w:t>
      </w:r>
      <w:r w:rsidRPr="001A4B94">
        <w:rPr>
          <w:rFonts w:eastAsiaTheme="minorHAnsi"/>
          <w:sz w:val="22"/>
          <w:szCs w:val="22"/>
          <w:lang w:val="tr-TR"/>
        </w:rPr>
        <w:t>bir işletme anketi de tamamlanmıştır</w:t>
      </w:r>
      <w:r w:rsidR="00747261" w:rsidRPr="001A4B94">
        <w:rPr>
          <w:rFonts w:eastAsiaTheme="minorHAnsi"/>
          <w:b/>
          <w:sz w:val="22"/>
          <w:szCs w:val="22"/>
          <w:lang w:val="tr-TR"/>
        </w:rPr>
        <w:t xml:space="preserve">. </w:t>
      </w:r>
    </w:p>
    <w:p w14:paraId="5B153600" w14:textId="77777777" w:rsidR="00747261" w:rsidRPr="001A4B94" w:rsidRDefault="00747261" w:rsidP="00747261">
      <w:pPr>
        <w:spacing w:before="120"/>
        <w:ind w:left="360"/>
        <w:jc w:val="both"/>
        <w:rPr>
          <w:rFonts w:eastAsiaTheme="minorEastAsia"/>
          <w:lang w:val="tr-TR" w:eastAsia="ja-JP"/>
        </w:rPr>
      </w:pPr>
    </w:p>
    <w:p w14:paraId="57C57750" w14:textId="62281B62" w:rsidR="00747261" w:rsidRPr="001A4B94" w:rsidRDefault="00747261" w:rsidP="00747261">
      <w:pPr>
        <w:spacing w:after="160"/>
        <w:ind w:left="360"/>
        <w:jc w:val="both"/>
        <w:rPr>
          <w:rFonts w:eastAsiaTheme="minorHAnsi"/>
          <w:b/>
          <w:sz w:val="22"/>
          <w:szCs w:val="22"/>
          <w:lang w:val="tr-TR"/>
        </w:rPr>
      </w:pPr>
      <w:r w:rsidRPr="001A4B94">
        <w:rPr>
          <w:rFonts w:eastAsiaTheme="minorHAnsi"/>
          <w:b/>
          <w:sz w:val="22"/>
          <w:szCs w:val="22"/>
          <w:lang w:val="tr-TR"/>
        </w:rPr>
        <w:lastRenderedPageBreak/>
        <w:t xml:space="preserve">A.3. </w:t>
      </w:r>
      <w:r w:rsidR="00B630A7" w:rsidRPr="001A4B94">
        <w:rPr>
          <w:rFonts w:eastAsiaTheme="minorHAnsi"/>
          <w:b/>
          <w:sz w:val="22"/>
          <w:szCs w:val="22"/>
          <w:lang w:val="tr-TR"/>
        </w:rPr>
        <w:t xml:space="preserve">Sonuç Alanı </w:t>
      </w:r>
      <w:r w:rsidRPr="001A4B94">
        <w:rPr>
          <w:rFonts w:eastAsiaTheme="minorHAnsi"/>
          <w:b/>
          <w:sz w:val="22"/>
          <w:szCs w:val="22"/>
          <w:lang w:val="tr-TR"/>
        </w:rPr>
        <w:t xml:space="preserve">3: </w:t>
      </w:r>
      <w:r w:rsidR="00B630A7" w:rsidRPr="001A4B94">
        <w:rPr>
          <w:rFonts w:eastAsiaTheme="minorHAnsi"/>
          <w:b/>
          <w:sz w:val="22"/>
          <w:szCs w:val="22"/>
          <w:lang w:val="tr-TR"/>
        </w:rPr>
        <w:t xml:space="preserve">Adil bir oyun alanı sağlamak için şeffaflığı arttırarak yönetişimin iyileştirilmesi  </w:t>
      </w:r>
    </w:p>
    <w:p w14:paraId="4D7F25AF" w14:textId="00B0450A" w:rsidR="00747261" w:rsidRPr="001A4B94" w:rsidRDefault="00A04866" w:rsidP="00B770D8">
      <w:pPr>
        <w:numPr>
          <w:ilvl w:val="0"/>
          <w:numId w:val="21"/>
        </w:numPr>
        <w:spacing w:before="120" w:after="160" w:line="259" w:lineRule="auto"/>
        <w:contextualSpacing/>
        <w:jc w:val="both"/>
        <w:rPr>
          <w:sz w:val="22"/>
          <w:szCs w:val="22"/>
          <w:lang w:val="tr-TR"/>
        </w:rPr>
      </w:pPr>
      <w:r w:rsidRPr="001A4B94">
        <w:rPr>
          <w:rFonts w:eastAsiaTheme="minorHAnsi"/>
          <w:b/>
          <w:sz w:val="22"/>
          <w:szCs w:val="22"/>
          <w:lang w:val="tr-TR"/>
        </w:rPr>
        <w:t xml:space="preserve"> </w:t>
      </w:r>
      <w:r w:rsidR="00B630A7" w:rsidRPr="001A4B94">
        <w:rPr>
          <w:rFonts w:eastAsiaTheme="minorHAnsi"/>
          <w:b/>
          <w:sz w:val="22"/>
          <w:szCs w:val="22"/>
          <w:lang w:val="tr-TR"/>
        </w:rPr>
        <w:t>Bu sonuç tamamen başarılmıştır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B630A7" w:rsidRPr="001A4B94">
        <w:rPr>
          <w:rFonts w:eastAsiaTheme="minorHAnsi"/>
          <w:sz w:val="22"/>
          <w:szCs w:val="22"/>
          <w:lang w:val="tr-TR"/>
        </w:rPr>
        <w:t>19 Mart 2016 tarihli Resmi Gazete’de yayınlanan Bakanlar Kurulu Kararı şirketler için denetim şartını belirleyen eşik değeri daha da düşürdü</w:t>
      </w:r>
      <w:r w:rsidR="00747261" w:rsidRPr="001A4B94">
        <w:rPr>
          <w:rFonts w:eastAsiaTheme="minorHAnsi"/>
          <w:sz w:val="22"/>
          <w:szCs w:val="22"/>
          <w:lang w:val="tr-TR"/>
        </w:rPr>
        <w:t xml:space="preserve">. </w:t>
      </w:r>
      <w:r w:rsidR="00B630A7" w:rsidRPr="001A4B94">
        <w:rPr>
          <w:rFonts w:eastAsiaTheme="minorHAnsi"/>
          <w:sz w:val="22"/>
          <w:szCs w:val="22"/>
          <w:lang w:val="tr-TR"/>
        </w:rPr>
        <w:t xml:space="preserve">Yeni eşik değer sayesinde, belirlenen hedef  3.500 şirket olmasına rağmen, 2016 sonu itibariyle bağımsız denetim yaptıran şirketlerin sayısının 5.000’i geçmesi beklenmektedir </w:t>
      </w:r>
      <w:r w:rsidR="00747261" w:rsidRPr="001A4B94">
        <w:rPr>
          <w:rFonts w:eastAsiaTheme="minorHAnsi"/>
          <w:sz w:val="22"/>
          <w:szCs w:val="22"/>
          <w:lang w:val="tr-TR"/>
        </w:rPr>
        <w:t xml:space="preserve">(2013 </w:t>
      </w:r>
      <w:r w:rsidR="00B630A7" w:rsidRPr="001A4B94">
        <w:rPr>
          <w:rFonts w:eastAsiaTheme="minorHAnsi"/>
          <w:sz w:val="22"/>
          <w:szCs w:val="22"/>
          <w:lang w:val="tr-TR"/>
        </w:rPr>
        <w:t>yılındaki başlangıç değeri 2.500 idi</w:t>
      </w:r>
      <w:r w:rsidR="00747261" w:rsidRPr="001A4B94">
        <w:rPr>
          <w:rFonts w:eastAsiaTheme="minorHAnsi"/>
          <w:sz w:val="22"/>
          <w:szCs w:val="22"/>
          <w:lang w:val="tr-TR"/>
        </w:rPr>
        <w:t>).</w:t>
      </w:r>
      <w:r w:rsidR="00747261" w:rsidRPr="001A4B94">
        <w:rPr>
          <w:sz w:val="22"/>
          <w:szCs w:val="22"/>
          <w:lang w:val="tr-TR"/>
        </w:rPr>
        <w:t xml:space="preserve">  </w:t>
      </w:r>
    </w:p>
    <w:p w14:paraId="21D57A73" w14:textId="77777777" w:rsidR="00747261" w:rsidRPr="001A4B94" w:rsidRDefault="00747261" w:rsidP="00747261">
      <w:pPr>
        <w:spacing w:before="120" w:after="160"/>
        <w:ind w:left="360"/>
        <w:contextualSpacing/>
        <w:jc w:val="both"/>
        <w:rPr>
          <w:sz w:val="22"/>
          <w:szCs w:val="22"/>
          <w:lang w:val="tr-TR"/>
        </w:rPr>
      </w:pPr>
    </w:p>
    <w:p w14:paraId="15C75962" w14:textId="7578647B" w:rsidR="00747261" w:rsidRPr="001A4B94" w:rsidRDefault="00A04866" w:rsidP="00EF776F">
      <w:pPr>
        <w:numPr>
          <w:ilvl w:val="0"/>
          <w:numId w:val="21"/>
        </w:numPr>
        <w:spacing w:before="120" w:after="160" w:line="259" w:lineRule="auto"/>
        <w:contextualSpacing/>
        <w:jc w:val="both"/>
        <w:rPr>
          <w:sz w:val="22"/>
          <w:szCs w:val="22"/>
          <w:lang w:val="tr-TR"/>
        </w:rPr>
      </w:pPr>
      <w:r w:rsidRPr="001A4B94">
        <w:rPr>
          <w:rFonts w:eastAsiaTheme="minorHAnsi"/>
          <w:b/>
          <w:sz w:val="22"/>
          <w:szCs w:val="22"/>
          <w:lang w:val="tr-TR"/>
        </w:rPr>
        <w:t xml:space="preserve"> </w:t>
      </w:r>
      <w:r w:rsidR="00EF776F" w:rsidRPr="001A4B94">
        <w:rPr>
          <w:rFonts w:eastAsiaTheme="minorHAnsi"/>
          <w:b/>
          <w:sz w:val="22"/>
          <w:szCs w:val="22"/>
          <w:lang w:val="tr-TR"/>
        </w:rPr>
        <w:t>D</w:t>
      </w:r>
      <w:r w:rsidR="00747261" w:rsidRPr="001A4B94">
        <w:rPr>
          <w:rFonts w:eastAsiaTheme="minorHAnsi"/>
          <w:b/>
          <w:sz w:val="22"/>
          <w:szCs w:val="22"/>
          <w:lang w:val="tr-TR"/>
        </w:rPr>
        <w:t xml:space="preserve">BG </w:t>
      </w:r>
      <w:r w:rsidR="00EF776F" w:rsidRPr="001A4B94">
        <w:rPr>
          <w:rFonts w:eastAsiaTheme="minorHAnsi"/>
          <w:b/>
          <w:sz w:val="22"/>
          <w:szCs w:val="22"/>
          <w:lang w:val="tr-TR"/>
        </w:rPr>
        <w:t xml:space="preserve">bu Tematik alanı DPL’ler ve Vakıf Fonları yoluyla finanse edilen bilgi ürünleri yoluyla desteklemiştir. </w:t>
      </w:r>
      <w:r w:rsidR="00EF776F" w:rsidRPr="001A4B94">
        <w:rPr>
          <w:rFonts w:eastAsiaTheme="minorHAnsi"/>
          <w:sz w:val="22"/>
          <w:szCs w:val="22"/>
          <w:lang w:val="tr-TR"/>
        </w:rPr>
        <w:t xml:space="preserve">İlgili </w:t>
      </w:r>
      <w:r w:rsidR="00747261" w:rsidRPr="001A4B94">
        <w:rPr>
          <w:rFonts w:eastAsiaTheme="minorHAnsi"/>
          <w:sz w:val="22"/>
          <w:szCs w:val="22"/>
          <w:lang w:val="tr-TR"/>
        </w:rPr>
        <w:t xml:space="preserve">ASA </w:t>
      </w:r>
      <w:r w:rsidR="00EF776F" w:rsidRPr="001A4B94">
        <w:rPr>
          <w:rFonts w:eastAsiaTheme="minorHAnsi"/>
          <w:sz w:val="22"/>
          <w:szCs w:val="22"/>
          <w:lang w:val="tr-TR"/>
        </w:rPr>
        <w:t xml:space="preserve">faaliyetleri </w:t>
      </w:r>
      <w:r w:rsidR="00747261" w:rsidRPr="001A4B94">
        <w:rPr>
          <w:rFonts w:eastAsiaTheme="minorHAnsi"/>
          <w:sz w:val="22"/>
          <w:szCs w:val="22"/>
          <w:lang w:val="tr-TR"/>
        </w:rPr>
        <w:t>(</w:t>
      </w:r>
      <w:r w:rsidR="00EF776F" w:rsidRPr="001A4B94">
        <w:rPr>
          <w:rFonts w:eastAsiaTheme="minorHAnsi"/>
          <w:sz w:val="22"/>
          <w:szCs w:val="22"/>
          <w:lang w:val="tr-TR"/>
        </w:rPr>
        <w:t>sonuç çerçevesi bölümünde listelenmiştir</w:t>
      </w:r>
      <w:r w:rsidR="00747261" w:rsidRPr="001A4B94">
        <w:rPr>
          <w:rFonts w:eastAsiaTheme="minorHAnsi"/>
          <w:sz w:val="22"/>
          <w:szCs w:val="22"/>
          <w:lang w:val="tr-TR"/>
        </w:rPr>
        <w:t xml:space="preserve">) </w:t>
      </w:r>
      <w:r w:rsidR="00EF776F" w:rsidRPr="001A4B94">
        <w:rPr>
          <w:rFonts w:eastAsiaTheme="minorHAnsi"/>
          <w:sz w:val="22"/>
          <w:szCs w:val="22"/>
          <w:lang w:val="tr-TR"/>
        </w:rPr>
        <w:t>arasında TBMM için kapasite oluşturma hakkında bir Teknik Yardım</w:t>
      </w:r>
      <w:r w:rsidR="00747261" w:rsidRPr="001A4B94">
        <w:rPr>
          <w:rFonts w:eastAsiaTheme="minorHAnsi"/>
          <w:sz w:val="22"/>
          <w:szCs w:val="22"/>
          <w:lang w:val="tr-TR"/>
        </w:rPr>
        <w:t xml:space="preserve">; </w:t>
      </w:r>
      <w:r w:rsidR="00EF776F" w:rsidRPr="001A4B94">
        <w:rPr>
          <w:rFonts w:eastAsiaTheme="minorHAnsi"/>
          <w:sz w:val="22"/>
          <w:szCs w:val="22"/>
          <w:lang w:val="tr-TR"/>
        </w:rPr>
        <w:t>kamu iç denetim fonksiyonunun güçlendirilmesi</w:t>
      </w:r>
      <w:r w:rsidR="00747261" w:rsidRPr="001A4B94">
        <w:rPr>
          <w:rFonts w:eastAsiaTheme="minorHAnsi"/>
          <w:sz w:val="22"/>
          <w:szCs w:val="22"/>
          <w:lang w:val="tr-TR"/>
        </w:rPr>
        <w:t xml:space="preserve">; </w:t>
      </w:r>
      <w:r w:rsidR="00EF776F" w:rsidRPr="001A4B94">
        <w:rPr>
          <w:rFonts w:eastAsiaTheme="minorHAnsi"/>
          <w:sz w:val="22"/>
          <w:szCs w:val="22"/>
          <w:lang w:val="tr-TR"/>
        </w:rPr>
        <w:t>Sayıştay’ın üst denetim fonksiyonunun geliştirilmesi; adalet sektörü performansının değerlendirilmesi; ve bir yönetişim çalışması yer almıştır</w:t>
      </w:r>
      <w:r w:rsidR="00747261" w:rsidRPr="001A4B94">
        <w:rPr>
          <w:rFonts w:eastAsiaTheme="minorHAnsi"/>
          <w:sz w:val="22"/>
          <w:szCs w:val="22"/>
          <w:lang w:val="tr-TR"/>
        </w:rPr>
        <w:t xml:space="preserve">. </w:t>
      </w:r>
      <w:r w:rsidR="00EF776F" w:rsidRPr="001A4B94">
        <w:rPr>
          <w:rFonts w:eastAsiaTheme="minorHAnsi"/>
          <w:sz w:val="22"/>
          <w:szCs w:val="22"/>
          <w:lang w:val="tr-TR"/>
        </w:rPr>
        <w:t>Ayrıca</w:t>
      </w:r>
      <w:r w:rsidR="00747261" w:rsidRPr="001A4B94">
        <w:rPr>
          <w:rFonts w:eastAsiaTheme="minorHAnsi"/>
          <w:sz w:val="22"/>
          <w:szCs w:val="22"/>
          <w:lang w:val="tr-TR"/>
        </w:rPr>
        <w:t xml:space="preserve">, </w:t>
      </w:r>
      <w:r w:rsidR="00EF776F" w:rsidRPr="001A4B94">
        <w:rPr>
          <w:rFonts w:eastAsiaTheme="minorHAnsi"/>
          <w:sz w:val="22"/>
          <w:szCs w:val="22"/>
          <w:lang w:val="tr-TR"/>
        </w:rPr>
        <w:t>Banka bir Ulaştırma Sektörü Kamu Harcama İncelemesi tamamlamıştır</w:t>
      </w:r>
      <w:r w:rsidR="00747261" w:rsidRPr="001A4B94">
        <w:rPr>
          <w:rFonts w:eastAsiaTheme="minorHAnsi"/>
          <w:sz w:val="22"/>
          <w:szCs w:val="22"/>
          <w:lang w:val="tr-TR"/>
        </w:rPr>
        <w:t>.</w:t>
      </w:r>
      <w:r w:rsidR="00747261" w:rsidRPr="001A4B94">
        <w:rPr>
          <w:sz w:val="22"/>
          <w:szCs w:val="22"/>
          <w:lang w:val="tr-TR"/>
        </w:rPr>
        <w:t xml:space="preserve"> </w:t>
      </w:r>
    </w:p>
    <w:p w14:paraId="1BBCC2A5" w14:textId="77777777" w:rsidR="00747261" w:rsidRPr="001A4B94" w:rsidRDefault="00747261" w:rsidP="00747261">
      <w:pPr>
        <w:spacing w:before="120" w:after="160"/>
        <w:ind w:left="360"/>
        <w:contextualSpacing/>
        <w:jc w:val="both"/>
        <w:rPr>
          <w:sz w:val="22"/>
          <w:szCs w:val="22"/>
          <w:lang w:val="tr-TR"/>
        </w:rPr>
      </w:pPr>
    </w:p>
    <w:p w14:paraId="3383F6B4" w14:textId="1C98C196" w:rsidR="00747261" w:rsidRPr="001A4B94" w:rsidRDefault="00EF776F" w:rsidP="00C24F8F">
      <w:pPr>
        <w:numPr>
          <w:ilvl w:val="0"/>
          <w:numId w:val="21"/>
        </w:numPr>
        <w:spacing w:before="120" w:after="160" w:line="259" w:lineRule="auto"/>
        <w:contextualSpacing/>
        <w:jc w:val="both"/>
        <w:rPr>
          <w:sz w:val="22"/>
          <w:szCs w:val="22"/>
          <w:lang w:val="tr-TR"/>
        </w:rPr>
      </w:pPr>
      <w:r w:rsidRPr="001A4B94">
        <w:rPr>
          <w:b/>
          <w:sz w:val="22"/>
          <w:szCs w:val="22"/>
          <w:lang w:val="tr-TR"/>
        </w:rPr>
        <w:t xml:space="preserve"> </w:t>
      </w:r>
      <w:r w:rsidR="00747261" w:rsidRPr="001A4B94">
        <w:rPr>
          <w:b/>
          <w:sz w:val="22"/>
          <w:szCs w:val="22"/>
          <w:lang w:val="tr-TR"/>
        </w:rPr>
        <w:t>2013</w:t>
      </w:r>
      <w:r w:rsidRPr="001A4B94">
        <w:rPr>
          <w:b/>
          <w:sz w:val="22"/>
          <w:szCs w:val="22"/>
          <w:lang w:val="tr-TR"/>
        </w:rPr>
        <w:t xml:space="preserve"> yılında</w:t>
      </w:r>
      <w:r w:rsidR="00747261" w:rsidRPr="001A4B94">
        <w:rPr>
          <w:b/>
          <w:sz w:val="22"/>
          <w:szCs w:val="22"/>
          <w:lang w:val="tr-TR"/>
        </w:rPr>
        <w:t xml:space="preserve">, IFC </w:t>
      </w:r>
      <w:r w:rsidRPr="001A4B94">
        <w:rPr>
          <w:b/>
          <w:sz w:val="22"/>
          <w:szCs w:val="22"/>
          <w:lang w:val="tr-TR"/>
        </w:rPr>
        <w:t>ülkede yerel olarak kurumsal yönetişimle ilgili hizmetler sunan tek kuruluş olan Türkiye Kurumsal Yönetişim Derneği (TKYD) ile ortak bir çalışma yapmıştır</w:t>
      </w:r>
      <w:r w:rsidR="00747261" w:rsidRPr="001A4B94">
        <w:rPr>
          <w:sz w:val="22"/>
          <w:szCs w:val="22"/>
          <w:lang w:val="tr-TR"/>
        </w:rPr>
        <w:t>.</w:t>
      </w:r>
      <w:r w:rsidR="00747261" w:rsidRPr="001A4B94">
        <w:rPr>
          <w:rFonts w:eastAsiaTheme="minorHAnsi"/>
          <w:iCs/>
          <w:sz w:val="22"/>
          <w:szCs w:val="22"/>
          <w:lang w:val="tr-TR"/>
        </w:rPr>
        <w:t xml:space="preserve"> </w:t>
      </w:r>
      <w:r w:rsidRPr="001A4B94">
        <w:rPr>
          <w:rFonts w:eastAsiaTheme="minorHAnsi"/>
          <w:iCs/>
          <w:sz w:val="22"/>
          <w:szCs w:val="22"/>
          <w:lang w:val="tr-TR"/>
        </w:rPr>
        <w:t>Özellikle</w:t>
      </w:r>
      <w:r w:rsidR="00747261" w:rsidRPr="001A4B94">
        <w:rPr>
          <w:rFonts w:eastAsiaTheme="minorHAnsi"/>
          <w:iCs/>
          <w:sz w:val="22"/>
          <w:szCs w:val="22"/>
          <w:lang w:val="tr-TR"/>
        </w:rPr>
        <w:t xml:space="preserve">, </w:t>
      </w:r>
      <w:r w:rsidRPr="001A4B94">
        <w:rPr>
          <w:rFonts w:eastAsiaTheme="minorHAnsi"/>
          <w:iCs/>
          <w:sz w:val="22"/>
          <w:szCs w:val="22"/>
          <w:lang w:val="tr-TR"/>
        </w:rPr>
        <w:t>üç şirketin kurumsal yönetişim sistemi uygulamalarını değerlendirmelerine yardımcı olmuş</w:t>
      </w:r>
      <w:r w:rsidR="00747261" w:rsidRPr="001A4B94">
        <w:rPr>
          <w:rFonts w:eastAsiaTheme="minorHAnsi"/>
          <w:iCs/>
          <w:sz w:val="22"/>
          <w:szCs w:val="22"/>
          <w:lang w:val="tr-TR"/>
        </w:rPr>
        <w:t xml:space="preserve">; </w:t>
      </w:r>
      <w:r w:rsidRPr="001A4B94">
        <w:rPr>
          <w:rFonts w:eastAsiaTheme="minorHAnsi"/>
          <w:iCs/>
          <w:sz w:val="22"/>
          <w:szCs w:val="22"/>
          <w:lang w:val="tr-TR"/>
        </w:rPr>
        <w:t xml:space="preserve">TKYD üyesi şirketlere eğitimler vermiş ve </w:t>
      </w:r>
      <w:r w:rsidR="00747261" w:rsidRPr="001A4B94">
        <w:rPr>
          <w:rFonts w:eastAsiaTheme="minorHAnsi"/>
          <w:iCs/>
          <w:sz w:val="22"/>
          <w:szCs w:val="22"/>
          <w:lang w:val="tr-TR"/>
        </w:rPr>
        <w:t>TKYD</w:t>
      </w:r>
      <w:r w:rsidRPr="001A4B94">
        <w:rPr>
          <w:rFonts w:eastAsiaTheme="minorHAnsi"/>
          <w:iCs/>
          <w:sz w:val="22"/>
          <w:szCs w:val="22"/>
          <w:lang w:val="tr-TR"/>
        </w:rPr>
        <w:t>’nin ticari bir ürün olarak kurumsal yönetişim danışmanlık hizmetleri geliştirmesine yardımcı olmuştur</w:t>
      </w:r>
      <w:r w:rsidR="00747261" w:rsidRPr="001A4B94">
        <w:rPr>
          <w:rFonts w:eastAsiaTheme="minorHAnsi"/>
          <w:iCs/>
          <w:sz w:val="22"/>
          <w:szCs w:val="22"/>
          <w:lang w:val="tr-TR"/>
        </w:rPr>
        <w:t>.  </w:t>
      </w:r>
      <w:r w:rsidRPr="001A4B94">
        <w:rPr>
          <w:rFonts w:eastAsiaTheme="minorHAnsi"/>
          <w:iCs/>
          <w:sz w:val="22"/>
          <w:szCs w:val="22"/>
          <w:lang w:val="tr-TR"/>
        </w:rPr>
        <w:t>Ayrıca</w:t>
      </w:r>
      <w:r w:rsidR="00747261" w:rsidRPr="001A4B94">
        <w:rPr>
          <w:rFonts w:eastAsiaTheme="minorHAnsi"/>
          <w:iCs/>
          <w:sz w:val="22"/>
          <w:szCs w:val="22"/>
          <w:lang w:val="tr-TR"/>
        </w:rPr>
        <w:t xml:space="preserve">, IFC </w:t>
      </w:r>
      <w:r w:rsidRPr="001A4B94">
        <w:rPr>
          <w:rFonts w:eastAsiaTheme="minorHAnsi"/>
          <w:iCs/>
          <w:sz w:val="22"/>
          <w:szCs w:val="22"/>
          <w:lang w:val="tr-TR"/>
        </w:rPr>
        <w:t>en büyük yatırım müşterilerinden 13’ünün kurumsal yönetişimi geliştirmelerine yardımcı olmuştur</w:t>
      </w:r>
      <w:r w:rsidR="00747261" w:rsidRPr="001A4B94">
        <w:rPr>
          <w:sz w:val="22"/>
          <w:szCs w:val="22"/>
          <w:lang w:val="tr-TR"/>
        </w:rPr>
        <w:t xml:space="preserve">. </w:t>
      </w:r>
    </w:p>
    <w:p w14:paraId="689C2B29" w14:textId="77777777" w:rsidR="00747261" w:rsidRPr="001A4B94" w:rsidRDefault="00747261" w:rsidP="00747261">
      <w:pPr>
        <w:spacing w:after="160" w:line="259" w:lineRule="auto"/>
        <w:ind w:left="720"/>
        <w:contextualSpacing/>
        <w:rPr>
          <w:b/>
          <w:sz w:val="22"/>
          <w:szCs w:val="22"/>
          <w:lang w:val="tr-TR"/>
        </w:rPr>
      </w:pPr>
    </w:p>
    <w:p w14:paraId="4A30A095" w14:textId="08AC09A5" w:rsidR="00747261" w:rsidRPr="001A4B94" w:rsidRDefault="00A04866" w:rsidP="00B770D8">
      <w:pPr>
        <w:numPr>
          <w:ilvl w:val="0"/>
          <w:numId w:val="21"/>
        </w:numPr>
        <w:spacing w:before="120" w:after="160" w:line="259" w:lineRule="auto"/>
        <w:contextualSpacing/>
        <w:jc w:val="both"/>
        <w:rPr>
          <w:sz w:val="22"/>
          <w:szCs w:val="22"/>
          <w:lang w:val="tr-TR"/>
        </w:rPr>
      </w:pPr>
      <w:r w:rsidRPr="001A4B94">
        <w:rPr>
          <w:b/>
          <w:sz w:val="22"/>
          <w:szCs w:val="22"/>
          <w:lang w:val="tr-TR"/>
        </w:rPr>
        <w:t xml:space="preserve"> </w:t>
      </w:r>
      <w:r w:rsidR="00EF776F" w:rsidRPr="001A4B94">
        <w:rPr>
          <w:b/>
          <w:sz w:val="22"/>
          <w:szCs w:val="22"/>
          <w:lang w:val="tr-TR"/>
        </w:rPr>
        <w:t>Bu Tematik alan kapsamındaki mütevazı amaç başarılmakla birlikte, DBG ile Türkiye arasında daha geniş kapsamlı bir ortak çalışma yapılması mümkün olabilirdi</w:t>
      </w:r>
      <w:r w:rsidR="00747261" w:rsidRPr="001A4B94">
        <w:rPr>
          <w:b/>
          <w:sz w:val="22"/>
          <w:szCs w:val="22"/>
          <w:lang w:val="tr-TR"/>
        </w:rPr>
        <w:t xml:space="preserve">.  </w:t>
      </w:r>
      <w:r w:rsidR="00747261" w:rsidRPr="001A4B94">
        <w:rPr>
          <w:sz w:val="22"/>
          <w:szCs w:val="22"/>
          <w:lang w:val="tr-TR"/>
        </w:rPr>
        <w:t xml:space="preserve"> </w:t>
      </w:r>
      <w:r w:rsidR="00EF776F" w:rsidRPr="001A4B94">
        <w:rPr>
          <w:sz w:val="22"/>
          <w:szCs w:val="22"/>
          <w:lang w:val="tr-TR"/>
        </w:rPr>
        <w:t xml:space="preserve">Sistematik Ülke </w:t>
      </w:r>
      <w:r w:rsidR="00026721" w:rsidRPr="001A4B94">
        <w:rPr>
          <w:sz w:val="22"/>
          <w:szCs w:val="22"/>
          <w:lang w:val="tr-TR"/>
        </w:rPr>
        <w:t>D</w:t>
      </w:r>
      <w:r w:rsidR="00EF776F" w:rsidRPr="001A4B94">
        <w:rPr>
          <w:sz w:val="22"/>
          <w:szCs w:val="22"/>
          <w:lang w:val="tr-TR"/>
        </w:rPr>
        <w:t>eğerlendirmesi bulgularına göre</w:t>
      </w:r>
      <w:r w:rsidR="00747261" w:rsidRPr="001A4B94">
        <w:rPr>
          <w:sz w:val="22"/>
          <w:szCs w:val="22"/>
          <w:lang w:val="tr-TR"/>
        </w:rPr>
        <w:t xml:space="preserve">, </w:t>
      </w:r>
      <w:r w:rsidR="00EF776F" w:rsidRPr="001A4B94">
        <w:rPr>
          <w:sz w:val="22"/>
          <w:szCs w:val="22"/>
          <w:lang w:val="tr-TR"/>
        </w:rPr>
        <w:t>kurumsal yönetişimdeki zayıflıklar şirketlerin yeni piyasalara, teknolojiye ve finansmana erişim imkânlarını azaltmaktadır</w:t>
      </w:r>
      <w:r w:rsidR="00747261" w:rsidRPr="001A4B94">
        <w:rPr>
          <w:sz w:val="22"/>
          <w:szCs w:val="22"/>
          <w:lang w:val="tr-TR"/>
        </w:rPr>
        <w:t xml:space="preserve">. </w:t>
      </w:r>
      <w:r w:rsidR="00EF776F" w:rsidRPr="001A4B94">
        <w:rPr>
          <w:sz w:val="22"/>
          <w:szCs w:val="22"/>
          <w:lang w:val="tr-TR"/>
        </w:rPr>
        <w:t>Özellikle</w:t>
      </w:r>
      <w:r w:rsidR="00747261" w:rsidRPr="001A4B94">
        <w:rPr>
          <w:sz w:val="22"/>
          <w:szCs w:val="22"/>
          <w:lang w:val="tr-TR"/>
        </w:rPr>
        <w:t xml:space="preserve">, </w:t>
      </w:r>
      <w:r w:rsidR="00EF776F" w:rsidRPr="001A4B94">
        <w:rPr>
          <w:sz w:val="22"/>
          <w:szCs w:val="22"/>
          <w:lang w:val="tr-TR"/>
        </w:rPr>
        <w:t>zayıf muhasebe standartları finansmana erişimin önünde önemli bir engel teşkil etmektedir</w:t>
      </w:r>
      <w:r w:rsidR="00747261" w:rsidRPr="001A4B94">
        <w:rPr>
          <w:sz w:val="22"/>
          <w:szCs w:val="22"/>
          <w:lang w:val="tr-TR"/>
        </w:rPr>
        <w:t xml:space="preserve">. </w:t>
      </w:r>
      <w:r w:rsidR="00EF776F" w:rsidRPr="001A4B94">
        <w:rPr>
          <w:sz w:val="22"/>
          <w:szCs w:val="22"/>
          <w:lang w:val="tr-TR"/>
        </w:rPr>
        <w:t>Benzer şekilde</w:t>
      </w:r>
      <w:r w:rsidR="00747261" w:rsidRPr="001A4B94">
        <w:rPr>
          <w:sz w:val="22"/>
          <w:szCs w:val="22"/>
          <w:lang w:val="tr-TR"/>
        </w:rPr>
        <w:t xml:space="preserve">, </w:t>
      </w:r>
      <w:r w:rsidR="00EF776F" w:rsidRPr="001A4B94">
        <w:rPr>
          <w:sz w:val="22"/>
          <w:szCs w:val="22"/>
          <w:lang w:val="tr-TR"/>
        </w:rPr>
        <w:t xml:space="preserve">2008 yılından bu yana reformlar hız kaybettiğinden dolayı, </w:t>
      </w:r>
      <w:r w:rsidR="00747261" w:rsidRPr="001A4B94">
        <w:rPr>
          <w:sz w:val="22"/>
          <w:szCs w:val="22"/>
          <w:lang w:val="tr-TR"/>
        </w:rPr>
        <w:t>T</w:t>
      </w:r>
      <w:r w:rsidR="00EF776F" w:rsidRPr="001A4B94">
        <w:rPr>
          <w:sz w:val="22"/>
          <w:szCs w:val="22"/>
          <w:lang w:val="tr-TR"/>
        </w:rPr>
        <w:t>ürkiye iş ortamı ile ilgili göstergelerde benzer ülkeler arasında gerilemektedir.</w:t>
      </w:r>
    </w:p>
    <w:p w14:paraId="468D420E" w14:textId="4C6C5AAE" w:rsidR="00747261" w:rsidRPr="001A4B94" w:rsidRDefault="00747261" w:rsidP="00304A3B">
      <w:pPr>
        <w:contextualSpacing/>
        <w:jc w:val="both"/>
        <w:rPr>
          <w:b/>
          <w:sz w:val="22"/>
          <w:szCs w:val="22"/>
          <w:lang w:val="tr-TR"/>
        </w:rPr>
      </w:pPr>
      <w:r w:rsidRPr="001A4B94">
        <w:rPr>
          <w:sz w:val="22"/>
          <w:szCs w:val="22"/>
          <w:lang w:val="tr-TR"/>
        </w:rPr>
        <w:t xml:space="preserve">   </w:t>
      </w:r>
    </w:p>
    <w:p w14:paraId="342BE954" w14:textId="3C93C07D" w:rsidR="00747261" w:rsidRPr="001A4B94" w:rsidRDefault="00EF776F" w:rsidP="00C24F8F">
      <w:pPr>
        <w:pStyle w:val="ListeParagraf"/>
        <w:numPr>
          <w:ilvl w:val="0"/>
          <w:numId w:val="35"/>
        </w:numPr>
        <w:ind w:left="720"/>
        <w:rPr>
          <w:rFonts w:ascii="Times New Roman" w:eastAsiaTheme="majorEastAsia" w:hAnsi="Times New Roman"/>
          <w:b/>
          <w:lang w:val="tr-TR"/>
        </w:rPr>
      </w:pPr>
      <w:r w:rsidRPr="001A4B94">
        <w:rPr>
          <w:rFonts w:ascii="Times New Roman" w:eastAsiaTheme="majorEastAsia" w:hAnsi="Times New Roman"/>
          <w:b/>
          <w:lang w:val="tr-TR"/>
        </w:rPr>
        <w:t>İkinci Stratejik Amaç</w:t>
      </w:r>
      <w:r w:rsidR="00747261" w:rsidRPr="001A4B94">
        <w:rPr>
          <w:rFonts w:ascii="Times New Roman" w:eastAsiaTheme="majorEastAsia" w:hAnsi="Times New Roman"/>
          <w:b/>
          <w:lang w:val="tr-TR"/>
        </w:rPr>
        <w:t xml:space="preserve">: </w:t>
      </w:r>
      <w:r w:rsidRPr="001A4B94">
        <w:rPr>
          <w:rFonts w:ascii="Times New Roman" w:eastAsiaTheme="majorEastAsia" w:hAnsi="Times New Roman"/>
          <w:b/>
          <w:lang w:val="tr-TR"/>
        </w:rPr>
        <w:t xml:space="preserve">Eşitliğin ve Kamu Hizmetlerinin İyileştirilmesi  </w:t>
      </w:r>
      <w:r w:rsidR="00747261" w:rsidRPr="001A4B94">
        <w:rPr>
          <w:rFonts w:ascii="Times New Roman" w:eastAsiaTheme="majorEastAsia" w:hAnsi="Times New Roman"/>
          <w:b/>
          <w:lang w:val="tr-TR"/>
        </w:rPr>
        <w:t xml:space="preserve">- </w:t>
      </w:r>
      <w:r w:rsidRPr="001A4B94">
        <w:rPr>
          <w:rFonts w:ascii="Times New Roman" w:eastAsiaTheme="majorEastAsia" w:hAnsi="Times New Roman"/>
          <w:b/>
          <w:lang w:val="tr-TR"/>
        </w:rPr>
        <w:t>Kısmen Başarıldı</w:t>
      </w:r>
    </w:p>
    <w:p w14:paraId="72DBB134" w14:textId="7E976BF0" w:rsidR="00747261" w:rsidRPr="001A4B94" w:rsidRDefault="00747261" w:rsidP="00747261">
      <w:pPr>
        <w:spacing w:after="160" w:line="259" w:lineRule="auto"/>
        <w:ind w:firstLine="360"/>
        <w:rPr>
          <w:rFonts w:eastAsiaTheme="minorHAnsi"/>
          <w:b/>
          <w:sz w:val="22"/>
          <w:szCs w:val="22"/>
          <w:lang w:val="tr-TR"/>
        </w:rPr>
      </w:pPr>
      <w:r w:rsidRPr="001A4B94">
        <w:rPr>
          <w:rFonts w:eastAsiaTheme="minorHAnsi"/>
          <w:b/>
          <w:sz w:val="22"/>
          <w:szCs w:val="22"/>
          <w:lang w:val="tr-TR"/>
        </w:rPr>
        <w:t xml:space="preserve">B.1 </w:t>
      </w:r>
      <w:r w:rsidR="00EF776F" w:rsidRPr="001A4B94">
        <w:rPr>
          <w:rFonts w:eastAsiaTheme="minorHAnsi"/>
          <w:b/>
          <w:sz w:val="22"/>
          <w:szCs w:val="22"/>
          <w:lang w:val="tr-TR"/>
        </w:rPr>
        <w:t xml:space="preserve"> Tematik Alan 4: Sosyal hizmetlerin kalitesinin ve eşitliğin geliştirilmesi  </w:t>
      </w:r>
    </w:p>
    <w:p w14:paraId="7129FA7E" w14:textId="428F28D6" w:rsidR="00747261" w:rsidRPr="001A4B94" w:rsidRDefault="00A04866" w:rsidP="00B770D8">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EF776F" w:rsidRPr="001A4B94">
        <w:rPr>
          <w:rFonts w:eastAsiaTheme="minorHAnsi"/>
          <w:b/>
          <w:sz w:val="22"/>
          <w:szCs w:val="22"/>
          <w:lang w:val="tr-TR"/>
        </w:rPr>
        <w:t xml:space="preserve">Sonuç Alanı </w:t>
      </w:r>
      <w:r w:rsidR="00747261" w:rsidRPr="001A4B94">
        <w:rPr>
          <w:rFonts w:eastAsiaTheme="minorHAnsi"/>
          <w:b/>
          <w:sz w:val="22"/>
          <w:szCs w:val="22"/>
          <w:lang w:val="tr-TR"/>
        </w:rPr>
        <w:t xml:space="preserve">4 </w:t>
      </w:r>
      <w:r w:rsidR="00EF776F" w:rsidRPr="001A4B94">
        <w:rPr>
          <w:rFonts w:eastAsiaTheme="minorHAnsi"/>
          <w:b/>
          <w:sz w:val="22"/>
          <w:szCs w:val="22"/>
          <w:lang w:val="tr-TR"/>
        </w:rPr>
        <w:t>sonuçları tamamen başarılmış</w:t>
      </w:r>
      <w:r w:rsidR="00747261" w:rsidRPr="001A4B94">
        <w:rPr>
          <w:rFonts w:eastAsiaTheme="minorHAnsi"/>
          <w:b/>
          <w:sz w:val="22"/>
          <w:szCs w:val="22"/>
          <w:lang w:val="tr-TR"/>
        </w:rPr>
        <w:t xml:space="preserve">, </w:t>
      </w:r>
      <w:r w:rsidR="00EF776F" w:rsidRPr="001A4B94">
        <w:rPr>
          <w:rFonts w:eastAsiaTheme="minorHAnsi"/>
          <w:b/>
          <w:sz w:val="22"/>
          <w:szCs w:val="22"/>
          <w:lang w:val="tr-TR"/>
        </w:rPr>
        <w:t>üç göstergenin tamamı karşılanmıştır</w:t>
      </w:r>
      <w:r w:rsidR="00747261" w:rsidRPr="001A4B94">
        <w:rPr>
          <w:rFonts w:eastAsiaTheme="minorHAnsi"/>
          <w:sz w:val="22"/>
          <w:szCs w:val="22"/>
          <w:lang w:val="tr-TR"/>
        </w:rPr>
        <w:t>. (i)</w:t>
      </w:r>
      <w:r w:rsidR="00EF776F" w:rsidRPr="001A4B94">
        <w:rPr>
          <w:rFonts w:eastAsiaTheme="minorHAnsi"/>
          <w:sz w:val="22"/>
          <w:szCs w:val="22"/>
          <w:lang w:val="tr-TR"/>
        </w:rPr>
        <w:t xml:space="preserve"> Sağlık Bakanlığı 2015 yılına kadar yeniden yapılandırılarak sadece sağlık sektöründe liderlik fonksiyonları üzerinde odaklanması sağlanmıştır</w:t>
      </w:r>
      <w:r w:rsidR="00747261" w:rsidRPr="001A4B94">
        <w:rPr>
          <w:rFonts w:eastAsiaTheme="minorHAnsi"/>
          <w:sz w:val="22"/>
          <w:szCs w:val="22"/>
          <w:lang w:val="tr-TR"/>
        </w:rPr>
        <w:t xml:space="preserve">; </w:t>
      </w:r>
      <w:r w:rsidR="00EF776F" w:rsidRPr="001A4B94">
        <w:rPr>
          <w:rFonts w:eastAsiaTheme="minorHAnsi"/>
          <w:sz w:val="22"/>
          <w:szCs w:val="22"/>
          <w:lang w:val="tr-TR"/>
        </w:rPr>
        <w:t xml:space="preserve">ve </w:t>
      </w:r>
      <w:r w:rsidR="00747261" w:rsidRPr="001A4B94">
        <w:rPr>
          <w:rFonts w:eastAsiaTheme="minorHAnsi"/>
          <w:sz w:val="22"/>
          <w:szCs w:val="22"/>
          <w:lang w:val="tr-TR"/>
        </w:rPr>
        <w:t xml:space="preserve">(ii) </w:t>
      </w:r>
      <w:r w:rsidR="00EF776F" w:rsidRPr="001A4B94">
        <w:rPr>
          <w:rFonts w:eastAsiaTheme="minorHAnsi"/>
          <w:sz w:val="22"/>
          <w:szCs w:val="22"/>
          <w:lang w:val="tr-TR"/>
        </w:rPr>
        <w:t>tüm kamu hastanelerinin kamu hastane birlikleri olarak teşkilatlandırılması ve global bütçeden performans sözleşmelerine göre ödeme yapılması  sağlanmıştır</w:t>
      </w:r>
      <w:r w:rsidR="00747261" w:rsidRPr="001A4B94">
        <w:rPr>
          <w:rFonts w:eastAsiaTheme="minorHAnsi"/>
          <w:sz w:val="22"/>
          <w:szCs w:val="22"/>
          <w:lang w:val="tr-TR"/>
        </w:rPr>
        <w:t xml:space="preserve">. </w:t>
      </w:r>
      <w:r w:rsidR="00EF776F" w:rsidRPr="001A4B94">
        <w:rPr>
          <w:rFonts w:eastAsiaTheme="minorHAnsi"/>
          <w:sz w:val="22"/>
          <w:szCs w:val="22"/>
          <w:lang w:val="tr-TR"/>
        </w:rPr>
        <w:t>Ayrıca</w:t>
      </w:r>
      <w:r w:rsidR="00747261" w:rsidRPr="001A4B94">
        <w:rPr>
          <w:rFonts w:eastAsiaTheme="minorHAnsi"/>
          <w:sz w:val="22"/>
          <w:szCs w:val="22"/>
          <w:lang w:val="tr-TR"/>
        </w:rPr>
        <w:t xml:space="preserve">, (iii) </w:t>
      </w:r>
      <w:r w:rsidR="00EF776F" w:rsidRPr="001A4B94">
        <w:rPr>
          <w:rFonts w:eastAsiaTheme="minorHAnsi"/>
          <w:sz w:val="22"/>
          <w:szCs w:val="22"/>
          <w:lang w:val="tr-TR"/>
        </w:rPr>
        <w:t xml:space="preserve">20-69 yaş grubundaki kadınlar arasında rahim ağzı kanseri taramaları neredeyse yüzde 83 oranında artmıştır (hedef yüzde 30 idi).  </w:t>
      </w:r>
    </w:p>
    <w:p w14:paraId="727BB579" w14:textId="77777777" w:rsidR="00747261" w:rsidRPr="001A4B94" w:rsidRDefault="00747261" w:rsidP="00747261">
      <w:pPr>
        <w:spacing w:after="160"/>
        <w:ind w:left="360"/>
        <w:contextualSpacing/>
        <w:jc w:val="both"/>
        <w:rPr>
          <w:rFonts w:eastAsiaTheme="minorHAnsi"/>
          <w:sz w:val="22"/>
          <w:szCs w:val="22"/>
          <w:lang w:val="tr-TR"/>
        </w:rPr>
      </w:pPr>
    </w:p>
    <w:p w14:paraId="0EEDCCFC" w14:textId="4AFAA6BA"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EF776F" w:rsidRPr="001A4B94">
        <w:rPr>
          <w:rFonts w:eastAsiaTheme="minorHAnsi"/>
          <w:b/>
          <w:sz w:val="22"/>
          <w:szCs w:val="22"/>
          <w:lang w:val="tr-TR"/>
        </w:rPr>
        <w:t>Dördüncü tematik alanın sonuçlarının temelinde Bank</w:t>
      </w:r>
      <w:r w:rsidR="00FA0A54" w:rsidRPr="001A4B94">
        <w:rPr>
          <w:rFonts w:eastAsiaTheme="minorHAnsi"/>
          <w:b/>
          <w:sz w:val="22"/>
          <w:szCs w:val="22"/>
          <w:lang w:val="tr-TR"/>
        </w:rPr>
        <w:t>a</w:t>
      </w:r>
      <w:r w:rsidR="00EF776F" w:rsidRPr="001A4B94">
        <w:rPr>
          <w:rFonts w:eastAsiaTheme="minorHAnsi"/>
          <w:b/>
          <w:sz w:val="22"/>
          <w:szCs w:val="22"/>
          <w:lang w:val="tr-TR"/>
        </w:rPr>
        <w:t xml:space="preserve">’nın Sağlık Sektörü </w:t>
      </w:r>
      <w:r w:rsidR="00747261" w:rsidRPr="001A4B94">
        <w:rPr>
          <w:rFonts w:eastAsiaTheme="minorHAnsi"/>
          <w:b/>
          <w:sz w:val="22"/>
          <w:szCs w:val="22"/>
          <w:lang w:val="tr-TR"/>
        </w:rPr>
        <w:t xml:space="preserve"> Reform </w:t>
      </w:r>
      <w:r w:rsidR="00EF776F" w:rsidRPr="001A4B94">
        <w:rPr>
          <w:rFonts w:eastAsiaTheme="minorHAnsi"/>
          <w:b/>
          <w:sz w:val="22"/>
          <w:szCs w:val="22"/>
          <w:lang w:val="tr-TR"/>
        </w:rPr>
        <w:t xml:space="preserve">Destek </w:t>
      </w:r>
      <w:r w:rsidR="00026721" w:rsidRPr="001A4B94">
        <w:rPr>
          <w:rFonts w:eastAsiaTheme="minorHAnsi"/>
          <w:b/>
          <w:sz w:val="22"/>
          <w:szCs w:val="22"/>
          <w:lang w:val="tr-TR"/>
        </w:rPr>
        <w:t>P</w:t>
      </w:r>
      <w:r w:rsidR="00EF776F" w:rsidRPr="001A4B94">
        <w:rPr>
          <w:rFonts w:eastAsiaTheme="minorHAnsi"/>
          <w:b/>
          <w:sz w:val="22"/>
          <w:szCs w:val="22"/>
          <w:lang w:val="tr-TR"/>
        </w:rPr>
        <w:t xml:space="preserve">rojesi ile </w:t>
      </w:r>
      <w:r w:rsidR="00747261" w:rsidRPr="001A4B94">
        <w:rPr>
          <w:rFonts w:eastAsiaTheme="minorHAnsi"/>
          <w:b/>
          <w:sz w:val="22"/>
          <w:szCs w:val="22"/>
          <w:lang w:val="tr-TR"/>
        </w:rPr>
        <w:t xml:space="preserve">IFC </w:t>
      </w:r>
      <w:r w:rsidR="00EF776F" w:rsidRPr="001A4B94">
        <w:rPr>
          <w:rFonts w:eastAsiaTheme="minorHAnsi"/>
          <w:b/>
          <w:sz w:val="22"/>
          <w:szCs w:val="22"/>
          <w:lang w:val="tr-TR"/>
        </w:rPr>
        <w:t xml:space="preserve">ve </w:t>
      </w:r>
      <w:r w:rsidR="00747261" w:rsidRPr="001A4B94">
        <w:rPr>
          <w:rFonts w:eastAsiaTheme="minorHAnsi"/>
          <w:b/>
          <w:sz w:val="22"/>
          <w:szCs w:val="22"/>
          <w:lang w:val="tr-TR"/>
        </w:rPr>
        <w:t>MIGA</w:t>
      </w:r>
      <w:r w:rsidR="00EF776F" w:rsidRPr="001A4B94">
        <w:rPr>
          <w:rFonts w:eastAsiaTheme="minorHAnsi"/>
          <w:b/>
          <w:sz w:val="22"/>
          <w:szCs w:val="22"/>
          <w:lang w:val="tr-TR"/>
        </w:rPr>
        <w:t>’nın KÖİ modeliyle gerçekleşt</w:t>
      </w:r>
      <w:r w:rsidR="00FA0A54" w:rsidRPr="001A4B94">
        <w:rPr>
          <w:rFonts w:eastAsiaTheme="minorHAnsi"/>
          <w:b/>
          <w:sz w:val="22"/>
          <w:szCs w:val="22"/>
          <w:lang w:val="tr-TR"/>
        </w:rPr>
        <w:t>i</w:t>
      </w:r>
      <w:r w:rsidR="00EF776F" w:rsidRPr="001A4B94">
        <w:rPr>
          <w:rFonts w:eastAsiaTheme="minorHAnsi"/>
          <w:b/>
          <w:sz w:val="22"/>
          <w:szCs w:val="22"/>
          <w:lang w:val="tr-TR"/>
        </w:rPr>
        <w:t>rilen sağlık kampüsleri yapı</w:t>
      </w:r>
      <w:r w:rsidR="00026721" w:rsidRPr="001A4B94">
        <w:rPr>
          <w:rFonts w:eastAsiaTheme="minorHAnsi"/>
          <w:b/>
          <w:sz w:val="22"/>
          <w:szCs w:val="22"/>
          <w:lang w:val="tr-TR"/>
        </w:rPr>
        <w:t>m</w:t>
      </w:r>
      <w:r w:rsidR="00EF776F" w:rsidRPr="001A4B94">
        <w:rPr>
          <w:rFonts w:eastAsiaTheme="minorHAnsi"/>
          <w:b/>
          <w:sz w:val="22"/>
          <w:szCs w:val="22"/>
          <w:lang w:val="tr-TR"/>
        </w:rPr>
        <w:t xml:space="preserve"> projelerine sağladıkları finansman yatmıştır</w:t>
      </w:r>
      <w:r w:rsidR="00747261" w:rsidRPr="001A4B94">
        <w:rPr>
          <w:rFonts w:eastAsiaTheme="minorHAnsi"/>
          <w:b/>
          <w:sz w:val="22"/>
          <w:szCs w:val="22"/>
          <w:lang w:val="tr-TR"/>
        </w:rPr>
        <w:t xml:space="preserve">. </w:t>
      </w:r>
      <w:r w:rsidR="00747261" w:rsidRPr="001A4B94">
        <w:rPr>
          <w:rFonts w:eastAsiaTheme="minorHAnsi"/>
          <w:sz w:val="22"/>
          <w:szCs w:val="22"/>
          <w:lang w:val="tr-TR"/>
        </w:rPr>
        <w:t>Bank</w:t>
      </w:r>
      <w:r w:rsidR="00EF776F" w:rsidRPr="001A4B94">
        <w:rPr>
          <w:rFonts w:eastAsiaTheme="minorHAnsi"/>
          <w:sz w:val="22"/>
          <w:szCs w:val="22"/>
          <w:lang w:val="tr-TR"/>
        </w:rPr>
        <w:t>a</w:t>
      </w:r>
      <w:r w:rsidR="00747261" w:rsidRPr="001A4B94">
        <w:rPr>
          <w:rFonts w:eastAsiaTheme="minorHAnsi"/>
          <w:sz w:val="22"/>
          <w:szCs w:val="22"/>
          <w:lang w:val="tr-TR"/>
        </w:rPr>
        <w:t xml:space="preserve"> </w:t>
      </w:r>
      <w:r w:rsidR="00CB0EF0" w:rsidRPr="001A4B94">
        <w:rPr>
          <w:rFonts w:eastAsiaTheme="minorHAnsi"/>
          <w:sz w:val="22"/>
          <w:szCs w:val="22"/>
          <w:lang w:val="tr-TR"/>
        </w:rPr>
        <w:t>2016 MY’da takip niteliğinde bir sağlık oper</w:t>
      </w:r>
      <w:r w:rsidR="00FA0A54" w:rsidRPr="001A4B94">
        <w:rPr>
          <w:rFonts w:eastAsiaTheme="minorHAnsi"/>
          <w:sz w:val="22"/>
          <w:szCs w:val="22"/>
          <w:lang w:val="tr-TR"/>
        </w:rPr>
        <w:t>a</w:t>
      </w:r>
      <w:r w:rsidR="00CB0EF0" w:rsidRPr="001A4B94">
        <w:rPr>
          <w:rFonts w:eastAsiaTheme="minorHAnsi"/>
          <w:sz w:val="22"/>
          <w:szCs w:val="22"/>
          <w:lang w:val="tr-TR"/>
        </w:rPr>
        <w:t xml:space="preserve">syonu sunmuştur </w:t>
      </w:r>
      <w:r w:rsidR="00747261" w:rsidRPr="001A4B94">
        <w:rPr>
          <w:rFonts w:eastAsiaTheme="minorHAnsi"/>
          <w:sz w:val="22"/>
          <w:szCs w:val="22"/>
          <w:lang w:val="tr-TR"/>
        </w:rPr>
        <w:t>(</w:t>
      </w:r>
      <w:r w:rsidR="00CB0EF0" w:rsidRPr="001A4B94">
        <w:rPr>
          <w:rFonts w:eastAsiaTheme="minorHAnsi"/>
          <w:sz w:val="22"/>
          <w:szCs w:val="22"/>
          <w:lang w:val="tr-TR"/>
        </w:rPr>
        <w:t>134 milyon ABD$</w:t>
      </w:r>
      <w:r w:rsidR="00747261" w:rsidRPr="001A4B94">
        <w:rPr>
          <w:rFonts w:eastAsiaTheme="minorHAnsi"/>
          <w:sz w:val="22"/>
          <w:szCs w:val="22"/>
          <w:lang w:val="tr-TR"/>
        </w:rPr>
        <w:t xml:space="preserve">). </w:t>
      </w:r>
      <w:r w:rsidR="00CB0EF0" w:rsidRPr="001A4B94">
        <w:rPr>
          <w:rFonts w:eastAsiaTheme="minorHAnsi"/>
          <w:sz w:val="22"/>
          <w:szCs w:val="22"/>
          <w:lang w:val="tr-TR"/>
        </w:rPr>
        <w:t xml:space="preserve">Buna ek olarak, </w:t>
      </w:r>
      <w:r w:rsidR="00747261" w:rsidRPr="001A4B94">
        <w:rPr>
          <w:rFonts w:eastAsiaTheme="minorHAnsi"/>
          <w:sz w:val="22"/>
          <w:szCs w:val="22"/>
          <w:lang w:val="tr-TR"/>
        </w:rPr>
        <w:t xml:space="preserve">IFC </w:t>
      </w:r>
      <w:r w:rsidR="00CB0EF0" w:rsidRPr="001A4B94">
        <w:rPr>
          <w:rFonts w:eastAsiaTheme="minorHAnsi"/>
          <w:sz w:val="22"/>
          <w:szCs w:val="22"/>
          <w:lang w:val="tr-TR"/>
        </w:rPr>
        <w:t xml:space="preserve">sağlık sektöründe öncü niteliğindeki üç KÖİ projesi için 172 milyon ABD$ yatırım yapmış ve 256,5 milyon ABD$ tutarında yatırımın harekete geçirilmesini sağlamıştır. Söz konusu projeler ile </w:t>
      </w:r>
      <w:r w:rsidR="00747261" w:rsidRPr="001A4B94">
        <w:rPr>
          <w:rFonts w:eastAsiaTheme="minorHAnsi"/>
          <w:sz w:val="22"/>
          <w:szCs w:val="22"/>
          <w:lang w:val="tr-TR"/>
        </w:rPr>
        <w:t xml:space="preserve"> </w:t>
      </w:r>
      <w:r w:rsidR="00CB0EF0" w:rsidRPr="001A4B94">
        <w:rPr>
          <w:rFonts w:eastAsiaTheme="minorHAnsi"/>
          <w:sz w:val="22"/>
          <w:szCs w:val="22"/>
          <w:lang w:val="tr-TR"/>
        </w:rPr>
        <w:t xml:space="preserve">üç modern sağlık kampüsü inşa edilmesi </w:t>
      </w:r>
      <w:r w:rsidR="00747261" w:rsidRPr="001A4B94">
        <w:rPr>
          <w:rFonts w:eastAsiaTheme="minorHAnsi"/>
          <w:sz w:val="22"/>
          <w:szCs w:val="22"/>
          <w:lang w:val="tr-TR"/>
        </w:rPr>
        <w:t>(</w:t>
      </w:r>
      <w:r w:rsidR="00CB0EF0" w:rsidRPr="001A4B94">
        <w:rPr>
          <w:rFonts w:eastAsiaTheme="minorHAnsi"/>
          <w:sz w:val="22"/>
          <w:szCs w:val="22"/>
          <w:lang w:val="tr-TR"/>
        </w:rPr>
        <w:t>toplam 7.000 yatak kapasiteli</w:t>
      </w:r>
      <w:r w:rsidR="00747261" w:rsidRPr="001A4B94">
        <w:rPr>
          <w:rFonts w:eastAsiaTheme="minorHAnsi"/>
          <w:sz w:val="22"/>
          <w:szCs w:val="22"/>
          <w:lang w:val="tr-TR"/>
        </w:rPr>
        <w:t xml:space="preserve">) </w:t>
      </w:r>
      <w:r w:rsidR="00CB0EF0" w:rsidRPr="001A4B94">
        <w:rPr>
          <w:rFonts w:eastAsiaTheme="minorHAnsi"/>
          <w:sz w:val="22"/>
          <w:szCs w:val="22"/>
          <w:lang w:val="tr-TR"/>
        </w:rPr>
        <w:t>ve kamu sağlık hizmetlerinin kal</w:t>
      </w:r>
      <w:r w:rsidR="00FA0A54" w:rsidRPr="001A4B94">
        <w:rPr>
          <w:rFonts w:eastAsiaTheme="minorHAnsi"/>
          <w:sz w:val="22"/>
          <w:szCs w:val="22"/>
          <w:lang w:val="tr-TR"/>
        </w:rPr>
        <w:t>i</w:t>
      </w:r>
      <w:r w:rsidR="00CB0EF0" w:rsidRPr="001A4B94">
        <w:rPr>
          <w:rFonts w:eastAsiaTheme="minorHAnsi"/>
          <w:sz w:val="22"/>
          <w:szCs w:val="22"/>
          <w:lang w:val="tr-TR"/>
        </w:rPr>
        <w:t>tesinin ve verimliliğ</w:t>
      </w:r>
      <w:r w:rsidR="00FA0A54" w:rsidRPr="001A4B94">
        <w:rPr>
          <w:rFonts w:eastAsiaTheme="minorHAnsi"/>
          <w:sz w:val="22"/>
          <w:szCs w:val="22"/>
          <w:lang w:val="tr-TR"/>
        </w:rPr>
        <w:t>i</w:t>
      </w:r>
      <w:r w:rsidR="00CB0EF0" w:rsidRPr="001A4B94">
        <w:rPr>
          <w:rFonts w:eastAsiaTheme="minorHAnsi"/>
          <w:sz w:val="22"/>
          <w:szCs w:val="22"/>
          <w:lang w:val="tr-TR"/>
        </w:rPr>
        <w:t>nin arttırılması amaçlanmıştır</w:t>
      </w:r>
      <w:r w:rsidR="00747261" w:rsidRPr="001A4B94">
        <w:rPr>
          <w:rFonts w:eastAsiaTheme="minorHAnsi"/>
          <w:sz w:val="22"/>
          <w:szCs w:val="22"/>
          <w:lang w:val="tr-TR"/>
        </w:rPr>
        <w:t xml:space="preserve">.  IFC </w:t>
      </w:r>
      <w:r w:rsidR="00CB0EF0" w:rsidRPr="001A4B94">
        <w:rPr>
          <w:rFonts w:eastAsiaTheme="minorHAnsi"/>
          <w:sz w:val="22"/>
          <w:szCs w:val="22"/>
          <w:lang w:val="tr-TR"/>
        </w:rPr>
        <w:t>aynı zamanda moleküler görüntüleme ve onkoloji tedavi hizmetl</w:t>
      </w:r>
      <w:r w:rsidR="00FA0A54" w:rsidRPr="001A4B94">
        <w:rPr>
          <w:rFonts w:eastAsiaTheme="minorHAnsi"/>
          <w:sz w:val="22"/>
          <w:szCs w:val="22"/>
          <w:lang w:val="tr-TR"/>
        </w:rPr>
        <w:t>e</w:t>
      </w:r>
      <w:r w:rsidR="00CB0EF0" w:rsidRPr="001A4B94">
        <w:rPr>
          <w:rFonts w:eastAsiaTheme="minorHAnsi"/>
          <w:sz w:val="22"/>
          <w:szCs w:val="22"/>
          <w:lang w:val="tr-TR"/>
        </w:rPr>
        <w:t xml:space="preserve">ri alanında faaliyet gösteren lider bir firmaya </w:t>
      </w:r>
      <w:r w:rsidR="00CB0EF0" w:rsidRPr="001A4B94">
        <w:rPr>
          <w:rFonts w:eastAsiaTheme="minorHAnsi"/>
          <w:sz w:val="22"/>
          <w:szCs w:val="22"/>
          <w:lang w:val="tr-TR"/>
        </w:rPr>
        <w:lastRenderedPageBreak/>
        <w:t>30 milyon ABD$ tut</w:t>
      </w:r>
      <w:r w:rsidR="00FA0A54" w:rsidRPr="001A4B94">
        <w:rPr>
          <w:rFonts w:eastAsiaTheme="minorHAnsi"/>
          <w:sz w:val="22"/>
          <w:szCs w:val="22"/>
          <w:lang w:val="tr-TR"/>
        </w:rPr>
        <w:t>a</w:t>
      </w:r>
      <w:r w:rsidR="00CB0EF0" w:rsidRPr="001A4B94">
        <w:rPr>
          <w:rFonts w:eastAsiaTheme="minorHAnsi"/>
          <w:sz w:val="22"/>
          <w:szCs w:val="22"/>
          <w:lang w:val="tr-TR"/>
        </w:rPr>
        <w:t>rında bir yatırım yapmıştır</w:t>
      </w:r>
      <w:r w:rsidR="00747261" w:rsidRPr="001A4B94">
        <w:rPr>
          <w:rFonts w:eastAsiaTheme="minorHAnsi"/>
          <w:sz w:val="22"/>
          <w:szCs w:val="22"/>
          <w:lang w:val="tr-TR"/>
        </w:rPr>
        <w:t xml:space="preserve">. CPS </w:t>
      </w:r>
      <w:r w:rsidR="00CB0EF0" w:rsidRPr="001A4B94">
        <w:rPr>
          <w:rFonts w:eastAsiaTheme="minorHAnsi"/>
          <w:sz w:val="22"/>
          <w:szCs w:val="22"/>
          <w:lang w:val="tr-TR"/>
        </w:rPr>
        <w:t>dönemin</w:t>
      </w:r>
      <w:r w:rsidR="00FA0A54" w:rsidRPr="001A4B94">
        <w:rPr>
          <w:rFonts w:eastAsiaTheme="minorHAnsi"/>
          <w:sz w:val="22"/>
          <w:szCs w:val="22"/>
          <w:lang w:val="tr-TR"/>
        </w:rPr>
        <w:t>d</w:t>
      </w:r>
      <w:r w:rsidR="00CB0EF0" w:rsidRPr="001A4B94">
        <w:rPr>
          <w:rFonts w:eastAsiaTheme="minorHAnsi"/>
          <w:sz w:val="22"/>
          <w:szCs w:val="22"/>
          <w:lang w:val="tr-TR"/>
        </w:rPr>
        <w:t>e</w:t>
      </w:r>
      <w:r w:rsidR="00747261" w:rsidRPr="001A4B94">
        <w:rPr>
          <w:rFonts w:eastAsiaTheme="minorHAnsi"/>
          <w:sz w:val="22"/>
          <w:szCs w:val="22"/>
          <w:lang w:val="tr-TR"/>
        </w:rPr>
        <w:t xml:space="preserve">, IFC </w:t>
      </w:r>
      <w:r w:rsidR="00CB0EF0" w:rsidRPr="001A4B94">
        <w:rPr>
          <w:rFonts w:eastAsiaTheme="minorHAnsi"/>
          <w:sz w:val="22"/>
          <w:szCs w:val="22"/>
          <w:lang w:val="tr-TR"/>
        </w:rPr>
        <w:t>sağlık sektörü portföyünde buluna</w:t>
      </w:r>
      <w:r w:rsidR="00FA0A54" w:rsidRPr="001A4B94">
        <w:rPr>
          <w:rFonts w:eastAsiaTheme="minorHAnsi"/>
          <w:sz w:val="22"/>
          <w:szCs w:val="22"/>
          <w:lang w:val="tr-TR"/>
        </w:rPr>
        <w:t>n</w:t>
      </w:r>
      <w:r w:rsidR="00CB0EF0" w:rsidRPr="001A4B94">
        <w:rPr>
          <w:rFonts w:eastAsiaTheme="minorHAnsi"/>
          <w:sz w:val="22"/>
          <w:szCs w:val="22"/>
          <w:lang w:val="tr-TR"/>
        </w:rPr>
        <w:t xml:space="preserve"> şirketler aracılığıyla 3,2 milyon hastaya ula</w:t>
      </w:r>
      <w:r w:rsidR="00FA0A54" w:rsidRPr="001A4B94">
        <w:rPr>
          <w:rFonts w:eastAsiaTheme="minorHAnsi"/>
          <w:sz w:val="22"/>
          <w:szCs w:val="22"/>
          <w:lang w:val="tr-TR"/>
        </w:rPr>
        <w:t>ş</w:t>
      </w:r>
      <w:r w:rsidR="00CB0EF0" w:rsidRPr="001A4B94">
        <w:rPr>
          <w:rFonts w:eastAsiaTheme="minorHAnsi"/>
          <w:sz w:val="22"/>
          <w:szCs w:val="22"/>
          <w:lang w:val="tr-TR"/>
        </w:rPr>
        <w:t>mıştır</w:t>
      </w:r>
      <w:r w:rsidR="00747261" w:rsidRPr="001A4B94">
        <w:rPr>
          <w:rFonts w:eastAsiaTheme="minorHAnsi"/>
          <w:sz w:val="22"/>
          <w:szCs w:val="22"/>
          <w:lang w:val="tr-TR"/>
        </w:rPr>
        <w:t xml:space="preserve">. </w:t>
      </w:r>
    </w:p>
    <w:p w14:paraId="53DD93EC" w14:textId="77777777" w:rsidR="00747261" w:rsidRPr="001A4B94" w:rsidRDefault="00747261" w:rsidP="00747261">
      <w:pPr>
        <w:spacing w:after="160"/>
        <w:ind w:left="720"/>
        <w:contextualSpacing/>
        <w:rPr>
          <w:rFonts w:eastAsiaTheme="minorHAnsi"/>
          <w:sz w:val="22"/>
          <w:szCs w:val="22"/>
          <w:lang w:val="tr-TR"/>
        </w:rPr>
      </w:pPr>
    </w:p>
    <w:p w14:paraId="76809D4C" w14:textId="05CBD2EE"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CB0EF0" w:rsidRPr="001A4B94">
        <w:rPr>
          <w:rFonts w:eastAsiaTheme="minorHAnsi"/>
          <w:b/>
          <w:sz w:val="22"/>
          <w:szCs w:val="22"/>
          <w:lang w:val="tr-TR"/>
        </w:rPr>
        <w:t xml:space="preserve">Bu sonuçlar çok çeşitli ASA </w:t>
      </w:r>
      <w:r w:rsidR="00FA0A54" w:rsidRPr="001A4B94">
        <w:rPr>
          <w:rFonts w:eastAsiaTheme="minorHAnsi"/>
          <w:b/>
          <w:sz w:val="22"/>
          <w:szCs w:val="22"/>
          <w:lang w:val="tr-TR"/>
        </w:rPr>
        <w:t>çalışmaları</w:t>
      </w:r>
      <w:r w:rsidR="00CB0EF0" w:rsidRPr="001A4B94">
        <w:rPr>
          <w:rFonts w:eastAsiaTheme="minorHAnsi"/>
          <w:b/>
          <w:sz w:val="22"/>
          <w:szCs w:val="22"/>
          <w:lang w:val="tr-TR"/>
        </w:rPr>
        <w:t xml:space="preserve"> ile desteklenmiştir. </w:t>
      </w:r>
      <w:r w:rsidR="00CB0EF0" w:rsidRPr="001A4B94">
        <w:rPr>
          <w:rFonts w:eastAsiaTheme="minorHAnsi"/>
          <w:sz w:val="22"/>
          <w:szCs w:val="22"/>
          <w:lang w:val="tr-TR"/>
        </w:rPr>
        <w:t>Bunlar arasında</w:t>
      </w:r>
      <w:r w:rsidR="00747261" w:rsidRPr="001A4B94">
        <w:rPr>
          <w:rFonts w:eastAsiaTheme="minorHAnsi"/>
          <w:sz w:val="22"/>
          <w:szCs w:val="22"/>
          <w:lang w:val="tr-TR"/>
        </w:rPr>
        <w:t xml:space="preserve">, </w:t>
      </w:r>
      <w:r w:rsidR="00CB0EF0" w:rsidRPr="001A4B94">
        <w:rPr>
          <w:rFonts w:eastAsiaTheme="minorHAnsi"/>
          <w:sz w:val="22"/>
          <w:szCs w:val="22"/>
          <w:lang w:val="tr-TR"/>
        </w:rPr>
        <w:t xml:space="preserve">ilaç sistemleri </w:t>
      </w:r>
      <w:r w:rsidR="00FA0A54" w:rsidRPr="001A4B94">
        <w:rPr>
          <w:rFonts w:eastAsiaTheme="minorHAnsi"/>
          <w:sz w:val="22"/>
          <w:szCs w:val="22"/>
          <w:lang w:val="tr-TR"/>
        </w:rPr>
        <w:t>yönetimi</w:t>
      </w:r>
      <w:r w:rsidR="00CB0EF0" w:rsidRPr="001A4B94">
        <w:rPr>
          <w:rFonts w:eastAsiaTheme="minorHAnsi"/>
          <w:sz w:val="22"/>
          <w:szCs w:val="22"/>
          <w:lang w:val="tr-TR"/>
        </w:rPr>
        <w:t xml:space="preserve"> ile ilgili bir Teknik Yardım</w:t>
      </w:r>
      <w:r w:rsidR="00747261" w:rsidRPr="001A4B94">
        <w:rPr>
          <w:rFonts w:eastAsiaTheme="minorHAnsi"/>
          <w:sz w:val="22"/>
          <w:szCs w:val="22"/>
          <w:lang w:val="tr-TR"/>
        </w:rPr>
        <w:t xml:space="preserve">, </w:t>
      </w:r>
      <w:r w:rsidR="00CB0EF0" w:rsidRPr="001A4B94">
        <w:rPr>
          <w:rFonts w:eastAsiaTheme="minorHAnsi"/>
          <w:sz w:val="22"/>
          <w:szCs w:val="22"/>
          <w:lang w:val="tr-TR"/>
        </w:rPr>
        <w:t xml:space="preserve">aile hekimliğinde performansa dayalı sözleşme </w:t>
      </w:r>
      <w:r w:rsidR="00FA0A54" w:rsidRPr="001A4B94">
        <w:rPr>
          <w:rFonts w:eastAsiaTheme="minorHAnsi"/>
          <w:sz w:val="22"/>
          <w:szCs w:val="22"/>
          <w:lang w:val="tr-TR"/>
        </w:rPr>
        <w:t>hakkında</w:t>
      </w:r>
      <w:r w:rsidR="00CB0EF0" w:rsidRPr="001A4B94">
        <w:rPr>
          <w:rFonts w:eastAsiaTheme="minorHAnsi"/>
          <w:sz w:val="22"/>
          <w:szCs w:val="22"/>
          <w:lang w:val="tr-TR"/>
        </w:rPr>
        <w:t xml:space="preserve"> bir ekonomik sektör </w:t>
      </w:r>
      <w:r w:rsidR="00FA0A54" w:rsidRPr="001A4B94">
        <w:rPr>
          <w:rFonts w:eastAsiaTheme="minorHAnsi"/>
          <w:sz w:val="22"/>
          <w:szCs w:val="22"/>
          <w:lang w:val="tr-TR"/>
        </w:rPr>
        <w:t>çalışması</w:t>
      </w:r>
      <w:r w:rsidR="00CB0EF0" w:rsidRPr="001A4B94">
        <w:rPr>
          <w:rFonts w:eastAsiaTheme="minorHAnsi"/>
          <w:sz w:val="22"/>
          <w:szCs w:val="22"/>
          <w:lang w:val="tr-TR"/>
        </w:rPr>
        <w:t xml:space="preserve"> ve Türkiye’nin sağlık sektörü reform deneyimlerinin başka ülkeler ile paylaşılmasına ilişkin bir Teknik Yardım desteği yer almıştır</w:t>
      </w:r>
      <w:r w:rsidR="00747261" w:rsidRPr="001A4B94">
        <w:rPr>
          <w:rFonts w:eastAsiaTheme="minorHAnsi"/>
          <w:sz w:val="22"/>
          <w:szCs w:val="22"/>
          <w:lang w:val="tr-TR"/>
        </w:rPr>
        <w:t xml:space="preserve">. </w:t>
      </w:r>
      <w:r w:rsidR="00CB0EF0" w:rsidRPr="001A4B94">
        <w:rPr>
          <w:rFonts w:eastAsiaTheme="minorHAnsi"/>
          <w:sz w:val="22"/>
          <w:szCs w:val="22"/>
          <w:lang w:val="tr-TR"/>
        </w:rPr>
        <w:t>Eğitim sektöründeki çalı</w:t>
      </w:r>
      <w:r w:rsidR="00026721" w:rsidRPr="001A4B94">
        <w:rPr>
          <w:rFonts w:eastAsiaTheme="minorHAnsi"/>
          <w:sz w:val="22"/>
          <w:szCs w:val="22"/>
          <w:lang w:val="tr-TR"/>
        </w:rPr>
        <w:t>ş</w:t>
      </w:r>
      <w:r w:rsidR="00CB0EF0" w:rsidRPr="001A4B94">
        <w:rPr>
          <w:rFonts w:eastAsiaTheme="minorHAnsi"/>
          <w:sz w:val="22"/>
          <w:szCs w:val="22"/>
          <w:lang w:val="tr-TR"/>
        </w:rPr>
        <w:t xml:space="preserve">malar tamamen gerçekleştirilmiştir. Bu kapsamda, eğitim sonuçlarının geliştirilmesi ve Türkiye’nin okullarında mükemmeliyetin sağlanması hakkında bir Teknik Yardım ile birlikte  </w:t>
      </w:r>
      <w:r w:rsidR="00747261" w:rsidRPr="001A4B94">
        <w:rPr>
          <w:rFonts w:eastAsiaTheme="minorHAnsi"/>
          <w:sz w:val="22"/>
          <w:szCs w:val="22"/>
          <w:lang w:val="tr-TR"/>
        </w:rPr>
        <w:t xml:space="preserve"> </w:t>
      </w:r>
      <w:r w:rsidR="00CB0EF0" w:rsidRPr="001A4B94">
        <w:rPr>
          <w:rFonts w:eastAsiaTheme="minorHAnsi"/>
          <w:sz w:val="22"/>
          <w:szCs w:val="22"/>
          <w:lang w:val="tr-TR"/>
        </w:rPr>
        <w:t xml:space="preserve">devam etmekte olan </w:t>
      </w:r>
      <w:r w:rsidR="00FA0A54" w:rsidRPr="001A4B94">
        <w:rPr>
          <w:rFonts w:eastAsiaTheme="minorHAnsi"/>
          <w:sz w:val="22"/>
          <w:szCs w:val="22"/>
          <w:lang w:val="tr-TR"/>
        </w:rPr>
        <w:t>yüksek</w:t>
      </w:r>
      <w:r w:rsidR="00CB0EF0" w:rsidRPr="001A4B94">
        <w:rPr>
          <w:rFonts w:eastAsiaTheme="minorHAnsi"/>
          <w:sz w:val="22"/>
          <w:szCs w:val="22"/>
          <w:lang w:val="tr-TR"/>
        </w:rPr>
        <w:t xml:space="preserve"> öğretim </w:t>
      </w:r>
      <w:r w:rsidR="00FA0A54" w:rsidRPr="001A4B94">
        <w:rPr>
          <w:rFonts w:eastAsiaTheme="minorHAnsi"/>
          <w:sz w:val="22"/>
          <w:szCs w:val="22"/>
          <w:lang w:val="tr-TR"/>
        </w:rPr>
        <w:t>sektöründe</w:t>
      </w:r>
      <w:r w:rsidR="00CB0EF0" w:rsidRPr="001A4B94">
        <w:rPr>
          <w:rFonts w:eastAsiaTheme="minorHAnsi"/>
          <w:sz w:val="22"/>
          <w:szCs w:val="22"/>
          <w:lang w:val="tr-TR"/>
        </w:rPr>
        <w:t xml:space="preserve"> verimlilik ve iyileştirme hakkında </w:t>
      </w:r>
      <w:r w:rsidR="00FA0A54" w:rsidRPr="001A4B94">
        <w:rPr>
          <w:rFonts w:eastAsiaTheme="minorHAnsi"/>
          <w:sz w:val="22"/>
          <w:szCs w:val="22"/>
          <w:lang w:val="tr-TR"/>
        </w:rPr>
        <w:t>çalışma</w:t>
      </w:r>
      <w:r w:rsidR="00CB0EF0" w:rsidRPr="001A4B94">
        <w:rPr>
          <w:rFonts w:eastAsiaTheme="minorHAnsi"/>
          <w:sz w:val="22"/>
          <w:szCs w:val="22"/>
          <w:lang w:val="tr-TR"/>
        </w:rPr>
        <w:t xml:space="preserve"> yürütülmüştür</w:t>
      </w:r>
      <w:r w:rsidR="00747261" w:rsidRPr="001A4B94">
        <w:rPr>
          <w:rFonts w:eastAsiaTheme="minorHAnsi"/>
          <w:sz w:val="22"/>
          <w:szCs w:val="22"/>
          <w:lang w:val="tr-TR"/>
        </w:rPr>
        <w:t>.</w:t>
      </w:r>
    </w:p>
    <w:p w14:paraId="3F1F6146" w14:textId="77777777" w:rsidR="00747261" w:rsidRPr="001A4B94" w:rsidRDefault="00747261" w:rsidP="00747261">
      <w:pPr>
        <w:ind w:left="360"/>
        <w:jc w:val="both"/>
        <w:rPr>
          <w:rFonts w:eastAsiaTheme="minorHAnsi"/>
          <w:b/>
          <w:sz w:val="22"/>
          <w:szCs w:val="22"/>
          <w:lang w:val="tr-TR"/>
        </w:rPr>
      </w:pPr>
    </w:p>
    <w:p w14:paraId="31E38D3A" w14:textId="782B1D6D" w:rsidR="00747261" w:rsidRPr="001A4B94" w:rsidRDefault="00747261" w:rsidP="004A421E">
      <w:pPr>
        <w:spacing w:after="160"/>
        <w:jc w:val="both"/>
        <w:rPr>
          <w:rFonts w:eastAsiaTheme="minorHAnsi"/>
          <w:b/>
          <w:sz w:val="22"/>
          <w:szCs w:val="22"/>
          <w:lang w:val="tr-TR"/>
        </w:rPr>
      </w:pPr>
      <w:r w:rsidRPr="001A4B94">
        <w:rPr>
          <w:rFonts w:eastAsiaTheme="minorHAnsi"/>
          <w:b/>
          <w:sz w:val="22"/>
          <w:szCs w:val="22"/>
          <w:lang w:val="tr-TR"/>
        </w:rPr>
        <w:t xml:space="preserve">B.2. </w:t>
      </w:r>
      <w:r w:rsidR="004A421E" w:rsidRPr="001A4B94">
        <w:rPr>
          <w:rFonts w:eastAsiaTheme="minorHAnsi"/>
          <w:b/>
          <w:sz w:val="22"/>
          <w:szCs w:val="22"/>
          <w:lang w:val="tr-TR"/>
        </w:rPr>
        <w:t>Tematik Alan 5: Toplumsal cinsiyet eşitliği ve kapsayıcı işgücü piyasaları doğrultusunda ilerleme kaydedilmesi</w:t>
      </w:r>
    </w:p>
    <w:p w14:paraId="01ADB8E6" w14:textId="4C501AF1"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4A421E" w:rsidRPr="001A4B94">
        <w:rPr>
          <w:rFonts w:eastAsiaTheme="minorHAnsi"/>
          <w:b/>
          <w:sz w:val="22"/>
          <w:szCs w:val="22"/>
          <w:lang w:val="tr-TR"/>
        </w:rPr>
        <w:t>Beşinci Tematik alan sonuçları kısmen başarılmıştır: üç sonuç göstergesinin tümünde ilerleme kaydedilmesine rağmen, bunlardan sadece biri başarılmış, biri kısmen başarılmış ve biri doğrulanamamıştır</w:t>
      </w:r>
      <w:r w:rsidR="004A421E" w:rsidRPr="001A4B94">
        <w:rPr>
          <w:rFonts w:eastAsiaTheme="minorHAnsi"/>
          <w:sz w:val="22"/>
          <w:szCs w:val="22"/>
          <w:lang w:val="tr-TR"/>
        </w:rPr>
        <w:t>. IFC kadınlara ait 2.600 KOBİ’yi destekleyerek kadınların işgücüne katılımının arttırılmasına yardımcı olmuştur. Aynı zamanda  şirket kurullarındaki kadınların sayısını arttırmak amacıyla Uluslararası Kadın Yöneticiler Ağı ile işbirliği yapmıştır</w:t>
      </w:r>
      <w:r w:rsidR="004A421E" w:rsidRPr="001A4B94">
        <w:rPr>
          <w:sz w:val="22"/>
          <w:szCs w:val="22"/>
          <w:lang w:val="tr-TR"/>
        </w:rPr>
        <w:t>.</w:t>
      </w:r>
      <w:r w:rsidR="004A421E" w:rsidRPr="001A4B94">
        <w:rPr>
          <w:rFonts w:eastAsiaTheme="minorHAnsi"/>
          <w:sz w:val="22"/>
          <w:szCs w:val="22"/>
          <w:lang w:val="tr-TR"/>
        </w:rPr>
        <w:t xml:space="preserve"> 2015 sonuna kadar en az 20 şirkete yeni Toplumsal Cinsiyet Eşitliği Sertifikası </w:t>
      </w:r>
      <w:r w:rsidR="006408E7" w:rsidRPr="001A4B94">
        <w:rPr>
          <w:rFonts w:eastAsiaTheme="minorHAnsi"/>
          <w:sz w:val="22"/>
          <w:szCs w:val="22"/>
          <w:lang w:val="tr-TR"/>
        </w:rPr>
        <w:t>verilmesini</w:t>
      </w:r>
      <w:r w:rsidR="004A421E" w:rsidRPr="001A4B94">
        <w:rPr>
          <w:rFonts w:eastAsiaTheme="minorHAnsi"/>
          <w:sz w:val="22"/>
          <w:szCs w:val="22"/>
          <w:lang w:val="tr-TR"/>
        </w:rPr>
        <w:t xml:space="preserve"> öngören gösterge tamamen başarılamamakla birlikte, 17 şirkete söz konusu sertifikayı almaları için yardımcı olunmuştur. Son olarak, Sosyal yardım faydalanıcılarının aktif işgücü piyasası programlarına erişimlerinin arttırılmasına ilişkin olarak İŞKUR programlarına kaydolan kişi sayısına göre ölçülecek gösterge, ver</w:t>
      </w:r>
      <w:r w:rsidR="006408E7" w:rsidRPr="001A4B94">
        <w:rPr>
          <w:rFonts w:eastAsiaTheme="minorHAnsi"/>
          <w:sz w:val="22"/>
          <w:szCs w:val="22"/>
          <w:lang w:val="tr-TR"/>
        </w:rPr>
        <w:t>i</w:t>
      </w:r>
      <w:r w:rsidR="004A421E" w:rsidRPr="001A4B94">
        <w:rPr>
          <w:rFonts w:eastAsiaTheme="minorHAnsi"/>
          <w:sz w:val="22"/>
          <w:szCs w:val="22"/>
          <w:lang w:val="tr-TR"/>
        </w:rPr>
        <w:t xml:space="preserve"> toplamadaki eksiklikler sebebiyle doğrulanamamıştır</w:t>
      </w:r>
      <w:r w:rsidR="00747261" w:rsidRPr="001A4B94">
        <w:rPr>
          <w:rFonts w:eastAsiaTheme="minorHAnsi"/>
          <w:sz w:val="22"/>
          <w:szCs w:val="22"/>
          <w:lang w:val="tr-TR"/>
        </w:rPr>
        <w:t xml:space="preserve">. </w:t>
      </w:r>
    </w:p>
    <w:p w14:paraId="009B0655" w14:textId="77777777" w:rsidR="00747261" w:rsidRPr="001A4B94" w:rsidRDefault="00747261" w:rsidP="00747261">
      <w:pPr>
        <w:spacing w:after="160"/>
        <w:ind w:left="360"/>
        <w:contextualSpacing/>
        <w:jc w:val="both"/>
        <w:rPr>
          <w:rFonts w:eastAsiaTheme="minorHAnsi"/>
          <w:sz w:val="22"/>
          <w:szCs w:val="22"/>
          <w:lang w:val="tr-TR"/>
        </w:rPr>
      </w:pPr>
    </w:p>
    <w:p w14:paraId="564E95E4" w14:textId="7D07B7A9"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4A421E" w:rsidRPr="001A4B94">
        <w:rPr>
          <w:rFonts w:eastAsiaTheme="minorHAnsi"/>
          <w:b/>
          <w:sz w:val="22"/>
          <w:szCs w:val="22"/>
          <w:lang w:val="tr-TR"/>
        </w:rPr>
        <w:t xml:space="preserve">Bu alanda ülke düzeyindeki performansa  bakıldığında; 2010 ile 2015 arasında kadınların işgücüne katılma oranı yüzde 27,6’dan yüzde 31,5’e yükselmiştir. </w:t>
      </w:r>
      <w:r w:rsidR="004A421E" w:rsidRPr="001A4B94">
        <w:rPr>
          <w:rFonts w:eastAsiaTheme="minorHAnsi"/>
          <w:sz w:val="22"/>
          <w:szCs w:val="22"/>
          <w:lang w:val="tr-TR"/>
        </w:rPr>
        <w:t>Ancak yine de yüzde 32,6 olarak belirlenen hedefin gerisinde kalmıştır. Aynı zamanda, İŞKUR’un mesleki eğitim programlarının kapsadığı kişi sayısı 2010 ile 2012 yılları ar</w:t>
      </w:r>
      <w:r w:rsidR="006408E7" w:rsidRPr="001A4B94">
        <w:rPr>
          <w:rFonts w:eastAsiaTheme="minorHAnsi"/>
          <w:sz w:val="22"/>
          <w:szCs w:val="22"/>
          <w:lang w:val="tr-TR"/>
        </w:rPr>
        <w:t>a</w:t>
      </w:r>
      <w:r w:rsidR="004A421E" w:rsidRPr="001A4B94">
        <w:rPr>
          <w:rFonts w:eastAsiaTheme="minorHAnsi"/>
          <w:sz w:val="22"/>
          <w:szCs w:val="22"/>
          <w:lang w:val="tr-TR"/>
        </w:rPr>
        <w:t>sında 210.000’den 465.000’e yükselmesine rağmen, 2015 itibariyle 335.000’e düşmüştür. Kadınların işgücüne katılım oranına ilişkin OECD ortalamasının yüzde 65 olduğu düşünüldüğünde, Türkiye’nin önündeki orta vadeli bir zorluk olan kadınların ve gençlerin işgücüne katılımlarını arttırma zorluğu halen devam etmektedir</w:t>
      </w:r>
      <w:r w:rsidR="00747261" w:rsidRPr="001A4B94">
        <w:rPr>
          <w:rFonts w:eastAsiaTheme="minorHAnsi"/>
          <w:sz w:val="22"/>
          <w:szCs w:val="22"/>
          <w:lang w:val="tr-TR"/>
        </w:rPr>
        <w:t xml:space="preserve">. </w:t>
      </w:r>
    </w:p>
    <w:p w14:paraId="1FD92058" w14:textId="77777777" w:rsidR="00747261" w:rsidRPr="001A4B94" w:rsidRDefault="00747261" w:rsidP="00747261">
      <w:pPr>
        <w:spacing w:after="160"/>
        <w:ind w:left="360"/>
        <w:contextualSpacing/>
        <w:jc w:val="both"/>
        <w:rPr>
          <w:rFonts w:eastAsiaTheme="minorHAnsi"/>
          <w:sz w:val="22"/>
          <w:szCs w:val="22"/>
          <w:lang w:val="tr-TR"/>
        </w:rPr>
      </w:pPr>
    </w:p>
    <w:p w14:paraId="67BA9281" w14:textId="3826700F"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4A421E" w:rsidRPr="001A4B94">
        <w:rPr>
          <w:rFonts w:eastAsiaTheme="minorHAnsi"/>
          <w:b/>
          <w:sz w:val="22"/>
          <w:szCs w:val="22"/>
          <w:lang w:val="tr-TR"/>
        </w:rPr>
        <w:t>Beşinci Tematik alanın amaçları temel olarak ASA ve DPL’ler yoluyla desteklenmiştir.</w:t>
      </w:r>
      <w:r w:rsidR="004A421E" w:rsidRPr="001A4B94">
        <w:rPr>
          <w:rFonts w:eastAsiaTheme="minorHAnsi"/>
          <w:sz w:val="22"/>
          <w:szCs w:val="22"/>
          <w:lang w:val="tr-TR"/>
        </w:rPr>
        <w:t xml:space="preserve"> Paylaşılan Büyümenin Sürdürülmesi DPL-I (2015 MY) kadınların işgücüne katılımlarını arttırmaya yardımcı olmuştur, ancak bunun devamı niteliğindeki DPL operasyonunun sunulmaması ilerlemeyi aksatmıştır. Banka kadınların ekonomik fırsatlara erişimlerini arttırmaya yönelik geniş bir analitik programı destekleyen bir SIDA Vakıf Fonunu harekete geçirmiştir. Ayrıca Kalkınma Bakanlığı’na yerel yoksulluk dinamikleri hakkında bir Teknik </w:t>
      </w:r>
      <w:r w:rsidR="006408E7" w:rsidRPr="001A4B94">
        <w:rPr>
          <w:rFonts w:eastAsiaTheme="minorHAnsi"/>
          <w:sz w:val="22"/>
          <w:szCs w:val="22"/>
          <w:lang w:val="tr-TR"/>
        </w:rPr>
        <w:t>Y</w:t>
      </w:r>
      <w:r w:rsidR="004A421E" w:rsidRPr="001A4B94">
        <w:rPr>
          <w:rFonts w:eastAsiaTheme="minorHAnsi"/>
          <w:sz w:val="22"/>
          <w:szCs w:val="22"/>
          <w:lang w:val="tr-TR"/>
        </w:rPr>
        <w:t>ardım sağlamıştır. Bunların yanında, Türkiye yaklaşık üç milyonu bulan bir sığınmacı akışı ile karşı karşıya kaldığında (dünyadaki en büyük sığınmacı nüfusuna ev sahipliği yapan ülke haline gelmiştir), Banka bu sığınmacı nüfusunun Türkiye’nin güneydoğusundaki kentsel bölgeler, devletle ilişkiler ve işgücü piyasaları üzerindeki etkilerine ve kamu hizmetleri ile ev sahibi topluluklar üzerindeki baskılara ilişkin nicel ve nitel durum tespiti çalışmaları yapmıştır</w:t>
      </w:r>
      <w:r w:rsidR="00747261" w:rsidRPr="001A4B94">
        <w:rPr>
          <w:rFonts w:eastAsiaTheme="minorHAnsi"/>
          <w:sz w:val="22"/>
          <w:szCs w:val="22"/>
          <w:lang w:val="tr-TR"/>
        </w:rPr>
        <w:t xml:space="preserve">. </w:t>
      </w:r>
    </w:p>
    <w:p w14:paraId="7B934417" w14:textId="77777777" w:rsidR="00747261" w:rsidRPr="001A4B94" w:rsidRDefault="00747261" w:rsidP="00304A3B">
      <w:pPr>
        <w:ind w:left="720"/>
        <w:contextualSpacing/>
        <w:rPr>
          <w:rFonts w:eastAsiaTheme="minorHAnsi"/>
          <w:sz w:val="22"/>
          <w:szCs w:val="22"/>
          <w:lang w:val="tr-TR"/>
        </w:rPr>
      </w:pPr>
    </w:p>
    <w:p w14:paraId="5BA80F67" w14:textId="5224CAF3" w:rsidR="00747261" w:rsidRPr="001A4B94" w:rsidRDefault="004A421E" w:rsidP="00C24F8F">
      <w:pPr>
        <w:pStyle w:val="ListeParagraf"/>
        <w:numPr>
          <w:ilvl w:val="0"/>
          <w:numId w:val="35"/>
        </w:numPr>
        <w:tabs>
          <w:tab w:val="left" w:pos="810"/>
        </w:tabs>
        <w:ind w:hanging="720"/>
        <w:rPr>
          <w:rFonts w:ascii="Times New Roman" w:eastAsiaTheme="majorEastAsia" w:hAnsi="Times New Roman"/>
          <w:b/>
          <w:lang w:val="tr-TR"/>
        </w:rPr>
      </w:pPr>
      <w:r w:rsidRPr="001A4B94">
        <w:rPr>
          <w:rFonts w:ascii="Times New Roman" w:eastAsiaTheme="majorEastAsia" w:hAnsi="Times New Roman"/>
          <w:b/>
          <w:lang w:val="tr-TR"/>
        </w:rPr>
        <w:t>Üçüncü Stratejik Amaç: Sürdürülebilir Kalkınmanın Derinleştirilmesi  – Kısmen Başarıldı</w:t>
      </w:r>
    </w:p>
    <w:p w14:paraId="660B55AD" w14:textId="58C41953" w:rsidR="00747261" w:rsidRPr="001A4B94" w:rsidRDefault="00747261" w:rsidP="00747261">
      <w:pPr>
        <w:spacing w:after="160"/>
        <w:ind w:left="360"/>
        <w:jc w:val="both"/>
        <w:rPr>
          <w:rFonts w:eastAsiaTheme="minorHAnsi"/>
          <w:b/>
          <w:sz w:val="22"/>
          <w:szCs w:val="22"/>
          <w:lang w:val="tr-TR"/>
        </w:rPr>
      </w:pPr>
      <w:r w:rsidRPr="001A4B94">
        <w:rPr>
          <w:rFonts w:eastAsiaTheme="minorHAnsi"/>
          <w:b/>
          <w:sz w:val="22"/>
          <w:szCs w:val="22"/>
          <w:lang w:val="tr-TR"/>
        </w:rPr>
        <w:t xml:space="preserve">C.1. </w:t>
      </w:r>
      <w:r w:rsidR="004A421E" w:rsidRPr="001A4B94">
        <w:rPr>
          <w:rFonts w:eastAsiaTheme="minorHAnsi"/>
          <w:b/>
          <w:sz w:val="22"/>
          <w:szCs w:val="22"/>
          <w:lang w:val="tr-TR"/>
        </w:rPr>
        <w:t xml:space="preserve">Tematik Alan 6: Güvenilir ve verimli enerji arzının arttırılması; yenilenebilir enerji kaynaklarının daha fazla kullanılması ve uygulanmakta olan iklim eylemlerinin arttırılması  </w:t>
      </w:r>
    </w:p>
    <w:p w14:paraId="5BE2B985" w14:textId="24374C9A"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lastRenderedPageBreak/>
        <w:t xml:space="preserve"> </w:t>
      </w:r>
      <w:r w:rsidR="004A421E" w:rsidRPr="001A4B94">
        <w:rPr>
          <w:rFonts w:eastAsiaTheme="minorHAnsi"/>
          <w:b/>
          <w:sz w:val="22"/>
          <w:szCs w:val="22"/>
          <w:lang w:val="tr-TR"/>
        </w:rPr>
        <w:t xml:space="preserve">Tematik Alan 6 sonuçları başarılmıştır.  </w:t>
      </w:r>
      <w:r w:rsidR="004A421E" w:rsidRPr="001A4B94">
        <w:rPr>
          <w:rFonts w:eastAsiaTheme="minorHAnsi"/>
          <w:sz w:val="22"/>
          <w:szCs w:val="22"/>
          <w:lang w:val="tr-TR"/>
        </w:rPr>
        <w:t>Beş sonuç göstergesinden dördü karşılanmış, biri ise kısmen karşılanmıştır. Türkiye bir yandan yenilenebilir enerji üretim kapasitesini arttırırken, aynı zamanda sağlam enerji sektörü reform programını tatmin edici bir şekilde devam ettirmiştir. 2010 sonunda</w:t>
      </w:r>
      <w:r w:rsidR="006408E7" w:rsidRPr="001A4B94">
        <w:rPr>
          <w:rFonts w:eastAsiaTheme="minorHAnsi"/>
          <w:sz w:val="22"/>
          <w:szCs w:val="22"/>
          <w:lang w:val="tr-TR"/>
        </w:rPr>
        <w:t>n</w:t>
      </w:r>
      <w:r w:rsidR="004A421E" w:rsidRPr="001A4B94">
        <w:rPr>
          <w:rFonts w:eastAsiaTheme="minorHAnsi"/>
          <w:sz w:val="22"/>
          <w:szCs w:val="22"/>
          <w:lang w:val="tr-TR"/>
        </w:rPr>
        <w:t xml:space="preserve"> bu yana eklenen 24.000 MW’lık ilave kapasite ile 73.000 MW’lık üretim kapasitesine ulaşılarak güvenilir ve etkin enerji arzı arttırılmıştır. Yenilenebilir enerji kaynaklarından elektrik üretimi 2015 sonu itibariyle toplam üretimin yüzde 31,5’ini oluşturmuştur (hedef yüzde 30 idi). IFC’nin elektrik üretim / dağıtım portföy şirketleri yoluyla 7,5 milyon elektrik tüketicisine ulaşıl</w:t>
      </w:r>
      <w:r w:rsidR="006408E7" w:rsidRPr="001A4B94">
        <w:rPr>
          <w:rFonts w:eastAsiaTheme="minorHAnsi"/>
          <w:sz w:val="22"/>
          <w:szCs w:val="22"/>
          <w:lang w:val="tr-TR"/>
        </w:rPr>
        <w:t>mıştır</w:t>
      </w:r>
      <w:r w:rsidR="004A421E" w:rsidRPr="001A4B94">
        <w:rPr>
          <w:rFonts w:eastAsiaTheme="minorHAnsi"/>
          <w:sz w:val="22"/>
          <w:szCs w:val="22"/>
          <w:lang w:val="tr-TR"/>
        </w:rPr>
        <w:t xml:space="preserve"> (hedef 7,2 milyondu). Ayrıca, Türkiye’nin enerji güvenliği de artmıştır; IBRD tarafından finanse edilen Gaz Sektörü Geliştirme Projesinin tatmin edici bir şekilde uygulanması sayesinde gaz depolama kapasitesi  2016 sonu itibariyle  yüzde 19 arttırılmıştır. Gaz Sektörü Geliştirme Projesinin başarılı bir şekilde uygulanması Türkiye’nin gaz depolama kapasitesinin daha fazla arttırılmasını amaçlayan yeni bir IBRD finansmanl</w:t>
      </w:r>
      <w:r w:rsidR="001D33C7" w:rsidRPr="001A4B94">
        <w:rPr>
          <w:rFonts w:eastAsiaTheme="minorHAnsi"/>
          <w:sz w:val="22"/>
          <w:szCs w:val="22"/>
          <w:lang w:val="tr-TR"/>
        </w:rPr>
        <w:t>ı projenin hazırlıklarına başlanm</w:t>
      </w:r>
      <w:r w:rsidR="004A421E" w:rsidRPr="001A4B94">
        <w:rPr>
          <w:rFonts w:eastAsiaTheme="minorHAnsi"/>
          <w:sz w:val="22"/>
          <w:szCs w:val="22"/>
          <w:lang w:val="tr-TR"/>
        </w:rPr>
        <w:t>asını sağlamıştır.</w:t>
      </w:r>
    </w:p>
    <w:p w14:paraId="23F3FDD5" w14:textId="77777777" w:rsidR="00747261" w:rsidRPr="001A4B94" w:rsidRDefault="00747261" w:rsidP="00747261">
      <w:pPr>
        <w:spacing w:after="160" w:line="259" w:lineRule="auto"/>
        <w:ind w:left="720"/>
        <w:contextualSpacing/>
        <w:rPr>
          <w:rFonts w:eastAsiaTheme="minorHAnsi"/>
          <w:sz w:val="22"/>
          <w:szCs w:val="22"/>
          <w:lang w:val="tr-TR"/>
        </w:rPr>
      </w:pPr>
    </w:p>
    <w:p w14:paraId="625D980A" w14:textId="1FD0994B" w:rsidR="00747261" w:rsidRPr="001A4B94" w:rsidRDefault="00A04866" w:rsidP="00C24F8F">
      <w:pPr>
        <w:numPr>
          <w:ilvl w:val="0"/>
          <w:numId w:val="21"/>
        </w:numPr>
        <w:spacing w:before="120"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B770D8" w:rsidRPr="001A4B94">
        <w:rPr>
          <w:rFonts w:eastAsiaTheme="minorHAnsi"/>
          <w:b/>
          <w:sz w:val="22"/>
          <w:szCs w:val="22"/>
          <w:lang w:val="tr-TR"/>
        </w:rPr>
        <w:t>Öte yandan, IBRD finansmanlı KOBİ Yenilenebilir Enerji (YE) ve Enerji Verimliliği (EV) kredi hatları yoluyla</w:t>
      </w:r>
      <w:r w:rsidR="00B770D8" w:rsidRPr="001A4B94">
        <w:rPr>
          <w:rFonts w:eastAsiaTheme="minorHAnsi"/>
          <w:b/>
          <w:i/>
          <w:sz w:val="22"/>
          <w:szCs w:val="22"/>
          <w:lang w:val="tr-TR"/>
        </w:rPr>
        <w:t xml:space="preserve"> </w:t>
      </w:r>
      <w:r w:rsidR="00B770D8" w:rsidRPr="001A4B94">
        <w:rPr>
          <w:rFonts w:eastAsiaTheme="minorHAnsi"/>
          <w:b/>
          <w:sz w:val="22"/>
          <w:szCs w:val="22"/>
          <w:lang w:val="tr-TR"/>
        </w:rPr>
        <w:t>4.372 GWh veya 2013 toplam yıllık talebinin yüzde 1,5’i kadar kümülatif enerji tasarrufu sağlanması  hedefi karşısında, kümülatif tasarruf  sadece 3.772 GWh’a ulaşmıştır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2701C2" w:rsidRPr="001A4B94">
        <w:rPr>
          <w:rFonts w:eastAsiaTheme="minorHAnsi"/>
          <w:sz w:val="22"/>
          <w:szCs w:val="22"/>
          <w:lang w:val="tr-TR"/>
        </w:rPr>
        <w:t>Başka sebeplerin yanında (EV ile ilgili aracı banka kapasitesinin düşük olması ve EV hizmetleri piyasasının henüz yeterince gelişmemiş olması gibi), hedefe ulaşamama sebepleri arasında hedeflenen kredi hatları kapsamında EV yatırımlarının yakalan</w:t>
      </w:r>
      <w:r w:rsidR="003543C9" w:rsidRPr="001A4B94">
        <w:rPr>
          <w:rFonts w:eastAsiaTheme="minorHAnsi"/>
          <w:sz w:val="22"/>
          <w:szCs w:val="22"/>
          <w:lang w:val="tr-TR"/>
        </w:rPr>
        <w:t>amaması da yer almıştır:  bazı K</w:t>
      </w:r>
      <w:r w:rsidR="002701C2" w:rsidRPr="001A4B94">
        <w:rPr>
          <w:rFonts w:eastAsiaTheme="minorHAnsi"/>
          <w:sz w:val="22"/>
          <w:szCs w:val="22"/>
          <w:lang w:val="tr-TR"/>
        </w:rPr>
        <w:t xml:space="preserve">OBİ’ler enerji açısından verimli makineler almak için kredi kullanırken, enerji verimliklerindeki artışı kanıtlamak için gerekli belgeleri hazırlama  angaryasından kurtulmak için KOBİ Enerji Verimliliği / Özel Sektör Yenilenebilir Enerji ve Enerji Verimliliği proje fonlarından yararlanmamışlardır. </w:t>
      </w:r>
      <w:r w:rsidR="00747261" w:rsidRPr="001A4B94">
        <w:rPr>
          <w:rFonts w:eastAsiaTheme="minorHAnsi"/>
          <w:sz w:val="22"/>
          <w:szCs w:val="22"/>
          <w:lang w:val="tr-TR"/>
        </w:rPr>
        <w:t xml:space="preserve"> </w:t>
      </w:r>
    </w:p>
    <w:p w14:paraId="3B9E924C" w14:textId="77777777" w:rsidR="00747261" w:rsidRPr="001A4B94" w:rsidRDefault="00747261" w:rsidP="00747261">
      <w:pPr>
        <w:spacing w:after="160" w:line="259" w:lineRule="auto"/>
        <w:ind w:left="720"/>
        <w:contextualSpacing/>
        <w:rPr>
          <w:rFonts w:eastAsiaTheme="minorHAnsi"/>
          <w:sz w:val="22"/>
          <w:szCs w:val="22"/>
          <w:lang w:val="tr-TR"/>
        </w:rPr>
      </w:pPr>
    </w:p>
    <w:p w14:paraId="4D5F3F35" w14:textId="185F60D6"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b/>
          <w:sz w:val="22"/>
          <w:szCs w:val="22"/>
          <w:lang w:val="tr-TR"/>
        </w:rPr>
        <w:t xml:space="preserve"> </w:t>
      </w:r>
      <w:r w:rsidR="00DD49A0" w:rsidRPr="001A4B94">
        <w:rPr>
          <w:b/>
          <w:sz w:val="22"/>
          <w:szCs w:val="22"/>
          <w:lang w:val="tr-TR"/>
        </w:rPr>
        <w:t xml:space="preserve">Bu Tematik </w:t>
      </w:r>
      <w:r w:rsidR="006408E7" w:rsidRPr="001A4B94">
        <w:rPr>
          <w:b/>
          <w:sz w:val="22"/>
          <w:szCs w:val="22"/>
          <w:lang w:val="tr-TR"/>
        </w:rPr>
        <w:t>A</w:t>
      </w:r>
      <w:r w:rsidR="00DD49A0" w:rsidRPr="001A4B94">
        <w:rPr>
          <w:b/>
          <w:sz w:val="22"/>
          <w:szCs w:val="22"/>
          <w:lang w:val="tr-TR"/>
        </w:rPr>
        <w:t>lan kapsamındaki başarılar özel bir ilgiyi hak</w:t>
      </w:r>
      <w:r w:rsidR="00531B0D" w:rsidRPr="001A4B94">
        <w:rPr>
          <w:b/>
          <w:sz w:val="22"/>
          <w:szCs w:val="22"/>
          <w:lang w:val="tr-TR"/>
        </w:rPr>
        <w:t xml:space="preserve"> </w:t>
      </w:r>
      <w:r w:rsidR="00DD49A0" w:rsidRPr="001A4B94">
        <w:rPr>
          <w:b/>
          <w:sz w:val="22"/>
          <w:szCs w:val="22"/>
          <w:lang w:val="tr-TR"/>
        </w:rPr>
        <w:t xml:space="preserve">etmektedir. </w:t>
      </w:r>
      <w:r w:rsidR="00784437" w:rsidRPr="001A4B94">
        <w:rPr>
          <w:sz w:val="22"/>
          <w:szCs w:val="22"/>
          <w:lang w:val="tr-TR"/>
        </w:rPr>
        <w:t>DBG neredeyse mevcut tüm araç türler</w:t>
      </w:r>
      <w:r w:rsidR="00531B0D" w:rsidRPr="001A4B94">
        <w:rPr>
          <w:sz w:val="22"/>
          <w:szCs w:val="22"/>
          <w:lang w:val="tr-TR"/>
        </w:rPr>
        <w:t>ini kullanmıştır, güçlü bir don</w:t>
      </w:r>
      <w:r w:rsidR="003543C9" w:rsidRPr="001A4B94">
        <w:rPr>
          <w:sz w:val="22"/>
          <w:szCs w:val="22"/>
          <w:lang w:val="tr-TR"/>
        </w:rPr>
        <w:t>ö</w:t>
      </w:r>
      <w:r w:rsidR="00784437" w:rsidRPr="001A4B94">
        <w:rPr>
          <w:sz w:val="22"/>
          <w:szCs w:val="22"/>
          <w:lang w:val="tr-TR"/>
        </w:rPr>
        <w:t>r koordinasyonu sağlamıştır ve öne</w:t>
      </w:r>
      <w:r w:rsidR="00531B0D" w:rsidRPr="001A4B94">
        <w:rPr>
          <w:sz w:val="22"/>
          <w:szCs w:val="22"/>
          <w:lang w:val="tr-TR"/>
        </w:rPr>
        <w:t xml:space="preserve">mli miktarda dış finansmanı </w:t>
      </w:r>
      <w:r w:rsidR="003543C9" w:rsidRPr="001A4B94">
        <w:rPr>
          <w:sz w:val="22"/>
          <w:szCs w:val="22"/>
          <w:lang w:val="tr-TR"/>
        </w:rPr>
        <w:t>harekete</w:t>
      </w:r>
      <w:r w:rsidR="00784437" w:rsidRPr="001A4B94">
        <w:rPr>
          <w:sz w:val="22"/>
          <w:szCs w:val="22"/>
          <w:lang w:val="tr-TR"/>
        </w:rPr>
        <w:t xml:space="preserve"> geçirmiştir. AB-IPA tarafından finanse edilen Enerji Sektörü Teknik Yardım Programı Türkiye’nin AB Enerji Politikası ile uyumlaşmasını desteklemiştir. 150 milyon ABD dolarını aşan </w:t>
      </w:r>
      <w:r w:rsidR="003543C9" w:rsidRPr="001A4B94">
        <w:rPr>
          <w:sz w:val="22"/>
          <w:szCs w:val="22"/>
          <w:lang w:val="tr-TR"/>
        </w:rPr>
        <w:t>miktardaki</w:t>
      </w:r>
      <w:r w:rsidR="00784437" w:rsidRPr="001A4B94">
        <w:rPr>
          <w:sz w:val="22"/>
          <w:szCs w:val="22"/>
          <w:lang w:val="tr-TR"/>
        </w:rPr>
        <w:t xml:space="preserve"> Temiz Teknoloji Fonu (CTF) hibeleri ve imtiyazlı krediler IBRD kredi operasyonları için eş finansman sağlamıştır. </w:t>
      </w:r>
      <w:r w:rsidR="00762D2B" w:rsidRPr="001A4B94">
        <w:rPr>
          <w:sz w:val="22"/>
          <w:szCs w:val="22"/>
          <w:lang w:val="tr-TR"/>
        </w:rPr>
        <w:t>Piyasa Hazırlık Ortaklığı (PMR) projesi Türkiye’nin elektrik ve sanayi sektörleri için sera gazı izleme, raporlama ve doğrulama (MRV) sistemi oluşturma ve Türkiye’nin uygulamaya koyabileceği çeşitli piyasa tabanlı ve başka sera gazı azaltma seçeneklerini analiz etme yönündeki çalışmalarını desteklemektedir.</w:t>
      </w:r>
      <w:r w:rsidR="00747261" w:rsidRPr="001A4B94">
        <w:rPr>
          <w:sz w:val="22"/>
          <w:szCs w:val="22"/>
          <w:lang w:val="tr-TR"/>
        </w:rPr>
        <w:t xml:space="preserve"> </w:t>
      </w:r>
      <w:r w:rsidR="00762D2B" w:rsidRPr="001A4B94">
        <w:rPr>
          <w:sz w:val="22"/>
          <w:szCs w:val="22"/>
          <w:lang w:val="tr-TR"/>
        </w:rPr>
        <w:t>Bu kapsamda Türkiye PMR projesini ilk uygulamaya başlayan ülke olmuştur</w:t>
      </w:r>
      <w:r w:rsidR="00747261" w:rsidRPr="001A4B94">
        <w:rPr>
          <w:sz w:val="22"/>
          <w:szCs w:val="22"/>
          <w:lang w:val="tr-TR"/>
        </w:rPr>
        <w:t xml:space="preserve"> </w:t>
      </w:r>
      <w:r w:rsidR="00762D2B" w:rsidRPr="001A4B94">
        <w:rPr>
          <w:sz w:val="22"/>
          <w:szCs w:val="22"/>
          <w:lang w:val="tr-TR"/>
        </w:rPr>
        <w:t xml:space="preserve">ve daha şimdiden deneyimlerini (örneğin MRV sistemi ile ilgili) </w:t>
      </w:r>
      <w:r w:rsidR="00D561C8" w:rsidRPr="001A4B94">
        <w:rPr>
          <w:sz w:val="22"/>
          <w:szCs w:val="22"/>
          <w:lang w:val="tr-TR"/>
        </w:rPr>
        <w:t>PMR forumunda diğer ülkelerle paylaşmaya başlamıştır.</w:t>
      </w:r>
    </w:p>
    <w:p w14:paraId="5A08A6AC" w14:textId="77777777" w:rsidR="00747261" w:rsidRPr="001A4B94" w:rsidRDefault="00747261" w:rsidP="00747261">
      <w:pPr>
        <w:spacing w:after="160"/>
        <w:ind w:left="360"/>
        <w:contextualSpacing/>
        <w:jc w:val="both"/>
        <w:rPr>
          <w:rFonts w:eastAsiaTheme="minorHAnsi"/>
          <w:sz w:val="22"/>
          <w:szCs w:val="22"/>
          <w:lang w:val="tr-TR"/>
        </w:rPr>
      </w:pPr>
    </w:p>
    <w:p w14:paraId="18EF0D32" w14:textId="38759105"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b/>
          <w:sz w:val="22"/>
          <w:szCs w:val="22"/>
          <w:lang w:val="tr-TR"/>
        </w:rPr>
        <w:t xml:space="preserve"> </w:t>
      </w:r>
      <w:r w:rsidR="00747261" w:rsidRPr="001A4B94">
        <w:rPr>
          <w:b/>
          <w:sz w:val="22"/>
          <w:szCs w:val="22"/>
          <w:lang w:val="tr-TR"/>
        </w:rPr>
        <w:t>IFC`</w:t>
      </w:r>
      <w:r w:rsidR="003543C9" w:rsidRPr="001A4B94">
        <w:rPr>
          <w:b/>
          <w:sz w:val="22"/>
          <w:szCs w:val="22"/>
          <w:lang w:val="tr-TR"/>
        </w:rPr>
        <w:t>nın özel sektör finans</w:t>
      </w:r>
      <w:r w:rsidR="00D561C8" w:rsidRPr="001A4B94">
        <w:rPr>
          <w:b/>
          <w:sz w:val="22"/>
          <w:szCs w:val="22"/>
          <w:lang w:val="tr-TR"/>
        </w:rPr>
        <w:t>m</w:t>
      </w:r>
      <w:r w:rsidR="003543C9" w:rsidRPr="001A4B94">
        <w:rPr>
          <w:b/>
          <w:sz w:val="22"/>
          <w:szCs w:val="22"/>
          <w:lang w:val="tr-TR"/>
        </w:rPr>
        <w:t xml:space="preserve">anı </w:t>
      </w:r>
      <w:r w:rsidR="00D561C8" w:rsidRPr="001A4B94">
        <w:rPr>
          <w:b/>
          <w:sz w:val="22"/>
          <w:szCs w:val="22"/>
          <w:lang w:val="tr-TR"/>
        </w:rPr>
        <w:t xml:space="preserve">bu alandaki hedeflerin başarılmasına önemli bir katkı sağlamıştır. </w:t>
      </w:r>
      <w:r w:rsidR="00D561C8" w:rsidRPr="001A4B94">
        <w:rPr>
          <w:sz w:val="22"/>
          <w:szCs w:val="22"/>
          <w:lang w:val="tr-TR"/>
        </w:rPr>
        <w:t xml:space="preserve">IFC altı elektrik üretim projesine </w:t>
      </w:r>
      <w:r w:rsidR="00747261" w:rsidRPr="001A4B94">
        <w:rPr>
          <w:sz w:val="22"/>
          <w:szCs w:val="22"/>
          <w:lang w:val="tr-TR"/>
        </w:rPr>
        <w:t>659</w:t>
      </w:r>
      <w:r w:rsidR="00D561C8" w:rsidRPr="001A4B94">
        <w:rPr>
          <w:sz w:val="22"/>
          <w:szCs w:val="22"/>
          <w:lang w:val="tr-TR"/>
        </w:rPr>
        <w:t xml:space="preserve"> milyon ABD doları ve bir elektrik dağıtım projesine 163 milyon ABD doları yatırım yaparak yıllık neredeyse 17</w:t>
      </w:r>
      <w:r w:rsidR="006408E7" w:rsidRPr="001A4B94">
        <w:rPr>
          <w:sz w:val="22"/>
          <w:szCs w:val="22"/>
          <w:lang w:val="tr-TR"/>
        </w:rPr>
        <w:t>.</w:t>
      </w:r>
      <w:r w:rsidR="00D561C8" w:rsidRPr="001A4B94">
        <w:rPr>
          <w:sz w:val="22"/>
          <w:szCs w:val="22"/>
          <w:lang w:val="tr-TR"/>
        </w:rPr>
        <w:t xml:space="preserve">000 </w:t>
      </w:r>
      <w:r w:rsidR="00747261" w:rsidRPr="001A4B94">
        <w:rPr>
          <w:sz w:val="22"/>
          <w:szCs w:val="22"/>
          <w:lang w:val="tr-TR"/>
        </w:rPr>
        <w:t xml:space="preserve"> GWh </w:t>
      </w:r>
      <w:r w:rsidR="00D561C8" w:rsidRPr="001A4B94">
        <w:rPr>
          <w:sz w:val="22"/>
          <w:szCs w:val="22"/>
          <w:lang w:val="tr-TR"/>
        </w:rPr>
        <w:t>elek</w:t>
      </w:r>
      <w:r w:rsidR="003543C9" w:rsidRPr="001A4B94">
        <w:rPr>
          <w:sz w:val="22"/>
          <w:szCs w:val="22"/>
          <w:lang w:val="tr-TR"/>
        </w:rPr>
        <w:t>t</w:t>
      </w:r>
      <w:r w:rsidR="00D561C8" w:rsidRPr="001A4B94">
        <w:rPr>
          <w:sz w:val="22"/>
          <w:szCs w:val="22"/>
          <w:lang w:val="tr-TR"/>
        </w:rPr>
        <w:t xml:space="preserve">rik üretimi desteklemiştir. Ayrıca Türkiye’nin ithal doğalgaza olan bağımlılığını azaltmak için Türkiye’de yeni kurulan </w:t>
      </w:r>
      <w:r w:rsidR="008F000C" w:rsidRPr="001A4B94">
        <w:rPr>
          <w:sz w:val="22"/>
          <w:szCs w:val="22"/>
          <w:lang w:val="tr-TR"/>
        </w:rPr>
        <w:t>Pe</w:t>
      </w:r>
      <w:r w:rsidR="003543C9" w:rsidRPr="001A4B94">
        <w:rPr>
          <w:sz w:val="22"/>
          <w:szCs w:val="22"/>
          <w:lang w:val="tr-TR"/>
        </w:rPr>
        <w:t>t</w:t>
      </w:r>
      <w:r w:rsidR="008F000C" w:rsidRPr="001A4B94">
        <w:rPr>
          <w:sz w:val="22"/>
          <w:szCs w:val="22"/>
          <w:lang w:val="tr-TR"/>
        </w:rPr>
        <w:t>rol Saha Hizmetleri A.Ş.’nin yurt içinde operasyonlarını genişletmesi için 40 milyon ABD doları yatırım yapmıştır. Öte yandan Türkiye’de</w:t>
      </w:r>
      <w:r w:rsidR="003543C9" w:rsidRPr="001A4B94">
        <w:rPr>
          <w:sz w:val="22"/>
          <w:szCs w:val="22"/>
          <w:lang w:val="tr-TR"/>
        </w:rPr>
        <w:t>ki</w:t>
      </w:r>
      <w:r w:rsidR="008F000C" w:rsidRPr="001A4B94">
        <w:rPr>
          <w:sz w:val="22"/>
          <w:szCs w:val="22"/>
          <w:lang w:val="tr-TR"/>
        </w:rPr>
        <w:t xml:space="preserve"> en büyük petrol ve gaz üreticisinin güneydoğudaki sınır illerinde petrol ve gaz üretimini artırması için 50 milyon ABD doları yatırım yapmıştır. Son olarak hem finansal sektörde hem de reel sektörde sağladığı finansman yolu ile IFC çeşitli iklim değişikliği ile ilgili projeleri de desteklemiştir. </w:t>
      </w:r>
      <w:r w:rsidR="007E0F50" w:rsidRPr="001A4B94">
        <w:rPr>
          <w:sz w:val="22"/>
          <w:szCs w:val="22"/>
          <w:lang w:val="tr-TR"/>
        </w:rPr>
        <w:t xml:space="preserve">IFC yenilenebilir enerji ve sera gazı emisyonları ile ilgili yatırımlar için yaklaşık 300 milyon ABD doları sağlamıştır: spesifik olarak Yapı Kredi  </w:t>
      </w:r>
      <w:r w:rsidR="00747261" w:rsidRPr="001A4B94">
        <w:rPr>
          <w:rFonts w:eastAsiaTheme="minorHAnsi"/>
          <w:sz w:val="22"/>
          <w:szCs w:val="22"/>
          <w:lang w:val="tr-TR"/>
        </w:rPr>
        <w:t>Leasing</w:t>
      </w:r>
      <w:r w:rsidR="007E0F50" w:rsidRPr="001A4B94">
        <w:rPr>
          <w:rFonts w:eastAsiaTheme="minorHAnsi"/>
          <w:sz w:val="22"/>
          <w:szCs w:val="22"/>
          <w:lang w:val="tr-TR"/>
        </w:rPr>
        <w:t>’e sürdürülebilir enerji finansmanı için 96 milyon ABD doları, TSKB’ye sera gazı emisyonlarını azaltacak, atık yönetimi uygulamalarını genişletecek ve işleme ve imalat süreçlerinde hammadde verimliliğini artıracak projeler</w:t>
      </w:r>
      <w:r w:rsidR="003543C9" w:rsidRPr="001A4B94">
        <w:rPr>
          <w:rFonts w:eastAsiaTheme="minorHAnsi"/>
          <w:sz w:val="22"/>
          <w:szCs w:val="22"/>
          <w:lang w:val="tr-TR"/>
        </w:rPr>
        <w:t>in finansmanı için 150 milyon A</w:t>
      </w:r>
      <w:r w:rsidR="007E0F50" w:rsidRPr="001A4B94">
        <w:rPr>
          <w:rFonts w:eastAsiaTheme="minorHAnsi"/>
          <w:sz w:val="22"/>
          <w:szCs w:val="22"/>
          <w:lang w:val="tr-TR"/>
        </w:rPr>
        <w:t>B</w:t>
      </w:r>
      <w:r w:rsidR="003543C9" w:rsidRPr="001A4B94">
        <w:rPr>
          <w:rFonts w:eastAsiaTheme="minorHAnsi"/>
          <w:sz w:val="22"/>
          <w:szCs w:val="22"/>
          <w:lang w:val="tr-TR"/>
        </w:rPr>
        <w:t>D</w:t>
      </w:r>
      <w:r w:rsidR="007E0F50" w:rsidRPr="001A4B94">
        <w:rPr>
          <w:rFonts w:eastAsiaTheme="minorHAnsi"/>
          <w:sz w:val="22"/>
          <w:szCs w:val="22"/>
          <w:lang w:val="tr-TR"/>
        </w:rPr>
        <w:t xml:space="preserve"> doları ve </w:t>
      </w:r>
      <w:r w:rsidR="007E0F50" w:rsidRPr="001A4B94">
        <w:rPr>
          <w:rFonts w:eastAsiaTheme="minorHAnsi"/>
          <w:sz w:val="22"/>
          <w:szCs w:val="22"/>
          <w:lang w:val="tr-TR"/>
        </w:rPr>
        <w:lastRenderedPageBreak/>
        <w:t xml:space="preserve">İş </w:t>
      </w:r>
      <w:r w:rsidR="00682A2B" w:rsidRPr="001A4B94">
        <w:rPr>
          <w:rFonts w:eastAsiaTheme="minorHAnsi"/>
          <w:sz w:val="22"/>
          <w:szCs w:val="22"/>
          <w:lang w:val="tr-TR"/>
        </w:rPr>
        <w:t xml:space="preserve">Leasing’e bir toptan satış yaklaşımı yoluyla Türkiye’deki çeşitli sektörlerde enerji verimliliği ve yenilenebilir enerji projelerini teşvik etmesi için </w:t>
      </w:r>
      <w:r w:rsidR="00747261" w:rsidRPr="001A4B94">
        <w:rPr>
          <w:rFonts w:eastAsiaTheme="minorHAnsi"/>
          <w:sz w:val="22"/>
          <w:szCs w:val="22"/>
          <w:lang w:val="tr-TR"/>
        </w:rPr>
        <w:t>CTF</w:t>
      </w:r>
      <w:r w:rsidR="00682A2B" w:rsidRPr="001A4B94">
        <w:rPr>
          <w:rFonts w:eastAsiaTheme="minorHAnsi"/>
          <w:sz w:val="22"/>
          <w:szCs w:val="22"/>
          <w:lang w:val="tr-TR"/>
        </w:rPr>
        <w:t xml:space="preserve"> eş finansmanı ile birlikte 35 milyon AB</w:t>
      </w:r>
      <w:r w:rsidR="003543C9" w:rsidRPr="001A4B94">
        <w:rPr>
          <w:rFonts w:eastAsiaTheme="minorHAnsi"/>
          <w:sz w:val="22"/>
          <w:szCs w:val="22"/>
          <w:lang w:val="tr-TR"/>
        </w:rPr>
        <w:t>D</w:t>
      </w:r>
      <w:r w:rsidR="00682A2B" w:rsidRPr="001A4B94">
        <w:rPr>
          <w:rFonts w:eastAsiaTheme="minorHAnsi"/>
          <w:sz w:val="22"/>
          <w:szCs w:val="22"/>
          <w:lang w:val="tr-TR"/>
        </w:rPr>
        <w:t xml:space="preserve"> doları sağlamıştır. Reel sektörde</w:t>
      </w:r>
      <w:r w:rsidR="00747261" w:rsidRPr="001A4B94">
        <w:rPr>
          <w:sz w:val="22"/>
          <w:szCs w:val="22"/>
          <w:lang w:val="tr-TR"/>
        </w:rPr>
        <w:t xml:space="preserve">, </w:t>
      </w:r>
      <w:r w:rsidR="00682A2B" w:rsidRPr="001A4B94">
        <w:rPr>
          <w:sz w:val="22"/>
          <w:szCs w:val="22"/>
          <w:lang w:val="tr-TR"/>
        </w:rPr>
        <w:t xml:space="preserve">karton sanayii, tekstil, tarımsal işletme, ambalaj film sanayii, katı atık ve </w:t>
      </w:r>
      <w:r w:rsidR="00631A5E" w:rsidRPr="001A4B94">
        <w:rPr>
          <w:sz w:val="22"/>
          <w:szCs w:val="22"/>
          <w:lang w:val="tr-TR"/>
        </w:rPr>
        <w:t xml:space="preserve">atık si arıtma, inşaat, toplu taşıma ve sağlık kampüsleri </w:t>
      </w:r>
      <w:r w:rsidR="00682A2B" w:rsidRPr="001A4B94">
        <w:rPr>
          <w:sz w:val="22"/>
          <w:szCs w:val="22"/>
          <w:lang w:val="tr-TR"/>
        </w:rPr>
        <w:t>sektörlerindeki enerji verimliliği projelerini finanse etmiştir.</w:t>
      </w:r>
      <w:r w:rsidR="00631A5E" w:rsidRPr="001A4B94">
        <w:rPr>
          <w:sz w:val="22"/>
          <w:szCs w:val="22"/>
          <w:lang w:val="tr-TR"/>
        </w:rPr>
        <w:t xml:space="preserve"> 2016 mali yılında, IFC işletmede bulunan 211 MW’lık HES ve güneş enerjisi projesi ile yapım aşamasındaki ilave 178 MW’lık bir portföye sahip bir yenilenebilir enerji platformu şirketi olan Akfen Enerji’ye </w:t>
      </w:r>
      <w:r w:rsidR="00747261" w:rsidRPr="001A4B94">
        <w:rPr>
          <w:sz w:val="22"/>
          <w:szCs w:val="22"/>
          <w:lang w:val="tr-TR"/>
        </w:rPr>
        <w:t xml:space="preserve">100 </w:t>
      </w:r>
      <w:r w:rsidR="00631A5E" w:rsidRPr="001A4B94">
        <w:rPr>
          <w:sz w:val="22"/>
          <w:szCs w:val="22"/>
          <w:lang w:val="tr-TR"/>
        </w:rPr>
        <w:t xml:space="preserve">milyon ABD doları sermaye yatırımı yapmıştır. </w:t>
      </w:r>
    </w:p>
    <w:p w14:paraId="25DA028B" w14:textId="77777777" w:rsidR="00747261" w:rsidRPr="001A4B94" w:rsidRDefault="00747261" w:rsidP="00747261">
      <w:pPr>
        <w:spacing w:after="160"/>
        <w:ind w:left="360"/>
        <w:contextualSpacing/>
        <w:jc w:val="both"/>
        <w:rPr>
          <w:rFonts w:eastAsiaTheme="minorHAnsi"/>
          <w:sz w:val="20"/>
          <w:szCs w:val="20"/>
          <w:lang w:val="tr-TR"/>
        </w:rPr>
      </w:pPr>
    </w:p>
    <w:p w14:paraId="37A05DFF" w14:textId="114939C5"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576BA1" w:rsidRPr="001A4B94">
        <w:rPr>
          <w:rFonts w:eastAsiaTheme="minorHAnsi"/>
          <w:b/>
          <w:sz w:val="22"/>
          <w:szCs w:val="22"/>
          <w:lang w:val="tr-TR"/>
        </w:rPr>
        <w:t>Finansman desteğine benzer şekilde ASA faaliyetlerinde de çeşitli ve yenilikçi bir performans sergilenmiş, ürünlerin finansmanı için dışarıdan kaynaklar harekete geçirilmiştir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576BA1" w:rsidRPr="001A4B94">
        <w:rPr>
          <w:rFonts w:eastAsiaTheme="minorHAnsi"/>
          <w:sz w:val="22"/>
          <w:szCs w:val="22"/>
          <w:lang w:val="tr-TR"/>
        </w:rPr>
        <w:t xml:space="preserve"> Enerji Reformu Kilometre Taşları ve Zorlukları başlıklı rapor </w:t>
      </w:r>
      <w:r w:rsidR="00747261" w:rsidRPr="001A4B94">
        <w:rPr>
          <w:rFonts w:eastAsiaTheme="minorHAnsi"/>
          <w:sz w:val="22"/>
          <w:szCs w:val="22"/>
          <w:lang w:val="tr-TR"/>
        </w:rPr>
        <w:t>(</w:t>
      </w:r>
      <w:r w:rsidR="00576BA1" w:rsidRPr="001A4B94">
        <w:rPr>
          <w:rFonts w:eastAsiaTheme="minorHAnsi"/>
          <w:sz w:val="22"/>
          <w:szCs w:val="22"/>
          <w:lang w:val="tr-TR"/>
        </w:rPr>
        <w:t>2015 MY</w:t>
      </w:r>
      <w:r w:rsidR="00747261" w:rsidRPr="001A4B94">
        <w:rPr>
          <w:rFonts w:eastAsiaTheme="minorHAnsi"/>
          <w:sz w:val="22"/>
          <w:szCs w:val="22"/>
          <w:lang w:val="tr-TR"/>
        </w:rPr>
        <w:t>)</w:t>
      </w:r>
      <w:r w:rsidR="00576BA1" w:rsidRPr="001A4B94">
        <w:rPr>
          <w:rFonts w:eastAsiaTheme="minorHAnsi"/>
          <w:sz w:val="22"/>
          <w:szCs w:val="22"/>
          <w:lang w:val="tr-TR"/>
        </w:rPr>
        <w:t xml:space="preserve"> </w:t>
      </w:r>
      <w:r w:rsidR="001023B2" w:rsidRPr="001A4B94">
        <w:rPr>
          <w:rFonts w:eastAsiaTheme="minorHAnsi"/>
          <w:sz w:val="22"/>
          <w:szCs w:val="22"/>
          <w:lang w:val="tr-TR"/>
        </w:rPr>
        <w:t>sektör reform</w:t>
      </w:r>
      <w:r w:rsidR="006408E7" w:rsidRPr="001A4B94">
        <w:rPr>
          <w:rFonts w:eastAsiaTheme="minorHAnsi"/>
          <w:sz w:val="22"/>
          <w:szCs w:val="22"/>
          <w:lang w:val="tr-TR"/>
        </w:rPr>
        <w:t>u</w:t>
      </w:r>
      <w:r w:rsidR="001023B2" w:rsidRPr="001A4B94">
        <w:rPr>
          <w:rFonts w:eastAsiaTheme="minorHAnsi"/>
          <w:sz w:val="22"/>
          <w:szCs w:val="22"/>
          <w:lang w:val="tr-TR"/>
        </w:rPr>
        <w:t xml:space="preserve"> yolu</w:t>
      </w:r>
      <w:r w:rsidR="006408E7" w:rsidRPr="001A4B94">
        <w:rPr>
          <w:rFonts w:eastAsiaTheme="minorHAnsi"/>
          <w:sz w:val="22"/>
          <w:szCs w:val="22"/>
          <w:lang w:val="tr-TR"/>
        </w:rPr>
        <w:t>yla</w:t>
      </w:r>
      <w:r w:rsidR="001023B2" w:rsidRPr="001A4B94">
        <w:rPr>
          <w:rFonts w:eastAsiaTheme="minorHAnsi"/>
          <w:sz w:val="22"/>
          <w:szCs w:val="22"/>
          <w:lang w:val="tr-TR"/>
        </w:rPr>
        <w:t xml:space="preserve"> elde edilen başarıları ve çıkarılan dersleri ortaya koyarak sadece Türkiye programını desteklemekle kalmamış, aynı zamanda Türkiye deneyiminin paylaşılmasına yönelik küresel bir bilgi ürünü işlevi görmüştür. </w:t>
      </w:r>
      <w:r w:rsidR="00747261" w:rsidRPr="001A4B94">
        <w:rPr>
          <w:rFonts w:eastAsiaTheme="minorHAnsi"/>
          <w:sz w:val="22"/>
          <w:szCs w:val="22"/>
          <w:lang w:val="tr-TR"/>
        </w:rPr>
        <w:t>ESMAP</w:t>
      </w:r>
      <w:r w:rsidR="001023B2" w:rsidRPr="001A4B94">
        <w:rPr>
          <w:rFonts w:eastAsiaTheme="minorHAnsi"/>
          <w:sz w:val="22"/>
          <w:szCs w:val="22"/>
          <w:lang w:val="tr-TR"/>
        </w:rPr>
        <w:t>, Enerji Verimliliği Kurumsal İncelemesi  (2015 MY), Enerji Sektörünün Sosyal Açıdan İzlenmesi (2014 MY), elektrik piyasasına ilişkin bir Teknik Yardım</w:t>
      </w:r>
      <w:r w:rsidR="004B1192" w:rsidRPr="001A4B94">
        <w:rPr>
          <w:rFonts w:eastAsiaTheme="minorHAnsi"/>
          <w:sz w:val="22"/>
          <w:szCs w:val="22"/>
          <w:lang w:val="tr-TR"/>
        </w:rPr>
        <w:t xml:space="preserve"> (2012 MY)</w:t>
      </w:r>
      <w:r w:rsidR="001023B2" w:rsidRPr="001A4B94">
        <w:rPr>
          <w:rFonts w:eastAsiaTheme="minorHAnsi"/>
          <w:sz w:val="22"/>
          <w:szCs w:val="22"/>
          <w:lang w:val="tr-TR"/>
        </w:rPr>
        <w:t xml:space="preserve"> ve dağıtım şirketlerine ilişkin devam etmekte olan bir analiz </w:t>
      </w:r>
      <w:r w:rsidR="004B1192" w:rsidRPr="001A4B94">
        <w:rPr>
          <w:rFonts w:eastAsiaTheme="minorHAnsi"/>
          <w:sz w:val="22"/>
          <w:szCs w:val="22"/>
          <w:lang w:val="tr-TR"/>
        </w:rPr>
        <w:t>çalışmalarını finanse etmiştir. Özellikle belirtilmesi gereken bir başka husus olarak</w:t>
      </w:r>
      <w:r w:rsidR="006408E7" w:rsidRPr="001A4B94">
        <w:rPr>
          <w:rFonts w:eastAsiaTheme="minorHAnsi"/>
          <w:sz w:val="22"/>
          <w:szCs w:val="22"/>
          <w:lang w:val="tr-TR"/>
        </w:rPr>
        <w:t>,</w:t>
      </w:r>
      <w:r w:rsidR="004B1192" w:rsidRPr="001A4B94">
        <w:rPr>
          <w:rFonts w:eastAsiaTheme="minorHAnsi"/>
          <w:sz w:val="22"/>
          <w:szCs w:val="22"/>
          <w:lang w:val="tr-TR"/>
        </w:rPr>
        <w:t xml:space="preserve"> AB/IPA finansmanlı Enerji Sektörü TY çalışmalarının Türkiye’de ilk defa uygulamaya konulan RETF modeli kapsamında, enerj</w:t>
      </w:r>
      <w:r w:rsidR="00156A6A" w:rsidRPr="001A4B94">
        <w:rPr>
          <w:rFonts w:eastAsiaTheme="minorHAnsi"/>
          <w:sz w:val="22"/>
          <w:szCs w:val="22"/>
          <w:lang w:val="tr-TR"/>
        </w:rPr>
        <w:t>i sektöründeki ana muhat</w:t>
      </w:r>
      <w:r w:rsidR="004B1192" w:rsidRPr="001A4B94">
        <w:rPr>
          <w:rFonts w:eastAsiaTheme="minorHAnsi"/>
          <w:sz w:val="22"/>
          <w:szCs w:val="22"/>
          <w:lang w:val="tr-TR"/>
        </w:rPr>
        <w:t>ap kurum olan ETKB’nin analitik kapasitesini geliştirmesine ve kaliteli danışmanlık hizmetleri almasına yardımcı olmuştur</w:t>
      </w:r>
      <w:r w:rsidR="00747261" w:rsidRPr="001A4B94">
        <w:rPr>
          <w:rFonts w:eastAsiaTheme="minorHAnsi"/>
          <w:sz w:val="22"/>
          <w:szCs w:val="22"/>
          <w:lang w:val="tr-TR"/>
        </w:rPr>
        <w:t>.</w:t>
      </w:r>
    </w:p>
    <w:p w14:paraId="1E42CEC3" w14:textId="77777777" w:rsidR="00747261" w:rsidRPr="001A4B94" w:rsidRDefault="00747261" w:rsidP="00747261">
      <w:pPr>
        <w:ind w:left="360"/>
        <w:jc w:val="both"/>
        <w:rPr>
          <w:rFonts w:eastAsiaTheme="minorHAnsi"/>
          <w:b/>
          <w:sz w:val="22"/>
          <w:szCs w:val="22"/>
          <w:lang w:val="tr-TR"/>
        </w:rPr>
      </w:pPr>
    </w:p>
    <w:p w14:paraId="0402E17D" w14:textId="3628D370" w:rsidR="00747261" w:rsidRPr="001A4B94" w:rsidRDefault="00156A6A" w:rsidP="00747261">
      <w:pPr>
        <w:spacing w:after="160"/>
        <w:ind w:left="360"/>
        <w:jc w:val="both"/>
        <w:rPr>
          <w:rFonts w:eastAsiaTheme="minorHAnsi"/>
          <w:b/>
          <w:sz w:val="22"/>
          <w:szCs w:val="22"/>
          <w:lang w:val="tr-TR"/>
        </w:rPr>
      </w:pPr>
      <w:r w:rsidRPr="001A4B94">
        <w:rPr>
          <w:rFonts w:eastAsiaTheme="minorHAnsi"/>
          <w:b/>
          <w:sz w:val="22"/>
          <w:szCs w:val="22"/>
          <w:lang w:val="tr-TR"/>
        </w:rPr>
        <w:t xml:space="preserve">C.2. Tematik Alan </w:t>
      </w:r>
      <w:r w:rsidR="00747261" w:rsidRPr="001A4B94">
        <w:rPr>
          <w:rFonts w:eastAsiaTheme="minorHAnsi"/>
          <w:b/>
          <w:sz w:val="22"/>
          <w:szCs w:val="22"/>
          <w:lang w:val="tr-TR"/>
        </w:rPr>
        <w:t xml:space="preserve">7: </w:t>
      </w:r>
      <w:r w:rsidRPr="001A4B94">
        <w:rPr>
          <w:rFonts w:eastAsiaTheme="minorHAnsi"/>
          <w:b/>
          <w:sz w:val="22"/>
          <w:szCs w:val="22"/>
          <w:lang w:val="tr-TR"/>
        </w:rPr>
        <w:t xml:space="preserve">Çevre yönetiminin ve iklim değişikliğine uyumun güçlendirilmesi  </w:t>
      </w:r>
    </w:p>
    <w:p w14:paraId="7D91394B" w14:textId="5100FA01" w:rsidR="00747261" w:rsidRPr="001A4B94" w:rsidRDefault="00A04866" w:rsidP="00C938D9">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3F288D" w:rsidRPr="001A4B94">
        <w:rPr>
          <w:rFonts w:eastAsiaTheme="minorHAnsi"/>
          <w:b/>
          <w:sz w:val="22"/>
          <w:szCs w:val="22"/>
          <w:lang w:val="tr-TR"/>
        </w:rPr>
        <w:t>Tematik alan 7 sonuçları kısmen başarılmıştır: üç göstergeden ikisi karşılanmış, biri ise karşılanamamıştır</w:t>
      </w:r>
      <w:r w:rsidR="00747261" w:rsidRPr="001A4B94">
        <w:rPr>
          <w:rFonts w:eastAsiaTheme="minorHAnsi"/>
          <w:sz w:val="22"/>
          <w:szCs w:val="22"/>
          <w:lang w:val="tr-TR"/>
        </w:rPr>
        <w:t xml:space="preserve">. </w:t>
      </w:r>
      <w:r w:rsidR="00156A6A" w:rsidRPr="001A4B94">
        <w:rPr>
          <w:rFonts w:eastAsiaTheme="minorHAnsi"/>
          <w:sz w:val="22"/>
          <w:szCs w:val="22"/>
          <w:lang w:val="tr-TR"/>
        </w:rPr>
        <w:t>Su Çerçeve Direktifinde belirtilen esaslar dikkate alınarak Türkiye’nin 25 nehir havzası için koruma eylem planlarının hazırlanması yoluyla Havza Yönetiminin İyileştirilmesi hakkındaki gösterge (i)</w:t>
      </w:r>
      <w:r w:rsidR="00747261" w:rsidRPr="001A4B94">
        <w:rPr>
          <w:rFonts w:eastAsiaTheme="minorHAnsi"/>
          <w:sz w:val="22"/>
          <w:szCs w:val="22"/>
          <w:lang w:val="tr-TR"/>
        </w:rPr>
        <w:t>,</w:t>
      </w:r>
      <w:r w:rsidR="00156A6A" w:rsidRPr="001A4B94">
        <w:rPr>
          <w:rFonts w:eastAsiaTheme="minorHAnsi"/>
          <w:sz w:val="22"/>
          <w:szCs w:val="22"/>
          <w:lang w:val="tr-TR"/>
        </w:rPr>
        <w:t xml:space="preserve"> ESES DPL kapsamında sağlanan politika desteği ile başarılmıştır</w:t>
      </w:r>
      <w:r w:rsidR="00747261" w:rsidRPr="001A4B94">
        <w:rPr>
          <w:rFonts w:eastAsiaTheme="minorHAnsi"/>
          <w:sz w:val="22"/>
          <w:szCs w:val="22"/>
          <w:lang w:val="tr-TR"/>
        </w:rPr>
        <w:t>. CPS</w:t>
      </w:r>
      <w:r w:rsidR="00156A6A" w:rsidRPr="001A4B94">
        <w:rPr>
          <w:rFonts w:eastAsiaTheme="minorHAnsi"/>
          <w:sz w:val="22"/>
          <w:szCs w:val="22"/>
          <w:lang w:val="tr-TR"/>
        </w:rPr>
        <w:t xml:space="preserve"> İlerleme Raporu ile getirilen, “taslak Entegre Havza Yönetim Planının tamamlanması ve seçilen pilot havzalarda Havza Komitelerinin kurulması” göstergesi </w:t>
      </w:r>
      <w:r w:rsidR="00747261" w:rsidRPr="001A4B94">
        <w:rPr>
          <w:rFonts w:eastAsiaTheme="minorHAnsi"/>
          <w:sz w:val="22"/>
          <w:szCs w:val="22"/>
          <w:lang w:val="tr-TR"/>
        </w:rPr>
        <w:t>(ii)</w:t>
      </w:r>
      <w:r w:rsidR="00156A6A" w:rsidRPr="001A4B94">
        <w:rPr>
          <w:rFonts w:eastAsiaTheme="minorHAnsi"/>
          <w:sz w:val="22"/>
          <w:szCs w:val="22"/>
          <w:lang w:val="tr-TR"/>
        </w:rPr>
        <w:t xml:space="preserve"> de başar</w:t>
      </w:r>
      <w:r w:rsidR="00B2059B" w:rsidRPr="001A4B94">
        <w:rPr>
          <w:rFonts w:eastAsiaTheme="minorHAnsi"/>
          <w:sz w:val="22"/>
          <w:szCs w:val="22"/>
          <w:lang w:val="tr-TR"/>
        </w:rPr>
        <w:t>ı</w:t>
      </w:r>
      <w:r w:rsidR="00156A6A" w:rsidRPr="001A4B94">
        <w:rPr>
          <w:rFonts w:eastAsiaTheme="minorHAnsi"/>
          <w:sz w:val="22"/>
          <w:szCs w:val="22"/>
          <w:lang w:val="tr-TR"/>
        </w:rPr>
        <w:t>lmıştır</w:t>
      </w:r>
      <w:r w:rsidR="00747261" w:rsidRPr="001A4B94">
        <w:rPr>
          <w:rFonts w:eastAsiaTheme="minorHAnsi"/>
          <w:sz w:val="22"/>
          <w:szCs w:val="22"/>
          <w:lang w:val="tr-TR"/>
        </w:rPr>
        <w:t xml:space="preserve">. </w:t>
      </w:r>
      <w:r w:rsidR="00156A6A" w:rsidRPr="001A4B94">
        <w:rPr>
          <w:rFonts w:eastAsiaTheme="minorHAnsi"/>
          <w:sz w:val="22"/>
          <w:szCs w:val="22"/>
          <w:lang w:val="tr-TR"/>
        </w:rPr>
        <w:t>Ancak</w:t>
      </w:r>
      <w:r w:rsidR="00747261" w:rsidRPr="001A4B94">
        <w:rPr>
          <w:rFonts w:eastAsiaTheme="minorHAnsi"/>
          <w:sz w:val="22"/>
          <w:szCs w:val="22"/>
          <w:lang w:val="tr-TR"/>
        </w:rPr>
        <w:t xml:space="preserve">, </w:t>
      </w:r>
      <w:r w:rsidR="00C938D9" w:rsidRPr="001A4B94">
        <w:rPr>
          <w:rFonts w:eastAsiaTheme="minorHAnsi"/>
          <w:sz w:val="22"/>
          <w:szCs w:val="22"/>
          <w:lang w:val="tr-TR"/>
        </w:rPr>
        <w:t xml:space="preserve">CPS İlerleme Raporu ile getirilen diğer gösterge olan seçilen iki su havzasında Doğal Sermaye </w:t>
      </w:r>
      <w:r w:rsidR="00D12316" w:rsidRPr="001A4B94">
        <w:rPr>
          <w:rFonts w:eastAsiaTheme="minorHAnsi"/>
          <w:sz w:val="22"/>
          <w:szCs w:val="22"/>
          <w:lang w:val="tr-TR"/>
        </w:rPr>
        <w:t>H</w:t>
      </w:r>
      <w:r w:rsidR="00C938D9" w:rsidRPr="001A4B94">
        <w:rPr>
          <w:rFonts w:eastAsiaTheme="minorHAnsi"/>
          <w:sz w:val="22"/>
          <w:szCs w:val="22"/>
          <w:lang w:val="tr-TR"/>
        </w:rPr>
        <w:t>esaplarının oluşturulması” göstergesi</w:t>
      </w:r>
      <w:r w:rsidR="00747261" w:rsidRPr="001A4B94">
        <w:rPr>
          <w:rFonts w:eastAsiaTheme="minorHAnsi"/>
          <w:sz w:val="22"/>
          <w:szCs w:val="22"/>
          <w:lang w:val="tr-TR"/>
        </w:rPr>
        <w:t xml:space="preserve">, </w:t>
      </w:r>
      <w:r w:rsidR="00C938D9" w:rsidRPr="001A4B94">
        <w:rPr>
          <w:rFonts w:eastAsiaTheme="minorHAnsi"/>
          <w:sz w:val="22"/>
          <w:szCs w:val="22"/>
          <w:lang w:val="tr-TR"/>
        </w:rPr>
        <w:t>doğal sermaye hesapları kurulmadan önce</w:t>
      </w:r>
      <w:r w:rsidR="00C938D9" w:rsidRPr="001A4B94">
        <w:rPr>
          <w:rFonts w:eastAsiaTheme="minorHAnsi"/>
          <w:b/>
          <w:sz w:val="22"/>
          <w:szCs w:val="22"/>
          <w:lang w:val="tr-TR"/>
        </w:rPr>
        <w:t xml:space="preserve"> </w:t>
      </w:r>
      <w:r w:rsidR="00C938D9" w:rsidRPr="001A4B94">
        <w:rPr>
          <w:rFonts w:eastAsiaTheme="minorHAnsi"/>
          <w:sz w:val="22"/>
          <w:szCs w:val="22"/>
          <w:lang w:val="tr-TR"/>
        </w:rPr>
        <w:t>doğal kaynakların değerlemesine daha f</w:t>
      </w:r>
      <w:r w:rsidR="00B2059B" w:rsidRPr="001A4B94">
        <w:rPr>
          <w:rFonts w:eastAsiaTheme="minorHAnsi"/>
          <w:sz w:val="22"/>
          <w:szCs w:val="22"/>
          <w:lang w:val="tr-TR"/>
        </w:rPr>
        <w:t>a</w:t>
      </w:r>
      <w:r w:rsidR="00C938D9" w:rsidRPr="001A4B94">
        <w:rPr>
          <w:rFonts w:eastAsiaTheme="minorHAnsi"/>
          <w:sz w:val="22"/>
          <w:szCs w:val="22"/>
          <w:lang w:val="tr-TR"/>
        </w:rPr>
        <w:t>zla ihtiyaç duyulduğu tespit edildiğinden dolayı karşılanamamıştır</w:t>
      </w:r>
      <w:r w:rsidR="00747261" w:rsidRPr="001A4B94">
        <w:rPr>
          <w:rFonts w:eastAsiaTheme="minorHAnsi"/>
          <w:sz w:val="22"/>
          <w:szCs w:val="22"/>
          <w:lang w:val="tr-TR"/>
        </w:rPr>
        <w:t xml:space="preserve">. </w:t>
      </w:r>
      <w:r w:rsidR="00C938D9" w:rsidRPr="001A4B94">
        <w:rPr>
          <w:rFonts w:eastAsiaTheme="minorHAnsi"/>
          <w:sz w:val="22"/>
          <w:szCs w:val="22"/>
          <w:lang w:val="tr-TR"/>
        </w:rPr>
        <w:t>Bu alandaki ASA faaliyetleri ile sağlanan D</w:t>
      </w:r>
      <w:r w:rsidR="00747261" w:rsidRPr="001A4B94">
        <w:rPr>
          <w:rFonts w:eastAsiaTheme="minorHAnsi"/>
          <w:sz w:val="22"/>
          <w:szCs w:val="22"/>
          <w:lang w:val="tr-TR"/>
        </w:rPr>
        <w:t xml:space="preserve">BG </w:t>
      </w:r>
      <w:r w:rsidR="00C938D9" w:rsidRPr="001A4B94">
        <w:rPr>
          <w:rFonts w:eastAsiaTheme="minorHAnsi"/>
          <w:sz w:val="22"/>
          <w:szCs w:val="22"/>
          <w:lang w:val="tr-TR"/>
        </w:rPr>
        <w:t>desteği tamamen değerleme metodolojisine ayrılmıştır ve daha ileri aşamada doğal sermaye hesaplarının oluşturulm</w:t>
      </w:r>
      <w:r w:rsidR="00B2059B" w:rsidRPr="001A4B94">
        <w:rPr>
          <w:rFonts w:eastAsiaTheme="minorHAnsi"/>
          <w:sz w:val="22"/>
          <w:szCs w:val="22"/>
          <w:lang w:val="tr-TR"/>
        </w:rPr>
        <w:t>a</w:t>
      </w:r>
      <w:r w:rsidR="00C938D9" w:rsidRPr="001A4B94">
        <w:rPr>
          <w:rFonts w:eastAsiaTheme="minorHAnsi"/>
          <w:sz w:val="22"/>
          <w:szCs w:val="22"/>
          <w:lang w:val="tr-TR"/>
        </w:rPr>
        <w:t>sına temel teşkil etmek ü</w:t>
      </w:r>
      <w:r w:rsidR="00B2059B" w:rsidRPr="001A4B94">
        <w:rPr>
          <w:rFonts w:eastAsiaTheme="minorHAnsi"/>
          <w:sz w:val="22"/>
          <w:szCs w:val="22"/>
          <w:lang w:val="tr-TR"/>
        </w:rPr>
        <w:t>z</w:t>
      </w:r>
      <w:r w:rsidR="00C938D9" w:rsidRPr="001A4B94">
        <w:rPr>
          <w:rFonts w:eastAsiaTheme="minorHAnsi"/>
          <w:sz w:val="22"/>
          <w:szCs w:val="22"/>
          <w:lang w:val="tr-TR"/>
        </w:rPr>
        <w:t xml:space="preserve">ere </w:t>
      </w:r>
      <w:r w:rsidR="00B2059B" w:rsidRPr="001A4B94">
        <w:rPr>
          <w:rFonts w:eastAsiaTheme="minorHAnsi"/>
          <w:sz w:val="22"/>
          <w:szCs w:val="22"/>
          <w:lang w:val="tr-TR"/>
        </w:rPr>
        <w:t>i</w:t>
      </w:r>
      <w:r w:rsidR="00C938D9" w:rsidRPr="001A4B94">
        <w:rPr>
          <w:rFonts w:eastAsiaTheme="minorHAnsi"/>
          <w:sz w:val="22"/>
          <w:szCs w:val="22"/>
          <w:lang w:val="tr-TR"/>
        </w:rPr>
        <w:t>ki örnek incelemesi gerçekleştirilmiştir</w:t>
      </w:r>
      <w:r w:rsidR="00747261" w:rsidRPr="001A4B94">
        <w:rPr>
          <w:rFonts w:eastAsiaTheme="minorHAnsi"/>
          <w:sz w:val="22"/>
          <w:szCs w:val="22"/>
          <w:lang w:val="tr-TR"/>
        </w:rPr>
        <w:t xml:space="preserve">. </w:t>
      </w:r>
      <w:r w:rsidR="00B2059B" w:rsidRPr="001A4B94">
        <w:rPr>
          <w:rFonts w:eastAsiaTheme="minorHAnsi"/>
          <w:sz w:val="22"/>
          <w:szCs w:val="22"/>
          <w:lang w:val="tr-TR"/>
        </w:rPr>
        <w:t xml:space="preserve">OSİB desteği ile iki Dünya Bankası yayını </w:t>
      </w:r>
      <w:r w:rsidR="00747261" w:rsidRPr="001A4B94">
        <w:rPr>
          <w:rFonts w:eastAsiaTheme="minorHAnsi"/>
          <w:sz w:val="22"/>
          <w:szCs w:val="22"/>
          <w:lang w:val="tr-TR"/>
        </w:rPr>
        <w:t>-</w:t>
      </w:r>
      <w:r w:rsidR="00B2059B" w:rsidRPr="001A4B94">
        <w:rPr>
          <w:rFonts w:eastAsiaTheme="minorHAnsi"/>
          <w:sz w:val="22"/>
          <w:szCs w:val="22"/>
          <w:lang w:val="tr-TR"/>
        </w:rPr>
        <w:t>biri ormancılık diğer</w:t>
      </w:r>
      <w:r w:rsidR="00D12316" w:rsidRPr="001A4B94">
        <w:rPr>
          <w:rFonts w:eastAsiaTheme="minorHAnsi"/>
          <w:sz w:val="22"/>
          <w:szCs w:val="22"/>
          <w:lang w:val="tr-TR"/>
        </w:rPr>
        <w:t>i</w:t>
      </w:r>
      <w:r w:rsidR="00B2059B" w:rsidRPr="001A4B94">
        <w:rPr>
          <w:rFonts w:eastAsiaTheme="minorHAnsi"/>
          <w:sz w:val="22"/>
          <w:szCs w:val="22"/>
          <w:lang w:val="tr-TR"/>
        </w:rPr>
        <w:t xml:space="preserve"> su değerleme yöntemleri ile ilgili</w:t>
      </w:r>
      <w:r w:rsidR="00747261" w:rsidRPr="001A4B94">
        <w:rPr>
          <w:rFonts w:eastAsiaTheme="minorHAnsi"/>
          <w:sz w:val="22"/>
          <w:szCs w:val="22"/>
          <w:lang w:val="tr-TR"/>
        </w:rPr>
        <w:t xml:space="preserve">– </w:t>
      </w:r>
      <w:r w:rsidR="00B2059B" w:rsidRPr="001A4B94">
        <w:rPr>
          <w:rFonts w:eastAsiaTheme="minorHAnsi"/>
          <w:sz w:val="22"/>
          <w:szCs w:val="22"/>
          <w:lang w:val="tr-TR"/>
        </w:rPr>
        <w:t>hazırlanmış ve ilgili kamu kurumlarına sunulmuştur</w:t>
      </w:r>
      <w:r w:rsidR="00747261" w:rsidRPr="001A4B94">
        <w:rPr>
          <w:rFonts w:eastAsiaTheme="minorHAnsi"/>
          <w:sz w:val="22"/>
          <w:szCs w:val="22"/>
          <w:lang w:val="tr-TR"/>
        </w:rPr>
        <w:t xml:space="preserve">. </w:t>
      </w:r>
      <w:r w:rsidR="00B2059B" w:rsidRPr="001A4B94">
        <w:rPr>
          <w:rFonts w:eastAsiaTheme="minorHAnsi"/>
          <w:sz w:val="22"/>
          <w:szCs w:val="22"/>
          <w:lang w:val="tr-TR"/>
        </w:rPr>
        <w:t>Doğal sermaye ile ilgili şemsiye niteliğindeki TY kapsamında</w:t>
      </w:r>
      <w:r w:rsidR="00747261" w:rsidRPr="001A4B94">
        <w:rPr>
          <w:rFonts w:eastAsiaTheme="minorHAnsi"/>
          <w:sz w:val="22"/>
          <w:szCs w:val="22"/>
          <w:lang w:val="tr-TR"/>
        </w:rPr>
        <w:t xml:space="preserve">, </w:t>
      </w:r>
      <w:r w:rsidR="00B2059B" w:rsidRPr="001A4B94">
        <w:rPr>
          <w:rFonts w:eastAsiaTheme="minorHAnsi"/>
          <w:sz w:val="22"/>
          <w:szCs w:val="22"/>
          <w:lang w:val="tr-TR"/>
        </w:rPr>
        <w:t>ormancılık bileşeni ile bir Orman Politika Notu (FPN) hazırlanmış ve Orman ve Su İşleri Bakanlığı bünyesindeki Orman Genel Müdürlüğü (OGM) ile birlikte orman köylülerine ilişkin bir sosyoekonomik araştırma gerçekleştirilmiştir</w:t>
      </w:r>
      <w:r w:rsidR="00747261" w:rsidRPr="001A4B94">
        <w:rPr>
          <w:rFonts w:eastAsiaTheme="minorHAnsi"/>
          <w:sz w:val="22"/>
          <w:szCs w:val="22"/>
          <w:lang w:val="tr-TR"/>
        </w:rPr>
        <w:t>.</w:t>
      </w:r>
    </w:p>
    <w:p w14:paraId="474FFDFD" w14:textId="77777777" w:rsidR="00747261" w:rsidRPr="001A4B94" w:rsidRDefault="00747261" w:rsidP="00747261">
      <w:pPr>
        <w:spacing w:after="160"/>
        <w:ind w:left="360"/>
        <w:contextualSpacing/>
        <w:jc w:val="both"/>
        <w:rPr>
          <w:rFonts w:eastAsiaTheme="minorHAnsi"/>
          <w:sz w:val="22"/>
          <w:szCs w:val="22"/>
          <w:lang w:val="tr-TR"/>
        </w:rPr>
      </w:pPr>
    </w:p>
    <w:p w14:paraId="62CFA39B" w14:textId="510638ED"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3F288D" w:rsidRPr="001A4B94">
        <w:rPr>
          <w:rFonts w:eastAsiaTheme="minorHAnsi"/>
          <w:b/>
          <w:sz w:val="22"/>
          <w:szCs w:val="22"/>
          <w:lang w:val="tr-TR"/>
        </w:rPr>
        <w:t>Su kaynakları yönetiminin geliştirilmesi yoluyla iklim değişikliğine uyum kapasitesini güçlendirmesi öngö</w:t>
      </w:r>
      <w:r w:rsidR="005C1940" w:rsidRPr="001A4B94">
        <w:rPr>
          <w:rFonts w:eastAsiaTheme="minorHAnsi"/>
          <w:b/>
          <w:sz w:val="22"/>
          <w:szCs w:val="22"/>
          <w:lang w:val="tr-TR"/>
        </w:rPr>
        <w:t>rülen Su Kanunun</w:t>
      </w:r>
      <w:r w:rsidR="00D12316" w:rsidRPr="001A4B94">
        <w:rPr>
          <w:rFonts w:eastAsiaTheme="minorHAnsi"/>
          <w:b/>
          <w:sz w:val="22"/>
          <w:szCs w:val="22"/>
          <w:lang w:val="tr-TR"/>
        </w:rPr>
        <w:t>un</w:t>
      </w:r>
      <w:r w:rsidR="005C1940" w:rsidRPr="001A4B94">
        <w:rPr>
          <w:rFonts w:eastAsiaTheme="minorHAnsi"/>
          <w:b/>
          <w:sz w:val="22"/>
          <w:szCs w:val="22"/>
          <w:lang w:val="tr-TR"/>
        </w:rPr>
        <w:t xml:space="preserve"> kabul</w:t>
      </w:r>
      <w:r w:rsidR="00B2059B" w:rsidRPr="001A4B94">
        <w:rPr>
          <w:rFonts w:eastAsiaTheme="minorHAnsi"/>
          <w:b/>
          <w:sz w:val="22"/>
          <w:szCs w:val="22"/>
          <w:lang w:val="tr-TR"/>
        </w:rPr>
        <w:t>ü</w:t>
      </w:r>
      <w:r w:rsidR="005C1940" w:rsidRPr="001A4B94">
        <w:rPr>
          <w:rFonts w:eastAsiaTheme="minorHAnsi"/>
          <w:b/>
          <w:sz w:val="22"/>
          <w:szCs w:val="22"/>
          <w:lang w:val="tr-TR"/>
        </w:rPr>
        <w:t>ndeki gec</w:t>
      </w:r>
      <w:r w:rsidR="003F288D" w:rsidRPr="001A4B94">
        <w:rPr>
          <w:rFonts w:eastAsiaTheme="minorHAnsi"/>
          <w:b/>
          <w:sz w:val="22"/>
          <w:szCs w:val="22"/>
          <w:lang w:val="tr-TR"/>
        </w:rPr>
        <w:t>ikmeler ülke düzeyi</w:t>
      </w:r>
      <w:r w:rsidR="005C1940" w:rsidRPr="001A4B94">
        <w:rPr>
          <w:rFonts w:eastAsiaTheme="minorHAnsi"/>
          <w:b/>
          <w:sz w:val="22"/>
          <w:szCs w:val="22"/>
          <w:lang w:val="tr-TR"/>
        </w:rPr>
        <w:t>ndeki performansı etkilemiştir</w:t>
      </w:r>
      <w:r w:rsidR="00747261" w:rsidRPr="001A4B94">
        <w:rPr>
          <w:rFonts w:eastAsiaTheme="minorHAnsi"/>
          <w:sz w:val="22"/>
          <w:szCs w:val="22"/>
          <w:lang w:val="tr-TR"/>
        </w:rPr>
        <w:t xml:space="preserve">. </w:t>
      </w:r>
      <w:r w:rsidR="005C1940" w:rsidRPr="001A4B94">
        <w:rPr>
          <w:rFonts w:eastAsiaTheme="minorHAnsi"/>
          <w:sz w:val="22"/>
          <w:szCs w:val="22"/>
          <w:lang w:val="tr-TR"/>
        </w:rPr>
        <w:t>Buna göre</w:t>
      </w:r>
      <w:r w:rsidR="00747261" w:rsidRPr="001A4B94">
        <w:rPr>
          <w:rFonts w:eastAsiaTheme="minorHAnsi"/>
          <w:sz w:val="22"/>
          <w:szCs w:val="22"/>
          <w:lang w:val="tr-TR"/>
        </w:rPr>
        <w:t xml:space="preserve">, </w:t>
      </w:r>
      <w:r w:rsidR="005C1940" w:rsidRPr="001A4B94">
        <w:rPr>
          <w:rFonts w:eastAsiaTheme="minorHAnsi"/>
          <w:sz w:val="22"/>
          <w:szCs w:val="22"/>
          <w:lang w:val="tr-TR"/>
        </w:rPr>
        <w:t>su havzalarına yönelik iklim değişikliğine uyum önlemlerinin yer aldığı Nehir Havzası Yönetim Planları tamamlanamamıştır. Ancak yeni onaylanan “Çevresel İzinler ve Ruhsatlar Yönetmeliği” entegre “e-izin” alacak tesisleri (2012 yılı itibariyle 2.</w:t>
      </w:r>
      <w:r w:rsidR="00747261" w:rsidRPr="001A4B94">
        <w:rPr>
          <w:rFonts w:eastAsiaTheme="minorHAnsi"/>
          <w:sz w:val="22"/>
          <w:szCs w:val="22"/>
          <w:lang w:val="tr-TR"/>
        </w:rPr>
        <w:t xml:space="preserve">394 </w:t>
      </w:r>
      <w:r w:rsidR="005C1940" w:rsidRPr="001A4B94">
        <w:rPr>
          <w:rFonts w:eastAsiaTheme="minorHAnsi"/>
          <w:sz w:val="22"/>
          <w:szCs w:val="22"/>
          <w:lang w:val="tr-TR"/>
        </w:rPr>
        <w:t xml:space="preserve">ve </w:t>
      </w:r>
      <w:r w:rsidR="00747261" w:rsidRPr="001A4B94">
        <w:rPr>
          <w:rFonts w:eastAsiaTheme="minorHAnsi"/>
          <w:sz w:val="22"/>
          <w:szCs w:val="22"/>
          <w:lang w:val="tr-TR"/>
        </w:rPr>
        <w:t>2012</w:t>
      </w:r>
      <w:r w:rsidR="005C1940" w:rsidRPr="001A4B94">
        <w:rPr>
          <w:rFonts w:eastAsiaTheme="minorHAnsi"/>
          <w:sz w:val="22"/>
          <w:szCs w:val="22"/>
          <w:lang w:val="tr-TR"/>
        </w:rPr>
        <w:t xml:space="preserve"> yılı sonu itibariyle</w:t>
      </w:r>
      <w:r w:rsidR="00747261" w:rsidRPr="001A4B94">
        <w:rPr>
          <w:rFonts w:eastAsiaTheme="minorHAnsi"/>
          <w:sz w:val="22"/>
          <w:szCs w:val="22"/>
          <w:lang w:val="tr-TR"/>
        </w:rPr>
        <w:t xml:space="preserve"> 3</w:t>
      </w:r>
      <w:r w:rsidR="005C1940" w:rsidRPr="001A4B94">
        <w:rPr>
          <w:rFonts w:eastAsiaTheme="minorHAnsi"/>
          <w:sz w:val="22"/>
          <w:szCs w:val="22"/>
          <w:lang w:val="tr-TR"/>
        </w:rPr>
        <w:t>.</w:t>
      </w:r>
      <w:r w:rsidR="00747261" w:rsidRPr="001A4B94">
        <w:rPr>
          <w:rFonts w:eastAsiaTheme="minorHAnsi"/>
          <w:sz w:val="22"/>
          <w:szCs w:val="22"/>
          <w:lang w:val="tr-TR"/>
        </w:rPr>
        <w:t>222</w:t>
      </w:r>
      <w:r w:rsidR="005C1940" w:rsidRPr="001A4B94">
        <w:rPr>
          <w:rFonts w:eastAsiaTheme="minorHAnsi"/>
          <w:sz w:val="22"/>
          <w:szCs w:val="22"/>
          <w:lang w:val="tr-TR"/>
        </w:rPr>
        <w:t xml:space="preserve"> izin verilmiştir) ve </w:t>
      </w:r>
      <w:r w:rsidR="005F7F35" w:rsidRPr="001A4B94">
        <w:rPr>
          <w:rFonts w:eastAsiaTheme="minorHAnsi"/>
          <w:sz w:val="22"/>
          <w:szCs w:val="22"/>
          <w:lang w:val="tr-TR"/>
        </w:rPr>
        <w:t xml:space="preserve">bu tesislerde çevresel izin işlemlerinden sorumlu olacak bir çevre görevlisinin çalıştırılması ile ilgili esasları belirlemektedir. </w:t>
      </w:r>
      <w:r w:rsidR="00747261" w:rsidRPr="001A4B94">
        <w:rPr>
          <w:rFonts w:eastAsiaTheme="minorHAnsi"/>
          <w:sz w:val="22"/>
          <w:szCs w:val="22"/>
          <w:lang w:val="tr-TR"/>
        </w:rPr>
        <w:t xml:space="preserve"> </w:t>
      </w:r>
    </w:p>
    <w:p w14:paraId="52C46333" w14:textId="77777777" w:rsidR="00747261" w:rsidRPr="001A4B94" w:rsidRDefault="00747261" w:rsidP="00747261">
      <w:pPr>
        <w:contextualSpacing/>
        <w:rPr>
          <w:rFonts w:eastAsiaTheme="minorHAnsi"/>
          <w:sz w:val="22"/>
          <w:szCs w:val="22"/>
          <w:lang w:val="tr-TR"/>
        </w:rPr>
      </w:pPr>
    </w:p>
    <w:p w14:paraId="531E78F6" w14:textId="1B35E7A6" w:rsidR="00747261" w:rsidRPr="001A4B94" w:rsidRDefault="00747261" w:rsidP="00747261">
      <w:pPr>
        <w:spacing w:after="160"/>
        <w:ind w:left="360"/>
        <w:jc w:val="both"/>
        <w:rPr>
          <w:rFonts w:eastAsiaTheme="minorHAnsi"/>
          <w:b/>
          <w:sz w:val="22"/>
          <w:szCs w:val="22"/>
          <w:lang w:val="tr-TR"/>
        </w:rPr>
      </w:pPr>
      <w:r w:rsidRPr="001A4B94">
        <w:rPr>
          <w:rFonts w:eastAsiaTheme="minorHAnsi"/>
          <w:b/>
          <w:sz w:val="22"/>
          <w:szCs w:val="22"/>
          <w:lang w:val="tr-TR"/>
        </w:rPr>
        <w:t xml:space="preserve">C.3. </w:t>
      </w:r>
      <w:r w:rsidR="00261F7A" w:rsidRPr="001A4B94">
        <w:rPr>
          <w:rFonts w:eastAsiaTheme="minorHAnsi"/>
          <w:b/>
          <w:sz w:val="22"/>
          <w:szCs w:val="22"/>
          <w:lang w:val="tr-TR"/>
        </w:rPr>
        <w:t xml:space="preserve">Tematik Alan </w:t>
      </w:r>
      <w:r w:rsidRPr="001A4B94">
        <w:rPr>
          <w:rFonts w:eastAsiaTheme="minorHAnsi"/>
          <w:b/>
          <w:sz w:val="22"/>
          <w:szCs w:val="22"/>
          <w:lang w:val="tr-TR"/>
        </w:rPr>
        <w:t xml:space="preserve">8: </w:t>
      </w:r>
      <w:r w:rsidR="00261F7A" w:rsidRPr="001A4B94">
        <w:rPr>
          <w:rFonts w:eastAsiaTheme="minorHAnsi"/>
          <w:b/>
          <w:sz w:val="22"/>
          <w:szCs w:val="22"/>
          <w:lang w:val="tr-TR"/>
        </w:rPr>
        <w:t xml:space="preserve">Türkiye’deki şehirlerin sürdürülebilirliğinin arttırılması </w:t>
      </w:r>
    </w:p>
    <w:p w14:paraId="5313629D" w14:textId="7047A6E0"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lastRenderedPageBreak/>
        <w:t xml:space="preserve"> </w:t>
      </w:r>
      <w:r w:rsidR="00747261" w:rsidRPr="001A4B94">
        <w:rPr>
          <w:rFonts w:eastAsiaTheme="minorHAnsi"/>
          <w:b/>
          <w:sz w:val="22"/>
          <w:szCs w:val="22"/>
          <w:lang w:val="tr-TR"/>
        </w:rPr>
        <w:t>T</w:t>
      </w:r>
      <w:r w:rsidR="005F7F35" w:rsidRPr="001A4B94">
        <w:rPr>
          <w:rFonts w:eastAsiaTheme="minorHAnsi"/>
          <w:b/>
          <w:sz w:val="22"/>
          <w:szCs w:val="22"/>
          <w:lang w:val="tr-TR"/>
        </w:rPr>
        <w:t xml:space="preserve">ematik alan </w:t>
      </w:r>
      <w:r w:rsidR="00747261" w:rsidRPr="001A4B94">
        <w:rPr>
          <w:rFonts w:eastAsiaTheme="minorHAnsi"/>
          <w:b/>
          <w:sz w:val="22"/>
          <w:szCs w:val="22"/>
          <w:lang w:val="tr-TR"/>
        </w:rPr>
        <w:t xml:space="preserve">8 </w:t>
      </w:r>
      <w:r w:rsidR="005F7F35" w:rsidRPr="001A4B94">
        <w:rPr>
          <w:rFonts w:eastAsiaTheme="minorHAnsi"/>
          <w:b/>
          <w:sz w:val="22"/>
          <w:szCs w:val="22"/>
          <w:lang w:val="tr-TR"/>
        </w:rPr>
        <w:t>sonuçları kısmen başarılmıştır: yedi sonuç göstergesinden üçü tamamen karşılanmıştır, üçü kısmen karşılanmıştır ve biri karşılanamamıştır.</w:t>
      </w:r>
      <w:r w:rsidR="005F7F35" w:rsidRPr="001A4B94">
        <w:rPr>
          <w:rFonts w:eastAsiaTheme="minorHAnsi"/>
          <w:sz w:val="22"/>
          <w:szCs w:val="22"/>
          <w:lang w:val="tr-TR"/>
        </w:rPr>
        <w:t xml:space="preserve"> İstanbul’daki 806 kamu binasının  büyük bir depreme karşı gü</w:t>
      </w:r>
      <w:r w:rsidR="00261F7A" w:rsidRPr="001A4B94">
        <w:rPr>
          <w:rFonts w:eastAsiaTheme="minorHAnsi"/>
          <w:sz w:val="22"/>
          <w:szCs w:val="22"/>
          <w:lang w:val="tr-TR"/>
        </w:rPr>
        <w:t>çlendirilmesi veya yeniden inşa</w:t>
      </w:r>
      <w:r w:rsidR="005F7F35" w:rsidRPr="001A4B94">
        <w:rPr>
          <w:rFonts w:eastAsiaTheme="minorHAnsi"/>
          <w:sz w:val="22"/>
          <w:szCs w:val="22"/>
          <w:lang w:val="tr-TR"/>
        </w:rPr>
        <w:t xml:space="preserve"> edilmesi ile birlikte deprem riskini azalt</w:t>
      </w:r>
      <w:r w:rsidR="00BD0E3A" w:rsidRPr="001A4B94">
        <w:rPr>
          <w:rFonts w:eastAsiaTheme="minorHAnsi"/>
          <w:sz w:val="22"/>
          <w:szCs w:val="22"/>
          <w:lang w:val="tr-TR"/>
        </w:rPr>
        <w:t>m</w:t>
      </w:r>
      <w:r w:rsidR="005F7F35" w:rsidRPr="001A4B94">
        <w:rPr>
          <w:rFonts w:eastAsiaTheme="minorHAnsi"/>
          <w:sz w:val="22"/>
          <w:szCs w:val="22"/>
          <w:lang w:val="tr-TR"/>
        </w:rPr>
        <w:t xml:space="preserve">a hedefine ulaşılmıştır (763 bina hedeflenmişti). Benzer şekilde </w:t>
      </w:r>
      <w:r w:rsidR="00BD0E3A" w:rsidRPr="001A4B94">
        <w:rPr>
          <w:rFonts w:eastAsiaTheme="minorHAnsi"/>
          <w:sz w:val="22"/>
          <w:szCs w:val="22"/>
          <w:lang w:val="tr-TR"/>
        </w:rPr>
        <w:t xml:space="preserve">tapu hizmetlerine ilişkin vatandaş </w:t>
      </w:r>
      <w:r w:rsidR="00261F7A" w:rsidRPr="001A4B94">
        <w:rPr>
          <w:rFonts w:eastAsiaTheme="minorHAnsi"/>
          <w:sz w:val="22"/>
          <w:szCs w:val="22"/>
          <w:lang w:val="tr-TR"/>
        </w:rPr>
        <w:t>memnuniyet</w:t>
      </w:r>
      <w:r w:rsidR="00BD0E3A" w:rsidRPr="001A4B94">
        <w:rPr>
          <w:rFonts w:eastAsiaTheme="minorHAnsi"/>
          <w:sz w:val="22"/>
          <w:szCs w:val="22"/>
          <w:lang w:val="tr-TR"/>
        </w:rPr>
        <w:t xml:space="preserve"> oranı, yüzde 85’lik hedefe karşın yüzde 90 olarak gerçekleşmiştir. </w:t>
      </w:r>
      <w:r w:rsidR="00747261" w:rsidRPr="001A4B94">
        <w:rPr>
          <w:rFonts w:eastAsiaTheme="minorHAnsi"/>
          <w:sz w:val="22"/>
          <w:szCs w:val="22"/>
          <w:lang w:val="tr-TR"/>
        </w:rPr>
        <w:t xml:space="preserve"> </w:t>
      </w:r>
      <w:r w:rsidR="00BD0E3A" w:rsidRPr="001A4B94">
        <w:rPr>
          <w:rFonts w:eastAsiaTheme="minorHAnsi"/>
          <w:sz w:val="22"/>
          <w:szCs w:val="22"/>
          <w:lang w:val="tr-TR"/>
        </w:rPr>
        <w:t xml:space="preserve">Ayrıca Belediye Hizmetleri Projesi kapsamında finanse edilen şehirlerde ilave olarak </w:t>
      </w:r>
      <w:r w:rsidR="00747261" w:rsidRPr="001A4B94">
        <w:rPr>
          <w:rFonts w:eastAsiaTheme="minorHAnsi"/>
          <w:sz w:val="22"/>
          <w:szCs w:val="22"/>
          <w:lang w:val="tr-TR"/>
        </w:rPr>
        <w:t>2</w:t>
      </w:r>
      <w:r w:rsidR="00BD0E3A" w:rsidRPr="001A4B94">
        <w:rPr>
          <w:rFonts w:eastAsiaTheme="minorHAnsi"/>
          <w:sz w:val="22"/>
          <w:szCs w:val="22"/>
          <w:lang w:val="tr-TR"/>
        </w:rPr>
        <w:t>.000.</w:t>
      </w:r>
      <w:r w:rsidR="00747261" w:rsidRPr="001A4B94">
        <w:rPr>
          <w:rFonts w:eastAsiaTheme="minorHAnsi"/>
          <w:sz w:val="22"/>
          <w:szCs w:val="22"/>
          <w:lang w:val="tr-TR"/>
        </w:rPr>
        <w:t>000</w:t>
      </w:r>
      <w:r w:rsidR="00BD0E3A" w:rsidRPr="001A4B94">
        <w:rPr>
          <w:rFonts w:eastAsiaTheme="minorHAnsi"/>
          <w:sz w:val="22"/>
          <w:szCs w:val="22"/>
          <w:lang w:val="tr-TR"/>
        </w:rPr>
        <w:t>’dan fazla insan geliştirilmiş kentsel hizmetlere ( su temini, kanalizasyon ve katı atık yönetimi gibi) erişim sağlamıştır (hedef 800.000 kişi idi).</w:t>
      </w:r>
      <w:r w:rsidR="00747261" w:rsidRPr="001A4B94">
        <w:rPr>
          <w:rFonts w:eastAsiaTheme="minorHAnsi"/>
          <w:sz w:val="22"/>
          <w:szCs w:val="22"/>
          <w:lang w:val="tr-TR"/>
        </w:rPr>
        <w:t xml:space="preserve"> </w:t>
      </w:r>
      <w:r w:rsidR="00BD0E3A" w:rsidRPr="001A4B94">
        <w:rPr>
          <w:rFonts w:eastAsiaTheme="minorHAnsi"/>
          <w:sz w:val="22"/>
          <w:szCs w:val="22"/>
          <w:lang w:val="tr-TR"/>
        </w:rPr>
        <w:t>Son olarak</w:t>
      </w:r>
      <w:r w:rsidR="0041175B" w:rsidRPr="001A4B94">
        <w:rPr>
          <w:rFonts w:eastAsiaTheme="minorHAnsi"/>
          <w:sz w:val="22"/>
          <w:szCs w:val="22"/>
          <w:lang w:val="tr-TR"/>
        </w:rPr>
        <w:t>, AB fonları kullanılarak, Vatandaş Karnesi uygulaması yoluyla 6 belediyede performans iyileştirme çabaları ve yerel kamu idareleri arasında rekabet ortamı</w:t>
      </w:r>
      <w:r w:rsidR="00BD0E3A" w:rsidRPr="001A4B94">
        <w:rPr>
          <w:rFonts w:eastAsiaTheme="minorHAnsi"/>
          <w:sz w:val="22"/>
          <w:szCs w:val="22"/>
          <w:lang w:val="tr-TR"/>
        </w:rPr>
        <w:t xml:space="preserve"> </w:t>
      </w:r>
      <w:r w:rsidR="0041175B" w:rsidRPr="001A4B94">
        <w:rPr>
          <w:rFonts w:eastAsiaTheme="minorHAnsi"/>
          <w:sz w:val="22"/>
          <w:szCs w:val="22"/>
          <w:lang w:val="tr-TR"/>
        </w:rPr>
        <w:t xml:space="preserve">yaratılması sayesinde yönetişim iyileştirilmiştir.  </w:t>
      </w:r>
    </w:p>
    <w:p w14:paraId="29BAF46F" w14:textId="77777777" w:rsidR="00747261" w:rsidRPr="001A4B94" w:rsidRDefault="00747261" w:rsidP="00747261">
      <w:pPr>
        <w:spacing w:after="160"/>
        <w:ind w:left="360"/>
        <w:contextualSpacing/>
        <w:jc w:val="both"/>
        <w:rPr>
          <w:rFonts w:eastAsiaTheme="minorHAnsi"/>
          <w:sz w:val="22"/>
          <w:szCs w:val="22"/>
          <w:lang w:val="tr-TR"/>
        </w:rPr>
      </w:pPr>
    </w:p>
    <w:p w14:paraId="0440002C" w14:textId="3790CAA1"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IFC </w:t>
      </w:r>
      <w:r w:rsidR="0041175B" w:rsidRPr="001A4B94">
        <w:rPr>
          <w:rFonts w:eastAsiaTheme="minorHAnsi"/>
          <w:b/>
          <w:sz w:val="22"/>
          <w:szCs w:val="22"/>
          <w:lang w:val="tr-TR"/>
        </w:rPr>
        <w:t xml:space="preserve">ile bağlantılı sonuç göstergeleri de kısmen başarılmıştır. </w:t>
      </w:r>
      <w:r w:rsidR="0041175B" w:rsidRPr="001A4B94">
        <w:rPr>
          <w:rFonts w:eastAsiaTheme="minorHAnsi"/>
          <w:sz w:val="22"/>
          <w:szCs w:val="22"/>
          <w:lang w:val="tr-TR"/>
        </w:rPr>
        <w:t>2016 yılının ilk yarısında</w:t>
      </w:r>
      <w:r w:rsidR="00261F7A" w:rsidRPr="001A4B94">
        <w:rPr>
          <w:rFonts w:eastAsiaTheme="minorHAnsi"/>
          <w:sz w:val="22"/>
          <w:szCs w:val="22"/>
          <w:lang w:val="tr-TR"/>
        </w:rPr>
        <w:t xml:space="preserve"> İstanbul’da yeni inşa </w:t>
      </w:r>
      <w:r w:rsidR="00D12316" w:rsidRPr="001A4B94">
        <w:rPr>
          <w:rFonts w:eastAsiaTheme="minorHAnsi"/>
          <w:sz w:val="22"/>
          <w:szCs w:val="22"/>
          <w:lang w:val="tr-TR"/>
        </w:rPr>
        <w:t xml:space="preserve">edilen </w:t>
      </w:r>
      <w:r w:rsidR="00261F7A" w:rsidRPr="001A4B94">
        <w:rPr>
          <w:rFonts w:eastAsiaTheme="minorHAnsi"/>
          <w:sz w:val="22"/>
          <w:szCs w:val="22"/>
          <w:lang w:val="tr-TR"/>
        </w:rPr>
        <w:t xml:space="preserve">Kadıköy/Kartal metro hattından hafta içi günlerde yaklaşık </w:t>
      </w:r>
      <w:r w:rsidR="00747261" w:rsidRPr="001A4B94">
        <w:rPr>
          <w:rFonts w:eastAsiaTheme="minorHAnsi"/>
          <w:sz w:val="22"/>
          <w:szCs w:val="22"/>
          <w:lang w:val="tr-TR"/>
        </w:rPr>
        <w:t>277</w:t>
      </w:r>
      <w:r w:rsidR="00261F7A" w:rsidRPr="001A4B94">
        <w:rPr>
          <w:rFonts w:eastAsiaTheme="minorHAnsi"/>
          <w:sz w:val="22"/>
          <w:szCs w:val="22"/>
          <w:lang w:val="tr-TR"/>
        </w:rPr>
        <w:t>.</w:t>
      </w:r>
      <w:r w:rsidR="00747261" w:rsidRPr="001A4B94">
        <w:rPr>
          <w:rFonts w:eastAsiaTheme="minorHAnsi"/>
          <w:sz w:val="22"/>
          <w:szCs w:val="22"/>
          <w:lang w:val="tr-TR"/>
        </w:rPr>
        <w:t xml:space="preserve">000 </w:t>
      </w:r>
      <w:r w:rsidR="00261F7A" w:rsidRPr="001A4B94">
        <w:rPr>
          <w:rFonts w:eastAsiaTheme="minorHAnsi"/>
          <w:sz w:val="22"/>
          <w:szCs w:val="22"/>
          <w:lang w:val="tr-TR"/>
        </w:rPr>
        <w:t xml:space="preserve">kişi yararlanmıştır </w:t>
      </w:r>
      <w:r w:rsidR="00747261" w:rsidRPr="001A4B94">
        <w:rPr>
          <w:rFonts w:eastAsiaTheme="minorHAnsi"/>
          <w:sz w:val="22"/>
          <w:szCs w:val="22"/>
          <w:lang w:val="tr-TR"/>
        </w:rPr>
        <w:t>(</w:t>
      </w:r>
      <w:r w:rsidR="00261F7A" w:rsidRPr="001A4B94">
        <w:rPr>
          <w:rFonts w:eastAsiaTheme="minorHAnsi"/>
          <w:sz w:val="22"/>
          <w:szCs w:val="22"/>
          <w:lang w:val="tr-TR"/>
        </w:rPr>
        <w:t xml:space="preserve">hedeflenen rakam </w:t>
      </w:r>
      <w:r w:rsidR="00747261" w:rsidRPr="001A4B94">
        <w:rPr>
          <w:rFonts w:eastAsiaTheme="minorHAnsi"/>
          <w:sz w:val="22"/>
          <w:szCs w:val="22"/>
          <w:lang w:val="tr-TR"/>
        </w:rPr>
        <w:t>419</w:t>
      </w:r>
      <w:r w:rsidR="00261F7A" w:rsidRPr="001A4B94">
        <w:rPr>
          <w:rFonts w:eastAsiaTheme="minorHAnsi"/>
          <w:sz w:val="22"/>
          <w:szCs w:val="22"/>
          <w:lang w:val="tr-TR"/>
        </w:rPr>
        <w:t>.</w:t>
      </w:r>
      <w:r w:rsidR="00747261" w:rsidRPr="001A4B94">
        <w:rPr>
          <w:rFonts w:eastAsiaTheme="minorHAnsi"/>
          <w:sz w:val="22"/>
          <w:szCs w:val="22"/>
          <w:lang w:val="tr-TR"/>
        </w:rPr>
        <w:t>000</w:t>
      </w:r>
      <w:r w:rsidR="00261F7A" w:rsidRPr="001A4B94">
        <w:rPr>
          <w:rFonts w:eastAsiaTheme="minorHAnsi"/>
          <w:sz w:val="22"/>
          <w:szCs w:val="22"/>
          <w:lang w:val="tr-TR"/>
        </w:rPr>
        <w:t xml:space="preserve"> idi</w:t>
      </w:r>
      <w:r w:rsidR="00747261" w:rsidRPr="001A4B94">
        <w:rPr>
          <w:rFonts w:eastAsiaTheme="minorHAnsi"/>
          <w:sz w:val="22"/>
          <w:szCs w:val="22"/>
          <w:lang w:val="tr-TR"/>
        </w:rPr>
        <w:t xml:space="preserve">). </w:t>
      </w:r>
      <w:r w:rsidR="00261F7A" w:rsidRPr="001A4B94">
        <w:rPr>
          <w:rFonts w:eastAsiaTheme="minorHAnsi"/>
          <w:sz w:val="22"/>
          <w:szCs w:val="22"/>
          <w:lang w:val="tr-TR"/>
        </w:rPr>
        <w:t>İ</w:t>
      </w:r>
      <w:r w:rsidR="00747261" w:rsidRPr="001A4B94">
        <w:rPr>
          <w:rFonts w:eastAsiaTheme="minorHAnsi"/>
          <w:sz w:val="22"/>
          <w:szCs w:val="22"/>
          <w:lang w:val="tr-TR"/>
        </w:rPr>
        <w:t xml:space="preserve">zmir </w:t>
      </w:r>
      <w:r w:rsidR="00261F7A" w:rsidRPr="001A4B94">
        <w:rPr>
          <w:rFonts w:eastAsiaTheme="minorHAnsi"/>
          <w:sz w:val="22"/>
          <w:szCs w:val="22"/>
          <w:lang w:val="tr-TR"/>
        </w:rPr>
        <w:t>elektrikli tramvay ve trafik yönetim sisteminin iyileştirilmesi projeleri henüz tamamlanmamakla birlikte</w:t>
      </w:r>
      <w:r w:rsidR="00747261" w:rsidRPr="001A4B94">
        <w:rPr>
          <w:rFonts w:eastAsiaTheme="minorHAnsi"/>
          <w:sz w:val="22"/>
          <w:szCs w:val="22"/>
          <w:lang w:val="tr-TR"/>
        </w:rPr>
        <w:t xml:space="preserve">; </w:t>
      </w:r>
      <w:r w:rsidR="00261F7A" w:rsidRPr="001A4B94">
        <w:rPr>
          <w:rFonts w:eastAsiaTheme="minorHAnsi"/>
          <w:sz w:val="22"/>
          <w:szCs w:val="22"/>
          <w:lang w:val="tr-TR"/>
        </w:rPr>
        <w:t>2018 yılına kadar ilave 240.000 kişinin bu ulaşım imkanl</w:t>
      </w:r>
      <w:r w:rsidR="00847D59" w:rsidRPr="001A4B94">
        <w:rPr>
          <w:rFonts w:eastAsiaTheme="minorHAnsi"/>
          <w:sz w:val="22"/>
          <w:szCs w:val="22"/>
          <w:lang w:val="tr-TR"/>
        </w:rPr>
        <w:t>a</w:t>
      </w:r>
      <w:r w:rsidR="00261F7A" w:rsidRPr="001A4B94">
        <w:rPr>
          <w:rFonts w:eastAsiaTheme="minorHAnsi"/>
          <w:sz w:val="22"/>
          <w:szCs w:val="22"/>
          <w:lang w:val="tr-TR"/>
        </w:rPr>
        <w:t>rına erişebilmesi hedefi yolunda ilerleme kaydedilmektedir</w:t>
      </w:r>
      <w:r w:rsidR="00747261" w:rsidRPr="001A4B94">
        <w:rPr>
          <w:rFonts w:eastAsiaTheme="minorHAnsi"/>
          <w:sz w:val="22"/>
          <w:szCs w:val="22"/>
          <w:lang w:val="tr-TR"/>
        </w:rPr>
        <w:t xml:space="preserve">. </w:t>
      </w:r>
      <w:r w:rsidR="00261F7A" w:rsidRPr="001A4B94">
        <w:rPr>
          <w:rFonts w:eastAsiaTheme="minorHAnsi"/>
          <w:sz w:val="22"/>
          <w:szCs w:val="22"/>
          <w:lang w:val="tr-TR"/>
        </w:rPr>
        <w:t>Son olarak</w:t>
      </w:r>
      <w:r w:rsidR="00747261" w:rsidRPr="001A4B94">
        <w:rPr>
          <w:rFonts w:eastAsiaTheme="minorHAnsi"/>
          <w:sz w:val="22"/>
          <w:szCs w:val="22"/>
          <w:lang w:val="tr-TR"/>
        </w:rPr>
        <w:t xml:space="preserve">, </w:t>
      </w:r>
      <w:r w:rsidR="00847D59" w:rsidRPr="001A4B94">
        <w:rPr>
          <w:rFonts w:eastAsiaTheme="minorHAnsi"/>
          <w:sz w:val="22"/>
          <w:szCs w:val="22"/>
          <w:lang w:val="tr-TR"/>
        </w:rPr>
        <w:t>IFC tarafından finanse edilen İzmir Atıksu Arıtma Tesisi genişletme yatırımı yoluyla Ege Denizi’ne arıtılmadan deşarj edilen atıksu miktarının azaltılması  hedefi, inşaat çalışmalarındaki gecikmeler sebebiyle başarılamamıştır. Ancak projenin 2016 sonunda işletmeye girmesi ile birlikte 2017 yılında sonuçlara ulaşılması beklenmektedir.</w:t>
      </w:r>
      <w:r w:rsidR="00747261" w:rsidRPr="001A4B94">
        <w:rPr>
          <w:rFonts w:eastAsiaTheme="minorHAnsi"/>
          <w:sz w:val="22"/>
          <w:szCs w:val="22"/>
          <w:lang w:val="tr-TR"/>
        </w:rPr>
        <w:t xml:space="preserve"> </w:t>
      </w:r>
      <w:r w:rsidR="00847D59" w:rsidRPr="001A4B94">
        <w:rPr>
          <w:rFonts w:eastAsiaTheme="minorHAnsi" w:cstheme="minorBidi"/>
          <w:sz w:val="22"/>
          <w:szCs w:val="22"/>
          <w:lang w:val="tr-TR"/>
        </w:rPr>
        <w:t>Ayrıca</w:t>
      </w:r>
      <w:r w:rsidR="00747261" w:rsidRPr="001A4B94">
        <w:rPr>
          <w:rFonts w:eastAsiaTheme="minorHAnsi" w:cstheme="minorBidi"/>
          <w:sz w:val="22"/>
          <w:szCs w:val="22"/>
          <w:lang w:val="tr-TR"/>
        </w:rPr>
        <w:t xml:space="preserve">, </w:t>
      </w:r>
      <w:r w:rsidR="00847D59" w:rsidRPr="001A4B94">
        <w:rPr>
          <w:rFonts w:eastAsiaTheme="minorHAnsi" w:cstheme="minorBidi"/>
          <w:sz w:val="22"/>
          <w:szCs w:val="22"/>
          <w:lang w:val="tr-TR"/>
        </w:rPr>
        <w:t xml:space="preserve">Banka demiryollarına ilişkin bir projenin uygulamasını tamamlamıştır ve aynı zamanda TCDD’nin ayrıştırılmasına destek vermiştir </w:t>
      </w:r>
      <w:r w:rsidR="00747261" w:rsidRPr="001A4B94">
        <w:rPr>
          <w:rFonts w:eastAsiaTheme="minorHAnsi" w:cstheme="minorBidi"/>
          <w:sz w:val="22"/>
          <w:szCs w:val="22"/>
          <w:lang w:val="tr-TR"/>
        </w:rPr>
        <w:t>(</w:t>
      </w:r>
      <w:r w:rsidR="00847D59" w:rsidRPr="001A4B94">
        <w:rPr>
          <w:rFonts w:eastAsiaTheme="minorHAnsi" w:cstheme="minorBidi"/>
          <w:sz w:val="22"/>
          <w:szCs w:val="22"/>
          <w:lang w:val="tr-TR"/>
        </w:rPr>
        <w:t>2016 ortasında başarılmıştır</w:t>
      </w:r>
      <w:r w:rsidR="00747261" w:rsidRPr="001A4B94">
        <w:rPr>
          <w:rFonts w:eastAsiaTheme="minorHAnsi" w:cstheme="minorBidi"/>
          <w:sz w:val="22"/>
          <w:szCs w:val="22"/>
          <w:lang w:val="tr-TR"/>
        </w:rPr>
        <w:t>).</w:t>
      </w:r>
    </w:p>
    <w:p w14:paraId="26535427" w14:textId="77777777" w:rsidR="00747261" w:rsidRPr="001A4B94" w:rsidRDefault="00747261" w:rsidP="00747261">
      <w:pPr>
        <w:spacing w:after="160" w:line="259" w:lineRule="auto"/>
        <w:ind w:left="720"/>
        <w:contextualSpacing/>
        <w:rPr>
          <w:rFonts w:eastAsiaTheme="minorHAnsi"/>
          <w:sz w:val="22"/>
          <w:szCs w:val="22"/>
          <w:lang w:val="tr-TR"/>
        </w:rPr>
      </w:pPr>
    </w:p>
    <w:p w14:paraId="65D03089" w14:textId="48E78E40"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847D59" w:rsidRPr="001A4B94">
        <w:rPr>
          <w:rFonts w:eastAsiaTheme="minorHAnsi"/>
          <w:b/>
          <w:sz w:val="22"/>
          <w:szCs w:val="22"/>
          <w:lang w:val="tr-TR"/>
        </w:rPr>
        <w:t xml:space="preserve">Sekizinci tematik alan kapsamındaki önemli bir başarı faktörü, CPS öncesinde onaylanan ve  </w:t>
      </w:r>
      <w:r w:rsidR="00996250" w:rsidRPr="001A4B94">
        <w:rPr>
          <w:rFonts w:eastAsiaTheme="minorHAnsi"/>
          <w:b/>
          <w:sz w:val="22"/>
          <w:szCs w:val="22"/>
          <w:lang w:val="tr-TR"/>
        </w:rPr>
        <w:t xml:space="preserve">CPS döneminde nispeten sorunsuz bir şekilde kullandırılan </w:t>
      </w:r>
      <w:r w:rsidR="00747261" w:rsidRPr="001A4B94">
        <w:rPr>
          <w:rFonts w:eastAsiaTheme="minorHAnsi"/>
          <w:b/>
          <w:sz w:val="22"/>
          <w:szCs w:val="22"/>
          <w:lang w:val="tr-TR"/>
        </w:rPr>
        <w:t xml:space="preserve">IBRD </w:t>
      </w:r>
      <w:r w:rsidR="00996250" w:rsidRPr="001A4B94">
        <w:rPr>
          <w:rFonts w:eastAsiaTheme="minorHAnsi"/>
          <w:b/>
          <w:sz w:val="22"/>
          <w:szCs w:val="22"/>
          <w:lang w:val="tr-TR"/>
        </w:rPr>
        <w:t xml:space="preserve">ve </w:t>
      </w:r>
      <w:r w:rsidR="00747261" w:rsidRPr="001A4B94">
        <w:rPr>
          <w:rFonts w:eastAsiaTheme="minorHAnsi"/>
          <w:b/>
          <w:sz w:val="22"/>
          <w:szCs w:val="22"/>
          <w:lang w:val="tr-TR"/>
        </w:rPr>
        <w:t xml:space="preserve">IFC </w:t>
      </w:r>
      <w:r w:rsidR="00996250" w:rsidRPr="001A4B94">
        <w:rPr>
          <w:rFonts w:eastAsiaTheme="minorHAnsi"/>
          <w:b/>
          <w:sz w:val="22"/>
          <w:szCs w:val="22"/>
          <w:lang w:val="tr-TR"/>
        </w:rPr>
        <w:t>finansmanı olmuştur</w:t>
      </w:r>
      <w:r w:rsidR="00747261" w:rsidRPr="001A4B94">
        <w:rPr>
          <w:rFonts w:eastAsiaTheme="minorHAnsi"/>
          <w:sz w:val="22"/>
          <w:szCs w:val="22"/>
          <w:lang w:val="tr-TR"/>
        </w:rPr>
        <w:t xml:space="preserve">. </w:t>
      </w:r>
      <w:r w:rsidR="00996250" w:rsidRPr="001A4B94">
        <w:rPr>
          <w:rFonts w:eastAsiaTheme="minorHAnsi"/>
          <w:sz w:val="22"/>
          <w:szCs w:val="22"/>
          <w:lang w:val="tr-TR"/>
        </w:rPr>
        <w:t>Ancak</w:t>
      </w:r>
      <w:r w:rsidR="00747261" w:rsidRPr="001A4B94">
        <w:rPr>
          <w:rFonts w:eastAsiaTheme="minorHAnsi"/>
          <w:sz w:val="22"/>
          <w:szCs w:val="22"/>
          <w:lang w:val="tr-TR"/>
        </w:rPr>
        <w:t xml:space="preserve">, </w:t>
      </w:r>
      <w:r w:rsidR="00D2227D" w:rsidRPr="001A4B94">
        <w:rPr>
          <w:rFonts w:eastAsiaTheme="minorHAnsi"/>
          <w:sz w:val="22"/>
          <w:szCs w:val="22"/>
          <w:lang w:val="tr-TR"/>
        </w:rPr>
        <w:t>takip eden projelerde bazı aksamalar olmuştur</w:t>
      </w:r>
      <w:r w:rsidR="00747261" w:rsidRPr="001A4B94">
        <w:rPr>
          <w:rFonts w:eastAsiaTheme="minorHAnsi"/>
          <w:sz w:val="22"/>
          <w:szCs w:val="22"/>
          <w:lang w:val="tr-TR"/>
        </w:rPr>
        <w:t xml:space="preserve">; </w:t>
      </w:r>
      <w:r w:rsidR="00D2227D" w:rsidRPr="001A4B94">
        <w:rPr>
          <w:rFonts w:eastAsiaTheme="minorHAnsi"/>
          <w:sz w:val="22"/>
          <w:szCs w:val="22"/>
          <w:lang w:val="tr-TR"/>
        </w:rPr>
        <w:t xml:space="preserve">örneğin </w:t>
      </w:r>
      <w:r w:rsidR="00BB0806" w:rsidRPr="001A4B94">
        <w:rPr>
          <w:rFonts w:eastAsiaTheme="minorHAnsi"/>
          <w:sz w:val="22"/>
          <w:szCs w:val="22"/>
          <w:lang w:val="tr-TR"/>
        </w:rPr>
        <w:t>Sürdürülebilir Şehirler Projesi  2017 MY ortalarına kadar sunulamamıştır ve Ulusal Afet Riski Yönetim Projesi halen hazırlık aşamasındadır</w:t>
      </w:r>
      <w:r w:rsidR="00747261" w:rsidRPr="001A4B94">
        <w:rPr>
          <w:rFonts w:eastAsiaTheme="minorHAnsi"/>
          <w:sz w:val="22"/>
          <w:szCs w:val="22"/>
          <w:lang w:val="tr-TR"/>
        </w:rPr>
        <w:t xml:space="preserve">. </w:t>
      </w:r>
    </w:p>
    <w:p w14:paraId="7EE2E5D6" w14:textId="77777777" w:rsidR="00747261" w:rsidRPr="001A4B94" w:rsidRDefault="00747261" w:rsidP="00747261">
      <w:pPr>
        <w:spacing w:after="160"/>
        <w:ind w:left="360"/>
        <w:contextualSpacing/>
        <w:jc w:val="both"/>
        <w:rPr>
          <w:rFonts w:eastAsiaTheme="minorHAnsi"/>
          <w:sz w:val="22"/>
          <w:szCs w:val="22"/>
          <w:lang w:val="tr-TR"/>
        </w:rPr>
      </w:pPr>
    </w:p>
    <w:p w14:paraId="61983C6D" w14:textId="48BA5416" w:rsidR="00747261" w:rsidRPr="001A4B94" w:rsidRDefault="00A04866" w:rsidP="00BB0806">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BB0806" w:rsidRPr="001A4B94">
        <w:rPr>
          <w:rFonts w:eastAsiaTheme="minorHAnsi"/>
          <w:b/>
          <w:sz w:val="22"/>
          <w:szCs w:val="22"/>
          <w:lang w:val="tr-TR"/>
        </w:rPr>
        <w:t>Türkiye’nin şehirleri için kalkınma beklentilerini y</w:t>
      </w:r>
      <w:r w:rsidR="006827E6" w:rsidRPr="001A4B94">
        <w:rPr>
          <w:rFonts w:eastAsiaTheme="minorHAnsi"/>
          <w:b/>
          <w:sz w:val="22"/>
          <w:szCs w:val="22"/>
          <w:lang w:val="tr-TR"/>
        </w:rPr>
        <w:t>ü</w:t>
      </w:r>
      <w:r w:rsidR="00BB0806" w:rsidRPr="001A4B94">
        <w:rPr>
          <w:rFonts w:eastAsiaTheme="minorHAnsi"/>
          <w:b/>
          <w:sz w:val="22"/>
          <w:szCs w:val="22"/>
          <w:lang w:val="tr-TR"/>
        </w:rPr>
        <w:t>k</w:t>
      </w:r>
      <w:r w:rsidR="006827E6" w:rsidRPr="001A4B94">
        <w:rPr>
          <w:rFonts w:eastAsiaTheme="minorHAnsi"/>
          <w:b/>
          <w:sz w:val="22"/>
          <w:szCs w:val="22"/>
          <w:lang w:val="tr-TR"/>
        </w:rPr>
        <w:t>s</w:t>
      </w:r>
      <w:r w:rsidR="00BB0806" w:rsidRPr="001A4B94">
        <w:rPr>
          <w:rFonts w:eastAsiaTheme="minorHAnsi"/>
          <w:b/>
          <w:sz w:val="22"/>
          <w:szCs w:val="22"/>
          <w:lang w:val="tr-TR"/>
        </w:rPr>
        <w:t xml:space="preserve">eltmek için, DBG 2015 yılında sürdürülebilir şehirler için bir Ortak Uygulama Programı </w:t>
      </w:r>
      <w:r w:rsidR="00747261" w:rsidRPr="001A4B94">
        <w:rPr>
          <w:rFonts w:eastAsiaTheme="minorHAnsi"/>
          <w:b/>
          <w:sz w:val="22"/>
          <w:szCs w:val="22"/>
          <w:lang w:val="tr-TR"/>
        </w:rPr>
        <w:t xml:space="preserve">(JIP) </w:t>
      </w:r>
      <w:r w:rsidR="00BB0806" w:rsidRPr="001A4B94">
        <w:rPr>
          <w:rFonts w:eastAsiaTheme="minorHAnsi"/>
          <w:b/>
          <w:sz w:val="22"/>
          <w:szCs w:val="22"/>
          <w:lang w:val="tr-TR"/>
        </w:rPr>
        <w:t>başlatmıştır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BB0806" w:rsidRPr="001A4B94">
        <w:rPr>
          <w:rFonts w:eastAsiaTheme="minorHAnsi"/>
          <w:sz w:val="22"/>
          <w:szCs w:val="22"/>
          <w:lang w:val="tr-TR"/>
        </w:rPr>
        <w:t xml:space="preserve">Programın amacı, Türkiye’nin şehirlerinin sürdürülebilir kalkınma çözümlerini benimsemelerini teşvik etmek için tamamlayıcı ve kesintisiz bir IBRD-IFC  danışmanlık </w:t>
      </w:r>
      <w:r w:rsidR="00BA1FB2" w:rsidRPr="001A4B94">
        <w:rPr>
          <w:rFonts w:eastAsiaTheme="minorHAnsi"/>
          <w:sz w:val="22"/>
          <w:szCs w:val="22"/>
          <w:lang w:val="tr-TR"/>
        </w:rPr>
        <w:t xml:space="preserve">hizmeti </w:t>
      </w:r>
      <w:r w:rsidR="00BB0806" w:rsidRPr="001A4B94">
        <w:rPr>
          <w:rFonts w:eastAsiaTheme="minorHAnsi"/>
          <w:sz w:val="22"/>
          <w:szCs w:val="22"/>
          <w:lang w:val="tr-TR"/>
        </w:rPr>
        <w:t xml:space="preserve">ve finansman </w:t>
      </w:r>
      <w:r w:rsidR="00BA1FB2" w:rsidRPr="001A4B94">
        <w:rPr>
          <w:rFonts w:eastAsiaTheme="minorHAnsi"/>
          <w:sz w:val="22"/>
          <w:szCs w:val="22"/>
          <w:lang w:val="tr-TR"/>
        </w:rPr>
        <w:t>paketi sunmaktı. IFC’nin sürdürüle</w:t>
      </w:r>
      <w:r w:rsidR="006827E6" w:rsidRPr="001A4B94">
        <w:rPr>
          <w:rFonts w:eastAsiaTheme="minorHAnsi"/>
          <w:sz w:val="22"/>
          <w:szCs w:val="22"/>
          <w:lang w:val="tr-TR"/>
        </w:rPr>
        <w:t>bilir şehirler ile ilgili çalış</w:t>
      </w:r>
      <w:r w:rsidR="00BA1FB2" w:rsidRPr="001A4B94">
        <w:rPr>
          <w:rFonts w:eastAsiaTheme="minorHAnsi"/>
          <w:sz w:val="22"/>
          <w:szCs w:val="22"/>
          <w:lang w:val="tr-TR"/>
        </w:rPr>
        <w:t>m</w:t>
      </w:r>
      <w:r w:rsidR="006827E6" w:rsidRPr="001A4B94">
        <w:rPr>
          <w:rFonts w:eastAsiaTheme="minorHAnsi"/>
          <w:sz w:val="22"/>
          <w:szCs w:val="22"/>
          <w:lang w:val="tr-TR"/>
        </w:rPr>
        <w:t>a</w:t>
      </w:r>
      <w:r w:rsidR="00BA1FB2" w:rsidRPr="001A4B94">
        <w:rPr>
          <w:rFonts w:eastAsiaTheme="minorHAnsi"/>
          <w:sz w:val="22"/>
          <w:szCs w:val="22"/>
          <w:lang w:val="tr-TR"/>
        </w:rPr>
        <w:t xml:space="preserve">sı güçlü bir başarı örneği oluşturmuştur. IFC, her </w:t>
      </w:r>
      <w:r w:rsidR="006827E6" w:rsidRPr="001A4B94">
        <w:rPr>
          <w:rFonts w:eastAsiaTheme="minorHAnsi"/>
          <w:sz w:val="22"/>
          <w:szCs w:val="22"/>
          <w:lang w:val="tr-TR"/>
        </w:rPr>
        <w:t>i</w:t>
      </w:r>
      <w:r w:rsidR="00BA1FB2" w:rsidRPr="001A4B94">
        <w:rPr>
          <w:rFonts w:eastAsiaTheme="minorHAnsi"/>
          <w:sz w:val="22"/>
          <w:szCs w:val="22"/>
          <w:lang w:val="tr-TR"/>
        </w:rPr>
        <w:t>kisi de güçlü kredi geçmişine sah</w:t>
      </w:r>
      <w:r w:rsidR="006827E6" w:rsidRPr="001A4B94">
        <w:rPr>
          <w:rFonts w:eastAsiaTheme="minorHAnsi"/>
          <w:sz w:val="22"/>
          <w:szCs w:val="22"/>
          <w:lang w:val="tr-TR"/>
        </w:rPr>
        <w:t>ip olan ve ticari oranlar üzerind</w:t>
      </w:r>
      <w:r w:rsidR="00BA1FB2" w:rsidRPr="001A4B94">
        <w:rPr>
          <w:rFonts w:eastAsiaTheme="minorHAnsi"/>
          <w:sz w:val="22"/>
          <w:szCs w:val="22"/>
          <w:lang w:val="tr-TR"/>
        </w:rPr>
        <w:t>en piyasaya dayalı finansmana erişebilecek konumda bulunan İzmir ve İstanbul’a yatırım yapmış ve bu belediyeler ile stratejik ortak çalışmalar geliştirmiştir.</w:t>
      </w:r>
      <w:r w:rsidR="00747261" w:rsidRPr="001A4B94">
        <w:rPr>
          <w:rFonts w:eastAsiaTheme="minorHAnsi"/>
          <w:sz w:val="22"/>
          <w:szCs w:val="22"/>
          <w:lang w:val="tr-TR"/>
        </w:rPr>
        <w:t xml:space="preserve"> IFC </w:t>
      </w:r>
      <w:r w:rsidR="00BA1FB2" w:rsidRPr="001A4B94">
        <w:rPr>
          <w:rFonts w:eastAsiaTheme="minorHAnsi"/>
          <w:sz w:val="22"/>
          <w:szCs w:val="22"/>
          <w:lang w:val="tr-TR"/>
        </w:rPr>
        <w:t xml:space="preserve">ayrıca türünün ilk örneğini teşkil eden bir </w:t>
      </w:r>
      <w:r w:rsidR="00CF4470" w:rsidRPr="001A4B94">
        <w:rPr>
          <w:rFonts w:eastAsiaTheme="minorHAnsi"/>
          <w:sz w:val="22"/>
          <w:szCs w:val="22"/>
          <w:lang w:val="tr-TR"/>
        </w:rPr>
        <w:t>proje geliştirme olana</w:t>
      </w:r>
      <w:r w:rsidR="006827E6" w:rsidRPr="001A4B94">
        <w:rPr>
          <w:rFonts w:eastAsiaTheme="minorHAnsi"/>
          <w:sz w:val="22"/>
          <w:szCs w:val="22"/>
          <w:lang w:val="tr-TR"/>
        </w:rPr>
        <w:t>ğ</w:t>
      </w:r>
      <w:r w:rsidR="00CF4470" w:rsidRPr="001A4B94">
        <w:rPr>
          <w:rFonts w:eastAsiaTheme="minorHAnsi"/>
          <w:sz w:val="22"/>
          <w:szCs w:val="22"/>
          <w:lang w:val="tr-TR"/>
        </w:rPr>
        <w:t>ı olarak ECA Şehirler Platformunu uyg</w:t>
      </w:r>
      <w:r w:rsidR="006827E6" w:rsidRPr="001A4B94">
        <w:rPr>
          <w:rFonts w:eastAsiaTheme="minorHAnsi"/>
          <w:sz w:val="22"/>
          <w:szCs w:val="22"/>
          <w:lang w:val="tr-TR"/>
        </w:rPr>
        <w:t>u</w:t>
      </w:r>
      <w:r w:rsidR="00CF4470" w:rsidRPr="001A4B94">
        <w:rPr>
          <w:rFonts w:eastAsiaTheme="minorHAnsi"/>
          <w:sz w:val="22"/>
          <w:szCs w:val="22"/>
          <w:lang w:val="tr-TR"/>
        </w:rPr>
        <w:t>lamaya koymuştur. Söz konusu platform, teknoloji seçenekleri, çevresel ve sosyal riskler ve farklı finansman seçenekleri ile ilgili teknik çalışmaları finanse ederek belediyelerin bankalarca kabul edileb</w:t>
      </w:r>
      <w:r w:rsidR="006827E6" w:rsidRPr="001A4B94">
        <w:rPr>
          <w:rFonts w:eastAsiaTheme="minorHAnsi"/>
          <w:sz w:val="22"/>
          <w:szCs w:val="22"/>
          <w:lang w:val="tr-TR"/>
        </w:rPr>
        <w:t>i</w:t>
      </w:r>
      <w:r w:rsidR="00CF4470" w:rsidRPr="001A4B94">
        <w:rPr>
          <w:rFonts w:eastAsiaTheme="minorHAnsi"/>
          <w:sz w:val="22"/>
          <w:szCs w:val="22"/>
          <w:lang w:val="tr-TR"/>
        </w:rPr>
        <w:t>lir projeler geliştirmelerine yardımcı olmak için tasarlanmıştır</w:t>
      </w:r>
      <w:r w:rsidR="00747261" w:rsidRPr="001A4B94">
        <w:rPr>
          <w:rFonts w:eastAsiaTheme="minorHAnsi"/>
          <w:sz w:val="22"/>
          <w:szCs w:val="22"/>
          <w:lang w:val="tr-TR"/>
        </w:rPr>
        <w:t xml:space="preserve">. IFC </w:t>
      </w:r>
      <w:r w:rsidR="00CF4470" w:rsidRPr="001A4B94">
        <w:rPr>
          <w:rFonts w:eastAsiaTheme="minorHAnsi"/>
          <w:sz w:val="22"/>
          <w:szCs w:val="22"/>
          <w:lang w:val="tr-TR"/>
        </w:rPr>
        <w:t>bu olanağı altyapı projelerinin geliştirilmesini desteklemek için İ</w:t>
      </w:r>
      <w:r w:rsidR="00747261" w:rsidRPr="001A4B94">
        <w:rPr>
          <w:rFonts w:eastAsiaTheme="minorHAnsi"/>
          <w:sz w:val="22"/>
          <w:szCs w:val="22"/>
          <w:lang w:val="tr-TR"/>
        </w:rPr>
        <w:t xml:space="preserve">stanbul, </w:t>
      </w:r>
      <w:r w:rsidR="00CF4470" w:rsidRPr="001A4B94">
        <w:rPr>
          <w:rFonts w:eastAsiaTheme="minorHAnsi"/>
          <w:sz w:val="22"/>
          <w:szCs w:val="22"/>
          <w:lang w:val="tr-TR"/>
        </w:rPr>
        <w:t>İ</w:t>
      </w:r>
      <w:r w:rsidR="00747261" w:rsidRPr="001A4B94">
        <w:rPr>
          <w:rFonts w:eastAsiaTheme="minorHAnsi"/>
          <w:sz w:val="22"/>
          <w:szCs w:val="22"/>
          <w:lang w:val="tr-TR"/>
        </w:rPr>
        <w:t>zmir</w:t>
      </w:r>
      <w:r w:rsidR="00CF4470" w:rsidRPr="001A4B94">
        <w:rPr>
          <w:rFonts w:eastAsiaTheme="minorHAnsi"/>
          <w:sz w:val="22"/>
          <w:szCs w:val="22"/>
          <w:lang w:val="tr-TR"/>
        </w:rPr>
        <w:t xml:space="preserve"> ve </w:t>
      </w:r>
      <w:r w:rsidR="00747261" w:rsidRPr="001A4B94">
        <w:rPr>
          <w:rFonts w:eastAsiaTheme="minorHAnsi"/>
          <w:sz w:val="22"/>
          <w:szCs w:val="22"/>
          <w:lang w:val="tr-TR"/>
        </w:rPr>
        <w:t>Antalya</w:t>
      </w:r>
      <w:r w:rsidR="00CF4470" w:rsidRPr="001A4B94">
        <w:rPr>
          <w:rFonts w:eastAsiaTheme="minorHAnsi"/>
          <w:sz w:val="22"/>
          <w:szCs w:val="22"/>
          <w:lang w:val="tr-TR"/>
        </w:rPr>
        <w:t>’da kullanmıştır</w:t>
      </w:r>
      <w:r w:rsidR="00747261" w:rsidRPr="001A4B94">
        <w:rPr>
          <w:rFonts w:eastAsiaTheme="minorHAnsi"/>
          <w:sz w:val="22"/>
          <w:szCs w:val="22"/>
          <w:lang w:val="tr-TR"/>
        </w:rPr>
        <w:t xml:space="preserve">. IFC </w:t>
      </w:r>
      <w:r w:rsidR="00CF4470" w:rsidRPr="001A4B94">
        <w:rPr>
          <w:rFonts w:eastAsiaTheme="minorHAnsi"/>
          <w:sz w:val="22"/>
          <w:szCs w:val="22"/>
          <w:lang w:val="tr-TR"/>
        </w:rPr>
        <w:t xml:space="preserve">ayrıca yeşil </w:t>
      </w:r>
      <w:r w:rsidR="006827E6" w:rsidRPr="001A4B94">
        <w:rPr>
          <w:rFonts w:eastAsiaTheme="minorHAnsi"/>
          <w:sz w:val="22"/>
          <w:szCs w:val="22"/>
          <w:lang w:val="tr-TR"/>
        </w:rPr>
        <w:t>konutların yapımını ve satışını teşvik etmeyi amaçlayan bir kr</w:t>
      </w:r>
      <w:r w:rsidR="00D12316" w:rsidRPr="001A4B94">
        <w:rPr>
          <w:rFonts w:eastAsiaTheme="minorHAnsi"/>
          <w:sz w:val="22"/>
          <w:szCs w:val="22"/>
          <w:lang w:val="tr-TR"/>
        </w:rPr>
        <w:t>e</w:t>
      </w:r>
      <w:r w:rsidR="006827E6" w:rsidRPr="001A4B94">
        <w:rPr>
          <w:rFonts w:eastAsiaTheme="minorHAnsi"/>
          <w:sz w:val="22"/>
          <w:szCs w:val="22"/>
          <w:lang w:val="tr-TR"/>
        </w:rPr>
        <w:t>di hattı yoluyla, ticari bir kreditör -Odeabank- ile birlikte yeni bir yeşil ipotek finansman programına yatırım yapmış ve bu kapsamda Kayseri, Adana ve Ankara’da yeşil hastanelerin yapımını desteklemiştir</w:t>
      </w:r>
      <w:r w:rsidR="00747261" w:rsidRPr="001A4B94">
        <w:rPr>
          <w:rFonts w:eastAsiaTheme="minorHAnsi"/>
          <w:sz w:val="22"/>
          <w:szCs w:val="22"/>
          <w:lang w:val="tr-TR"/>
        </w:rPr>
        <w:t xml:space="preserve">.  </w:t>
      </w:r>
      <w:r w:rsidR="006827E6" w:rsidRPr="001A4B94">
        <w:rPr>
          <w:rFonts w:eastAsiaTheme="minorHAnsi"/>
          <w:sz w:val="22"/>
          <w:szCs w:val="22"/>
          <w:lang w:val="tr-TR"/>
        </w:rPr>
        <w:t>Son olarak</w:t>
      </w:r>
      <w:r w:rsidR="00747261" w:rsidRPr="001A4B94">
        <w:rPr>
          <w:rFonts w:eastAsiaTheme="minorHAnsi"/>
          <w:sz w:val="22"/>
          <w:szCs w:val="22"/>
          <w:lang w:val="tr-TR"/>
        </w:rPr>
        <w:t xml:space="preserve">, IFC </w:t>
      </w:r>
      <w:r w:rsidR="006827E6" w:rsidRPr="001A4B94">
        <w:rPr>
          <w:rFonts w:eastAsiaTheme="minorHAnsi"/>
          <w:sz w:val="22"/>
          <w:szCs w:val="22"/>
          <w:lang w:val="tr-TR"/>
        </w:rPr>
        <w:t>yeşil konutları teşvik etmek amacıyla Hükümete ve özel sektör aktörlerine teknik yardım sağlamıştır</w:t>
      </w:r>
      <w:r w:rsidR="00747261" w:rsidRPr="001A4B94">
        <w:rPr>
          <w:rFonts w:eastAsiaTheme="minorHAnsi"/>
          <w:sz w:val="22"/>
          <w:szCs w:val="22"/>
          <w:lang w:val="tr-TR"/>
        </w:rPr>
        <w:t>.</w:t>
      </w:r>
    </w:p>
    <w:p w14:paraId="2852FAD7" w14:textId="77777777" w:rsidR="00747261" w:rsidRPr="001A4B94" w:rsidRDefault="00747261" w:rsidP="00747261">
      <w:pPr>
        <w:spacing w:after="160"/>
        <w:ind w:left="360"/>
        <w:contextualSpacing/>
        <w:jc w:val="both"/>
        <w:rPr>
          <w:rFonts w:eastAsiaTheme="minorHAnsi"/>
          <w:sz w:val="22"/>
          <w:szCs w:val="22"/>
          <w:lang w:val="tr-TR"/>
        </w:rPr>
      </w:pPr>
      <w:r w:rsidRPr="001A4B94">
        <w:rPr>
          <w:rFonts w:eastAsiaTheme="minorHAnsi"/>
          <w:sz w:val="22"/>
          <w:szCs w:val="22"/>
          <w:lang w:val="tr-TR"/>
        </w:rPr>
        <w:t xml:space="preserve">  </w:t>
      </w:r>
    </w:p>
    <w:p w14:paraId="126DCA66" w14:textId="2F38A26A"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95F1E" w:rsidRPr="001A4B94">
        <w:rPr>
          <w:rFonts w:eastAsiaTheme="minorHAnsi"/>
          <w:b/>
          <w:sz w:val="22"/>
          <w:szCs w:val="22"/>
          <w:lang w:val="tr-TR"/>
        </w:rPr>
        <w:t>Bu alandaki Banka desteği ASA ve Vakıf Fonları yoluyla sağlanmıştır</w:t>
      </w:r>
      <w:r w:rsidR="00747261" w:rsidRPr="001A4B94">
        <w:rPr>
          <w:rFonts w:eastAsiaTheme="minorHAnsi"/>
          <w:b/>
          <w:sz w:val="22"/>
          <w:szCs w:val="22"/>
          <w:lang w:val="tr-TR"/>
        </w:rPr>
        <w:t xml:space="preserve">.  </w:t>
      </w:r>
      <w:r w:rsidR="00823421" w:rsidRPr="001A4B94">
        <w:rPr>
          <w:rFonts w:eastAsiaTheme="minorHAnsi"/>
          <w:sz w:val="22"/>
          <w:szCs w:val="22"/>
          <w:lang w:val="tr-TR"/>
        </w:rPr>
        <w:t>Türkiye’nin başarılı şehirleşme deneyimlerini paylaşmak ve</w:t>
      </w:r>
      <w:r w:rsidR="00823421" w:rsidRPr="001A4B94">
        <w:rPr>
          <w:rFonts w:eastAsiaTheme="minorHAnsi"/>
          <w:b/>
          <w:sz w:val="22"/>
          <w:szCs w:val="22"/>
          <w:lang w:val="tr-TR"/>
        </w:rPr>
        <w:t xml:space="preserve"> </w:t>
      </w:r>
      <w:r w:rsidR="00823421" w:rsidRPr="001A4B94">
        <w:rPr>
          <w:sz w:val="22"/>
          <w:szCs w:val="22"/>
          <w:lang w:val="tr-TR"/>
        </w:rPr>
        <w:t xml:space="preserve">şehir rekabetçiliği, konut piyasaları, kentsel ulaşım, belediye finansmanı ve kurumlar arası işbirliği </w:t>
      </w:r>
      <w:r w:rsidR="00823421" w:rsidRPr="001A4B94">
        <w:rPr>
          <w:rFonts w:eastAsiaTheme="minorHAnsi"/>
          <w:sz w:val="22"/>
          <w:szCs w:val="22"/>
          <w:lang w:val="tr-TR"/>
        </w:rPr>
        <w:t xml:space="preserve">alanlarındaki zorlukları aşmak için Hükümete politika önerileri </w:t>
      </w:r>
      <w:r w:rsidR="00823421" w:rsidRPr="001A4B94">
        <w:rPr>
          <w:rFonts w:eastAsiaTheme="minorHAnsi"/>
          <w:sz w:val="22"/>
          <w:szCs w:val="22"/>
          <w:lang w:val="tr-TR"/>
        </w:rPr>
        <w:lastRenderedPageBreak/>
        <w:t>sunmak amacıyla, bir Şehirleşme İncelemesi hazırlanmıştır</w:t>
      </w:r>
      <w:r w:rsidR="00747261" w:rsidRPr="001A4B94">
        <w:rPr>
          <w:rFonts w:eastAsiaTheme="minorHAnsi"/>
          <w:sz w:val="22"/>
          <w:szCs w:val="22"/>
          <w:lang w:val="tr-TR"/>
        </w:rPr>
        <w:t>. Bank</w:t>
      </w:r>
      <w:r w:rsidR="00823421" w:rsidRPr="001A4B94">
        <w:rPr>
          <w:rFonts w:eastAsiaTheme="minorHAnsi"/>
          <w:sz w:val="22"/>
          <w:szCs w:val="22"/>
          <w:lang w:val="tr-TR"/>
        </w:rPr>
        <w:t>a</w:t>
      </w:r>
      <w:r w:rsidR="00747261" w:rsidRPr="001A4B94">
        <w:rPr>
          <w:rFonts w:eastAsiaTheme="minorHAnsi"/>
          <w:sz w:val="22"/>
          <w:szCs w:val="22"/>
          <w:lang w:val="tr-TR"/>
        </w:rPr>
        <w:t xml:space="preserve"> </w:t>
      </w:r>
      <w:r w:rsidR="00823421" w:rsidRPr="001A4B94">
        <w:rPr>
          <w:rFonts w:eastAsiaTheme="minorHAnsi"/>
          <w:sz w:val="22"/>
          <w:szCs w:val="22"/>
          <w:lang w:val="tr-TR"/>
        </w:rPr>
        <w:t>ayrıca 2015 yılında Küresel Afet Azaltma ve iyileştirme Fonundan (GFDRR) sağlanan 1,5 milyon ABD$ tutarındaki bir hibe ile Türkiye’nin Ulusal Afet ve Acil Durum Yönetimi Başkanlığı (AFAD) için kapasite oluşturulmasına yardımcı olmuştur</w:t>
      </w:r>
      <w:r w:rsidR="00747261" w:rsidRPr="001A4B94">
        <w:rPr>
          <w:rFonts w:eastAsiaTheme="minorHAnsi"/>
          <w:sz w:val="22"/>
          <w:szCs w:val="22"/>
          <w:lang w:val="tr-TR"/>
        </w:rPr>
        <w:t xml:space="preserve">.  </w:t>
      </w:r>
      <w:r w:rsidR="00823421" w:rsidRPr="001A4B94">
        <w:rPr>
          <w:rFonts w:eastAsiaTheme="minorHAnsi"/>
          <w:sz w:val="22"/>
          <w:szCs w:val="22"/>
          <w:lang w:val="tr-TR"/>
        </w:rPr>
        <w:t>Ayrıca</w:t>
      </w:r>
      <w:r w:rsidR="00747261" w:rsidRPr="001A4B94">
        <w:rPr>
          <w:rFonts w:eastAsiaTheme="minorHAnsi"/>
          <w:sz w:val="22"/>
          <w:szCs w:val="22"/>
          <w:lang w:val="tr-TR"/>
        </w:rPr>
        <w:t>,</w:t>
      </w:r>
      <w:r w:rsidR="00CB431A" w:rsidRPr="001A4B94">
        <w:rPr>
          <w:rFonts w:eastAsiaTheme="minorHAnsi"/>
          <w:sz w:val="22"/>
          <w:szCs w:val="22"/>
          <w:lang w:val="tr-TR"/>
        </w:rPr>
        <w:t xml:space="preserve"> PPIAF ve Kore Yeşil Büyüme Fonunun sağl</w:t>
      </w:r>
      <w:r w:rsidR="00D12316" w:rsidRPr="001A4B94">
        <w:rPr>
          <w:rFonts w:eastAsiaTheme="minorHAnsi"/>
          <w:sz w:val="22"/>
          <w:szCs w:val="22"/>
          <w:lang w:val="tr-TR"/>
        </w:rPr>
        <w:t>a</w:t>
      </w:r>
      <w:r w:rsidR="00CB431A" w:rsidRPr="001A4B94">
        <w:rPr>
          <w:rFonts w:eastAsiaTheme="minorHAnsi"/>
          <w:sz w:val="22"/>
          <w:szCs w:val="22"/>
          <w:lang w:val="tr-TR"/>
        </w:rPr>
        <w:t>dığı finansman ile, 30 büyükşehir belediyesinden 25’inin katılımı ile bir Belediye Kredi Değerlik Akademisi düzenlenmiştir.</w:t>
      </w:r>
      <w:r w:rsidR="00747261" w:rsidRPr="001A4B94">
        <w:rPr>
          <w:rFonts w:eastAsiaTheme="minorHAnsi"/>
          <w:sz w:val="22"/>
          <w:szCs w:val="22"/>
          <w:lang w:val="tr-TR"/>
        </w:rPr>
        <w:t xml:space="preserve"> </w:t>
      </w:r>
      <w:r w:rsidR="00CB431A" w:rsidRPr="001A4B94">
        <w:rPr>
          <w:rFonts w:eastAsiaTheme="minorHAnsi"/>
          <w:sz w:val="22"/>
          <w:szCs w:val="22"/>
          <w:lang w:val="tr-TR"/>
        </w:rPr>
        <w:t>Ulaştırma sektörü ile ilgili olarak</w:t>
      </w:r>
      <w:r w:rsidR="00747261" w:rsidRPr="001A4B94">
        <w:rPr>
          <w:rFonts w:eastAsiaTheme="minorHAnsi"/>
          <w:sz w:val="22"/>
          <w:szCs w:val="22"/>
          <w:lang w:val="tr-TR"/>
        </w:rPr>
        <w:t xml:space="preserve">, </w:t>
      </w:r>
      <w:r w:rsidR="00CB431A" w:rsidRPr="001A4B94">
        <w:rPr>
          <w:rFonts w:eastAsiaTheme="minorHAnsi"/>
          <w:sz w:val="22"/>
          <w:szCs w:val="22"/>
          <w:lang w:val="tr-TR"/>
        </w:rPr>
        <w:t xml:space="preserve">Ulaştırma Bakanlığı ve </w:t>
      </w:r>
      <w:r w:rsidR="00747261" w:rsidRPr="001A4B94">
        <w:rPr>
          <w:rFonts w:eastAsiaTheme="minorHAnsi" w:cstheme="minorBidi"/>
          <w:sz w:val="22"/>
          <w:szCs w:val="22"/>
          <w:lang w:val="tr-TR"/>
        </w:rPr>
        <w:t xml:space="preserve">TCDD </w:t>
      </w:r>
      <w:r w:rsidR="00CB431A" w:rsidRPr="001A4B94">
        <w:rPr>
          <w:rFonts w:eastAsiaTheme="minorHAnsi" w:cstheme="minorBidi"/>
          <w:sz w:val="22"/>
          <w:szCs w:val="22"/>
          <w:lang w:val="tr-TR"/>
        </w:rPr>
        <w:t xml:space="preserve">kentsel ulaşım, akıllı ulaşım sistemleri ve modlar arası ulaşım üzerinde odaklanan bir teknik yardıma </w:t>
      </w:r>
      <w:r w:rsidR="00747261" w:rsidRPr="001A4B94">
        <w:rPr>
          <w:rFonts w:eastAsiaTheme="minorHAnsi" w:cstheme="minorBidi"/>
          <w:sz w:val="22"/>
          <w:szCs w:val="22"/>
          <w:lang w:val="tr-TR"/>
        </w:rPr>
        <w:t>(</w:t>
      </w:r>
      <w:r w:rsidR="00CB431A" w:rsidRPr="001A4B94">
        <w:rPr>
          <w:rFonts w:eastAsiaTheme="minorHAnsi" w:cstheme="minorBidi"/>
          <w:sz w:val="22"/>
          <w:szCs w:val="22"/>
          <w:lang w:val="tr-TR"/>
        </w:rPr>
        <w:t>AB</w:t>
      </w:r>
      <w:r w:rsidR="00FB0363" w:rsidRPr="001A4B94">
        <w:rPr>
          <w:rFonts w:eastAsiaTheme="minorHAnsi" w:cstheme="minorBidi"/>
          <w:sz w:val="22"/>
          <w:szCs w:val="22"/>
          <w:lang w:val="tr-TR"/>
        </w:rPr>
        <w:t>/IPA</w:t>
      </w:r>
      <w:r w:rsidR="00747261" w:rsidRPr="001A4B94">
        <w:rPr>
          <w:rFonts w:eastAsiaTheme="minorHAnsi" w:cstheme="minorBidi"/>
          <w:sz w:val="22"/>
          <w:szCs w:val="22"/>
          <w:lang w:val="tr-TR"/>
        </w:rPr>
        <w:t xml:space="preserve"> </w:t>
      </w:r>
      <w:r w:rsidR="00CB431A" w:rsidRPr="001A4B94">
        <w:rPr>
          <w:rFonts w:eastAsiaTheme="minorHAnsi" w:cstheme="minorBidi"/>
          <w:sz w:val="22"/>
          <w:szCs w:val="22"/>
          <w:lang w:val="tr-TR"/>
        </w:rPr>
        <w:t>fonları ile finanse edilecek</w:t>
      </w:r>
      <w:r w:rsidR="00747261" w:rsidRPr="001A4B94">
        <w:rPr>
          <w:rFonts w:eastAsiaTheme="minorHAnsi" w:cstheme="minorBidi"/>
          <w:sz w:val="22"/>
          <w:szCs w:val="22"/>
          <w:lang w:val="tr-TR"/>
        </w:rPr>
        <w:t xml:space="preserve">) </w:t>
      </w:r>
      <w:r w:rsidR="00CB431A" w:rsidRPr="001A4B94">
        <w:rPr>
          <w:rFonts w:eastAsiaTheme="minorHAnsi" w:cstheme="minorBidi"/>
          <w:sz w:val="22"/>
          <w:szCs w:val="22"/>
          <w:lang w:val="tr-TR"/>
        </w:rPr>
        <w:t>öncelik vermiştir</w:t>
      </w:r>
      <w:r w:rsidR="00747261" w:rsidRPr="001A4B94">
        <w:rPr>
          <w:rFonts w:eastAsiaTheme="minorHAnsi" w:cstheme="minorBidi"/>
          <w:sz w:val="22"/>
          <w:szCs w:val="22"/>
          <w:lang w:val="tr-TR"/>
        </w:rPr>
        <w:t>.</w:t>
      </w:r>
    </w:p>
    <w:p w14:paraId="18FA58B0" w14:textId="77777777" w:rsidR="00747261" w:rsidRPr="001A4B94" w:rsidRDefault="00747261" w:rsidP="00C774E1">
      <w:pPr>
        <w:ind w:left="360"/>
        <w:contextualSpacing/>
        <w:jc w:val="both"/>
        <w:rPr>
          <w:rFonts w:eastAsiaTheme="minorHAnsi"/>
          <w:sz w:val="22"/>
          <w:szCs w:val="22"/>
          <w:lang w:val="tr-TR"/>
        </w:rPr>
      </w:pPr>
    </w:p>
    <w:p w14:paraId="5729232A" w14:textId="08226D61" w:rsidR="00747261" w:rsidRPr="001A4B94" w:rsidRDefault="00831BF5" w:rsidP="00C24F8F">
      <w:pPr>
        <w:pStyle w:val="ListeParagraf"/>
        <w:numPr>
          <w:ilvl w:val="0"/>
          <w:numId w:val="35"/>
        </w:numPr>
        <w:tabs>
          <w:tab w:val="left" w:pos="810"/>
        </w:tabs>
        <w:spacing w:after="160" w:line="240" w:lineRule="auto"/>
        <w:ind w:hanging="720"/>
        <w:rPr>
          <w:rFonts w:ascii="Times New Roman" w:eastAsiaTheme="majorEastAsia" w:hAnsi="Times New Roman"/>
          <w:b/>
          <w:lang w:val="tr-TR"/>
        </w:rPr>
      </w:pPr>
      <w:r w:rsidRPr="001A4B94">
        <w:rPr>
          <w:rFonts w:ascii="Times New Roman" w:eastAsiaTheme="majorEastAsia" w:hAnsi="Times New Roman"/>
          <w:b/>
          <w:lang w:val="tr-TR"/>
        </w:rPr>
        <w:t xml:space="preserve">Ortak Tematik Öncelik </w:t>
      </w:r>
      <w:r w:rsidR="00747261" w:rsidRPr="001A4B94">
        <w:rPr>
          <w:rFonts w:ascii="Times New Roman" w:eastAsiaTheme="majorEastAsia" w:hAnsi="Times New Roman"/>
          <w:b/>
          <w:lang w:val="tr-TR"/>
        </w:rPr>
        <w:t xml:space="preserve">: </w:t>
      </w:r>
      <w:r w:rsidR="00F15562" w:rsidRPr="001A4B94">
        <w:rPr>
          <w:rFonts w:ascii="Times New Roman" w:eastAsiaTheme="majorEastAsia" w:hAnsi="Times New Roman"/>
          <w:b/>
          <w:lang w:val="tr-TR"/>
        </w:rPr>
        <w:t xml:space="preserve">Türkiye’nin Deneyimlerini, Sonuçlarını, Bilgilerini ve Kapasitesini Paylaşmak </w:t>
      </w:r>
    </w:p>
    <w:p w14:paraId="6036EA2F" w14:textId="66A7EF02"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F15562" w:rsidRPr="001A4B94">
        <w:rPr>
          <w:rFonts w:eastAsiaTheme="minorHAnsi"/>
          <w:b/>
          <w:sz w:val="22"/>
          <w:szCs w:val="22"/>
          <w:lang w:val="tr-TR"/>
        </w:rPr>
        <w:t>CPS döneminin ikinci yarısında bilgi paylaşımı fırsat</w:t>
      </w:r>
      <w:r w:rsidR="000F3A11" w:rsidRPr="001A4B94">
        <w:rPr>
          <w:rFonts w:eastAsiaTheme="minorHAnsi"/>
          <w:b/>
          <w:sz w:val="22"/>
          <w:szCs w:val="22"/>
          <w:lang w:val="tr-TR"/>
        </w:rPr>
        <w:t>la</w:t>
      </w:r>
      <w:r w:rsidR="00F15562" w:rsidRPr="001A4B94">
        <w:rPr>
          <w:rFonts w:eastAsiaTheme="minorHAnsi"/>
          <w:b/>
          <w:sz w:val="22"/>
          <w:szCs w:val="22"/>
          <w:lang w:val="tr-TR"/>
        </w:rPr>
        <w:t>rı geliştirilmiştir</w:t>
      </w:r>
      <w:r w:rsidR="00747261" w:rsidRPr="001A4B94">
        <w:rPr>
          <w:rFonts w:eastAsiaTheme="minorHAnsi"/>
          <w:sz w:val="22"/>
          <w:szCs w:val="22"/>
          <w:lang w:val="tr-TR"/>
        </w:rPr>
        <w:t xml:space="preserve">. </w:t>
      </w:r>
      <w:r w:rsidR="00F15562" w:rsidRPr="001A4B94">
        <w:rPr>
          <w:rFonts w:eastAsiaTheme="minorHAnsi"/>
          <w:sz w:val="22"/>
          <w:szCs w:val="22"/>
          <w:lang w:val="tr-TR"/>
        </w:rPr>
        <w:t>Banka’nın amira</w:t>
      </w:r>
      <w:r w:rsidR="000F3A11" w:rsidRPr="001A4B94">
        <w:rPr>
          <w:rFonts w:eastAsiaTheme="minorHAnsi"/>
          <w:sz w:val="22"/>
          <w:szCs w:val="22"/>
          <w:lang w:val="tr-TR"/>
        </w:rPr>
        <w:t>l</w:t>
      </w:r>
      <w:r w:rsidR="00F15562" w:rsidRPr="001A4B94">
        <w:rPr>
          <w:rFonts w:eastAsiaTheme="minorHAnsi"/>
          <w:sz w:val="22"/>
          <w:szCs w:val="22"/>
          <w:lang w:val="tr-TR"/>
        </w:rPr>
        <w:t xml:space="preserve"> gemisi raporların</w:t>
      </w:r>
      <w:r w:rsidR="000F3A11" w:rsidRPr="001A4B94">
        <w:rPr>
          <w:rFonts w:eastAsiaTheme="minorHAnsi"/>
          <w:sz w:val="22"/>
          <w:szCs w:val="22"/>
          <w:lang w:val="tr-TR"/>
        </w:rPr>
        <w:t>d</w:t>
      </w:r>
      <w:r w:rsidR="00F15562" w:rsidRPr="001A4B94">
        <w:rPr>
          <w:rFonts w:eastAsiaTheme="minorHAnsi"/>
          <w:sz w:val="22"/>
          <w:szCs w:val="22"/>
          <w:lang w:val="tr-TR"/>
        </w:rPr>
        <w:t>an birisi olan</w:t>
      </w:r>
      <w:r w:rsidR="00747261" w:rsidRPr="001A4B94">
        <w:rPr>
          <w:rFonts w:eastAsiaTheme="minorHAnsi"/>
          <w:sz w:val="22"/>
          <w:szCs w:val="22"/>
          <w:lang w:val="tr-TR"/>
        </w:rPr>
        <w:t xml:space="preserve"> </w:t>
      </w:r>
      <w:r w:rsidR="00747261" w:rsidRPr="001A4B94">
        <w:rPr>
          <w:rFonts w:eastAsiaTheme="minorHAnsi"/>
          <w:i/>
          <w:sz w:val="22"/>
          <w:szCs w:val="22"/>
          <w:lang w:val="tr-TR"/>
        </w:rPr>
        <w:t>T</w:t>
      </w:r>
      <w:r w:rsidR="00F15562" w:rsidRPr="001A4B94">
        <w:rPr>
          <w:rFonts w:eastAsiaTheme="minorHAnsi"/>
          <w:i/>
          <w:sz w:val="22"/>
          <w:szCs w:val="22"/>
          <w:lang w:val="tr-TR"/>
        </w:rPr>
        <w:t>ürkiye’ni</w:t>
      </w:r>
      <w:r w:rsidR="00035E84" w:rsidRPr="001A4B94">
        <w:rPr>
          <w:rFonts w:eastAsiaTheme="minorHAnsi"/>
          <w:i/>
          <w:sz w:val="22"/>
          <w:szCs w:val="22"/>
          <w:lang w:val="tr-TR"/>
        </w:rPr>
        <w:t>n</w:t>
      </w:r>
      <w:r w:rsidR="00F15562" w:rsidRPr="001A4B94">
        <w:rPr>
          <w:rFonts w:eastAsiaTheme="minorHAnsi"/>
          <w:i/>
          <w:sz w:val="22"/>
          <w:szCs w:val="22"/>
          <w:lang w:val="tr-TR"/>
        </w:rPr>
        <w:t xml:space="preserve"> Deneyimleri</w:t>
      </w:r>
      <w:r w:rsidR="00747261" w:rsidRPr="001A4B94">
        <w:rPr>
          <w:rFonts w:eastAsiaTheme="minorHAnsi"/>
          <w:sz w:val="22"/>
          <w:szCs w:val="22"/>
          <w:lang w:val="tr-TR"/>
        </w:rPr>
        <w:t xml:space="preserve"> </w:t>
      </w:r>
      <w:r w:rsidR="00F15562" w:rsidRPr="001A4B94">
        <w:rPr>
          <w:sz w:val="22"/>
          <w:szCs w:val="22"/>
          <w:lang w:val="tr-TR"/>
        </w:rPr>
        <w:t>başlıklı rapor Türkiye’nin yük</w:t>
      </w:r>
      <w:r w:rsidR="000F3A11" w:rsidRPr="001A4B94">
        <w:rPr>
          <w:sz w:val="22"/>
          <w:szCs w:val="22"/>
          <w:lang w:val="tr-TR"/>
        </w:rPr>
        <w:t>s</w:t>
      </w:r>
      <w:r w:rsidR="00F15562" w:rsidRPr="001A4B94">
        <w:rPr>
          <w:sz w:val="22"/>
          <w:szCs w:val="22"/>
          <w:lang w:val="tr-TR"/>
        </w:rPr>
        <w:t>ek gelir eşiği doğrultusundaki ilerleyişini analiz etmiş</w:t>
      </w:r>
      <w:r w:rsidR="00747261" w:rsidRPr="001A4B94">
        <w:rPr>
          <w:sz w:val="22"/>
          <w:szCs w:val="22"/>
          <w:lang w:val="tr-TR"/>
        </w:rPr>
        <w:t xml:space="preserve">, </w:t>
      </w:r>
      <w:r w:rsidR="00F15562" w:rsidRPr="001A4B94">
        <w:rPr>
          <w:sz w:val="22"/>
          <w:szCs w:val="22"/>
          <w:lang w:val="tr-TR"/>
        </w:rPr>
        <w:t>temel kaynakları tespit etmiş ve sürdürüleb</w:t>
      </w:r>
      <w:r w:rsidR="000F3A11" w:rsidRPr="001A4B94">
        <w:rPr>
          <w:sz w:val="22"/>
          <w:szCs w:val="22"/>
          <w:lang w:val="tr-TR"/>
        </w:rPr>
        <w:t>i</w:t>
      </w:r>
      <w:r w:rsidR="00F15562" w:rsidRPr="001A4B94">
        <w:rPr>
          <w:sz w:val="22"/>
          <w:szCs w:val="22"/>
          <w:lang w:val="tr-TR"/>
        </w:rPr>
        <w:t>lir büyüme için ekonomik kuruml</w:t>
      </w:r>
      <w:r w:rsidR="000F3A11" w:rsidRPr="001A4B94">
        <w:rPr>
          <w:sz w:val="22"/>
          <w:szCs w:val="22"/>
          <w:lang w:val="tr-TR"/>
        </w:rPr>
        <w:t>a</w:t>
      </w:r>
      <w:r w:rsidR="00F15562" w:rsidRPr="001A4B94">
        <w:rPr>
          <w:sz w:val="22"/>
          <w:szCs w:val="22"/>
          <w:lang w:val="tr-TR"/>
        </w:rPr>
        <w:t xml:space="preserve">rın önemi </w:t>
      </w:r>
      <w:r w:rsidR="00747261" w:rsidRPr="001A4B94">
        <w:rPr>
          <w:sz w:val="22"/>
          <w:szCs w:val="22"/>
          <w:lang w:val="tr-TR"/>
        </w:rPr>
        <w:t xml:space="preserve"> </w:t>
      </w:r>
      <w:r w:rsidR="00F15562" w:rsidRPr="001A4B94">
        <w:rPr>
          <w:sz w:val="22"/>
          <w:szCs w:val="22"/>
          <w:lang w:val="tr-TR"/>
        </w:rPr>
        <w:t>hakkında faydalı bir tartışmayı başlatmış</w:t>
      </w:r>
      <w:r w:rsidR="000F3A11" w:rsidRPr="001A4B94">
        <w:rPr>
          <w:sz w:val="22"/>
          <w:szCs w:val="22"/>
          <w:lang w:val="tr-TR"/>
        </w:rPr>
        <w:t>,</w:t>
      </w:r>
      <w:r w:rsidR="00F15562" w:rsidRPr="001A4B94">
        <w:rPr>
          <w:sz w:val="22"/>
          <w:szCs w:val="22"/>
          <w:lang w:val="tr-TR"/>
        </w:rPr>
        <w:t xml:space="preserve"> böyle</w:t>
      </w:r>
      <w:r w:rsidR="000F3A11" w:rsidRPr="001A4B94">
        <w:rPr>
          <w:sz w:val="22"/>
          <w:szCs w:val="22"/>
          <w:lang w:val="tr-TR"/>
        </w:rPr>
        <w:t>l</w:t>
      </w:r>
      <w:r w:rsidR="00F15562" w:rsidRPr="001A4B94">
        <w:rPr>
          <w:sz w:val="22"/>
          <w:szCs w:val="22"/>
          <w:lang w:val="tr-TR"/>
        </w:rPr>
        <w:t>ikle Türkiye’nin kalkınma öyküsünün paylaşılabilmesi için faydalı bir araç sunmuştur</w:t>
      </w:r>
      <w:r w:rsidR="00747261" w:rsidRPr="001A4B94">
        <w:rPr>
          <w:sz w:val="22"/>
          <w:szCs w:val="22"/>
          <w:lang w:val="tr-TR"/>
        </w:rPr>
        <w:t xml:space="preserve">. </w:t>
      </w:r>
      <w:r w:rsidR="00F15562" w:rsidRPr="001A4B94">
        <w:rPr>
          <w:sz w:val="22"/>
          <w:szCs w:val="22"/>
          <w:lang w:val="tr-TR"/>
        </w:rPr>
        <w:t>Benzer şekilde</w:t>
      </w:r>
      <w:r w:rsidR="00747261" w:rsidRPr="001A4B94">
        <w:rPr>
          <w:sz w:val="22"/>
          <w:szCs w:val="22"/>
          <w:lang w:val="tr-TR"/>
        </w:rPr>
        <w:t xml:space="preserve">, </w:t>
      </w:r>
      <w:r w:rsidR="000F3A11" w:rsidRPr="001A4B94">
        <w:rPr>
          <w:sz w:val="22"/>
          <w:szCs w:val="22"/>
          <w:lang w:val="tr-TR"/>
        </w:rPr>
        <w:t>Türkiye’nin şehirleşme alanındaki engin deneyimlerini yaymak için şehirleşme incelemesinden yararlanılmış</w:t>
      </w:r>
      <w:r w:rsidR="00747261" w:rsidRPr="001A4B94">
        <w:rPr>
          <w:sz w:val="22"/>
          <w:szCs w:val="22"/>
          <w:lang w:val="tr-TR"/>
        </w:rPr>
        <w:t xml:space="preserve">, </w:t>
      </w:r>
      <w:r w:rsidR="000F3A11" w:rsidRPr="001A4B94">
        <w:rPr>
          <w:sz w:val="22"/>
          <w:szCs w:val="22"/>
          <w:lang w:val="tr-TR"/>
        </w:rPr>
        <w:t>Afg</w:t>
      </w:r>
      <w:r w:rsidR="00747261" w:rsidRPr="001A4B94">
        <w:rPr>
          <w:sz w:val="22"/>
          <w:szCs w:val="22"/>
          <w:lang w:val="tr-TR"/>
        </w:rPr>
        <w:t xml:space="preserve">anistan, </w:t>
      </w:r>
      <w:r w:rsidR="000F3A11" w:rsidRPr="001A4B94">
        <w:rPr>
          <w:sz w:val="22"/>
          <w:szCs w:val="22"/>
          <w:lang w:val="tr-TR"/>
        </w:rPr>
        <w:t>Fas ve Tunus hükümetlerinden yetkililerin bu deneyimler hakkında daha fazla bilgi edinmek için Türkiye’yi ziyaret etmeleri sağlanmıştır</w:t>
      </w:r>
      <w:r w:rsidR="00747261" w:rsidRPr="001A4B94">
        <w:rPr>
          <w:sz w:val="22"/>
          <w:szCs w:val="22"/>
          <w:lang w:val="tr-TR"/>
        </w:rPr>
        <w:t xml:space="preserve">. </w:t>
      </w:r>
      <w:r w:rsidR="000F3A11" w:rsidRPr="001A4B94">
        <w:rPr>
          <w:sz w:val="22"/>
          <w:szCs w:val="22"/>
          <w:lang w:val="tr-TR"/>
        </w:rPr>
        <w:t>Ayrıca</w:t>
      </w:r>
      <w:r w:rsidR="00747261" w:rsidRPr="001A4B94">
        <w:rPr>
          <w:sz w:val="22"/>
          <w:szCs w:val="22"/>
          <w:lang w:val="tr-TR"/>
        </w:rPr>
        <w:t xml:space="preserve">, </w:t>
      </w:r>
      <w:r w:rsidR="000F3A11" w:rsidRPr="001A4B94">
        <w:rPr>
          <w:sz w:val="22"/>
          <w:szCs w:val="22"/>
          <w:lang w:val="tr-TR"/>
        </w:rPr>
        <w:t>sağlık ve enerji sektörü bilgi ürünleri Türkiye’de uygulanan başarılı sektör reformlarının kilometre taşlarını ve karşılaşılan zorlukları ortaya koymuştur</w:t>
      </w:r>
      <w:r w:rsidR="00747261" w:rsidRPr="001A4B94">
        <w:rPr>
          <w:sz w:val="22"/>
          <w:szCs w:val="22"/>
          <w:lang w:val="tr-TR"/>
        </w:rPr>
        <w:t>.</w:t>
      </w:r>
    </w:p>
    <w:p w14:paraId="35C2E471" w14:textId="77777777" w:rsidR="00747261" w:rsidRPr="001A4B94" w:rsidRDefault="00747261" w:rsidP="00747261">
      <w:pPr>
        <w:spacing w:after="160"/>
        <w:ind w:left="360"/>
        <w:contextualSpacing/>
        <w:jc w:val="both"/>
        <w:rPr>
          <w:rFonts w:eastAsiaTheme="minorHAnsi"/>
          <w:sz w:val="22"/>
          <w:szCs w:val="22"/>
          <w:lang w:val="tr-TR"/>
        </w:rPr>
      </w:pPr>
      <w:r w:rsidRPr="001A4B94">
        <w:rPr>
          <w:sz w:val="22"/>
          <w:szCs w:val="22"/>
          <w:lang w:val="tr-TR"/>
        </w:rPr>
        <w:t xml:space="preserve"> </w:t>
      </w:r>
    </w:p>
    <w:p w14:paraId="10C294F3" w14:textId="2ABB8EDB"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IBRD </w:t>
      </w:r>
      <w:r w:rsidR="000F3A11" w:rsidRPr="001A4B94">
        <w:rPr>
          <w:rFonts w:eastAsiaTheme="minorHAnsi"/>
          <w:b/>
          <w:sz w:val="22"/>
          <w:szCs w:val="22"/>
          <w:lang w:val="tr-TR"/>
        </w:rPr>
        <w:t xml:space="preserve">finansman </w:t>
      </w:r>
      <w:r w:rsidR="00747261" w:rsidRPr="001A4B94">
        <w:rPr>
          <w:rFonts w:eastAsiaTheme="minorHAnsi"/>
          <w:b/>
          <w:sz w:val="22"/>
          <w:szCs w:val="22"/>
          <w:lang w:val="tr-TR"/>
        </w:rPr>
        <w:t xml:space="preserve"> </w:t>
      </w:r>
      <w:r w:rsidR="000F3A11" w:rsidRPr="001A4B94">
        <w:rPr>
          <w:rFonts w:eastAsiaTheme="minorHAnsi"/>
          <w:b/>
          <w:sz w:val="22"/>
          <w:szCs w:val="22"/>
          <w:lang w:val="tr-TR"/>
        </w:rPr>
        <w:t xml:space="preserve">operasyonları </w:t>
      </w:r>
      <w:r w:rsidR="002F7D95" w:rsidRPr="001A4B94">
        <w:rPr>
          <w:rFonts w:eastAsiaTheme="minorHAnsi"/>
          <w:b/>
          <w:sz w:val="22"/>
          <w:szCs w:val="22"/>
          <w:lang w:val="tr-TR"/>
        </w:rPr>
        <w:t>ayrıca Türkiye ile başka ülkeler arasında güney – güney işbirliğini de tetiklemiştir.</w:t>
      </w:r>
      <w:r w:rsidR="00747261" w:rsidRPr="001A4B94">
        <w:rPr>
          <w:rFonts w:eastAsiaTheme="minorHAnsi"/>
          <w:sz w:val="22"/>
          <w:szCs w:val="22"/>
          <w:lang w:val="tr-TR"/>
        </w:rPr>
        <w:t xml:space="preserve"> </w:t>
      </w:r>
      <w:r w:rsidR="00B35037" w:rsidRPr="001A4B94">
        <w:rPr>
          <w:rFonts w:eastAsiaTheme="minorHAnsi"/>
          <w:sz w:val="22"/>
          <w:szCs w:val="22"/>
          <w:lang w:val="tr-TR"/>
        </w:rPr>
        <w:t>İstanbul Deprem Riskini Azaltma projeleri çeşitli etkinlikler ile 40’tan fazla ülkede tanıtılmıştır</w:t>
      </w:r>
      <w:r w:rsidR="00747261" w:rsidRPr="001A4B94">
        <w:rPr>
          <w:rFonts w:eastAsiaTheme="minorHAnsi"/>
          <w:sz w:val="22"/>
          <w:szCs w:val="22"/>
          <w:lang w:val="tr-TR"/>
        </w:rPr>
        <w:t xml:space="preserve">. </w:t>
      </w:r>
      <w:r w:rsidR="00B35037" w:rsidRPr="001A4B94">
        <w:rPr>
          <w:rFonts w:eastAsiaTheme="minorHAnsi"/>
          <w:sz w:val="22"/>
          <w:szCs w:val="22"/>
          <w:lang w:val="tr-TR"/>
        </w:rPr>
        <w:t xml:space="preserve">Tapu ve Kadastro Modernizasyon Projesinin başarıları Türkiye’ye gelen 10’dan fazla ülke misyonuna tanıtılmış ve TKGM 2015 yılında İstanbul’da düzenlenen Dünya Kadastro Zirvesi’ne ev sahipliği yapmıştır </w:t>
      </w:r>
      <w:r w:rsidR="00747261" w:rsidRPr="001A4B94">
        <w:rPr>
          <w:rFonts w:eastAsiaTheme="minorHAnsi"/>
          <w:sz w:val="22"/>
          <w:szCs w:val="22"/>
          <w:lang w:val="tr-TR"/>
        </w:rPr>
        <w:t>(Bank</w:t>
      </w:r>
      <w:r w:rsidR="00B35037" w:rsidRPr="001A4B94">
        <w:rPr>
          <w:rFonts w:eastAsiaTheme="minorHAnsi"/>
          <w:sz w:val="22"/>
          <w:szCs w:val="22"/>
          <w:lang w:val="tr-TR"/>
        </w:rPr>
        <w:t>a’nın desteği ile</w:t>
      </w:r>
      <w:r w:rsidR="00747261" w:rsidRPr="001A4B94">
        <w:rPr>
          <w:rFonts w:eastAsiaTheme="minorHAnsi"/>
          <w:sz w:val="22"/>
          <w:szCs w:val="22"/>
          <w:lang w:val="tr-TR"/>
        </w:rPr>
        <w:t>)</w:t>
      </w:r>
      <w:r w:rsidR="00B35037" w:rsidRPr="001A4B94">
        <w:rPr>
          <w:rFonts w:eastAsiaTheme="minorHAnsi"/>
          <w:sz w:val="22"/>
          <w:szCs w:val="22"/>
          <w:lang w:val="tr-TR"/>
        </w:rPr>
        <w:t>. Söz konusu yüksek profil</w:t>
      </w:r>
      <w:r w:rsidR="00035E84" w:rsidRPr="001A4B94">
        <w:rPr>
          <w:rFonts w:eastAsiaTheme="minorHAnsi"/>
          <w:sz w:val="22"/>
          <w:szCs w:val="22"/>
          <w:lang w:val="tr-TR"/>
        </w:rPr>
        <w:t>l</w:t>
      </w:r>
      <w:r w:rsidR="00B35037" w:rsidRPr="001A4B94">
        <w:rPr>
          <w:rFonts w:eastAsiaTheme="minorHAnsi"/>
          <w:sz w:val="22"/>
          <w:szCs w:val="22"/>
          <w:lang w:val="tr-TR"/>
        </w:rPr>
        <w:t>i uluslararası etkinlik</w:t>
      </w:r>
      <w:r w:rsidR="00747261" w:rsidRPr="001A4B94">
        <w:rPr>
          <w:rFonts w:eastAsiaTheme="minorHAnsi"/>
          <w:sz w:val="22"/>
          <w:szCs w:val="22"/>
          <w:lang w:val="tr-TR"/>
        </w:rPr>
        <w:t xml:space="preserve"> </w:t>
      </w:r>
      <w:r w:rsidR="00B35037" w:rsidRPr="001A4B94">
        <w:rPr>
          <w:rFonts w:eastAsiaTheme="minorHAnsi"/>
          <w:sz w:val="22"/>
          <w:szCs w:val="22"/>
          <w:lang w:val="tr-TR"/>
        </w:rPr>
        <w:t>92 ülkeden yaklaşık 3.300 kadastro uzmanı ve ilgili meslek mensubunu ve uluslararası kuruluşları İstanbul’da bir araya getirmiştir</w:t>
      </w:r>
      <w:r w:rsidR="00747261" w:rsidRPr="001A4B94">
        <w:rPr>
          <w:rFonts w:eastAsiaTheme="minorHAnsi"/>
          <w:sz w:val="22"/>
          <w:szCs w:val="22"/>
          <w:lang w:val="tr-TR"/>
        </w:rPr>
        <w:t xml:space="preserve">. </w:t>
      </w:r>
    </w:p>
    <w:p w14:paraId="13D8F636" w14:textId="77777777" w:rsidR="00747261" w:rsidRPr="001A4B94" w:rsidRDefault="00747261" w:rsidP="00747261">
      <w:pPr>
        <w:spacing w:after="160"/>
        <w:ind w:left="720"/>
        <w:contextualSpacing/>
        <w:rPr>
          <w:rFonts w:eastAsiaTheme="minorHAnsi"/>
          <w:sz w:val="22"/>
          <w:szCs w:val="22"/>
          <w:lang w:val="tr-TR"/>
        </w:rPr>
      </w:pPr>
    </w:p>
    <w:p w14:paraId="056A377C" w14:textId="720F2A99" w:rsidR="00747261" w:rsidRPr="001A4B94" w:rsidRDefault="00B35037" w:rsidP="00C24F8F">
      <w:pPr>
        <w:numPr>
          <w:ilvl w:val="0"/>
          <w:numId w:val="20"/>
        </w:numPr>
        <w:spacing w:after="160" w:line="259" w:lineRule="auto"/>
        <w:contextualSpacing/>
        <w:jc w:val="center"/>
        <w:rPr>
          <w:rFonts w:eastAsiaTheme="minorHAnsi"/>
          <w:b/>
          <w:sz w:val="22"/>
          <w:szCs w:val="22"/>
          <w:lang w:val="tr-TR"/>
        </w:rPr>
      </w:pPr>
      <w:r w:rsidRPr="001A4B94">
        <w:rPr>
          <w:rFonts w:eastAsiaTheme="minorHAnsi"/>
          <w:b/>
          <w:sz w:val="22"/>
          <w:szCs w:val="22"/>
          <w:lang w:val="tr-TR"/>
        </w:rPr>
        <w:t xml:space="preserve">DÜNYA BANKASI GRUBU PERFORMANSI </w:t>
      </w:r>
    </w:p>
    <w:p w14:paraId="56DF368F" w14:textId="77777777" w:rsidR="00747261" w:rsidRPr="001A4B94" w:rsidRDefault="00747261" w:rsidP="00747261">
      <w:pPr>
        <w:spacing w:after="160"/>
        <w:ind w:left="720"/>
        <w:contextualSpacing/>
        <w:rPr>
          <w:rFonts w:eastAsiaTheme="minorHAnsi"/>
          <w:b/>
          <w:sz w:val="22"/>
          <w:szCs w:val="22"/>
          <w:lang w:val="tr-TR"/>
        </w:rPr>
      </w:pPr>
    </w:p>
    <w:p w14:paraId="4C3CF3B9" w14:textId="41A7250E"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862416" w:rsidRPr="001A4B94">
        <w:rPr>
          <w:rFonts w:eastAsiaTheme="minorHAnsi"/>
          <w:b/>
          <w:sz w:val="22"/>
          <w:szCs w:val="22"/>
          <w:lang w:val="tr-TR"/>
        </w:rPr>
        <w:t>Dünya Bankası Grubu’nun genel performansı “İyi” olarak derecelendirilmiştir.</w:t>
      </w:r>
      <w:r w:rsidR="00747261" w:rsidRPr="001A4B94">
        <w:rPr>
          <w:rFonts w:eastAsiaTheme="minorHAnsi"/>
          <w:b/>
          <w:sz w:val="22"/>
          <w:szCs w:val="22"/>
          <w:lang w:val="tr-TR"/>
        </w:rPr>
        <w:t xml:space="preserve"> </w:t>
      </w:r>
      <w:r w:rsidR="00862416" w:rsidRPr="001A4B94">
        <w:rPr>
          <w:rFonts w:eastAsiaTheme="minorHAnsi"/>
          <w:sz w:val="22"/>
          <w:szCs w:val="22"/>
          <w:lang w:val="tr-TR"/>
        </w:rPr>
        <w:t xml:space="preserve">Bu değerlendirme aşağıdaki hususlar esas alınarak belirlenmiştir: </w:t>
      </w:r>
      <w:r w:rsidR="00747261" w:rsidRPr="001A4B94">
        <w:rPr>
          <w:rFonts w:eastAsiaTheme="minorHAnsi"/>
          <w:sz w:val="22"/>
          <w:szCs w:val="22"/>
          <w:lang w:val="tr-TR"/>
        </w:rPr>
        <w:t xml:space="preserve">(i) </w:t>
      </w:r>
      <w:r w:rsidR="00862416" w:rsidRPr="001A4B94">
        <w:rPr>
          <w:rFonts w:eastAsiaTheme="minorHAnsi"/>
          <w:sz w:val="22"/>
          <w:szCs w:val="22"/>
          <w:lang w:val="tr-TR"/>
        </w:rPr>
        <w:t>CPS amaçlarının Türkiye’nin ulusal kalkınma amaçları ile uyumluluğunun devam etmesi ve CPS İlerleme Raporu yoluyla ülkenin değişen ihtiyaç ve zorluklarına uyumun sağlanması amacıyla dönem ortası revizyonun etkili bir şekilde uygulanması</w:t>
      </w:r>
      <w:r w:rsidR="00747261" w:rsidRPr="001A4B94">
        <w:rPr>
          <w:rFonts w:eastAsiaTheme="minorHAnsi"/>
          <w:sz w:val="22"/>
          <w:szCs w:val="22"/>
          <w:lang w:val="tr-TR"/>
        </w:rPr>
        <w:t xml:space="preserve">; (ii) </w:t>
      </w:r>
      <w:r w:rsidR="00862416" w:rsidRPr="001A4B94">
        <w:rPr>
          <w:rFonts w:eastAsiaTheme="minorHAnsi"/>
          <w:sz w:val="22"/>
          <w:szCs w:val="22"/>
          <w:lang w:val="tr-TR"/>
        </w:rPr>
        <w:t>yüksek kullandırım oranları sağlayan proaktif önlemler yoluyla programın sağlam ve etkili bir şekilde uygulanması</w:t>
      </w:r>
      <w:r w:rsidR="00747261" w:rsidRPr="001A4B94">
        <w:rPr>
          <w:rFonts w:eastAsiaTheme="minorHAnsi"/>
          <w:sz w:val="22"/>
          <w:szCs w:val="22"/>
          <w:lang w:val="tr-TR"/>
        </w:rPr>
        <w:t xml:space="preserve">; (iii) </w:t>
      </w:r>
      <w:r w:rsidR="008D6E12" w:rsidRPr="001A4B94">
        <w:rPr>
          <w:rFonts w:eastAsiaTheme="minorHAnsi"/>
          <w:sz w:val="22"/>
          <w:szCs w:val="22"/>
          <w:lang w:val="tr-TR"/>
        </w:rPr>
        <w:t>değişen ülke ihtiyaçlarına zamanlı bir şekilde cevap verebilmek ve gerektiğinde riskler</w:t>
      </w:r>
      <w:r w:rsidR="00035E84" w:rsidRPr="001A4B94">
        <w:rPr>
          <w:rFonts w:eastAsiaTheme="minorHAnsi"/>
          <w:sz w:val="22"/>
          <w:szCs w:val="22"/>
          <w:lang w:val="tr-TR"/>
        </w:rPr>
        <w:t>i</w:t>
      </w:r>
      <w:r w:rsidR="008D6E12" w:rsidRPr="001A4B94">
        <w:rPr>
          <w:rFonts w:eastAsiaTheme="minorHAnsi"/>
          <w:sz w:val="22"/>
          <w:szCs w:val="22"/>
          <w:lang w:val="tr-TR"/>
        </w:rPr>
        <w:t xml:space="preserve"> azaltmak için Türk yetkililer ve diğer paydaşlar ile yürütülen proaktif ve yapıcı diyalog</w:t>
      </w:r>
      <w:r w:rsidR="00747261" w:rsidRPr="001A4B94">
        <w:rPr>
          <w:rFonts w:eastAsiaTheme="minorHAnsi"/>
          <w:sz w:val="22"/>
          <w:szCs w:val="22"/>
          <w:lang w:val="tr-TR"/>
        </w:rPr>
        <w:t xml:space="preserve">; (iv) </w:t>
      </w:r>
      <w:r w:rsidR="008D6E12" w:rsidRPr="001A4B94">
        <w:rPr>
          <w:rFonts w:eastAsiaTheme="minorHAnsi"/>
          <w:sz w:val="22"/>
          <w:szCs w:val="22"/>
          <w:lang w:val="tr-TR"/>
        </w:rPr>
        <w:t>DBG kurumları arasındaki güçlü iç koordinasyon</w:t>
      </w:r>
      <w:r w:rsidR="00747261" w:rsidRPr="001A4B94">
        <w:rPr>
          <w:rFonts w:eastAsiaTheme="minorHAnsi"/>
          <w:sz w:val="22"/>
          <w:szCs w:val="22"/>
          <w:lang w:val="tr-TR"/>
        </w:rPr>
        <w:t xml:space="preserve">; </w:t>
      </w:r>
      <w:r w:rsidR="008D6E12" w:rsidRPr="001A4B94">
        <w:rPr>
          <w:rFonts w:eastAsiaTheme="minorHAnsi"/>
          <w:sz w:val="22"/>
          <w:szCs w:val="22"/>
          <w:lang w:val="tr-TR"/>
        </w:rPr>
        <w:t xml:space="preserve">ve </w:t>
      </w:r>
      <w:r w:rsidR="00747261" w:rsidRPr="001A4B94">
        <w:rPr>
          <w:rFonts w:eastAsiaTheme="minorHAnsi"/>
          <w:sz w:val="22"/>
          <w:szCs w:val="22"/>
          <w:lang w:val="tr-TR"/>
        </w:rPr>
        <w:t xml:space="preserve">(v) </w:t>
      </w:r>
      <w:r w:rsidR="008D6E12" w:rsidRPr="001A4B94">
        <w:rPr>
          <w:rFonts w:eastAsiaTheme="minorHAnsi"/>
          <w:sz w:val="22"/>
          <w:szCs w:val="22"/>
          <w:lang w:val="tr-TR"/>
        </w:rPr>
        <w:t>kalkınma etkisinin arttırılabilmesi amacıyla AB ve diğer uluslararası finansal kuruluşlar ile başarılı ve etkili bir koordinasyonun sağlanması</w:t>
      </w:r>
      <w:r w:rsidR="00747261" w:rsidRPr="001A4B94">
        <w:rPr>
          <w:rFonts w:eastAsiaTheme="minorHAnsi"/>
          <w:sz w:val="22"/>
          <w:szCs w:val="22"/>
          <w:lang w:val="tr-TR"/>
        </w:rPr>
        <w:t xml:space="preserve">. </w:t>
      </w:r>
      <w:r w:rsidR="008D6E12" w:rsidRPr="001A4B94">
        <w:rPr>
          <w:rFonts w:eastAsiaTheme="minorHAnsi"/>
          <w:sz w:val="22"/>
          <w:szCs w:val="22"/>
          <w:lang w:val="tr-TR"/>
        </w:rPr>
        <w:t>Ancak</w:t>
      </w:r>
      <w:r w:rsidR="00747261" w:rsidRPr="001A4B94">
        <w:rPr>
          <w:rFonts w:eastAsiaTheme="minorHAnsi"/>
          <w:sz w:val="22"/>
          <w:szCs w:val="22"/>
          <w:lang w:val="tr-TR"/>
        </w:rPr>
        <w:t xml:space="preserve">, </w:t>
      </w:r>
      <w:r w:rsidR="008D6E12" w:rsidRPr="001A4B94">
        <w:rPr>
          <w:rFonts w:eastAsiaTheme="minorHAnsi"/>
          <w:sz w:val="22"/>
          <w:szCs w:val="22"/>
          <w:lang w:val="tr-TR"/>
        </w:rPr>
        <w:t>aşağıdaki faktörler performansı zorlamıştır</w:t>
      </w:r>
      <w:r w:rsidR="00747261" w:rsidRPr="001A4B94">
        <w:rPr>
          <w:rFonts w:eastAsiaTheme="minorHAnsi"/>
          <w:sz w:val="22"/>
          <w:szCs w:val="22"/>
          <w:lang w:val="tr-TR"/>
        </w:rPr>
        <w:t xml:space="preserve">: (i) </w:t>
      </w:r>
      <w:r w:rsidR="008D6E12" w:rsidRPr="001A4B94">
        <w:rPr>
          <w:rFonts w:eastAsiaTheme="minorHAnsi"/>
          <w:sz w:val="22"/>
          <w:szCs w:val="22"/>
          <w:lang w:val="tr-TR"/>
        </w:rPr>
        <w:t>kilit IBRD finansman operasyonlarının iptalleri ve yaşanan gecikmeler</w:t>
      </w:r>
      <w:r w:rsidR="00747261" w:rsidRPr="001A4B94">
        <w:rPr>
          <w:rFonts w:eastAsiaTheme="minorHAnsi"/>
          <w:sz w:val="22"/>
          <w:szCs w:val="22"/>
          <w:lang w:val="tr-TR"/>
        </w:rPr>
        <w:t xml:space="preserve">; (ii) </w:t>
      </w:r>
      <w:r w:rsidR="00C510F8" w:rsidRPr="001A4B94">
        <w:rPr>
          <w:rFonts w:eastAsiaTheme="minorHAnsi"/>
          <w:sz w:val="22"/>
          <w:szCs w:val="22"/>
          <w:lang w:val="tr-TR"/>
        </w:rPr>
        <w:t>20</w:t>
      </w:r>
      <w:r w:rsidR="00035E84" w:rsidRPr="001A4B94">
        <w:rPr>
          <w:rFonts w:eastAsiaTheme="minorHAnsi"/>
          <w:sz w:val="22"/>
          <w:szCs w:val="22"/>
          <w:lang w:val="tr-TR"/>
        </w:rPr>
        <w:t>1</w:t>
      </w:r>
      <w:r w:rsidR="00C510F8" w:rsidRPr="001A4B94">
        <w:rPr>
          <w:rFonts w:eastAsiaTheme="minorHAnsi"/>
          <w:sz w:val="22"/>
          <w:szCs w:val="22"/>
          <w:lang w:val="tr-TR"/>
        </w:rPr>
        <w:t>5 yılındaki seçim dönemi sebebiyle geciken karar verme süreçleri</w:t>
      </w:r>
      <w:r w:rsidR="00747261" w:rsidRPr="001A4B94">
        <w:rPr>
          <w:rFonts w:eastAsiaTheme="minorHAnsi"/>
          <w:sz w:val="22"/>
          <w:szCs w:val="22"/>
          <w:lang w:val="tr-TR"/>
        </w:rPr>
        <w:t xml:space="preserve">; </w:t>
      </w:r>
      <w:r w:rsidR="00C510F8" w:rsidRPr="001A4B94">
        <w:rPr>
          <w:rFonts w:eastAsiaTheme="minorHAnsi"/>
          <w:sz w:val="22"/>
          <w:szCs w:val="22"/>
          <w:lang w:val="tr-TR"/>
        </w:rPr>
        <w:t xml:space="preserve">ve </w:t>
      </w:r>
      <w:r w:rsidR="00747261" w:rsidRPr="001A4B94">
        <w:rPr>
          <w:rFonts w:eastAsiaTheme="minorHAnsi"/>
          <w:sz w:val="22"/>
          <w:szCs w:val="22"/>
          <w:lang w:val="tr-TR"/>
        </w:rPr>
        <w:t xml:space="preserve">(iii) </w:t>
      </w:r>
      <w:r w:rsidR="00C510F8" w:rsidRPr="001A4B94">
        <w:rPr>
          <w:rFonts w:eastAsiaTheme="minorHAnsi"/>
          <w:sz w:val="22"/>
          <w:szCs w:val="22"/>
          <w:lang w:val="tr-TR"/>
        </w:rPr>
        <w:t>bazı tematik alanlarda operasyonların DBG sonuçları ile dengesiz bir şekilde ilişkilendirilmesi ve bunun belirli durumlarda DBG desteğini ölçmeyi güçleştirmesi</w:t>
      </w:r>
      <w:r w:rsidR="00747261" w:rsidRPr="001A4B94">
        <w:rPr>
          <w:rFonts w:eastAsiaTheme="minorHAnsi"/>
          <w:sz w:val="22"/>
          <w:szCs w:val="22"/>
          <w:lang w:val="tr-TR"/>
        </w:rPr>
        <w:t xml:space="preserve">. </w:t>
      </w:r>
    </w:p>
    <w:p w14:paraId="595EF000" w14:textId="739C0685" w:rsidR="00A04866" w:rsidRPr="001A4B94" w:rsidRDefault="00A04866">
      <w:pPr>
        <w:spacing w:after="160" w:line="259" w:lineRule="auto"/>
        <w:rPr>
          <w:rFonts w:eastAsiaTheme="minorHAnsi"/>
          <w:b/>
          <w:sz w:val="22"/>
          <w:szCs w:val="22"/>
          <w:lang w:val="tr-TR"/>
        </w:rPr>
      </w:pPr>
      <w:r w:rsidRPr="001A4B94">
        <w:rPr>
          <w:rFonts w:eastAsiaTheme="minorHAnsi"/>
          <w:b/>
          <w:sz w:val="22"/>
          <w:szCs w:val="22"/>
          <w:lang w:val="tr-TR"/>
        </w:rPr>
        <w:br w:type="page"/>
      </w:r>
    </w:p>
    <w:p w14:paraId="2A2A0A24" w14:textId="3B3AAD9F" w:rsidR="00747261" w:rsidRPr="001A4B94" w:rsidRDefault="00037C11" w:rsidP="00747261">
      <w:pPr>
        <w:spacing w:after="160"/>
        <w:ind w:left="360"/>
        <w:contextualSpacing/>
        <w:jc w:val="both"/>
        <w:rPr>
          <w:rFonts w:eastAsiaTheme="minorHAnsi"/>
          <w:sz w:val="22"/>
          <w:szCs w:val="22"/>
          <w:lang w:val="tr-TR"/>
        </w:rPr>
      </w:pPr>
      <w:r w:rsidRPr="001A4B94">
        <w:rPr>
          <w:rFonts w:eastAsiaTheme="minorHAnsi"/>
          <w:b/>
          <w:sz w:val="22"/>
          <w:szCs w:val="22"/>
          <w:lang w:val="tr-TR"/>
        </w:rPr>
        <w:lastRenderedPageBreak/>
        <w:t xml:space="preserve">Tasarım </w:t>
      </w:r>
    </w:p>
    <w:p w14:paraId="29D3CE43" w14:textId="77777777" w:rsidR="00747261" w:rsidRPr="001A4B94" w:rsidRDefault="00747261" w:rsidP="00747261">
      <w:pPr>
        <w:spacing w:after="160" w:line="259" w:lineRule="auto"/>
        <w:ind w:left="720"/>
        <w:contextualSpacing/>
        <w:rPr>
          <w:rFonts w:eastAsiaTheme="minorHAnsi"/>
          <w:sz w:val="22"/>
          <w:szCs w:val="22"/>
          <w:lang w:val="tr-TR"/>
        </w:rPr>
      </w:pPr>
    </w:p>
    <w:p w14:paraId="3D9CA93F" w14:textId="53132491"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CPS </w:t>
      </w:r>
      <w:r w:rsidR="009C7678" w:rsidRPr="001A4B94">
        <w:rPr>
          <w:rFonts w:eastAsiaTheme="minorHAnsi"/>
          <w:b/>
          <w:sz w:val="22"/>
          <w:szCs w:val="22"/>
          <w:lang w:val="tr-TR"/>
        </w:rPr>
        <w:t xml:space="preserve">amaçları Türkiye’nin kalkınma gündemi ile </w:t>
      </w:r>
      <w:r w:rsidR="00876DFF" w:rsidRPr="001A4B94">
        <w:rPr>
          <w:rFonts w:eastAsiaTheme="minorHAnsi"/>
          <w:b/>
          <w:sz w:val="22"/>
          <w:szCs w:val="22"/>
          <w:lang w:val="tr-TR"/>
        </w:rPr>
        <w:t>uyumlu kalmıştır</w:t>
      </w:r>
      <w:r w:rsidR="00747261" w:rsidRPr="001A4B94">
        <w:rPr>
          <w:rFonts w:eastAsiaTheme="minorHAnsi"/>
          <w:sz w:val="22"/>
          <w:szCs w:val="22"/>
          <w:lang w:val="tr-TR"/>
        </w:rPr>
        <w:t xml:space="preserve">. </w:t>
      </w:r>
      <w:r w:rsidR="00876DFF" w:rsidRPr="001A4B94">
        <w:rPr>
          <w:rFonts w:eastAsiaTheme="minorHAnsi"/>
          <w:sz w:val="22"/>
          <w:szCs w:val="22"/>
          <w:lang w:val="tr-TR"/>
        </w:rPr>
        <w:t xml:space="preserve">Başlangıçta belirlenen </w:t>
      </w:r>
      <w:r w:rsidR="00747261" w:rsidRPr="001A4B94">
        <w:rPr>
          <w:rFonts w:eastAsiaTheme="minorHAnsi"/>
          <w:sz w:val="22"/>
          <w:szCs w:val="22"/>
          <w:lang w:val="tr-TR"/>
        </w:rPr>
        <w:t xml:space="preserve">CPS </w:t>
      </w:r>
      <w:r w:rsidR="004A7B97" w:rsidRPr="001A4B94">
        <w:rPr>
          <w:rFonts w:eastAsiaTheme="minorHAnsi"/>
          <w:sz w:val="22"/>
          <w:szCs w:val="22"/>
          <w:lang w:val="tr-TR"/>
        </w:rPr>
        <w:t>amaçları Dokuzunc</w:t>
      </w:r>
      <w:r w:rsidR="00876DFF" w:rsidRPr="001A4B94">
        <w:rPr>
          <w:rFonts w:eastAsiaTheme="minorHAnsi"/>
          <w:sz w:val="22"/>
          <w:szCs w:val="22"/>
          <w:lang w:val="tr-TR"/>
        </w:rPr>
        <w:t xml:space="preserve">u Kalkınma Planı </w:t>
      </w:r>
      <w:r w:rsidR="00747261" w:rsidRPr="001A4B94">
        <w:rPr>
          <w:rFonts w:eastAsiaTheme="minorHAnsi"/>
          <w:sz w:val="22"/>
          <w:szCs w:val="22"/>
          <w:lang w:val="tr-TR"/>
        </w:rPr>
        <w:t xml:space="preserve">(2007-2013) </w:t>
      </w:r>
      <w:r w:rsidR="00876DFF" w:rsidRPr="001A4B94">
        <w:rPr>
          <w:rFonts w:eastAsiaTheme="minorHAnsi"/>
          <w:sz w:val="22"/>
          <w:szCs w:val="22"/>
          <w:lang w:val="tr-TR"/>
        </w:rPr>
        <w:t xml:space="preserve">ile uyumluydu ve Onuncu Kalkınma Planı </w:t>
      </w:r>
      <w:r w:rsidR="00747261" w:rsidRPr="001A4B94">
        <w:rPr>
          <w:rFonts w:eastAsiaTheme="minorHAnsi"/>
          <w:sz w:val="22"/>
          <w:szCs w:val="22"/>
          <w:lang w:val="tr-TR"/>
        </w:rPr>
        <w:t>(2014-2018)</w:t>
      </w:r>
      <w:r w:rsidR="00876DFF" w:rsidRPr="001A4B94">
        <w:rPr>
          <w:rFonts w:eastAsiaTheme="minorHAnsi"/>
          <w:sz w:val="22"/>
          <w:szCs w:val="22"/>
          <w:lang w:val="tr-TR"/>
        </w:rPr>
        <w:t xml:space="preserve"> de uyumluluğunu korumuştur</w:t>
      </w:r>
      <w:r w:rsidR="00747261" w:rsidRPr="001A4B94">
        <w:rPr>
          <w:rFonts w:eastAsiaTheme="minorHAnsi"/>
          <w:sz w:val="22"/>
          <w:szCs w:val="22"/>
          <w:lang w:val="tr-TR"/>
        </w:rPr>
        <w:t xml:space="preserve">. </w:t>
      </w:r>
      <w:r w:rsidR="004A7B97" w:rsidRPr="001A4B94">
        <w:rPr>
          <w:rFonts w:eastAsiaTheme="minorHAnsi"/>
          <w:sz w:val="22"/>
          <w:szCs w:val="22"/>
          <w:lang w:val="tr-TR"/>
        </w:rPr>
        <w:t>CPS eksenleri karşılıklı olar</w:t>
      </w:r>
      <w:r w:rsidR="00876DFF" w:rsidRPr="001A4B94">
        <w:rPr>
          <w:rFonts w:eastAsiaTheme="minorHAnsi"/>
          <w:sz w:val="22"/>
          <w:szCs w:val="22"/>
          <w:lang w:val="tr-TR"/>
        </w:rPr>
        <w:t>ak birbirlerini desteklemiştir ve Tematik alanlar arasındaki bağlantılar güçlü olmuştur</w:t>
      </w:r>
      <w:r w:rsidR="00747261" w:rsidRPr="001A4B94">
        <w:rPr>
          <w:rFonts w:eastAsiaTheme="minorHAnsi"/>
          <w:sz w:val="22"/>
          <w:szCs w:val="22"/>
          <w:lang w:val="tr-TR"/>
        </w:rPr>
        <w:t xml:space="preserve">. </w:t>
      </w:r>
    </w:p>
    <w:p w14:paraId="3E15A59C" w14:textId="77777777" w:rsidR="00747261" w:rsidRPr="001A4B94" w:rsidRDefault="00747261" w:rsidP="00747261">
      <w:pPr>
        <w:spacing w:after="160"/>
        <w:ind w:left="360"/>
        <w:contextualSpacing/>
        <w:jc w:val="both"/>
        <w:rPr>
          <w:rFonts w:eastAsiaTheme="minorHAnsi"/>
          <w:sz w:val="22"/>
          <w:szCs w:val="22"/>
          <w:lang w:val="tr-TR"/>
        </w:rPr>
      </w:pPr>
      <w:r w:rsidRPr="001A4B94">
        <w:rPr>
          <w:rFonts w:eastAsiaTheme="minorHAnsi"/>
          <w:sz w:val="22"/>
          <w:szCs w:val="22"/>
          <w:lang w:val="tr-TR"/>
        </w:rPr>
        <w:t xml:space="preserve"> </w:t>
      </w:r>
    </w:p>
    <w:p w14:paraId="5F7F35B3" w14:textId="6891AD6F" w:rsidR="00747261" w:rsidRPr="001A4B94" w:rsidRDefault="00A04866" w:rsidP="00F31716">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F31716" w:rsidRPr="001A4B94">
        <w:rPr>
          <w:rFonts w:eastAsiaTheme="minorHAnsi"/>
          <w:b/>
          <w:sz w:val="22"/>
          <w:szCs w:val="22"/>
          <w:lang w:val="tr-TR"/>
        </w:rPr>
        <w:t>D</w:t>
      </w:r>
      <w:r w:rsidR="00747261" w:rsidRPr="001A4B94">
        <w:rPr>
          <w:rFonts w:eastAsiaTheme="minorHAnsi"/>
          <w:b/>
          <w:sz w:val="22"/>
          <w:szCs w:val="22"/>
          <w:lang w:val="tr-TR"/>
        </w:rPr>
        <w:t>BG</w:t>
      </w:r>
      <w:r w:rsidR="00F31716" w:rsidRPr="001A4B94">
        <w:rPr>
          <w:rFonts w:eastAsiaTheme="minorHAnsi"/>
          <w:b/>
          <w:sz w:val="22"/>
          <w:szCs w:val="22"/>
          <w:lang w:val="tr-TR"/>
        </w:rPr>
        <w:t xml:space="preserve">’nin </w:t>
      </w:r>
      <w:r w:rsidR="004A7B97" w:rsidRPr="001A4B94">
        <w:rPr>
          <w:rFonts w:eastAsiaTheme="minorHAnsi"/>
          <w:b/>
          <w:sz w:val="22"/>
          <w:szCs w:val="22"/>
          <w:lang w:val="tr-TR"/>
        </w:rPr>
        <w:t>or</w:t>
      </w:r>
      <w:r w:rsidR="00F31716" w:rsidRPr="001A4B94">
        <w:rPr>
          <w:rFonts w:eastAsiaTheme="minorHAnsi"/>
          <w:b/>
          <w:sz w:val="22"/>
          <w:szCs w:val="22"/>
          <w:lang w:val="tr-TR"/>
        </w:rPr>
        <w:t>tak çalışma</w:t>
      </w:r>
      <w:r w:rsidR="00B93E9B" w:rsidRPr="001A4B94">
        <w:rPr>
          <w:rFonts w:eastAsiaTheme="minorHAnsi"/>
          <w:b/>
          <w:sz w:val="22"/>
          <w:szCs w:val="22"/>
          <w:lang w:val="tr-TR"/>
        </w:rPr>
        <w:t xml:space="preserve"> faaliyetleri </w:t>
      </w:r>
      <w:r w:rsidR="00F31716" w:rsidRPr="001A4B94">
        <w:rPr>
          <w:rFonts w:eastAsiaTheme="minorHAnsi"/>
          <w:b/>
          <w:sz w:val="22"/>
          <w:szCs w:val="22"/>
          <w:lang w:val="tr-TR"/>
        </w:rPr>
        <w:t>esnekti ve CPS İlerleme Raporu değişen koşullara cevap verebilmek için bir fırsat olarak kullanılmıştır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4A7B97" w:rsidRPr="001A4B94">
        <w:rPr>
          <w:rFonts w:eastAsiaTheme="minorHAnsi"/>
          <w:sz w:val="22"/>
          <w:szCs w:val="22"/>
          <w:lang w:val="tr-TR"/>
        </w:rPr>
        <w:t>2015 yılının uygulama</w:t>
      </w:r>
      <w:r w:rsidR="003A43B0" w:rsidRPr="001A4B94">
        <w:rPr>
          <w:rFonts w:eastAsiaTheme="minorHAnsi"/>
          <w:sz w:val="22"/>
          <w:szCs w:val="22"/>
          <w:lang w:val="tr-TR"/>
        </w:rPr>
        <w:t xml:space="preserve">daki ilerlemeyi etkileyecek uzun süreç seçim sürecine sahne olması sebebiyle, </w:t>
      </w:r>
      <w:r w:rsidR="00F31716" w:rsidRPr="001A4B94">
        <w:rPr>
          <w:rFonts w:eastAsiaTheme="minorHAnsi"/>
          <w:sz w:val="22"/>
          <w:szCs w:val="22"/>
          <w:lang w:val="tr-TR"/>
        </w:rPr>
        <w:t>CPS İlerleme Raporu kapsamında</w:t>
      </w:r>
      <w:r w:rsidR="003A43B0" w:rsidRPr="001A4B94">
        <w:rPr>
          <w:rFonts w:eastAsiaTheme="minorHAnsi"/>
          <w:sz w:val="22"/>
          <w:szCs w:val="22"/>
          <w:lang w:val="tr-TR"/>
        </w:rPr>
        <w:t xml:space="preserve"> </w:t>
      </w:r>
      <w:r w:rsidR="00F31716" w:rsidRPr="001A4B94">
        <w:rPr>
          <w:rFonts w:eastAsiaTheme="minorHAnsi"/>
          <w:sz w:val="22"/>
          <w:szCs w:val="22"/>
          <w:lang w:val="tr-TR"/>
        </w:rPr>
        <w:t xml:space="preserve"> </w:t>
      </w:r>
      <w:r w:rsidR="00747261" w:rsidRPr="001A4B94">
        <w:rPr>
          <w:rFonts w:eastAsiaTheme="minorHAnsi"/>
          <w:sz w:val="22"/>
          <w:szCs w:val="22"/>
          <w:lang w:val="tr-TR"/>
        </w:rPr>
        <w:t xml:space="preserve">CPS </w:t>
      </w:r>
      <w:r w:rsidR="003A43B0" w:rsidRPr="001A4B94">
        <w:rPr>
          <w:rFonts w:eastAsiaTheme="minorHAnsi"/>
          <w:sz w:val="22"/>
          <w:szCs w:val="22"/>
          <w:lang w:val="tr-TR"/>
        </w:rPr>
        <w:t>döneminin 2016 mali yılını da kapsayacak şekilde uzatılm</w:t>
      </w:r>
      <w:r w:rsidR="004A7B97" w:rsidRPr="001A4B94">
        <w:rPr>
          <w:rFonts w:eastAsiaTheme="minorHAnsi"/>
          <w:sz w:val="22"/>
          <w:szCs w:val="22"/>
          <w:lang w:val="tr-TR"/>
        </w:rPr>
        <w:t>a</w:t>
      </w:r>
      <w:r w:rsidR="003A43B0" w:rsidRPr="001A4B94">
        <w:rPr>
          <w:rFonts w:eastAsiaTheme="minorHAnsi"/>
          <w:sz w:val="22"/>
          <w:szCs w:val="22"/>
          <w:lang w:val="tr-TR"/>
        </w:rPr>
        <w:t xml:space="preserve">sı uygun bir karar olmuştur. </w:t>
      </w:r>
      <w:r w:rsidR="00747261" w:rsidRPr="001A4B94">
        <w:rPr>
          <w:rFonts w:eastAsiaTheme="minorHAnsi"/>
          <w:sz w:val="22"/>
          <w:szCs w:val="22"/>
          <w:lang w:val="tr-TR"/>
        </w:rPr>
        <w:t xml:space="preserve"> </w:t>
      </w:r>
      <w:r w:rsidR="003A43B0" w:rsidRPr="001A4B94">
        <w:rPr>
          <w:rFonts w:eastAsiaTheme="minorHAnsi"/>
          <w:sz w:val="22"/>
          <w:szCs w:val="22"/>
          <w:lang w:val="tr-TR"/>
        </w:rPr>
        <w:t>Bu imkan, yoksulluk ve kırılganlık alanla</w:t>
      </w:r>
      <w:r w:rsidR="004A7B97" w:rsidRPr="001A4B94">
        <w:rPr>
          <w:rFonts w:eastAsiaTheme="minorHAnsi"/>
          <w:sz w:val="22"/>
          <w:szCs w:val="22"/>
          <w:lang w:val="tr-TR"/>
        </w:rPr>
        <w:t>rında geri kalan hususlar üzeri</w:t>
      </w:r>
      <w:r w:rsidR="003A43B0" w:rsidRPr="001A4B94">
        <w:rPr>
          <w:rFonts w:eastAsiaTheme="minorHAnsi"/>
          <w:sz w:val="22"/>
          <w:szCs w:val="22"/>
          <w:lang w:val="tr-TR"/>
        </w:rPr>
        <w:t>n</w:t>
      </w:r>
      <w:r w:rsidR="004A7B97" w:rsidRPr="001A4B94">
        <w:rPr>
          <w:rFonts w:eastAsiaTheme="minorHAnsi"/>
          <w:sz w:val="22"/>
          <w:szCs w:val="22"/>
          <w:lang w:val="tr-TR"/>
        </w:rPr>
        <w:t>d</w:t>
      </w:r>
      <w:r w:rsidR="003A43B0" w:rsidRPr="001A4B94">
        <w:rPr>
          <w:rFonts w:eastAsiaTheme="minorHAnsi"/>
          <w:sz w:val="22"/>
          <w:szCs w:val="22"/>
          <w:lang w:val="tr-TR"/>
        </w:rPr>
        <w:t>e daha fazla yoğunlaşılabilmesi için etkili bir şekilde kullanılmıştır</w:t>
      </w:r>
      <w:r w:rsidR="00747261" w:rsidRPr="001A4B94">
        <w:rPr>
          <w:rFonts w:eastAsiaTheme="minorHAnsi"/>
          <w:sz w:val="22"/>
          <w:szCs w:val="22"/>
          <w:lang w:val="tr-TR"/>
        </w:rPr>
        <w:t xml:space="preserve">. </w:t>
      </w:r>
      <w:r w:rsidR="003A43B0" w:rsidRPr="001A4B94">
        <w:rPr>
          <w:rFonts w:eastAsiaTheme="minorHAnsi"/>
          <w:sz w:val="22"/>
          <w:szCs w:val="22"/>
          <w:lang w:val="tr-TR"/>
        </w:rPr>
        <w:t xml:space="preserve">CPS İlerleme Raporu </w:t>
      </w:r>
      <w:r w:rsidR="00747261" w:rsidRPr="001A4B94">
        <w:rPr>
          <w:rFonts w:eastAsiaTheme="minorHAnsi"/>
          <w:sz w:val="22"/>
          <w:szCs w:val="22"/>
          <w:lang w:val="tr-TR"/>
        </w:rPr>
        <w:t xml:space="preserve">CPS </w:t>
      </w:r>
      <w:r w:rsidR="003A43B0" w:rsidRPr="001A4B94">
        <w:rPr>
          <w:rFonts w:eastAsiaTheme="minorHAnsi"/>
          <w:sz w:val="22"/>
          <w:szCs w:val="22"/>
          <w:lang w:val="tr-TR"/>
        </w:rPr>
        <w:t>tematik alanlarının sayısı ondan sekize düşürülmüştür</w:t>
      </w:r>
      <w:r w:rsidR="00747261" w:rsidRPr="001A4B94">
        <w:rPr>
          <w:rFonts w:eastAsiaTheme="minorHAnsi"/>
          <w:sz w:val="22"/>
          <w:szCs w:val="22"/>
          <w:lang w:val="tr-TR"/>
        </w:rPr>
        <w:t>.</w:t>
      </w:r>
    </w:p>
    <w:p w14:paraId="2E3C00AD" w14:textId="77777777" w:rsidR="00747261" w:rsidRPr="001A4B94" w:rsidRDefault="00747261" w:rsidP="00747261">
      <w:pPr>
        <w:spacing w:after="160" w:line="259" w:lineRule="auto"/>
        <w:ind w:left="720"/>
        <w:contextualSpacing/>
        <w:rPr>
          <w:rFonts w:eastAsiaTheme="minorHAnsi"/>
          <w:sz w:val="22"/>
          <w:szCs w:val="22"/>
          <w:lang w:val="tr-TR"/>
        </w:rPr>
      </w:pPr>
    </w:p>
    <w:p w14:paraId="4EF2AEDC" w14:textId="786432EF"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4A7B97" w:rsidRPr="001A4B94">
        <w:rPr>
          <w:rFonts w:eastAsiaTheme="minorHAnsi"/>
          <w:b/>
          <w:sz w:val="22"/>
          <w:szCs w:val="22"/>
          <w:lang w:val="tr-TR"/>
        </w:rPr>
        <w:t>P</w:t>
      </w:r>
      <w:r w:rsidR="00747261" w:rsidRPr="001A4B94">
        <w:rPr>
          <w:rFonts w:eastAsiaTheme="minorHAnsi"/>
          <w:b/>
          <w:sz w:val="22"/>
          <w:szCs w:val="22"/>
          <w:lang w:val="tr-TR"/>
        </w:rPr>
        <w:t xml:space="preserve">rogram </w:t>
      </w:r>
      <w:r w:rsidR="004A7B97" w:rsidRPr="001A4B94">
        <w:rPr>
          <w:rFonts w:eastAsiaTheme="minorHAnsi"/>
          <w:b/>
          <w:sz w:val="22"/>
          <w:szCs w:val="22"/>
          <w:lang w:val="tr-TR"/>
        </w:rPr>
        <w:t>finansman tarafında seçiciliği ve odağı korurken, finansman dışı tarafta bu daha düşük ölçekte gerçekleşmiştir</w:t>
      </w:r>
      <w:r w:rsidR="00747261" w:rsidRPr="001A4B94">
        <w:rPr>
          <w:rFonts w:eastAsiaTheme="minorHAnsi"/>
          <w:sz w:val="22"/>
          <w:szCs w:val="22"/>
          <w:lang w:val="tr-TR"/>
        </w:rPr>
        <w:t xml:space="preserve">. CPS </w:t>
      </w:r>
      <w:r w:rsidR="004A7B97" w:rsidRPr="001A4B94">
        <w:rPr>
          <w:rFonts w:eastAsiaTheme="minorHAnsi"/>
          <w:sz w:val="22"/>
          <w:szCs w:val="22"/>
          <w:lang w:val="tr-TR"/>
        </w:rPr>
        <w:t>amaçları doğrultusunda</w:t>
      </w:r>
      <w:r w:rsidR="00747261" w:rsidRPr="001A4B94">
        <w:rPr>
          <w:rFonts w:eastAsiaTheme="minorHAnsi"/>
          <w:sz w:val="22"/>
          <w:szCs w:val="22"/>
          <w:lang w:val="tr-TR"/>
        </w:rPr>
        <w:t xml:space="preserve">, </w:t>
      </w:r>
      <w:r w:rsidR="004A7B97" w:rsidRPr="001A4B94">
        <w:rPr>
          <w:rFonts w:eastAsiaTheme="minorHAnsi"/>
          <w:sz w:val="22"/>
          <w:szCs w:val="22"/>
          <w:lang w:val="tr-TR"/>
        </w:rPr>
        <w:t>finansma</w:t>
      </w:r>
      <w:r w:rsidR="00B93E9B" w:rsidRPr="001A4B94">
        <w:rPr>
          <w:rFonts w:eastAsiaTheme="minorHAnsi"/>
          <w:sz w:val="22"/>
          <w:szCs w:val="22"/>
          <w:lang w:val="tr-TR"/>
        </w:rPr>
        <w:t>n</w:t>
      </w:r>
      <w:r w:rsidR="004A7B97" w:rsidRPr="001A4B94">
        <w:rPr>
          <w:rFonts w:eastAsiaTheme="minorHAnsi"/>
          <w:sz w:val="22"/>
          <w:szCs w:val="22"/>
          <w:lang w:val="tr-TR"/>
        </w:rPr>
        <w:t xml:space="preserve"> programı </w:t>
      </w:r>
      <w:r w:rsidR="00B93E9B" w:rsidRPr="001A4B94">
        <w:rPr>
          <w:rFonts w:eastAsiaTheme="minorHAnsi"/>
          <w:sz w:val="22"/>
          <w:szCs w:val="22"/>
          <w:lang w:val="tr-TR"/>
        </w:rPr>
        <w:t>KOBİ finansmanı</w:t>
      </w:r>
      <w:r w:rsidR="00747261" w:rsidRPr="001A4B94">
        <w:rPr>
          <w:rFonts w:eastAsiaTheme="minorHAnsi"/>
          <w:sz w:val="22"/>
          <w:szCs w:val="22"/>
          <w:lang w:val="tr-TR"/>
        </w:rPr>
        <w:t xml:space="preserve">, </w:t>
      </w:r>
      <w:r w:rsidR="00B93E9B" w:rsidRPr="001A4B94">
        <w:rPr>
          <w:rFonts w:eastAsiaTheme="minorHAnsi"/>
          <w:sz w:val="22"/>
          <w:szCs w:val="22"/>
          <w:lang w:val="tr-TR"/>
        </w:rPr>
        <w:t>yenilenebilir enerji</w:t>
      </w:r>
      <w:r w:rsidR="004A7B97" w:rsidRPr="001A4B94">
        <w:rPr>
          <w:rFonts w:eastAsiaTheme="minorHAnsi"/>
          <w:sz w:val="22"/>
          <w:szCs w:val="22"/>
          <w:lang w:val="tr-TR"/>
        </w:rPr>
        <w:t>,</w:t>
      </w:r>
      <w:r w:rsidR="00747261" w:rsidRPr="001A4B94">
        <w:rPr>
          <w:rFonts w:eastAsiaTheme="minorHAnsi"/>
          <w:sz w:val="22"/>
          <w:szCs w:val="22"/>
          <w:lang w:val="tr-TR"/>
        </w:rPr>
        <w:t xml:space="preserve"> </w:t>
      </w:r>
      <w:r w:rsidR="004A7B97" w:rsidRPr="001A4B94">
        <w:rPr>
          <w:rFonts w:eastAsiaTheme="minorHAnsi"/>
          <w:sz w:val="22"/>
          <w:szCs w:val="22"/>
          <w:lang w:val="tr-TR"/>
        </w:rPr>
        <w:t>enerji verimliliği ve kentsel gelişim üzerinde odaklanmaya devam etmiştir</w:t>
      </w:r>
      <w:r w:rsidR="00747261" w:rsidRPr="001A4B94">
        <w:rPr>
          <w:rFonts w:eastAsiaTheme="minorHAnsi"/>
          <w:sz w:val="22"/>
          <w:szCs w:val="22"/>
          <w:lang w:val="tr-TR"/>
        </w:rPr>
        <w:t xml:space="preserve">. </w:t>
      </w:r>
      <w:r w:rsidR="004A7B97" w:rsidRPr="001A4B94">
        <w:rPr>
          <w:rFonts w:eastAsiaTheme="minorHAnsi"/>
          <w:sz w:val="22"/>
          <w:szCs w:val="22"/>
          <w:lang w:val="tr-TR"/>
        </w:rPr>
        <w:t>Banka’nın Türkiye’de (ve diğer orta gelirli ülkelerin çoğunda) izlediği geniş bir bilgi programı sunma yaklaşımına uyg</w:t>
      </w:r>
      <w:r w:rsidR="00B93E9B" w:rsidRPr="001A4B94">
        <w:rPr>
          <w:rFonts w:eastAsiaTheme="minorHAnsi"/>
          <w:sz w:val="22"/>
          <w:szCs w:val="22"/>
          <w:lang w:val="tr-TR"/>
        </w:rPr>
        <w:t>u</w:t>
      </w:r>
      <w:r w:rsidR="004A7B97" w:rsidRPr="001A4B94">
        <w:rPr>
          <w:rFonts w:eastAsiaTheme="minorHAnsi"/>
          <w:sz w:val="22"/>
          <w:szCs w:val="22"/>
          <w:lang w:val="tr-TR"/>
        </w:rPr>
        <w:t>n olarak</w:t>
      </w:r>
      <w:r w:rsidR="00747261" w:rsidRPr="001A4B94">
        <w:rPr>
          <w:rFonts w:eastAsiaTheme="minorHAnsi"/>
          <w:sz w:val="22"/>
          <w:szCs w:val="22"/>
          <w:lang w:val="tr-TR"/>
        </w:rPr>
        <w:t>, ASA program</w:t>
      </w:r>
      <w:r w:rsidR="00B93E9B" w:rsidRPr="001A4B94">
        <w:rPr>
          <w:rFonts w:eastAsiaTheme="minorHAnsi"/>
          <w:sz w:val="22"/>
          <w:szCs w:val="22"/>
          <w:lang w:val="tr-TR"/>
        </w:rPr>
        <w:t>ı</w:t>
      </w:r>
      <w:r w:rsidR="00747261" w:rsidRPr="001A4B94">
        <w:rPr>
          <w:rFonts w:eastAsiaTheme="minorHAnsi"/>
          <w:sz w:val="22"/>
          <w:szCs w:val="22"/>
          <w:lang w:val="tr-TR"/>
        </w:rPr>
        <w:t xml:space="preserve"> </w:t>
      </w:r>
      <w:r w:rsidR="00B93E9B" w:rsidRPr="001A4B94">
        <w:rPr>
          <w:rFonts w:eastAsiaTheme="minorHAnsi"/>
          <w:sz w:val="22"/>
          <w:szCs w:val="22"/>
          <w:lang w:val="tr-TR"/>
        </w:rPr>
        <w:t>işbirliği talebinin olduğu alanlarda Hükümet’e küresel bilgi sağlayacak şekilde tasarlanmıştır ve aynı zamanda başka alanlarda gelecekteki çalışmaların yolunu açacak bir bilgi tabanı oluşturmayı hedeflemiştir.</w:t>
      </w:r>
      <w:r w:rsidR="00747261" w:rsidRPr="001A4B94">
        <w:rPr>
          <w:rFonts w:eastAsiaTheme="minorHAnsi"/>
          <w:sz w:val="22"/>
          <w:szCs w:val="22"/>
          <w:lang w:val="tr-TR"/>
        </w:rPr>
        <w:t xml:space="preserve"> </w:t>
      </w:r>
      <w:r w:rsidR="00B93E9B" w:rsidRPr="001A4B94">
        <w:rPr>
          <w:rFonts w:eastAsiaTheme="minorHAnsi"/>
          <w:sz w:val="22"/>
          <w:szCs w:val="22"/>
          <w:lang w:val="tr-TR"/>
        </w:rPr>
        <w:t>Bu bağlamda</w:t>
      </w:r>
      <w:r w:rsidR="00747261" w:rsidRPr="001A4B94">
        <w:rPr>
          <w:rFonts w:eastAsiaTheme="minorHAnsi"/>
          <w:sz w:val="22"/>
          <w:szCs w:val="22"/>
          <w:lang w:val="tr-TR"/>
        </w:rPr>
        <w:t xml:space="preserve">, </w:t>
      </w:r>
      <w:r w:rsidR="00B93E9B" w:rsidRPr="001A4B94">
        <w:rPr>
          <w:rFonts w:eastAsiaTheme="minorHAnsi"/>
          <w:sz w:val="22"/>
          <w:szCs w:val="22"/>
          <w:lang w:val="tr-TR"/>
        </w:rPr>
        <w:t>finansman dışı portföy oldukça geniş bir alana yayılmış</w:t>
      </w:r>
      <w:r w:rsidR="00071E34" w:rsidRPr="001A4B94">
        <w:rPr>
          <w:rFonts w:eastAsiaTheme="minorHAnsi"/>
          <w:sz w:val="22"/>
          <w:szCs w:val="22"/>
          <w:lang w:val="tr-TR"/>
        </w:rPr>
        <w:t>tır ve bu durum potansiyel olarak etkileri ölçülemez hale getirebilecektir. Bu husus, gelecekteki ASA programını tasarlamak için Hükümet ile işbirliğini geliştirmek için daha fazla fırsata ihtiyaç duyulduğunu göstermektedir.</w:t>
      </w:r>
    </w:p>
    <w:p w14:paraId="4F2B08BC" w14:textId="77777777" w:rsidR="00747261" w:rsidRPr="001A4B94" w:rsidRDefault="00747261" w:rsidP="00747261">
      <w:pPr>
        <w:spacing w:after="160" w:line="259" w:lineRule="auto"/>
        <w:ind w:left="720"/>
        <w:contextualSpacing/>
        <w:rPr>
          <w:rFonts w:eastAsiaTheme="minorHAnsi"/>
          <w:sz w:val="22"/>
          <w:szCs w:val="22"/>
          <w:lang w:val="tr-TR"/>
        </w:rPr>
      </w:pPr>
    </w:p>
    <w:p w14:paraId="40FAF3D5" w14:textId="35C69B54"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071E34" w:rsidRPr="001A4B94">
        <w:rPr>
          <w:rFonts w:eastAsiaTheme="minorHAnsi"/>
          <w:b/>
          <w:sz w:val="22"/>
          <w:szCs w:val="22"/>
          <w:lang w:val="tr-TR"/>
        </w:rPr>
        <w:t>CPS İlerleme Raporu sonuçta belirli ölçüde gerçekleşen kritik ekonomik</w:t>
      </w:r>
      <w:r w:rsidR="00747261" w:rsidRPr="001A4B94">
        <w:rPr>
          <w:rFonts w:eastAsiaTheme="minorHAnsi"/>
          <w:b/>
          <w:sz w:val="22"/>
          <w:szCs w:val="22"/>
          <w:lang w:val="tr-TR"/>
        </w:rPr>
        <w:t xml:space="preserve">, </w:t>
      </w:r>
      <w:r w:rsidR="00071E34" w:rsidRPr="001A4B94">
        <w:rPr>
          <w:rFonts w:eastAsiaTheme="minorHAnsi"/>
          <w:b/>
          <w:sz w:val="22"/>
          <w:szCs w:val="22"/>
          <w:lang w:val="tr-TR"/>
        </w:rPr>
        <w:t>s</w:t>
      </w:r>
      <w:r w:rsidR="005A6904" w:rsidRPr="001A4B94">
        <w:rPr>
          <w:rFonts w:eastAsiaTheme="minorHAnsi"/>
          <w:b/>
          <w:sz w:val="22"/>
          <w:szCs w:val="22"/>
          <w:lang w:val="tr-TR"/>
        </w:rPr>
        <w:t>i</w:t>
      </w:r>
      <w:r w:rsidR="00071E34" w:rsidRPr="001A4B94">
        <w:rPr>
          <w:rFonts w:eastAsiaTheme="minorHAnsi"/>
          <w:b/>
          <w:sz w:val="22"/>
          <w:szCs w:val="22"/>
          <w:lang w:val="tr-TR"/>
        </w:rPr>
        <w:t>y</w:t>
      </w:r>
      <w:r w:rsidR="005A6904" w:rsidRPr="001A4B94">
        <w:rPr>
          <w:rFonts w:eastAsiaTheme="minorHAnsi"/>
          <w:b/>
          <w:sz w:val="22"/>
          <w:szCs w:val="22"/>
          <w:lang w:val="tr-TR"/>
        </w:rPr>
        <w:t>a</w:t>
      </w:r>
      <w:r w:rsidR="00071E34" w:rsidRPr="001A4B94">
        <w:rPr>
          <w:rFonts w:eastAsiaTheme="minorHAnsi"/>
          <w:b/>
          <w:sz w:val="22"/>
          <w:szCs w:val="22"/>
          <w:lang w:val="tr-TR"/>
        </w:rPr>
        <w:t>si ve bölgesel riskler tespit etmiştir</w:t>
      </w:r>
      <w:r w:rsidR="00747261" w:rsidRPr="001A4B94">
        <w:rPr>
          <w:rFonts w:eastAsiaTheme="minorHAnsi"/>
          <w:sz w:val="22"/>
          <w:szCs w:val="22"/>
          <w:lang w:val="tr-TR"/>
        </w:rPr>
        <w:t xml:space="preserve">. </w:t>
      </w:r>
      <w:r w:rsidR="005A6904" w:rsidRPr="001A4B94">
        <w:rPr>
          <w:rFonts w:eastAsiaTheme="minorHAnsi"/>
          <w:sz w:val="22"/>
          <w:szCs w:val="22"/>
          <w:lang w:val="tr-TR"/>
        </w:rPr>
        <w:t>P</w:t>
      </w:r>
      <w:r w:rsidR="00747261" w:rsidRPr="001A4B94">
        <w:rPr>
          <w:rFonts w:eastAsiaTheme="minorHAnsi"/>
          <w:sz w:val="22"/>
          <w:szCs w:val="22"/>
          <w:lang w:val="tr-TR"/>
        </w:rPr>
        <w:t>roa</w:t>
      </w:r>
      <w:r w:rsidR="005A6904" w:rsidRPr="001A4B94">
        <w:rPr>
          <w:rFonts w:eastAsiaTheme="minorHAnsi"/>
          <w:sz w:val="22"/>
          <w:szCs w:val="22"/>
          <w:lang w:val="tr-TR"/>
        </w:rPr>
        <w:t xml:space="preserve">ktif portföy yönetimi ve gelişmiş iletişim ve erişim stratejileri </w:t>
      </w:r>
      <w:r w:rsidR="00071E34" w:rsidRPr="001A4B94">
        <w:rPr>
          <w:rFonts w:eastAsiaTheme="minorHAnsi"/>
          <w:sz w:val="22"/>
          <w:szCs w:val="22"/>
          <w:lang w:val="tr-TR"/>
        </w:rPr>
        <w:t>gibi etki azaltma önlemleri</w:t>
      </w:r>
      <w:r w:rsidR="005A6904" w:rsidRPr="001A4B94">
        <w:rPr>
          <w:rFonts w:eastAsiaTheme="minorHAnsi"/>
          <w:sz w:val="22"/>
          <w:szCs w:val="22"/>
          <w:lang w:val="tr-TR"/>
        </w:rPr>
        <w:t>,</w:t>
      </w:r>
      <w:r w:rsidR="00071E34" w:rsidRPr="001A4B94">
        <w:rPr>
          <w:rFonts w:eastAsiaTheme="minorHAnsi"/>
          <w:sz w:val="22"/>
          <w:szCs w:val="22"/>
          <w:lang w:val="tr-TR"/>
        </w:rPr>
        <w:t xml:space="preserve"> risklerin yön</w:t>
      </w:r>
      <w:r w:rsidR="005A6904" w:rsidRPr="001A4B94">
        <w:rPr>
          <w:rFonts w:eastAsiaTheme="minorHAnsi"/>
          <w:sz w:val="22"/>
          <w:szCs w:val="22"/>
          <w:lang w:val="tr-TR"/>
        </w:rPr>
        <w:t>e</w:t>
      </w:r>
      <w:r w:rsidR="00071E34" w:rsidRPr="001A4B94">
        <w:rPr>
          <w:rFonts w:eastAsiaTheme="minorHAnsi"/>
          <w:sz w:val="22"/>
          <w:szCs w:val="22"/>
          <w:lang w:val="tr-TR"/>
        </w:rPr>
        <w:t>tilmesine yardımcı olarak CPS amaçlarına ulaşma ü</w:t>
      </w:r>
      <w:r w:rsidR="005A6904" w:rsidRPr="001A4B94">
        <w:rPr>
          <w:rFonts w:eastAsiaTheme="minorHAnsi"/>
          <w:sz w:val="22"/>
          <w:szCs w:val="22"/>
          <w:lang w:val="tr-TR"/>
        </w:rPr>
        <w:t>z</w:t>
      </w:r>
      <w:r w:rsidR="00071E34" w:rsidRPr="001A4B94">
        <w:rPr>
          <w:rFonts w:eastAsiaTheme="minorHAnsi"/>
          <w:sz w:val="22"/>
          <w:szCs w:val="22"/>
          <w:lang w:val="tr-TR"/>
        </w:rPr>
        <w:t>er</w:t>
      </w:r>
      <w:r w:rsidR="005A6904" w:rsidRPr="001A4B94">
        <w:rPr>
          <w:rFonts w:eastAsiaTheme="minorHAnsi"/>
          <w:sz w:val="22"/>
          <w:szCs w:val="22"/>
          <w:lang w:val="tr-TR"/>
        </w:rPr>
        <w:t>i</w:t>
      </w:r>
      <w:r w:rsidR="00071E34" w:rsidRPr="001A4B94">
        <w:rPr>
          <w:rFonts w:eastAsiaTheme="minorHAnsi"/>
          <w:sz w:val="22"/>
          <w:szCs w:val="22"/>
          <w:lang w:val="tr-TR"/>
        </w:rPr>
        <w:t>n</w:t>
      </w:r>
      <w:r w:rsidR="005A6904" w:rsidRPr="001A4B94">
        <w:rPr>
          <w:rFonts w:eastAsiaTheme="minorHAnsi"/>
          <w:sz w:val="22"/>
          <w:szCs w:val="22"/>
          <w:lang w:val="tr-TR"/>
        </w:rPr>
        <w:t>d</w:t>
      </w:r>
      <w:r w:rsidR="00071E34" w:rsidRPr="001A4B94">
        <w:rPr>
          <w:rFonts w:eastAsiaTheme="minorHAnsi"/>
          <w:sz w:val="22"/>
          <w:szCs w:val="22"/>
          <w:lang w:val="tr-TR"/>
        </w:rPr>
        <w:t>eki etkilerini azaltmıştır</w:t>
      </w:r>
      <w:r w:rsidR="00747261" w:rsidRPr="001A4B94">
        <w:rPr>
          <w:rFonts w:eastAsiaTheme="minorHAnsi"/>
          <w:sz w:val="22"/>
          <w:szCs w:val="22"/>
          <w:lang w:val="tr-TR"/>
        </w:rPr>
        <w:t xml:space="preserve">. </w:t>
      </w:r>
      <w:r w:rsidR="005A6904" w:rsidRPr="001A4B94">
        <w:rPr>
          <w:rFonts w:eastAsiaTheme="minorHAnsi"/>
          <w:sz w:val="22"/>
          <w:szCs w:val="22"/>
          <w:lang w:val="tr-TR"/>
        </w:rPr>
        <w:t xml:space="preserve">IBRD Ülke Direktörü ile Hazine Müsteşarı ve Kalkınma Bakanlığı Müsteşarı başkanlığında oluşturulan bir </w:t>
      </w:r>
      <w:r w:rsidR="00747261" w:rsidRPr="001A4B94">
        <w:rPr>
          <w:rFonts w:eastAsiaTheme="minorHAnsi"/>
          <w:sz w:val="22"/>
          <w:szCs w:val="22"/>
          <w:lang w:val="tr-TR"/>
        </w:rPr>
        <w:t xml:space="preserve">CPS </w:t>
      </w:r>
      <w:r w:rsidR="005A6904" w:rsidRPr="001A4B94">
        <w:rPr>
          <w:rFonts w:eastAsiaTheme="minorHAnsi"/>
          <w:sz w:val="22"/>
          <w:szCs w:val="22"/>
          <w:lang w:val="tr-TR"/>
        </w:rPr>
        <w:t>Yönlendirme Komitesi</w:t>
      </w:r>
      <w:r w:rsidR="00747261" w:rsidRPr="001A4B94">
        <w:rPr>
          <w:rFonts w:eastAsiaTheme="minorHAnsi"/>
          <w:sz w:val="22"/>
          <w:szCs w:val="22"/>
          <w:lang w:val="tr-TR"/>
        </w:rPr>
        <w:t xml:space="preserve">, </w:t>
      </w:r>
      <w:r w:rsidR="005A6904" w:rsidRPr="001A4B94">
        <w:rPr>
          <w:rFonts w:eastAsiaTheme="minorHAnsi"/>
          <w:sz w:val="22"/>
          <w:szCs w:val="22"/>
          <w:lang w:val="tr-TR"/>
        </w:rPr>
        <w:t>programa yön verilmesine, uygulama zorluklarının aşılmasına ve önerilen projelerin geleceği üzerinde önemli etkileri olacak kararların alınmasına yardımcı olmuştur</w:t>
      </w:r>
      <w:r w:rsidR="00747261" w:rsidRPr="001A4B94">
        <w:rPr>
          <w:rFonts w:eastAsiaTheme="minorHAnsi"/>
          <w:sz w:val="22"/>
          <w:szCs w:val="22"/>
          <w:lang w:val="tr-TR"/>
        </w:rPr>
        <w:t xml:space="preserve">. </w:t>
      </w:r>
      <w:r w:rsidR="005C3736" w:rsidRPr="001A4B94">
        <w:rPr>
          <w:rFonts w:eastAsiaTheme="minorHAnsi"/>
          <w:sz w:val="22"/>
          <w:szCs w:val="22"/>
          <w:lang w:val="tr-TR"/>
        </w:rPr>
        <w:t>Reformun gecikmesi riski CPS İlerleme Raporu</w:t>
      </w:r>
      <w:r w:rsidR="005C3736" w:rsidRPr="001A4B94">
        <w:rPr>
          <w:rFonts w:eastAsiaTheme="minorHAnsi"/>
          <w:b/>
          <w:sz w:val="22"/>
          <w:szCs w:val="22"/>
          <w:lang w:val="tr-TR"/>
        </w:rPr>
        <w:t xml:space="preserve">  </w:t>
      </w:r>
      <w:r w:rsidR="005C3736" w:rsidRPr="001A4B94">
        <w:rPr>
          <w:rFonts w:eastAsiaTheme="minorHAnsi"/>
          <w:sz w:val="22"/>
          <w:szCs w:val="22"/>
          <w:lang w:val="tr-TR"/>
        </w:rPr>
        <w:t xml:space="preserve">zamanında tespit edilmiştir ve sunulan </w:t>
      </w:r>
      <w:r w:rsidR="00747261" w:rsidRPr="001A4B94">
        <w:rPr>
          <w:rFonts w:eastAsiaTheme="minorHAnsi"/>
          <w:sz w:val="22"/>
          <w:szCs w:val="22"/>
          <w:lang w:val="tr-TR"/>
        </w:rPr>
        <w:t xml:space="preserve">DPL </w:t>
      </w:r>
      <w:r w:rsidR="005C3736" w:rsidRPr="001A4B94">
        <w:rPr>
          <w:rFonts w:eastAsiaTheme="minorHAnsi"/>
          <w:sz w:val="22"/>
          <w:szCs w:val="22"/>
          <w:lang w:val="tr-TR"/>
        </w:rPr>
        <w:t>dizisinin buna göre uyarlanmıştır</w:t>
      </w:r>
      <w:r w:rsidR="00747261" w:rsidRPr="001A4B94">
        <w:rPr>
          <w:rFonts w:eastAsiaTheme="minorHAnsi"/>
          <w:sz w:val="22"/>
          <w:szCs w:val="22"/>
          <w:lang w:val="tr-TR"/>
        </w:rPr>
        <w:t xml:space="preserve">. </w:t>
      </w:r>
      <w:r w:rsidR="005C3736" w:rsidRPr="001A4B94">
        <w:rPr>
          <w:rFonts w:eastAsiaTheme="minorHAnsi"/>
          <w:sz w:val="22"/>
          <w:szCs w:val="22"/>
          <w:lang w:val="tr-TR"/>
        </w:rPr>
        <w:t xml:space="preserve">2012 yılında itibaren yoğun bir şekilde gerçekleşen Suriyeli sığınmacı akışından kaynaklanan öngörülemeyen bölgesel riskler dahi etkili bir şekilde programa yansıtılabilmiştir. Bu şekilde, Banka Suriyeli sığınmacı krizinin ev sahibi topluluklar üzerindeki etkisinin ve boyutlarının </w:t>
      </w:r>
      <w:r w:rsidR="00035E84" w:rsidRPr="001A4B94">
        <w:rPr>
          <w:rFonts w:eastAsiaTheme="minorHAnsi"/>
          <w:sz w:val="22"/>
          <w:szCs w:val="22"/>
          <w:lang w:val="tr-TR"/>
        </w:rPr>
        <w:t xml:space="preserve">belirlenmesi </w:t>
      </w:r>
      <w:r w:rsidR="005C3736" w:rsidRPr="001A4B94">
        <w:rPr>
          <w:rFonts w:eastAsiaTheme="minorHAnsi"/>
          <w:sz w:val="22"/>
          <w:szCs w:val="22"/>
          <w:lang w:val="tr-TR"/>
        </w:rPr>
        <w:t xml:space="preserve">ile ilgili çalışmalara bilgi desteği sağlayabilmiştir.  </w:t>
      </w:r>
    </w:p>
    <w:p w14:paraId="7668FC8E" w14:textId="77777777" w:rsidR="00747261" w:rsidRPr="001A4B94" w:rsidRDefault="00747261" w:rsidP="00747261">
      <w:pPr>
        <w:spacing w:after="160" w:line="259" w:lineRule="auto"/>
        <w:ind w:left="720"/>
        <w:contextualSpacing/>
        <w:rPr>
          <w:rFonts w:eastAsiaTheme="minorHAnsi"/>
          <w:sz w:val="22"/>
          <w:szCs w:val="22"/>
          <w:lang w:val="tr-TR"/>
        </w:rPr>
      </w:pPr>
    </w:p>
    <w:p w14:paraId="34ADCD0C" w14:textId="1C6D86C5"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CPS </w:t>
      </w:r>
      <w:r w:rsidR="005C3736" w:rsidRPr="001A4B94">
        <w:rPr>
          <w:rFonts w:eastAsiaTheme="minorHAnsi"/>
          <w:b/>
          <w:sz w:val="22"/>
          <w:szCs w:val="22"/>
          <w:lang w:val="tr-TR"/>
        </w:rPr>
        <w:t xml:space="preserve">sonuç matrisi </w:t>
      </w:r>
      <w:r w:rsidR="00C52E5D" w:rsidRPr="001A4B94">
        <w:rPr>
          <w:rFonts w:eastAsiaTheme="minorHAnsi"/>
          <w:b/>
          <w:sz w:val="22"/>
          <w:szCs w:val="22"/>
          <w:lang w:val="tr-TR"/>
        </w:rPr>
        <w:t>ölçülebilir</w:t>
      </w:r>
      <w:r w:rsidR="005C3736" w:rsidRPr="001A4B94">
        <w:rPr>
          <w:rFonts w:eastAsiaTheme="minorHAnsi"/>
          <w:b/>
          <w:sz w:val="22"/>
          <w:szCs w:val="22"/>
          <w:lang w:val="tr-TR"/>
        </w:rPr>
        <w:t xml:space="preserve"> </w:t>
      </w:r>
      <w:r w:rsidR="00C52E5D" w:rsidRPr="001A4B94">
        <w:rPr>
          <w:rFonts w:eastAsiaTheme="minorHAnsi"/>
          <w:b/>
          <w:sz w:val="22"/>
          <w:szCs w:val="22"/>
          <w:lang w:val="tr-TR"/>
        </w:rPr>
        <w:t>hedefler</w:t>
      </w:r>
      <w:r w:rsidR="005C3736" w:rsidRPr="001A4B94">
        <w:rPr>
          <w:rFonts w:eastAsiaTheme="minorHAnsi"/>
          <w:b/>
          <w:sz w:val="22"/>
          <w:szCs w:val="22"/>
          <w:lang w:val="tr-TR"/>
        </w:rPr>
        <w:t xml:space="preserve"> sunmuştur</w:t>
      </w:r>
      <w:r w:rsidR="00747261" w:rsidRPr="001A4B94">
        <w:rPr>
          <w:rFonts w:eastAsiaTheme="minorHAnsi"/>
          <w:b/>
          <w:sz w:val="22"/>
          <w:szCs w:val="22"/>
          <w:lang w:val="tr-TR"/>
        </w:rPr>
        <w:t xml:space="preserve">. </w:t>
      </w:r>
      <w:r w:rsidR="000453C0" w:rsidRPr="001A4B94">
        <w:rPr>
          <w:rFonts w:eastAsiaTheme="minorHAnsi"/>
          <w:sz w:val="22"/>
          <w:szCs w:val="22"/>
          <w:lang w:val="tr-TR"/>
        </w:rPr>
        <w:t>Finansman operasyonları ile desteklenen</w:t>
      </w:r>
      <w:r w:rsidR="000453C0" w:rsidRPr="001A4B94">
        <w:rPr>
          <w:rFonts w:eastAsiaTheme="minorHAnsi"/>
          <w:b/>
          <w:sz w:val="22"/>
          <w:szCs w:val="22"/>
          <w:lang w:val="tr-TR"/>
        </w:rPr>
        <w:t xml:space="preserve"> t</w:t>
      </w:r>
      <w:r w:rsidR="005C3736" w:rsidRPr="001A4B94">
        <w:rPr>
          <w:rFonts w:eastAsiaTheme="minorHAnsi"/>
          <w:sz w:val="22"/>
          <w:szCs w:val="22"/>
          <w:lang w:val="tr-TR"/>
        </w:rPr>
        <w:t xml:space="preserve">ematik alanlar </w:t>
      </w:r>
      <w:r w:rsidR="00747261" w:rsidRPr="001A4B94">
        <w:rPr>
          <w:rFonts w:eastAsiaTheme="minorHAnsi"/>
          <w:sz w:val="22"/>
          <w:szCs w:val="22"/>
          <w:lang w:val="tr-TR"/>
        </w:rPr>
        <w:t>(</w:t>
      </w:r>
      <w:r w:rsidR="005C3736" w:rsidRPr="001A4B94">
        <w:rPr>
          <w:rFonts w:eastAsiaTheme="minorHAnsi"/>
          <w:sz w:val="22"/>
          <w:szCs w:val="22"/>
          <w:lang w:val="tr-TR"/>
        </w:rPr>
        <w:t>enerji</w:t>
      </w:r>
      <w:r w:rsidR="00747261" w:rsidRPr="001A4B94">
        <w:rPr>
          <w:rFonts w:eastAsiaTheme="minorHAnsi"/>
          <w:sz w:val="22"/>
          <w:szCs w:val="22"/>
          <w:lang w:val="tr-TR"/>
        </w:rPr>
        <w:t xml:space="preserve">, </w:t>
      </w:r>
      <w:r w:rsidR="005C3736" w:rsidRPr="001A4B94">
        <w:rPr>
          <w:rFonts w:eastAsiaTheme="minorHAnsi"/>
          <w:sz w:val="22"/>
          <w:szCs w:val="22"/>
          <w:lang w:val="tr-TR"/>
        </w:rPr>
        <w:t>sağlık ve kentsel gelişim gibi</w:t>
      </w:r>
      <w:r w:rsidR="00747261" w:rsidRPr="001A4B94">
        <w:rPr>
          <w:rFonts w:eastAsiaTheme="minorHAnsi"/>
          <w:sz w:val="22"/>
          <w:szCs w:val="22"/>
          <w:lang w:val="tr-TR"/>
        </w:rPr>
        <w:t>)</w:t>
      </w:r>
      <w:r w:rsidR="000453C0" w:rsidRPr="001A4B94">
        <w:rPr>
          <w:rFonts w:eastAsiaTheme="minorHAnsi"/>
          <w:sz w:val="22"/>
          <w:szCs w:val="22"/>
          <w:lang w:val="tr-TR"/>
        </w:rPr>
        <w:t>, DBG operasyonları ve gerçekleşen sonuçlar arasında açık bağlantılar sergilemiştir</w:t>
      </w:r>
      <w:r w:rsidR="00747261" w:rsidRPr="001A4B94">
        <w:rPr>
          <w:rFonts w:eastAsiaTheme="minorHAnsi"/>
          <w:sz w:val="22"/>
          <w:szCs w:val="22"/>
          <w:lang w:val="tr-TR"/>
        </w:rPr>
        <w:t xml:space="preserve">. </w:t>
      </w:r>
      <w:r w:rsidR="000453C0" w:rsidRPr="001A4B94">
        <w:rPr>
          <w:rFonts w:eastAsiaTheme="minorHAnsi"/>
          <w:sz w:val="22"/>
          <w:szCs w:val="22"/>
          <w:lang w:val="tr-TR"/>
        </w:rPr>
        <w:t xml:space="preserve">Daha çok ASA faaliyetlerinin desteklediği sonuç alanlarında ise bu bağlantı </w:t>
      </w:r>
      <w:r w:rsidR="00747261" w:rsidRPr="001A4B94">
        <w:rPr>
          <w:rFonts w:eastAsiaTheme="minorHAnsi"/>
          <w:sz w:val="22"/>
          <w:szCs w:val="22"/>
          <w:lang w:val="tr-TR"/>
        </w:rPr>
        <w:t xml:space="preserve"> </w:t>
      </w:r>
      <w:r w:rsidR="000453C0" w:rsidRPr="001A4B94">
        <w:rPr>
          <w:rFonts w:eastAsiaTheme="minorHAnsi"/>
          <w:sz w:val="22"/>
          <w:szCs w:val="22"/>
          <w:lang w:val="tr-TR"/>
        </w:rPr>
        <w:t>daha az doğrudan belirgin oluştur</w:t>
      </w:r>
      <w:r w:rsidR="00747261" w:rsidRPr="001A4B94">
        <w:rPr>
          <w:rFonts w:eastAsiaTheme="minorHAnsi"/>
          <w:sz w:val="22"/>
          <w:szCs w:val="22"/>
          <w:lang w:val="tr-TR"/>
        </w:rPr>
        <w:t xml:space="preserve">. </w:t>
      </w:r>
      <w:r w:rsidR="000453C0" w:rsidRPr="001A4B94">
        <w:rPr>
          <w:rFonts w:eastAsiaTheme="minorHAnsi"/>
          <w:sz w:val="22"/>
          <w:szCs w:val="22"/>
          <w:lang w:val="tr-TR"/>
        </w:rPr>
        <w:t>Belirli durumlarda</w:t>
      </w:r>
      <w:r w:rsidR="00747261" w:rsidRPr="001A4B94">
        <w:rPr>
          <w:rFonts w:eastAsiaTheme="minorHAnsi"/>
          <w:sz w:val="22"/>
          <w:szCs w:val="22"/>
          <w:lang w:val="tr-TR"/>
        </w:rPr>
        <w:t xml:space="preserve">, </w:t>
      </w:r>
      <w:r w:rsidR="000453C0" w:rsidRPr="001A4B94">
        <w:rPr>
          <w:rFonts w:eastAsiaTheme="minorHAnsi"/>
          <w:sz w:val="22"/>
          <w:szCs w:val="22"/>
          <w:lang w:val="tr-TR"/>
        </w:rPr>
        <w:t>D</w:t>
      </w:r>
      <w:r w:rsidR="00747261" w:rsidRPr="001A4B94">
        <w:rPr>
          <w:rFonts w:eastAsiaTheme="minorHAnsi"/>
          <w:sz w:val="22"/>
          <w:szCs w:val="22"/>
          <w:lang w:val="tr-TR"/>
        </w:rPr>
        <w:t xml:space="preserve">BG </w:t>
      </w:r>
      <w:r w:rsidR="000453C0" w:rsidRPr="001A4B94">
        <w:rPr>
          <w:rFonts w:eastAsiaTheme="minorHAnsi"/>
          <w:sz w:val="22"/>
          <w:szCs w:val="22"/>
          <w:lang w:val="tr-TR"/>
        </w:rPr>
        <w:t xml:space="preserve">sonuçları, mevzuat değişikliklerinin getireceği değişiklikler yerine </w:t>
      </w:r>
      <w:r w:rsidR="00C52E5D" w:rsidRPr="001A4B94">
        <w:rPr>
          <w:rFonts w:eastAsiaTheme="minorHAnsi"/>
          <w:sz w:val="22"/>
          <w:szCs w:val="22"/>
          <w:lang w:val="tr-TR"/>
        </w:rPr>
        <w:t xml:space="preserve">Parlamentonun </w:t>
      </w:r>
      <w:r w:rsidR="000453C0" w:rsidRPr="001A4B94">
        <w:rPr>
          <w:rFonts w:eastAsiaTheme="minorHAnsi"/>
          <w:sz w:val="22"/>
          <w:szCs w:val="22"/>
          <w:lang w:val="tr-TR"/>
        </w:rPr>
        <w:t xml:space="preserve">yasal </w:t>
      </w:r>
      <w:r w:rsidR="00C52E5D" w:rsidRPr="001A4B94">
        <w:rPr>
          <w:rFonts w:eastAsiaTheme="minorHAnsi"/>
          <w:sz w:val="22"/>
          <w:szCs w:val="22"/>
          <w:lang w:val="tr-TR"/>
        </w:rPr>
        <w:t xml:space="preserve">adımları bazında ifade edilmiştir. Bazı önemli durumlarda ise, Parlamentonun atacağı yasama adımları  CPS dönemi sonuna kadar tamamlanamamıştır </w:t>
      </w:r>
      <w:r w:rsidR="00747261" w:rsidRPr="001A4B94">
        <w:rPr>
          <w:rFonts w:eastAsiaTheme="minorHAnsi"/>
          <w:sz w:val="22"/>
          <w:szCs w:val="22"/>
          <w:lang w:val="tr-TR"/>
        </w:rPr>
        <w:t>(</w:t>
      </w:r>
      <w:r w:rsidR="00C52E5D" w:rsidRPr="001A4B94">
        <w:rPr>
          <w:rFonts w:eastAsiaTheme="minorHAnsi"/>
          <w:sz w:val="22"/>
          <w:szCs w:val="22"/>
          <w:lang w:val="tr-TR"/>
        </w:rPr>
        <w:t>örneğin önerilen patent kanunu</w:t>
      </w:r>
      <w:r w:rsidR="00747261" w:rsidRPr="001A4B94">
        <w:rPr>
          <w:rFonts w:eastAsiaTheme="minorHAnsi"/>
          <w:sz w:val="22"/>
          <w:szCs w:val="22"/>
          <w:lang w:val="tr-TR"/>
        </w:rPr>
        <w:t xml:space="preserve">, </w:t>
      </w:r>
      <w:r w:rsidR="00C52E5D" w:rsidRPr="001A4B94">
        <w:rPr>
          <w:rFonts w:eastAsiaTheme="minorHAnsi"/>
          <w:sz w:val="22"/>
          <w:szCs w:val="22"/>
          <w:lang w:val="tr-TR"/>
        </w:rPr>
        <w:t>gelir vergisi kanunu ve doğal gaz piyasası kanunu</w:t>
      </w:r>
      <w:r w:rsidR="00747261" w:rsidRPr="001A4B94">
        <w:rPr>
          <w:rFonts w:eastAsiaTheme="minorHAnsi"/>
          <w:sz w:val="22"/>
          <w:szCs w:val="22"/>
          <w:lang w:val="tr-TR"/>
        </w:rPr>
        <w:t xml:space="preserve">).   </w:t>
      </w:r>
    </w:p>
    <w:p w14:paraId="0AA009C6" w14:textId="77777777" w:rsidR="00747261" w:rsidRPr="001A4B94" w:rsidRDefault="00747261" w:rsidP="00747261">
      <w:pPr>
        <w:spacing w:after="160"/>
        <w:ind w:left="360"/>
        <w:contextualSpacing/>
        <w:jc w:val="both"/>
        <w:rPr>
          <w:rFonts w:eastAsiaTheme="minorHAnsi"/>
          <w:sz w:val="22"/>
          <w:szCs w:val="22"/>
          <w:lang w:val="tr-TR"/>
        </w:rPr>
      </w:pPr>
    </w:p>
    <w:p w14:paraId="38A39E30" w14:textId="0D2B7962" w:rsidR="00747261" w:rsidRPr="001A4B94" w:rsidRDefault="00C52E5D" w:rsidP="00747261">
      <w:pPr>
        <w:spacing w:after="160"/>
        <w:ind w:left="360"/>
        <w:contextualSpacing/>
        <w:jc w:val="both"/>
        <w:rPr>
          <w:rFonts w:eastAsiaTheme="minorHAnsi"/>
          <w:b/>
          <w:sz w:val="22"/>
          <w:szCs w:val="22"/>
          <w:lang w:val="tr-TR"/>
        </w:rPr>
      </w:pPr>
      <w:r w:rsidRPr="001A4B94">
        <w:rPr>
          <w:rFonts w:eastAsiaTheme="minorHAnsi"/>
          <w:b/>
          <w:sz w:val="22"/>
          <w:szCs w:val="22"/>
          <w:lang w:val="tr-TR"/>
        </w:rPr>
        <w:t xml:space="preserve">Uygulama </w:t>
      </w:r>
    </w:p>
    <w:p w14:paraId="77F8662F" w14:textId="77777777" w:rsidR="00747261" w:rsidRPr="001A4B94" w:rsidRDefault="00747261" w:rsidP="00747261">
      <w:pPr>
        <w:spacing w:after="160"/>
        <w:ind w:left="360"/>
        <w:contextualSpacing/>
        <w:jc w:val="both"/>
        <w:rPr>
          <w:rFonts w:eastAsiaTheme="minorHAnsi"/>
          <w:sz w:val="22"/>
          <w:szCs w:val="22"/>
          <w:lang w:val="tr-TR"/>
        </w:rPr>
      </w:pPr>
    </w:p>
    <w:p w14:paraId="0F75159C" w14:textId="6F713FC2"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lastRenderedPageBreak/>
        <w:t xml:space="preserve"> </w:t>
      </w:r>
      <w:r w:rsidR="004D69EC" w:rsidRPr="001A4B94">
        <w:rPr>
          <w:rFonts w:eastAsiaTheme="minorHAnsi"/>
          <w:b/>
          <w:sz w:val="22"/>
          <w:szCs w:val="22"/>
          <w:lang w:val="tr-TR"/>
        </w:rPr>
        <w:t>Yeni</w:t>
      </w:r>
      <w:r w:rsidR="00747261" w:rsidRPr="001A4B94">
        <w:rPr>
          <w:rFonts w:eastAsiaTheme="minorHAnsi"/>
          <w:b/>
          <w:sz w:val="22"/>
          <w:szCs w:val="22"/>
          <w:lang w:val="tr-TR"/>
        </w:rPr>
        <w:t xml:space="preserve"> IBRD </w:t>
      </w:r>
      <w:r w:rsidR="00B878F1" w:rsidRPr="001A4B94">
        <w:rPr>
          <w:rFonts w:eastAsiaTheme="minorHAnsi"/>
          <w:b/>
          <w:sz w:val="22"/>
          <w:szCs w:val="22"/>
          <w:lang w:val="tr-TR"/>
        </w:rPr>
        <w:t>finansmanı</w:t>
      </w:r>
      <w:r w:rsidR="004D69EC" w:rsidRPr="001A4B94">
        <w:rPr>
          <w:rFonts w:eastAsiaTheme="minorHAnsi"/>
          <w:b/>
          <w:sz w:val="22"/>
          <w:szCs w:val="22"/>
          <w:lang w:val="tr-TR"/>
        </w:rPr>
        <w:t xml:space="preserve"> 4,3 milyar ABD$’na ulaşmıştır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4D69EC" w:rsidRPr="001A4B94">
        <w:rPr>
          <w:rFonts w:eastAsiaTheme="minorHAnsi"/>
          <w:sz w:val="22"/>
          <w:szCs w:val="22"/>
          <w:lang w:val="tr-TR"/>
        </w:rPr>
        <w:t>2012-15 MY dönemi için başlangıçta belirlenen 4,5 milyar ABD$’lık CPS hedefi CPS İlerleme raporu döneminde yu</w:t>
      </w:r>
      <w:r w:rsidR="00FB3D19" w:rsidRPr="001A4B94">
        <w:rPr>
          <w:rFonts w:eastAsiaTheme="minorHAnsi"/>
          <w:sz w:val="22"/>
          <w:szCs w:val="22"/>
          <w:lang w:val="tr-TR"/>
        </w:rPr>
        <w:t>k</w:t>
      </w:r>
      <w:r w:rsidR="004D69EC" w:rsidRPr="001A4B94">
        <w:rPr>
          <w:rFonts w:eastAsiaTheme="minorHAnsi"/>
          <w:sz w:val="22"/>
          <w:szCs w:val="22"/>
          <w:lang w:val="tr-TR"/>
        </w:rPr>
        <w:t xml:space="preserve">arı doğru revize </w:t>
      </w:r>
      <w:r w:rsidR="00FB3D19" w:rsidRPr="001A4B94">
        <w:rPr>
          <w:rFonts w:eastAsiaTheme="minorHAnsi"/>
          <w:sz w:val="22"/>
          <w:szCs w:val="22"/>
          <w:lang w:val="tr-TR"/>
        </w:rPr>
        <w:t xml:space="preserve">edilerek </w:t>
      </w:r>
      <w:r w:rsidR="004D69EC" w:rsidRPr="001A4B94">
        <w:rPr>
          <w:rFonts w:eastAsiaTheme="minorHAnsi"/>
          <w:sz w:val="22"/>
          <w:szCs w:val="22"/>
          <w:lang w:val="tr-TR"/>
        </w:rPr>
        <w:t xml:space="preserve">2012-16 MY dönemi için 6,5 milyar ABD$ olarak belirlenmiştir. </w:t>
      </w:r>
      <w:r w:rsidR="00FB3D19" w:rsidRPr="001A4B94">
        <w:rPr>
          <w:rFonts w:eastAsiaTheme="minorHAnsi"/>
          <w:sz w:val="22"/>
          <w:szCs w:val="22"/>
          <w:lang w:val="tr-TR"/>
        </w:rPr>
        <w:t xml:space="preserve">Bunun temel </w:t>
      </w:r>
      <w:r w:rsidR="00B878F1" w:rsidRPr="001A4B94">
        <w:rPr>
          <w:rFonts w:eastAsiaTheme="minorHAnsi"/>
          <w:sz w:val="22"/>
          <w:szCs w:val="22"/>
          <w:lang w:val="tr-TR"/>
        </w:rPr>
        <w:t>sebeplerinden</w:t>
      </w:r>
      <w:r w:rsidR="00FB3D19" w:rsidRPr="001A4B94">
        <w:rPr>
          <w:rFonts w:eastAsiaTheme="minorHAnsi"/>
          <w:sz w:val="22"/>
          <w:szCs w:val="22"/>
          <w:lang w:val="tr-TR"/>
        </w:rPr>
        <w:t xml:space="preserve"> birisi tek borçlu limitinin kaldırılması olmasıdır</w:t>
      </w:r>
      <w:r w:rsidR="00747261" w:rsidRPr="001A4B94">
        <w:rPr>
          <w:rFonts w:eastAsiaTheme="minorHAnsi"/>
          <w:sz w:val="22"/>
          <w:szCs w:val="22"/>
          <w:lang w:val="tr-TR"/>
        </w:rPr>
        <w:t xml:space="preserve">.  </w:t>
      </w:r>
      <w:r w:rsidR="00FB3D19" w:rsidRPr="001A4B94">
        <w:rPr>
          <w:rFonts w:eastAsiaTheme="minorHAnsi"/>
          <w:sz w:val="22"/>
          <w:szCs w:val="22"/>
          <w:lang w:val="tr-TR"/>
        </w:rPr>
        <w:t>Ancak, özellikle yeni</w:t>
      </w:r>
      <w:r w:rsidR="00B878F1" w:rsidRPr="001A4B94">
        <w:rPr>
          <w:rFonts w:eastAsiaTheme="minorHAnsi"/>
          <w:sz w:val="22"/>
          <w:szCs w:val="22"/>
          <w:lang w:val="tr-TR"/>
        </w:rPr>
        <w:t xml:space="preserve"> </w:t>
      </w:r>
      <w:r w:rsidR="00FB3D19" w:rsidRPr="001A4B94">
        <w:rPr>
          <w:rFonts w:eastAsiaTheme="minorHAnsi"/>
          <w:sz w:val="22"/>
          <w:szCs w:val="22"/>
          <w:lang w:val="tr-TR"/>
        </w:rPr>
        <w:t>kr</w:t>
      </w:r>
      <w:r w:rsidR="00B878F1" w:rsidRPr="001A4B94">
        <w:rPr>
          <w:rFonts w:eastAsiaTheme="minorHAnsi"/>
          <w:sz w:val="22"/>
          <w:szCs w:val="22"/>
          <w:lang w:val="tr-TR"/>
        </w:rPr>
        <w:t>e</w:t>
      </w:r>
      <w:r w:rsidR="00FB3D19" w:rsidRPr="001A4B94">
        <w:rPr>
          <w:rFonts w:eastAsiaTheme="minorHAnsi"/>
          <w:sz w:val="22"/>
          <w:szCs w:val="22"/>
          <w:lang w:val="tr-TR"/>
        </w:rPr>
        <w:t>dilere ilişkin nihai kararların ve</w:t>
      </w:r>
      <w:r w:rsidR="00B878F1" w:rsidRPr="001A4B94">
        <w:rPr>
          <w:rFonts w:eastAsiaTheme="minorHAnsi"/>
          <w:sz w:val="22"/>
          <w:szCs w:val="22"/>
          <w:lang w:val="tr-TR"/>
        </w:rPr>
        <w:t>ri</w:t>
      </w:r>
      <w:r w:rsidR="00FB3D19" w:rsidRPr="001A4B94">
        <w:rPr>
          <w:rFonts w:eastAsiaTheme="minorHAnsi"/>
          <w:sz w:val="22"/>
          <w:szCs w:val="22"/>
          <w:lang w:val="tr-TR"/>
        </w:rPr>
        <w:t>lmesin</w:t>
      </w:r>
      <w:r w:rsidR="00B878F1" w:rsidRPr="001A4B94">
        <w:rPr>
          <w:rFonts w:eastAsiaTheme="minorHAnsi"/>
          <w:sz w:val="22"/>
          <w:szCs w:val="22"/>
          <w:lang w:val="tr-TR"/>
        </w:rPr>
        <w:t>d</w:t>
      </w:r>
      <w:r w:rsidR="00FB3D19" w:rsidRPr="001A4B94">
        <w:rPr>
          <w:rFonts w:eastAsiaTheme="minorHAnsi"/>
          <w:sz w:val="22"/>
          <w:szCs w:val="22"/>
          <w:lang w:val="tr-TR"/>
        </w:rPr>
        <w:t>e yaşanan gecikmeler</w:t>
      </w:r>
      <w:r w:rsidR="00035E84" w:rsidRPr="001A4B94">
        <w:rPr>
          <w:rFonts w:eastAsiaTheme="minorHAnsi"/>
          <w:sz w:val="22"/>
          <w:szCs w:val="22"/>
          <w:lang w:val="tr-TR"/>
        </w:rPr>
        <w:t>in</w:t>
      </w:r>
      <w:r w:rsidR="00FB3D19" w:rsidRPr="001A4B94">
        <w:rPr>
          <w:rFonts w:eastAsiaTheme="minorHAnsi"/>
          <w:sz w:val="22"/>
          <w:szCs w:val="22"/>
          <w:lang w:val="tr-TR"/>
        </w:rPr>
        <w:t xml:space="preserve"> operasyonların düşürülmesine veya kaydırılmasına yol açması sebebiyle, CPS döneminde 12 projeye tahsis edilen toplam IBRD finansmanı  4,3 milyar ABD$ olarak gerçekleşmiştir</w:t>
      </w:r>
      <w:r w:rsidR="00747261" w:rsidRPr="001A4B94">
        <w:rPr>
          <w:rFonts w:eastAsiaTheme="minorHAnsi"/>
          <w:sz w:val="22"/>
          <w:szCs w:val="22"/>
          <w:lang w:val="tr-TR"/>
        </w:rPr>
        <w:t xml:space="preserve">. </w:t>
      </w:r>
      <w:r w:rsidR="00FB3D19" w:rsidRPr="001A4B94">
        <w:rPr>
          <w:rFonts w:eastAsiaTheme="minorHAnsi"/>
          <w:sz w:val="22"/>
          <w:szCs w:val="22"/>
          <w:lang w:val="tr-TR"/>
        </w:rPr>
        <w:t>300 milyon ABD$ tut</w:t>
      </w:r>
      <w:r w:rsidR="00B878F1" w:rsidRPr="001A4B94">
        <w:rPr>
          <w:rFonts w:eastAsiaTheme="minorHAnsi"/>
          <w:sz w:val="22"/>
          <w:szCs w:val="22"/>
          <w:lang w:val="tr-TR"/>
        </w:rPr>
        <w:t>a</w:t>
      </w:r>
      <w:r w:rsidR="00FB3D19" w:rsidRPr="001A4B94">
        <w:rPr>
          <w:rFonts w:eastAsiaTheme="minorHAnsi"/>
          <w:sz w:val="22"/>
          <w:szCs w:val="22"/>
          <w:lang w:val="tr-TR"/>
        </w:rPr>
        <w:t xml:space="preserve">rındaki önerilen Uzun Vadeli Finansman Garantisi Projesi ile 50 milyon ABD$ tutarındaki Havza Yönetim Projesi düşürülürken, </w:t>
      </w:r>
      <w:r w:rsidR="00B878F1" w:rsidRPr="001A4B94">
        <w:rPr>
          <w:rFonts w:eastAsiaTheme="minorHAnsi"/>
          <w:sz w:val="22"/>
          <w:szCs w:val="22"/>
          <w:lang w:val="tr-TR"/>
        </w:rPr>
        <w:t>yaşanan gecikmeler Paylaşılan Büyümenin Sürdürülmesi DPL dizisinin ikinci bölümünü (500 milyon ABD$), Jeotermal Geliştirme Projesini (250 milyon ABD$) ve Sürdürülebilir Şehirler Projesini (133 milyon ABD$) etkilemiştir</w:t>
      </w:r>
      <w:r w:rsidR="00747261" w:rsidRPr="001A4B94">
        <w:rPr>
          <w:rFonts w:eastAsiaTheme="minorHAnsi"/>
          <w:sz w:val="22"/>
          <w:szCs w:val="22"/>
          <w:lang w:val="tr-TR"/>
        </w:rPr>
        <w:t xml:space="preserve">. </w:t>
      </w:r>
      <w:r w:rsidR="00B878F1" w:rsidRPr="001A4B94">
        <w:rPr>
          <w:rFonts w:eastAsiaTheme="minorHAnsi"/>
          <w:sz w:val="22"/>
          <w:szCs w:val="22"/>
          <w:lang w:val="tr-TR"/>
        </w:rPr>
        <w:t>Bu kaymaların ardında üç temel sebep yatmaktadır</w:t>
      </w:r>
      <w:r w:rsidR="00747261" w:rsidRPr="001A4B94">
        <w:rPr>
          <w:rFonts w:eastAsiaTheme="minorHAnsi"/>
          <w:sz w:val="22"/>
          <w:szCs w:val="22"/>
          <w:lang w:val="tr-TR"/>
        </w:rPr>
        <w:t>:</w:t>
      </w:r>
    </w:p>
    <w:p w14:paraId="19CAB0F4" w14:textId="77777777" w:rsidR="00747261" w:rsidRPr="001A4B94" w:rsidRDefault="00747261" w:rsidP="00747261">
      <w:pPr>
        <w:spacing w:after="160"/>
        <w:ind w:left="360"/>
        <w:contextualSpacing/>
        <w:jc w:val="both"/>
        <w:rPr>
          <w:rFonts w:eastAsiaTheme="minorHAnsi"/>
          <w:sz w:val="22"/>
          <w:szCs w:val="22"/>
          <w:lang w:val="tr-TR"/>
        </w:rPr>
      </w:pPr>
    </w:p>
    <w:p w14:paraId="0FF34BB9" w14:textId="2CBBB478" w:rsidR="00747261" w:rsidRPr="001A4B94" w:rsidRDefault="00E879F4" w:rsidP="00C24F8F">
      <w:pPr>
        <w:numPr>
          <w:ilvl w:val="1"/>
          <w:numId w:val="21"/>
        </w:numPr>
        <w:spacing w:after="160" w:line="259" w:lineRule="auto"/>
        <w:ind w:left="1080"/>
        <w:contextualSpacing/>
        <w:jc w:val="both"/>
        <w:rPr>
          <w:rFonts w:eastAsiaTheme="minorHAnsi"/>
          <w:sz w:val="22"/>
          <w:szCs w:val="22"/>
          <w:lang w:val="tr-TR"/>
        </w:rPr>
      </w:pPr>
      <w:r w:rsidRPr="001A4B94">
        <w:rPr>
          <w:rFonts w:eastAsiaTheme="minorHAnsi"/>
          <w:sz w:val="22"/>
          <w:szCs w:val="22"/>
          <w:lang w:val="tr-TR"/>
        </w:rPr>
        <w:t xml:space="preserve">Müşterinin </w:t>
      </w:r>
      <w:r w:rsidR="00266362" w:rsidRPr="001A4B94">
        <w:rPr>
          <w:rFonts w:eastAsiaTheme="minorHAnsi"/>
          <w:sz w:val="22"/>
          <w:szCs w:val="22"/>
          <w:lang w:val="tr-TR"/>
        </w:rPr>
        <w:t>idari ve yasal çerçevesini zorlayan ve bu tasarımların gelecekteki uygulama üzerindeki potansiyel etkilerini yeterince dikkate almayan proje tasarımları</w:t>
      </w:r>
      <w:r w:rsidR="00747261" w:rsidRPr="001A4B94">
        <w:rPr>
          <w:rFonts w:eastAsiaTheme="minorHAnsi"/>
          <w:sz w:val="22"/>
          <w:szCs w:val="22"/>
          <w:lang w:val="tr-TR"/>
        </w:rPr>
        <w:t xml:space="preserve">. </w:t>
      </w:r>
    </w:p>
    <w:p w14:paraId="03ACABD6" w14:textId="15F1A5A8" w:rsidR="00747261" w:rsidRPr="001A4B94" w:rsidRDefault="00266362" w:rsidP="00C24F8F">
      <w:pPr>
        <w:numPr>
          <w:ilvl w:val="1"/>
          <w:numId w:val="21"/>
        </w:numPr>
        <w:spacing w:after="160" w:line="259" w:lineRule="auto"/>
        <w:ind w:left="1080"/>
        <w:contextualSpacing/>
        <w:jc w:val="both"/>
        <w:rPr>
          <w:rFonts w:eastAsiaTheme="minorHAnsi"/>
          <w:sz w:val="22"/>
          <w:szCs w:val="22"/>
          <w:lang w:val="tr-TR"/>
        </w:rPr>
      </w:pPr>
      <w:r w:rsidRPr="001A4B94">
        <w:rPr>
          <w:rFonts w:eastAsiaTheme="minorHAnsi"/>
          <w:sz w:val="22"/>
          <w:szCs w:val="22"/>
          <w:lang w:val="tr-TR"/>
        </w:rPr>
        <w:t>Özellikle uzun seçim süreci ve bazen de projelerin yeterince güçlü şekilde sahiplenilmemesi sebebiyle hükümet içerisinde yaşanan yavaş karar verme süreci</w:t>
      </w:r>
      <w:r w:rsidR="00747261" w:rsidRPr="001A4B94">
        <w:rPr>
          <w:rFonts w:eastAsiaTheme="minorHAnsi"/>
          <w:sz w:val="22"/>
          <w:szCs w:val="22"/>
          <w:lang w:val="tr-TR"/>
        </w:rPr>
        <w:t xml:space="preserve">; </w:t>
      </w:r>
    </w:p>
    <w:p w14:paraId="1248E9FE" w14:textId="5D2E6F86" w:rsidR="00747261" w:rsidRPr="001A4B94" w:rsidRDefault="00266362" w:rsidP="00C24F8F">
      <w:pPr>
        <w:numPr>
          <w:ilvl w:val="1"/>
          <w:numId w:val="21"/>
        </w:numPr>
        <w:spacing w:after="160" w:line="259" w:lineRule="auto"/>
        <w:ind w:left="1080"/>
        <w:contextualSpacing/>
        <w:jc w:val="both"/>
        <w:rPr>
          <w:rFonts w:eastAsiaTheme="minorHAnsi"/>
          <w:sz w:val="22"/>
          <w:szCs w:val="22"/>
          <w:lang w:val="tr-TR"/>
        </w:rPr>
      </w:pPr>
      <w:r w:rsidRPr="001A4B94">
        <w:rPr>
          <w:rFonts w:eastAsiaTheme="minorHAnsi"/>
          <w:sz w:val="22"/>
          <w:szCs w:val="22"/>
          <w:lang w:val="tr-TR"/>
        </w:rPr>
        <w:t>Yatırım Projesi Finansmanı (IPF) ile ilgili olarak Banka ile Hükümet’in idari gereklilikleri ve prosedür gerekliliklerin</w:t>
      </w:r>
      <w:r w:rsidR="00380A33" w:rsidRPr="001A4B94">
        <w:rPr>
          <w:rFonts w:eastAsiaTheme="minorHAnsi"/>
          <w:sz w:val="22"/>
          <w:szCs w:val="22"/>
          <w:lang w:val="tr-TR"/>
        </w:rPr>
        <w:t>in uyumsuzluğu</w:t>
      </w:r>
      <w:r w:rsidR="00747261" w:rsidRPr="001A4B94">
        <w:rPr>
          <w:rFonts w:eastAsiaTheme="minorHAnsi"/>
          <w:sz w:val="22"/>
          <w:szCs w:val="22"/>
          <w:lang w:val="tr-TR"/>
        </w:rPr>
        <w:t xml:space="preserve">; </w:t>
      </w:r>
      <w:r w:rsidR="00380A33" w:rsidRPr="001A4B94">
        <w:rPr>
          <w:rFonts w:eastAsiaTheme="minorHAnsi"/>
          <w:sz w:val="22"/>
          <w:szCs w:val="22"/>
          <w:lang w:val="tr-TR"/>
        </w:rPr>
        <w:t xml:space="preserve">ve </w:t>
      </w:r>
    </w:p>
    <w:p w14:paraId="12456010" w14:textId="1F41C8A6" w:rsidR="00747261" w:rsidRPr="001A4B94" w:rsidRDefault="00380A33" w:rsidP="00C24F8F">
      <w:pPr>
        <w:numPr>
          <w:ilvl w:val="1"/>
          <w:numId w:val="21"/>
        </w:numPr>
        <w:spacing w:after="160" w:line="259" w:lineRule="auto"/>
        <w:ind w:left="1080"/>
        <w:contextualSpacing/>
        <w:jc w:val="both"/>
        <w:rPr>
          <w:rFonts w:eastAsiaTheme="minorHAnsi"/>
          <w:sz w:val="22"/>
          <w:szCs w:val="22"/>
          <w:lang w:val="tr-TR"/>
        </w:rPr>
      </w:pPr>
      <w:r w:rsidRPr="001A4B94">
        <w:rPr>
          <w:rFonts w:eastAsiaTheme="minorHAnsi"/>
          <w:sz w:val="22"/>
          <w:szCs w:val="22"/>
          <w:lang w:val="tr-TR"/>
        </w:rPr>
        <w:t>Bakanlıkların kararsız kaldığı durumlarda IBRD finansmanının katacağı değerin ifade edilmesinde yaşanan zorluklar</w:t>
      </w:r>
      <w:r w:rsidR="00747261" w:rsidRPr="001A4B94">
        <w:rPr>
          <w:rFonts w:eastAsiaTheme="minorHAnsi"/>
          <w:sz w:val="22"/>
          <w:szCs w:val="22"/>
          <w:lang w:val="tr-TR"/>
        </w:rPr>
        <w:t xml:space="preserve">. </w:t>
      </w:r>
      <w:r w:rsidRPr="001A4B94">
        <w:rPr>
          <w:rFonts w:eastAsiaTheme="minorHAnsi"/>
          <w:sz w:val="22"/>
          <w:szCs w:val="22"/>
          <w:lang w:val="tr-TR"/>
        </w:rPr>
        <w:t xml:space="preserve">Bunun sebebi, bakanlıklardan birisinin ifade ettiği gibi, </w:t>
      </w:r>
      <w:r w:rsidR="00747261" w:rsidRPr="001A4B94">
        <w:rPr>
          <w:rFonts w:eastAsiaTheme="minorHAnsi"/>
          <w:sz w:val="22"/>
          <w:szCs w:val="22"/>
          <w:lang w:val="tr-TR"/>
        </w:rPr>
        <w:t xml:space="preserve">IBRD </w:t>
      </w:r>
      <w:r w:rsidRPr="001A4B94">
        <w:rPr>
          <w:rFonts w:eastAsiaTheme="minorHAnsi"/>
          <w:sz w:val="22"/>
          <w:szCs w:val="22"/>
          <w:lang w:val="tr-TR"/>
        </w:rPr>
        <w:t xml:space="preserve">kredisinin ilgili bakanlığın bütçesine reel olarak finansal bir katkıda bulunmamasıdır </w:t>
      </w:r>
      <w:r w:rsidR="00747261" w:rsidRPr="001A4B94">
        <w:rPr>
          <w:rFonts w:eastAsiaTheme="minorHAnsi"/>
          <w:sz w:val="22"/>
          <w:szCs w:val="22"/>
          <w:lang w:val="tr-TR"/>
        </w:rPr>
        <w:t xml:space="preserve">(IBRD </w:t>
      </w:r>
      <w:r w:rsidRPr="001A4B94">
        <w:rPr>
          <w:rFonts w:eastAsiaTheme="minorHAnsi"/>
          <w:sz w:val="22"/>
          <w:szCs w:val="22"/>
          <w:lang w:val="tr-TR"/>
        </w:rPr>
        <w:t>kredilerinin sa</w:t>
      </w:r>
      <w:r w:rsidR="00695C50" w:rsidRPr="001A4B94">
        <w:rPr>
          <w:rFonts w:eastAsiaTheme="minorHAnsi"/>
          <w:sz w:val="22"/>
          <w:szCs w:val="22"/>
          <w:lang w:val="tr-TR"/>
        </w:rPr>
        <w:t>ğ</w:t>
      </w:r>
      <w:r w:rsidRPr="001A4B94">
        <w:rPr>
          <w:rFonts w:eastAsiaTheme="minorHAnsi"/>
          <w:sz w:val="22"/>
          <w:szCs w:val="22"/>
          <w:lang w:val="tr-TR"/>
        </w:rPr>
        <w:t xml:space="preserve">ladığı kaynaklar genellikle </w:t>
      </w:r>
      <w:r w:rsidR="00AB6725" w:rsidRPr="001A4B94">
        <w:rPr>
          <w:rFonts w:eastAsiaTheme="minorHAnsi"/>
          <w:sz w:val="22"/>
          <w:szCs w:val="22"/>
          <w:lang w:val="tr-TR"/>
        </w:rPr>
        <w:t>Maliye Bakanlığı’nın kredi olmasaydı ilgili bakanlığa sağlayacağı bütçenin yerini almaktadır</w:t>
      </w:r>
      <w:r w:rsidR="00747261" w:rsidRPr="001A4B94">
        <w:rPr>
          <w:rFonts w:eastAsiaTheme="minorHAnsi"/>
          <w:sz w:val="22"/>
          <w:szCs w:val="22"/>
          <w:lang w:val="tr-TR"/>
        </w:rPr>
        <w:t>)</w:t>
      </w:r>
      <w:r w:rsidR="00AB6725" w:rsidRPr="001A4B94">
        <w:rPr>
          <w:rFonts w:eastAsiaTheme="minorHAnsi"/>
          <w:sz w:val="22"/>
          <w:szCs w:val="22"/>
          <w:lang w:val="tr-TR"/>
        </w:rPr>
        <w:t xml:space="preserve">. Öte yandan </w:t>
      </w:r>
      <w:r w:rsidR="00747261" w:rsidRPr="001A4B94">
        <w:rPr>
          <w:rFonts w:eastAsiaTheme="minorHAnsi"/>
          <w:sz w:val="22"/>
          <w:szCs w:val="22"/>
          <w:lang w:val="tr-TR"/>
        </w:rPr>
        <w:t xml:space="preserve"> IBRD </w:t>
      </w:r>
      <w:r w:rsidR="00AB6725" w:rsidRPr="001A4B94">
        <w:rPr>
          <w:rFonts w:eastAsiaTheme="minorHAnsi"/>
          <w:sz w:val="22"/>
          <w:szCs w:val="22"/>
          <w:lang w:val="tr-TR"/>
        </w:rPr>
        <w:t xml:space="preserve">finansmanı IBRD prosedürlerinin öğrenilmesi ve uygulanması bakımından sürece karmaşıklık katmaktadır. </w:t>
      </w:r>
    </w:p>
    <w:p w14:paraId="0A82EE6D" w14:textId="77777777" w:rsidR="00747261" w:rsidRPr="001A4B94" w:rsidRDefault="00747261" w:rsidP="00747261">
      <w:pPr>
        <w:spacing w:after="160"/>
        <w:ind w:left="360"/>
        <w:contextualSpacing/>
        <w:jc w:val="both"/>
        <w:rPr>
          <w:rFonts w:eastAsiaTheme="minorHAnsi"/>
          <w:sz w:val="22"/>
          <w:szCs w:val="22"/>
          <w:lang w:val="tr-TR"/>
        </w:rPr>
      </w:pPr>
    </w:p>
    <w:p w14:paraId="5C01904E" w14:textId="5389118B" w:rsidR="00747261" w:rsidRPr="001A4B94" w:rsidRDefault="004875EE" w:rsidP="00747261">
      <w:pPr>
        <w:spacing w:after="160"/>
        <w:contextualSpacing/>
        <w:jc w:val="both"/>
        <w:rPr>
          <w:rFonts w:eastAsiaTheme="minorHAnsi"/>
          <w:sz w:val="22"/>
          <w:szCs w:val="22"/>
          <w:lang w:val="tr-TR"/>
        </w:rPr>
      </w:pPr>
      <w:r w:rsidRPr="001A4B94">
        <w:rPr>
          <w:rFonts w:eastAsiaTheme="minorHAnsi"/>
          <w:sz w:val="22"/>
          <w:szCs w:val="22"/>
          <w:lang w:val="tr-TR"/>
        </w:rPr>
        <w:t xml:space="preserve">CPS dönemi içerisinde, </w:t>
      </w:r>
      <w:r w:rsidR="00D87DAC" w:rsidRPr="001A4B94">
        <w:rPr>
          <w:rFonts w:eastAsiaTheme="minorHAnsi"/>
          <w:sz w:val="22"/>
          <w:szCs w:val="22"/>
          <w:lang w:val="tr-TR"/>
        </w:rPr>
        <w:t xml:space="preserve">IBRD </w:t>
      </w:r>
      <w:r w:rsidRPr="001A4B94">
        <w:rPr>
          <w:rFonts w:eastAsiaTheme="minorHAnsi"/>
          <w:sz w:val="22"/>
          <w:szCs w:val="22"/>
          <w:lang w:val="tr-TR"/>
        </w:rPr>
        <w:t>finansmanın yanında bilgi ve uy</w:t>
      </w:r>
      <w:r w:rsidR="00D87DAC" w:rsidRPr="001A4B94">
        <w:rPr>
          <w:rFonts w:eastAsiaTheme="minorHAnsi"/>
          <w:sz w:val="22"/>
          <w:szCs w:val="22"/>
          <w:lang w:val="tr-TR"/>
        </w:rPr>
        <w:t>g</w:t>
      </w:r>
      <w:r w:rsidRPr="001A4B94">
        <w:rPr>
          <w:rFonts w:eastAsiaTheme="minorHAnsi"/>
          <w:sz w:val="22"/>
          <w:szCs w:val="22"/>
          <w:lang w:val="tr-TR"/>
        </w:rPr>
        <w:t>u</w:t>
      </w:r>
      <w:r w:rsidR="00D87DAC" w:rsidRPr="001A4B94">
        <w:rPr>
          <w:rFonts w:eastAsiaTheme="minorHAnsi"/>
          <w:sz w:val="22"/>
          <w:szCs w:val="22"/>
          <w:lang w:val="tr-TR"/>
        </w:rPr>
        <w:t xml:space="preserve">lama desteği de sağlayabildiği için </w:t>
      </w:r>
      <w:r w:rsidRPr="001A4B94">
        <w:rPr>
          <w:rFonts w:eastAsiaTheme="minorHAnsi"/>
          <w:sz w:val="22"/>
          <w:szCs w:val="22"/>
          <w:lang w:val="tr-TR"/>
        </w:rPr>
        <w:t xml:space="preserve">böyle bir ortaklığın özellikle etkili olabileceği durumlarda, </w:t>
      </w:r>
      <w:r w:rsidR="00747261" w:rsidRPr="001A4B94">
        <w:rPr>
          <w:rFonts w:eastAsiaTheme="minorHAnsi"/>
          <w:sz w:val="22"/>
          <w:szCs w:val="22"/>
          <w:lang w:val="tr-TR"/>
        </w:rPr>
        <w:t>IBRD</w:t>
      </w:r>
      <w:r w:rsidRPr="001A4B94">
        <w:rPr>
          <w:rFonts w:eastAsiaTheme="minorHAnsi"/>
          <w:sz w:val="22"/>
          <w:szCs w:val="22"/>
          <w:lang w:val="tr-TR"/>
        </w:rPr>
        <w:t xml:space="preserve"> </w:t>
      </w:r>
      <w:r w:rsidR="00D87DAC" w:rsidRPr="001A4B94">
        <w:rPr>
          <w:rFonts w:eastAsiaTheme="minorHAnsi"/>
          <w:sz w:val="22"/>
          <w:szCs w:val="22"/>
          <w:lang w:val="tr-TR"/>
        </w:rPr>
        <w:t>Banka’nın programında IPF kredilerinin payını arttırmayı amaçlamıştır</w:t>
      </w:r>
      <w:r w:rsidR="00747261" w:rsidRPr="001A4B94">
        <w:rPr>
          <w:rFonts w:eastAsiaTheme="minorHAnsi"/>
          <w:sz w:val="22"/>
          <w:szCs w:val="22"/>
          <w:lang w:val="tr-TR"/>
        </w:rPr>
        <w:t xml:space="preserve">. </w:t>
      </w:r>
      <w:r w:rsidRPr="001A4B94">
        <w:rPr>
          <w:rFonts w:eastAsiaTheme="minorHAnsi"/>
          <w:sz w:val="22"/>
          <w:szCs w:val="22"/>
          <w:lang w:val="tr-TR"/>
        </w:rPr>
        <w:t>Ancak</w:t>
      </w:r>
      <w:r w:rsidR="00747261" w:rsidRPr="001A4B94">
        <w:rPr>
          <w:rFonts w:eastAsiaTheme="minorHAnsi"/>
          <w:sz w:val="22"/>
          <w:szCs w:val="22"/>
          <w:lang w:val="tr-TR"/>
        </w:rPr>
        <w:t xml:space="preserve">, </w:t>
      </w:r>
      <w:r w:rsidRPr="001A4B94">
        <w:rPr>
          <w:rFonts w:eastAsiaTheme="minorHAnsi"/>
          <w:sz w:val="22"/>
          <w:szCs w:val="22"/>
          <w:lang w:val="tr-TR"/>
        </w:rPr>
        <w:t>IPF’lerin h</w:t>
      </w:r>
      <w:r w:rsidR="00E30608" w:rsidRPr="001A4B94">
        <w:rPr>
          <w:rFonts w:eastAsiaTheme="minorHAnsi"/>
          <w:sz w:val="22"/>
          <w:szCs w:val="22"/>
          <w:lang w:val="tr-TR"/>
        </w:rPr>
        <w:t>a</w:t>
      </w:r>
      <w:r w:rsidRPr="001A4B94">
        <w:rPr>
          <w:rFonts w:eastAsiaTheme="minorHAnsi"/>
          <w:sz w:val="22"/>
          <w:szCs w:val="22"/>
          <w:lang w:val="tr-TR"/>
        </w:rPr>
        <w:t xml:space="preserve">zırlanması zor bulunduğundan dolayı, </w:t>
      </w:r>
      <w:r w:rsidR="00747261" w:rsidRPr="001A4B94">
        <w:rPr>
          <w:rFonts w:eastAsiaTheme="minorHAnsi"/>
          <w:sz w:val="22"/>
          <w:szCs w:val="22"/>
          <w:lang w:val="tr-TR"/>
        </w:rPr>
        <w:t xml:space="preserve"> </w:t>
      </w:r>
      <w:r w:rsidRPr="001A4B94">
        <w:rPr>
          <w:rFonts w:eastAsiaTheme="minorHAnsi"/>
          <w:sz w:val="22"/>
          <w:szCs w:val="22"/>
          <w:lang w:val="tr-TR"/>
        </w:rPr>
        <w:t xml:space="preserve">Hükümet kredi hatlarını ve DPL’leri tercih etmeye devam etmiştir. Son sekiz yıllık dönemde yeni </w:t>
      </w:r>
      <w:r w:rsidR="00747261" w:rsidRPr="001A4B94">
        <w:rPr>
          <w:rFonts w:eastAsiaTheme="minorHAnsi"/>
          <w:sz w:val="22"/>
          <w:szCs w:val="22"/>
          <w:lang w:val="tr-TR"/>
        </w:rPr>
        <w:t xml:space="preserve">IPF </w:t>
      </w:r>
      <w:r w:rsidRPr="001A4B94">
        <w:rPr>
          <w:rFonts w:eastAsiaTheme="minorHAnsi"/>
          <w:sz w:val="22"/>
          <w:szCs w:val="22"/>
          <w:lang w:val="tr-TR"/>
        </w:rPr>
        <w:t>kredil</w:t>
      </w:r>
      <w:r w:rsidR="00300B2F" w:rsidRPr="001A4B94">
        <w:rPr>
          <w:rFonts w:eastAsiaTheme="minorHAnsi"/>
          <w:sz w:val="22"/>
          <w:szCs w:val="22"/>
          <w:lang w:val="tr-TR"/>
        </w:rPr>
        <w:t>e</w:t>
      </w:r>
      <w:r w:rsidRPr="001A4B94">
        <w:rPr>
          <w:rFonts w:eastAsiaTheme="minorHAnsi"/>
          <w:sz w:val="22"/>
          <w:szCs w:val="22"/>
          <w:lang w:val="tr-TR"/>
        </w:rPr>
        <w:t xml:space="preserve">ri daha çok IBRD’nin halihazırda aktif olduğu ve bilindiği sektörlerde ek finansman sağlama üzerinde yoğunlaşmıştır; çünkü </w:t>
      </w:r>
      <w:r w:rsidR="00300B2F" w:rsidRPr="001A4B94">
        <w:rPr>
          <w:rFonts w:eastAsiaTheme="minorHAnsi"/>
          <w:sz w:val="22"/>
          <w:szCs w:val="22"/>
          <w:lang w:val="tr-TR"/>
        </w:rPr>
        <w:t>bu koşullarda uygulama sorunlarının çoğu</w:t>
      </w:r>
      <w:r w:rsidR="00035E84" w:rsidRPr="001A4B94">
        <w:rPr>
          <w:rFonts w:eastAsiaTheme="minorHAnsi"/>
          <w:sz w:val="22"/>
          <w:szCs w:val="22"/>
          <w:lang w:val="tr-TR"/>
        </w:rPr>
        <w:t>nun</w:t>
      </w:r>
      <w:r w:rsidR="00300B2F" w:rsidRPr="001A4B94">
        <w:rPr>
          <w:rFonts w:eastAsiaTheme="minorHAnsi"/>
          <w:sz w:val="22"/>
          <w:szCs w:val="22"/>
          <w:lang w:val="tr-TR"/>
        </w:rPr>
        <w:t xml:space="preserve"> zaten çözülmüş olacağı düşünülmüştür.</w:t>
      </w:r>
      <w:r w:rsidR="00747261" w:rsidRPr="001A4B94">
        <w:rPr>
          <w:rFonts w:eastAsiaTheme="minorHAnsi"/>
          <w:sz w:val="22"/>
          <w:szCs w:val="22"/>
          <w:lang w:val="tr-TR"/>
        </w:rPr>
        <w:t xml:space="preserve"> </w:t>
      </w:r>
      <w:r w:rsidR="00300B2F" w:rsidRPr="001A4B94">
        <w:rPr>
          <w:rFonts w:eastAsiaTheme="minorHAnsi"/>
          <w:sz w:val="22"/>
          <w:szCs w:val="22"/>
          <w:lang w:val="tr-TR"/>
        </w:rPr>
        <w:t>Öte yandan</w:t>
      </w:r>
      <w:r w:rsidR="00747261" w:rsidRPr="001A4B94">
        <w:rPr>
          <w:rFonts w:eastAsiaTheme="minorHAnsi"/>
          <w:sz w:val="22"/>
          <w:szCs w:val="22"/>
          <w:lang w:val="tr-TR"/>
        </w:rPr>
        <w:t xml:space="preserve">, </w:t>
      </w:r>
      <w:r w:rsidR="00300B2F" w:rsidRPr="001A4B94">
        <w:rPr>
          <w:rFonts w:eastAsiaTheme="minorHAnsi"/>
          <w:sz w:val="22"/>
          <w:szCs w:val="22"/>
          <w:lang w:val="tr-TR"/>
        </w:rPr>
        <w:t>yeni finansman fırsatl</w:t>
      </w:r>
      <w:r w:rsidR="00E30608" w:rsidRPr="001A4B94">
        <w:rPr>
          <w:rFonts w:eastAsiaTheme="minorHAnsi"/>
          <w:sz w:val="22"/>
          <w:szCs w:val="22"/>
          <w:lang w:val="tr-TR"/>
        </w:rPr>
        <w:t>a</w:t>
      </w:r>
      <w:r w:rsidR="00300B2F" w:rsidRPr="001A4B94">
        <w:rPr>
          <w:rFonts w:eastAsiaTheme="minorHAnsi"/>
          <w:sz w:val="22"/>
          <w:szCs w:val="22"/>
          <w:lang w:val="tr-TR"/>
        </w:rPr>
        <w:t>rından yararlanma çabaları za</w:t>
      </w:r>
      <w:r w:rsidR="00E30608" w:rsidRPr="001A4B94">
        <w:rPr>
          <w:rFonts w:eastAsiaTheme="minorHAnsi"/>
          <w:sz w:val="22"/>
          <w:szCs w:val="22"/>
          <w:lang w:val="tr-TR"/>
        </w:rPr>
        <w:t>m</w:t>
      </w:r>
      <w:r w:rsidR="00300B2F" w:rsidRPr="001A4B94">
        <w:rPr>
          <w:rFonts w:eastAsiaTheme="minorHAnsi"/>
          <w:sz w:val="22"/>
          <w:szCs w:val="22"/>
          <w:lang w:val="tr-TR"/>
        </w:rPr>
        <w:t>an içinde çok sayıda güçlükle karşılaşmış ve çoğunlukla başarısızlıkla sonuçlanmıştır</w:t>
      </w:r>
      <w:r w:rsidR="00747261" w:rsidRPr="001A4B94">
        <w:rPr>
          <w:rFonts w:eastAsiaTheme="minorHAnsi"/>
          <w:sz w:val="22"/>
          <w:szCs w:val="22"/>
          <w:lang w:val="tr-TR"/>
        </w:rPr>
        <w:t xml:space="preserve">. </w:t>
      </w:r>
      <w:r w:rsidR="00300B2F" w:rsidRPr="001A4B94">
        <w:rPr>
          <w:rFonts w:eastAsiaTheme="minorHAnsi"/>
          <w:sz w:val="22"/>
          <w:szCs w:val="22"/>
          <w:lang w:val="tr-TR"/>
        </w:rPr>
        <w:t>Bazı durumlarda, IBRD’nin proje</w:t>
      </w:r>
      <w:r w:rsidR="00747261" w:rsidRPr="001A4B94">
        <w:rPr>
          <w:rFonts w:eastAsiaTheme="minorHAnsi"/>
          <w:sz w:val="22"/>
          <w:szCs w:val="22"/>
          <w:lang w:val="tr-TR"/>
        </w:rPr>
        <w:t xml:space="preserve"> </w:t>
      </w:r>
      <w:r w:rsidR="00300B2F" w:rsidRPr="001A4B94">
        <w:rPr>
          <w:rFonts w:eastAsiaTheme="minorHAnsi"/>
          <w:sz w:val="22"/>
          <w:szCs w:val="22"/>
          <w:lang w:val="tr-TR"/>
        </w:rPr>
        <w:t>h</w:t>
      </w:r>
      <w:r w:rsidR="00E30608" w:rsidRPr="001A4B94">
        <w:rPr>
          <w:rFonts w:eastAsiaTheme="minorHAnsi"/>
          <w:sz w:val="22"/>
          <w:szCs w:val="22"/>
          <w:lang w:val="tr-TR"/>
        </w:rPr>
        <w:t>a</w:t>
      </w:r>
      <w:r w:rsidR="00300B2F" w:rsidRPr="001A4B94">
        <w:rPr>
          <w:rFonts w:eastAsiaTheme="minorHAnsi"/>
          <w:sz w:val="22"/>
          <w:szCs w:val="22"/>
          <w:lang w:val="tr-TR"/>
        </w:rPr>
        <w:t>zırlık çalı</w:t>
      </w:r>
      <w:r w:rsidR="00E30608" w:rsidRPr="001A4B94">
        <w:rPr>
          <w:rFonts w:eastAsiaTheme="minorHAnsi"/>
          <w:sz w:val="22"/>
          <w:szCs w:val="22"/>
          <w:lang w:val="tr-TR"/>
        </w:rPr>
        <w:t>ş</w:t>
      </w:r>
      <w:r w:rsidR="00300B2F" w:rsidRPr="001A4B94">
        <w:rPr>
          <w:rFonts w:eastAsiaTheme="minorHAnsi"/>
          <w:sz w:val="22"/>
          <w:szCs w:val="22"/>
          <w:lang w:val="tr-TR"/>
        </w:rPr>
        <w:t xml:space="preserve">ması </w:t>
      </w:r>
      <w:r w:rsidR="00747261" w:rsidRPr="001A4B94">
        <w:rPr>
          <w:rFonts w:eastAsiaTheme="minorHAnsi"/>
          <w:sz w:val="22"/>
          <w:szCs w:val="22"/>
          <w:lang w:val="tr-TR"/>
        </w:rPr>
        <w:t>(</w:t>
      </w:r>
      <w:r w:rsidR="00300B2F" w:rsidRPr="001A4B94">
        <w:rPr>
          <w:rFonts w:eastAsiaTheme="minorHAnsi"/>
          <w:sz w:val="22"/>
          <w:szCs w:val="22"/>
          <w:lang w:val="tr-TR"/>
        </w:rPr>
        <w:t>durum tespiti, proje</w:t>
      </w:r>
      <w:r w:rsidR="00747261" w:rsidRPr="001A4B94">
        <w:rPr>
          <w:rFonts w:eastAsiaTheme="minorHAnsi"/>
          <w:sz w:val="22"/>
          <w:szCs w:val="22"/>
          <w:lang w:val="tr-TR"/>
        </w:rPr>
        <w:t xml:space="preserve"> </w:t>
      </w:r>
      <w:r w:rsidR="00300B2F" w:rsidRPr="001A4B94">
        <w:rPr>
          <w:rFonts w:eastAsiaTheme="minorHAnsi"/>
          <w:sz w:val="22"/>
          <w:szCs w:val="22"/>
          <w:lang w:val="tr-TR"/>
        </w:rPr>
        <w:t>tasarımı</w:t>
      </w:r>
      <w:r w:rsidR="00747261" w:rsidRPr="001A4B94">
        <w:rPr>
          <w:rFonts w:eastAsiaTheme="minorHAnsi"/>
          <w:sz w:val="22"/>
          <w:szCs w:val="22"/>
          <w:lang w:val="tr-TR"/>
        </w:rPr>
        <w:t xml:space="preserve">, </w:t>
      </w:r>
      <w:r w:rsidR="00300B2F" w:rsidRPr="001A4B94">
        <w:rPr>
          <w:rFonts w:eastAsiaTheme="minorHAnsi"/>
          <w:sz w:val="22"/>
          <w:szCs w:val="22"/>
          <w:lang w:val="tr-TR"/>
        </w:rPr>
        <w:t>vs</w:t>
      </w:r>
      <w:r w:rsidR="00747261" w:rsidRPr="001A4B94">
        <w:rPr>
          <w:rFonts w:eastAsiaTheme="minorHAnsi"/>
          <w:sz w:val="22"/>
          <w:szCs w:val="22"/>
          <w:lang w:val="tr-TR"/>
        </w:rPr>
        <w:t xml:space="preserve">.) </w:t>
      </w:r>
      <w:r w:rsidR="00300B2F" w:rsidRPr="001A4B94">
        <w:rPr>
          <w:rFonts w:eastAsiaTheme="minorHAnsi"/>
          <w:sz w:val="22"/>
          <w:szCs w:val="22"/>
          <w:lang w:val="tr-TR"/>
        </w:rPr>
        <w:t>başka uluslararası finansal kuruluşların ve ortakların fi</w:t>
      </w:r>
      <w:r w:rsidR="00E30608" w:rsidRPr="001A4B94">
        <w:rPr>
          <w:rFonts w:eastAsiaTheme="minorHAnsi"/>
          <w:sz w:val="22"/>
          <w:szCs w:val="22"/>
          <w:lang w:val="tr-TR"/>
        </w:rPr>
        <w:t>n</w:t>
      </w:r>
      <w:r w:rsidR="00300B2F" w:rsidRPr="001A4B94">
        <w:rPr>
          <w:rFonts w:eastAsiaTheme="minorHAnsi"/>
          <w:sz w:val="22"/>
          <w:szCs w:val="22"/>
          <w:lang w:val="tr-TR"/>
        </w:rPr>
        <w:t>ansman sa</w:t>
      </w:r>
      <w:r w:rsidR="00E30608" w:rsidRPr="001A4B94">
        <w:rPr>
          <w:rFonts w:eastAsiaTheme="minorHAnsi"/>
          <w:sz w:val="22"/>
          <w:szCs w:val="22"/>
          <w:lang w:val="tr-TR"/>
        </w:rPr>
        <w:t>ğ</w:t>
      </w:r>
      <w:r w:rsidR="00300B2F" w:rsidRPr="001A4B94">
        <w:rPr>
          <w:rFonts w:eastAsiaTheme="minorHAnsi"/>
          <w:sz w:val="22"/>
          <w:szCs w:val="22"/>
          <w:lang w:val="tr-TR"/>
        </w:rPr>
        <w:t>lamasının yolunu açmıştır. Bunda ise söz konusu ortakların Banka</w:t>
      </w:r>
      <w:r w:rsidR="00ED5255" w:rsidRPr="001A4B94">
        <w:rPr>
          <w:rFonts w:eastAsiaTheme="minorHAnsi"/>
          <w:sz w:val="22"/>
          <w:szCs w:val="22"/>
          <w:lang w:val="tr-TR"/>
        </w:rPr>
        <w:t>’nın</w:t>
      </w:r>
      <w:r w:rsidR="00300B2F" w:rsidRPr="001A4B94">
        <w:rPr>
          <w:rFonts w:eastAsiaTheme="minorHAnsi"/>
          <w:sz w:val="22"/>
          <w:szCs w:val="22"/>
          <w:lang w:val="tr-TR"/>
        </w:rPr>
        <w:t xml:space="preserve"> proje hazırlık </w:t>
      </w:r>
      <w:r w:rsidR="00ED5255" w:rsidRPr="001A4B94">
        <w:rPr>
          <w:rFonts w:eastAsiaTheme="minorHAnsi"/>
          <w:sz w:val="22"/>
          <w:szCs w:val="22"/>
          <w:lang w:val="tr-TR"/>
        </w:rPr>
        <w:t>çalı</w:t>
      </w:r>
      <w:r w:rsidR="00E30608" w:rsidRPr="001A4B94">
        <w:rPr>
          <w:rFonts w:eastAsiaTheme="minorHAnsi"/>
          <w:sz w:val="22"/>
          <w:szCs w:val="22"/>
          <w:lang w:val="tr-TR"/>
        </w:rPr>
        <w:t>ş</w:t>
      </w:r>
      <w:r w:rsidR="00ED5255" w:rsidRPr="001A4B94">
        <w:rPr>
          <w:rFonts w:eastAsiaTheme="minorHAnsi"/>
          <w:sz w:val="22"/>
          <w:szCs w:val="22"/>
          <w:lang w:val="tr-TR"/>
        </w:rPr>
        <w:t>mal</w:t>
      </w:r>
      <w:r w:rsidR="00E30608" w:rsidRPr="001A4B94">
        <w:rPr>
          <w:rFonts w:eastAsiaTheme="minorHAnsi"/>
          <w:sz w:val="22"/>
          <w:szCs w:val="22"/>
          <w:lang w:val="tr-TR"/>
        </w:rPr>
        <w:t>a</w:t>
      </w:r>
      <w:r w:rsidR="00ED5255" w:rsidRPr="001A4B94">
        <w:rPr>
          <w:rFonts w:eastAsiaTheme="minorHAnsi"/>
          <w:sz w:val="22"/>
          <w:szCs w:val="22"/>
          <w:lang w:val="tr-TR"/>
        </w:rPr>
        <w:t>rının özenine ve anlamlılığını bilmeleri ve Hükümet’in diğer UFK’ların finansman maliyetlerini daha düşük veya şartlarının daha uygun  bulması  etkili olmuştur</w:t>
      </w:r>
      <w:r w:rsidR="00747261" w:rsidRPr="001A4B94">
        <w:rPr>
          <w:rFonts w:eastAsiaTheme="minorHAnsi"/>
          <w:sz w:val="22"/>
          <w:szCs w:val="22"/>
          <w:lang w:val="tr-TR"/>
        </w:rPr>
        <w:t xml:space="preserve">.  </w:t>
      </w:r>
      <w:r w:rsidR="00ED5255" w:rsidRPr="001A4B94">
        <w:rPr>
          <w:rFonts w:eastAsiaTheme="minorHAnsi"/>
          <w:sz w:val="22"/>
          <w:szCs w:val="22"/>
          <w:lang w:val="tr-TR"/>
        </w:rPr>
        <w:t xml:space="preserve">Bu durum, her ne kadar bazen finansörler arasında yer alamasa da IBRD’nin  diğer kalkınma ortakları için önemli bir birleştirici rol oynadığı ve önemli bir kaldıraç etkisi yarattığı </w:t>
      </w:r>
      <w:r w:rsidR="00E30608" w:rsidRPr="001A4B94">
        <w:rPr>
          <w:rFonts w:eastAsiaTheme="minorHAnsi"/>
          <w:sz w:val="22"/>
          <w:szCs w:val="22"/>
          <w:lang w:val="tr-TR"/>
        </w:rPr>
        <w:t>anlamına gelmektedir.</w:t>
      </w:r>
      <w:r w:rsidR="00747261" w:rsidRPr="001A4B94">
        <w:rPr>
          <w:rFonts w:eastAsiaTheme="minorHAnsi"/>
          <w:sz w:val="22"/>
          <w:szCs w:val="22"/>
          <w:lang w:val="tr-TR"/>
        </w:rPr>
        <w:t xml:space="preserve">  </w:t>
      </w:r>
    </w:p>
    <w:p w14:paraId="4309EFD4" w14:textId="77777777" w:rsidR="00747261" w:rsidRPr="001A4B94" w:rsidRDefault="00747261" w:rsidP="00747261">
      <w:pPr>
        <w:spacing w:after="160"/>
        <w:ind w:left="360"/>
        <w:contextualSpacing/>
        <w:jc w:val="both"/>
        <w:rPr>
          <w:rFonts w:eastAsiaTheme="minorHAnsi"/>
          <w:b/>
          <w:sz w:val="22"/>
          <w:szCs w:val="22"/>
          <w:lang w:val="tr-TR"/>
        </w:rPr>
      </w:pPr>
    </w:p>
    <w:p w14:paraId="6F427CA4" w14:textId="4E42837D" w:rsidR="00747261" w:rsidRPr="001A4B94" w:rsidRDefault="00A04866" w:rsidP="00C24F8F">
      <w:pPr>
        <w:numPr>
          <w:ilvl w:val="0"/>
          <w:numId w:val="21"/>
        </w:numPr>
        <w:spacing w:before="120"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E30608" w:rsidRPr="001A4B94">
        <w:rPr>
          <w:rFonts w:eastAsiaTheme="minorHAnsi"/>
          <w:b/>
          <w:sz w:val="22"/>
          <w:szCs w:val="22"/>
          <w:lang w:val="tr-TR"/>
        </w:rPr>
        <w:t xml:space="preserve">CPS dönemi sırasında, </w:t>
      </w:r>
      <w:r w:rsidR="00747261" w:rsidRPr="001A4B94">
        <w:rPr>
          <w:rFonts w:eastAsiaTheme="minorHAnsi"/>
          <w:b/>
          <w:sz w:val="22"/>
          <w:szCs w:val="22"/>
          <w:lang w:val="tr-TR"/>
        </w:rPr>
        <w:t xml:space="preserve"> IFC </w:t>
      </w:r>
      <w:r w:rsidR="00E30608" w:rsidRPr="001A4B94">
        <w:rPr>
          <w:rFonts w:eastAsiaTheme="minorHAnsi"/>
          <w:b/>
          <w:sz w:val="22"/>
          <w:szCs w:val="22"/>
          <w:lang w:val="tr-TR"/>
        </w:rPr>
        <w:t>4,55 milyar ABD$ gibi rekor düzeyde bir yatırım yapmıştır; bunun 3,58 milyar ABD$’lık bölümü kendi hesabına yapılan yatırımdır, 793 mily</w:t>
      </w:r>
      <w:r w:rsidR="00EB2D26" w:rsidRPr="001A4B94">
        <w:rPr>
          <w:rFonts w:eastAsiaTheme="minorHAnsi"/>
          <w:b/>
          <w:sz w:val="22"/>
          <w:szCs w:val="22"/>
          <w:lang w:val="tr-TR"/>
        </w:rPr>
        <w:t>o</w:t>
      </w:r>
      <w:r w:rsidR="00E30608" w:rsidRPr="001A4B94">
        <w:rPr>
          <w:rFonts w:eastAsiaTheme="minorHAnsi"/>
          <w:b/>
          <w:sz w:val="22"/>
          <w:szCs w:val="22"/>
          <w:lang w:val="tr-TR"/>
        </w:rPr>
        <w:t>n ABD$’ık bölümü ise harekete geçirdiği yatırımdır</w:t>
      </w:r>
      <w:r w:rsidR="00747261" w:rsidRPr="001A4B94">
        <w:rPr>
          <w:rFonts w:eastAsiaTheme="minorHAnsi"/>
          <w:b/>
          <w:sz w:val="22"/>
          <w:szCs w:val="22"/>
          <w:lang w:val="tr-TR"/>
        </w:rPr>
        <w:t xml:space="preserve">. </w:t>
      </w:r>
      <w:r w:rsidR="00747261" w:rsidRPr="001A4B94">
        <w:rPr>
          <w:rFonts w:eastAsiaTheme="minorHAnsi"/>
          <w:sz w:val="22"/>
          <w:szCs w:val="22"/>
          <w:lang w:val="tr-TR"/>
        </w:rPr>
        <w:t xml:space="preserve">CPS </w:t>
      </w:r>
      <w:r w:rsidR="00E30608" w:rsidRPr="001A4B94">
        <w:rPr>
          <w:rFonts w:eastAsiaTheme="minorHAnsi"/>
          <w:sz w:val="22"/>
          <w:szCs w:val="22"/>
          <w:lang w:val="tr-TR"/>
        </w:rPr>
        <w:t>döneminde</w:t>
      </w:r>
      <w:r w:rsidR="00747261" w:rsidRPr="001A4B94">
        <w:rPr>
          <w:rFonts w:eastAsiaTheme="minorHAnsi"/>
          <w:sz w:val="22"/>
          <w:szCs w:val="22"/>
          <w:lang w:val="tr-TR"/>
        </w:rPr>
        <w:t xml:space="preserve">, </w:t>
      </w:r>
      <w:r w:rsidR="00E30608" w:rsidRPr="001A4B94">
        <w:rPr>
          <w:rFonts w:eastAsiaTheme="minorHAnsi"/>
          <w:sz w:val="22"/>
          <w:szCs w:val="22"/>
          <w:lang w:val="tr-TR"/>
        </w:rPr>
        <w:t>harekete ge</w:t>
      </w:r>
      <w:r w:rsidR="00EB2D26" w:rsidRPr="001A4B94">
        <w:rPr>
          <w:rFonts w:eastAsiaTheme="minorHAnsi"/>
          <w:sz w:val="22"/>
          <w:szCs w:val="22"/>
          <w:lang w:val="tr-TR"/>
        </w:rPr>
        <w:t>çirdiğ</w:t>
      </w:r>
      <w:r w:rsidR="00E30608" w:rsidRPr="001A4B94">
        <w:rPr>
          <w:rFonts w:eastAsiaTheme="minorHAnsi"/>
          <w:sz w:val="22"/>
          <w:szCs w:val="22"/>
          <w:lang w:val="tr-TR"/>
        </w:rPr>
        <w:t>i</w:t>
      </w:r>
      <w:r w:rsidR="00EB2D26" w:rsidRPr="001A4B94">
        <w:rPr>
          <w:rFonts w:eastAsiaTheme="minorHAnsi"/>
          <w:sz w:val="22"/>
          <w:szCs w:val="22"/>
          <w:lang w:val="tr-TR"/>
        </w:rPr>
        <w:t xml:space="preserve"> </w:t>
      </w:r>
      <w:r w:rsidR="00E30608" w:rsidRPr="001A4B94">
        <w:rPr>
          <w:rFonts w:eastAsiaTheme="minorHAnsi"/>
          <w:sz w:val="22"/>
          <w:szCs w:val="22"/>
          <w:lang w:val="tr-TR"/>
        </w:rPr>
        <w:t>finans</w:t>
      </w:r>
      <w:r w:rsidR="00EB2D26" w:rsidRPr="001A4B94">
        <w:rPr>
          <w:rFonts w:eastAsiaTheme="minorHAnsi"/>
          <w:sz w:val="22"/>
          <w:szCs w:val="22"/>
          <w:lang w:val="tr-TR"/>
        </w:rPr>
        <w:t>m</w:t>
      </w:r>
      <w:r w:rsidR="00E30608" w:rsidRPr="001A4B94">
        <w:rPr>
          <w:rFonts w:eastAsiaTheme="minorHAnsi"/>
          <w:sz w:val="22"/>
          <w:szCs w:val="22"/>
          <w:lang w:val="tr-TR"/>
        </w:rPr>
        <w:t xml:space="preserve">an da dahil olmak üzere </w:t>
      </w:r>
      <w:r w:rsidR="00747261" w:rsidRPr="001A4B94">
        <w:rPr>
          <w:rFonts w:eastAsiaTheme="minorHAnsi"/>
          <w:sz w:val="22"/>
          <w:szCs w:val="22"/>
          <w:lang w:val="tr-TR"/>
        </w:rPr>
        <w:t>IFC`</w:t>
      </w:r>
      <w:r w:rsidR="00E30608" w:rsidRPr="001A4B94">
        <w:rPr>
          <w:rFonts w:eastAsiaTheme="minorHAnsi"/>
          <w:sz w:val="22"/>
          <w:szCs w:val="22"/>
          <w:lang w:val="tr-TR"/>
        </w:rPr>
        <w:t xml:space="preserve">nin </w:t>
      </w:r>
      <w:r w:rsidR="00747261" w:rsidRPr="001A4B94">
        <w:rPr>
          <w:rFonts w:eastAsiaTheme="minorHAnsi"/>
          <w:sz w:val="22"/>
          <w:szCs w:val="22"/>
          <w:lang w:val="tr-TR"/>
        </w:rPr>
        <w:t xml:space="preserve"> </w:t>
      </w:r>
      <w:r w:rsidR="00E30608" w:rsidRPr="001A4B94">
        <w:rPr>
          <w:rFonts w:eastAsiaTheme="minorHAnsi"/>
          <w:sz w:val="22"/>
          <w:szCs w:val="22"/>
          <w:lang w:val="tr-TR"/>
        </w:rPr>
        <w:t>sağl</w:t>
      </w:r>
      <w:r w:rsidR="00EB2D26" w:rsidRPr="001A4B94">
        <w:rPr>
          <w:rFonts w:eastAsiaTheme="minorHAnsi"/>
          <w:sz w:val="22"/>
          <w:szCs w:val="22"/>
          <w:lang w:val="tr-TR"/>
        </w:rPr>
        <w:t>a</w:t>
      </w:r>
      <w:r w:rsidR="00E30608" w:rsidRPr="001A4B94">
        <w:rPr>
          <w:rFonts w:eastAsiaTheme="minorHAnsi"/>
          <w:sz w:val="22"/>
          <w:szCs w:val="22"/>
          <w:lang w:val="tr-TR"/>
        </w:rPr>
        <w:t>dığı finansman 84 projeye tahsis edilmiştir</w:t>
      </w:r>
      <w:r w:rsidR="00747261" w:rsidRPr="001A4B94">
        <w:rPr>
          <w:rFonts w:eastAsiaTheme="minorHAnsi"/>
          <w:sz w:val="22"/>
          <w:szCs w:val="22"/>
          <w:vertAlign w:val="superscript"/>
          <w:lang w:val="tr-TR"/>
        </w:rPr>
        <w:footnoteReference w:id="9"/>
      </w:r>
      <w:r w:rsidR="00E30608" w:rsidRPr="001A4B94">
        <w:rPr>
          <w:rFonts w:eastAsiaTheme="minorHAnsi"/>
          <w:sz w:val="22"/>
          <w:szCs w:val="22"/>
          <w:lang w:val="tr-TR"/>
        </w:rPr>
        <w:t>; bunlar enerji</w:t>
      </w:r>
      <w:r w:rsidR="00747261" w:rsidRPr="001A4B94">
        <w:rPr>
          <w:rFonts w:eastAsiaTheme="minorHAnsi"/>
          <w:sz w:val="22"/>
          <w:szCs w:val="22"/>
          <w:lang w:val="tr-TR"/>
        </w:rPr>
        <w:t xml:space="preserve">, </w:t>
      </w:r>
      <w:r w:rsidR="00E30608" w:rsidRPr="001A4B94">
        <w:rPr>
          <w:rFonts w:eastAsiaTheme="minorHAnsi"/>
          <w:sz w:val="22"/>
          <w:szCs w:val="22"/>
          <w:lang w:val="tr-TR"/>
        </w:rPr>
        <w:t>belediye ve ulaşım altya</w:t>
      </w:r>
      <w:r w:rsidR="00EB2D26" w:rsidRPr="001A4B94">
        <w:rPr>
          <w:rFonts w:eastAsiaTheme="minorHAnsi"/>
          <w:sz w:val="22"/>
          <w:szCs w:val="22"/>
          <w:lang w:val="tr-TR"/>
        </w:rPr>
        <w:t>p</w:t>
      </w:r>
      <w:r w:rsidR="00E30608" w:rsidRPr="001A4B94">
        <w:rPr>
          <w:rFonts w:eastAsiaTheme="minorHAnsi"/>
          <w:sz w:val="22"/>
          <w:szCs w:val="22"/>
          <w:lang w:val="tr-TR"/>
        </w:rPr>
        <w:t>ısı</w:t>
      </w:r>
      <w:r w:rsidR="00747261" w:rsidRPr="001A4B94">
        <w:rPr>
          <w:rFonts w:eastAsiaTheme="minorHAnsi"/>
          <w:sz w:val="22"/>
          <w:szCs w:val="22"/>
          <w:lang w:val="tr-TR"/>
        </w:rPr>
        <w:t xml:space="preserve">, </w:t>
      </w:r>
      <w:r w:rsidR="00E30608" w:rsidRPr="001A4B94">
        <w:rPr>
          <w:rFonts w:eastAsiaTheme="minorHAnsi"/>
          <w:sz w:val="22"/>
          <w:szCs w:val="22"/>
          <w:lang w:val="tr-TR"/>
        </w:rPr>
        <w:t xml:space="preserve">finansal kurumlar </w:t>
      </w:r>
      <w:r w:rsidR="00747261" w:rsidRPr="001A4B94">
        <w:rPr>
          <w:rFonts w:eastAsiaTheme="minorHAnsi"/>
          <w:sz w:val="22"/>
          <w:szCs w:val="22"/>
          <w:lang w:val="tr-TR"/>
        </w:rPr>
        <w:t>(</w:t>
      </w:r>
      <w:r w:rsidR="00E30608" w:rsidRPr="001A4B94">
        <w:rPr>
          <w:rFonts w:eastAsiaTheme="minorHAnsi"/>
          <w:sz w:val="22"/>
          <w:szCs w:val="22"/>
          <w:lang w:val="tr-TR"/>
        </w:rPr>
        <w:t>özellikle enerji verimliliği üzer</w:t>
      </w:r>
      <w:r w:rsidR="00EB2D26" w:rsidRPr="001A4B94">
        <w:rPr>
          <w:rFonts w:eastAsiaTheme="minorHAnsi"/>
          <w:sz w:val="22"/>
          <w:szCs w:val="22"/>
          <w:lang w:val="tr-TR"/>
        </w:rPr>
        <w:t>ind</w:t>
      </w:r>
      <w:r w:rsidR="00E30608" w:rsidRPr="001A4B94">
        <w:rPr>
          <w:rFonts w:eastAsiaTheme="minorHAnsi"/>
          <w:sz w:val="22"/>
          <w:szCs w:val="22"/>
          <w:lang w:val="tr-TR"/>
        </w:rPr>
        <w:t>e yoğunlaşanlar</w:t>
      </w:r>
      <w:r w:rsidR="00747261" w:rsidRPr="001A4B94">
        <w:rPr>
          <w:rFonts w:eastAsiaTheme="minorHAnsi"/>
          <w:sz w:val="22"/>
          <w:szCs w:val="22"/>
          <w:lang w:val="tr-TR"/>
        </w:rPr>
        <w:t xml:space="preserve">), </w:t>
      </w:r>
      <w:r w:rsidR="00E30608" w:rsidRPr="001A4B94">
        <w:rPr>
          <w:rFonts w:eastAsiaTheme="minorHAnsi"/>
          <w:sz w:val="22"/>
          <w:szCs w:val="22"/>
          <w:lang w:val="tr-TR"/>
        </w:rPr>
        <w:t xml:space="preserve">KOBİ’ler ve kadın girişimciler için </w:t>
      </w:r>
      <w:r w:rsidR="00E30608" w:rsidRPr="001A4B94">
        <w:rPr>
          <w:rFonts w:eastAsiaTheme="minorHAnsi"/>
          <w:sz w:val="22"/>
          <w:szCs w:val="22"/>
          <w:lang w:val="tr-TR"/>
        </w:rPr>
        <w:lastRenderedPageBreak/>
        <w:t>fi</w:t>
      </w:r>
      <w:r w:rsidR="00EB2D26" w:rsidRPr="001A4B94">
        <w:rPr>
          <w:rFonts w:eastAsiaTheme="minorHAnsi"/>
          <w:sz w:val="22"/>
          <w:szCs w:val="22"/>
          <w:lang w:val="tr-TR"/>
        </w:rPr>
        <w:t>n</w:t>
      </w:r>
      <w:r w:rsidR="00E30608" w:rsidRPr="001A4B94">
        <w:rPr>
          <w:rFonts w:eastAsiaTheme="minorHAnsi"/>
          <w:sz w:val="22"/>
          <w:szCs w:val="22"/>
          <w:lang w:val="tr-TR"/>
        </w:rPr>
        <w:t>ansmana erişim</w:t>
      </w:r>
      <w:r w:rsidR="00747261" w:rsidRPr="001A4B94">
        <w:rPr>
          <w:rFonts w:eastAsiaTheme="minorHAnsi"/>
          <w:sz w:val="22"/>
          <w:szCs w:val="22"/>
          <w:lang w:val="tr-TR"/>
        </w:rPr>
        <w:t xml:space="preserve">, </w:t>
      </w:r>
      <w:r w:rsidR="00EB2D26" w:rsidRPr="001A4B94">
        <w:rPr>
          <w:rFonts w:eastAsiaTheme="minorHAnsi"/>
          <w:sz w:val="22"/>
          <w:szCs w:val="22"/>
          <w:lang w:val="tr-TR"/>
        </w:rPr>
        <w:t>sermaye piyas</w:t>
      </w:r>
      <w:r w:rsidR="00E30608" w:rsidRPr="001A4B94">
        <w:rPr>
          <w:rFonts w:eastAsiaTheme="minorHAnsi"/>
          <w:sz w:val="22"/>
          <w:szCs w:val="22"/>
          <w:lang w:val="tr-TR"/>
        </w:rPr>
        <w:t>alarının derinleştirilmesi</w:t>
      </w:r>
      <w:r w:rsidR="00747261" w:rsidRPr="001A4B94">
        <w:rPr>
          <w:rFonts w:eastAsiaTheme="minorHAnsi"/>
          <w:sz w:val="22"/>
          <w:szCs w:val="22"/>
          <w:lang w:val="tr-TR"/>
        </w:rPr>
        <w:t xml:space="preserve">, </w:t>
      </w:r>
      <w:r w:rsidR="00EB2D26" w:rsidRPr="001A4B94">
        <w:rPr>
          <w:rFonts w:eastAsiaTheme="minorHAnsi"/>
          <w:sz w:val="22"/>
          <w:szCs w:val="22"/>
          <w:lang w:val="tr-TR"/>
        </w:rPr>
        <w:t>özel sağlık ve eğitim hizmetleri</w:t>
      </w:r>
      <w:r w:rsidR="00747261" w:rsidRPr="001A4B94">
        <w:rPr>
          <w:rFonts w:eastAsiaTheme="minorHAnsi"/>
          <w:sz w:val="22"/>
          <w:szCs w:val="22"/>
          <w:lang w:val="tr-TR"/>
        </w:rPr>
        <w:t xml:space="preserve">, </w:t>
      </w:r>
      <w:r w:rsidR="00EB2D26" w:rsidRPr="001A4B94">
        <w:rPr>
          <w:rFonts w:eastAsiaTheme="minorHAnsi"/>
          <w:sz w:val="22"/>
          <w:szCs w:val="22"/>
          <w:lang w:val="tr-TR"/>
        </w:rPr>
        <w:t>Türk şirketlerinin rekabetçiliklerinin yükseltilmesi ve diğer yükselen piyasalara açılmaları üzerinde odaklanmıştır</w:t>
      </w:r>
      <w:r w:rsidR="00747261" w:rsidRPr="001A4B94">
        <w:rPr>
          <w:rFonts w:eastAsiaTheme="minorHAnsi"/>
          <w:sz w:val="22"/>
          <w:szCs w:val="22"/>
          <w:lang w:val="tr-TR"/>
        </w:rPr>
        <w:t xml:space="preserve">. </w:t>
      </w:r>
      <w:r w:rsidR="00DB1A1B" w:rsidRPr="001A4B94">
        <w:rPr>
          <w:rFonts w:eastAsiaTheme="minorHAnsi"/>
          <w:sz w:val="22"/>
          <w:szCs w:val="22"/>
          <w:lang w:val="tr-TR"/>
        </w:rPr>
        <w:t>IFC yatırımları yoluyla daha uzun vadeli, daha yüksek çevresel ve sosyal standartlar sunan</w:t>
      </w:r>
      <w:r w:rsidR="00747261" w:rsidRPr="001A4B94">
        <w:rPr>
          <w:rFonts w:eastAsiaTheme="minorHAnsi"/>
          <w:sz w:val="22"/>
          <w:szCs w:val="22"/>
          <w:lang w:val="tr-TR"/>
        </w:rPr>
        <w:t xml:space="preserve">, </w:t>
      </w:r>
      <w:r w:rsidR="00DB1A1B" w:rsidRPr="001A4B94">
        <w:rPr>
          <w:rFonts w:eastAsiaTheme="minorHAnsi"/>
          <w:sz w:val="22"/>
          <w:szCs w:val="22"/>
          <w:lang w:val="tr-TR"/>
        </w:rPr>
        <w:t>daha iyi kurumsal yönetişim hizmetleri ve küresel bilgiler sunabilmiştir</w:t>
      </w:r>
      <w:r w:rsidR="00747261" w:rsidRPr="001A4B94">
        <w:rPr>
          <w:rFonts w:eastAsiaTheme="minorHAnsi"/>
          <w:sz w:val="22"/>
          <w:szCs w:val="22"/>
          <w:lang w:val="tr-TR"/>
        </w:rPr>
        <w:t xml:space="preserve">. </w:t>
      </w:r>
      <w:r w:rsidR="00DB1A1B" w:rsidRPr="001A4B94">
        <w:rPr>
          <w:rFonts w:eastAsiaTheme="minorHAnsi"/>
          <w:sz w:val="22"/>
          <w:szCs w:val="22"/>
          <w:lang w:val="tr-TR"/>
        </w:rPr>
        <w:t>Bu güçlü performans hem yeni hem de mevcut müşterilere giderek artan düzeylerde finansman temininin bir sonucu olmuştur</w:t>
      </w:r>
      <w:r w:rsidR="00747261" w:rsidRPr="001A4B94">
        <w:rPr>
          <w:rFonts w:eastAsiaTheme="minorHAnsi"/>
          <w:sz w:val="22"/>
          <w:szCs w:val="22"/>
          <w:lang w:val="tr-TR"/>
        </w:rPr>
        <w:t xml:space="preserve">. </w:t>
      </w:r>
      <w:r w:rsidR="00DB1A1B" w:rsidRPr="001A4B94">
        <w:rPr>
          <w:rFonts w:eastAsiaTheme="minorHAnsi"/>
          <w:sz w:val="22"/>
          <w:szCs w:val="22"/>
          <w:lang w:val="tr-TR"/>
        </w:rPr>
        <w:t xml:space="preserve">IFC, izlediği stratejiye uygun olarak </w:t>
      </w:r>
      <w:r w:rsidR="00747261" w:rsidRPr="001A4B94">
        <w:rPr>
          <w:rFonts w:eastAsiaTheme="minorHAnsi"/>
          <w:sz w:val="22"/>
          <w:szCs w:val="22"/>
          <w:lang w:val="tr-TR"/>
        </w:rPr>
        <w:t xml:space="preserve"> </w:t>
      </w:r>
      <w:r w:rsidR="002A04B5" w:rsidRPr="001A4B94">
        <w:rPr>
          <w:rFonts w:eastAsiaTheme="minorHAnsi"/>
          <w:sz w:val="22"/>
          <w:szCs w:val="22"/>
          <w:lang w:val="tr-TR"/>
        </w:rPr>
        <w:t>danışmanlık hizmetleri yardımlarını şirket düzeyinde odaklandırmıştır ve hem bekleyen proje şirketlerini hem de portföy şirketlerini desteklemiştir</w:t>
      </w:r>
      <w:r w:rsidR="00747261" w:rsidRPr="001A4B94">
        <w:rPr>
          <w:rFonts w:eastAsiaTheme="minorHAnsi"/>
          <w:sz w:val="22"/>
          <w:szCs w:val="22"/>
          <w:lang w:val="tr-TR"/>
        </w:rPr>
        <w:t xml:space="preserve">. </w:t>
      </w:r>
    </w:p>
    <w:p w14:paraId="64B49D9B" w14:textId="77777777" w:rsidR="00747261" w:rsidRPr="001A4B94" w:rsidRDefault="00747261" w:rsidP="00747261">
      <w:pPr>
        <w:spacing w:before="120" w:after="160"/>
        <w:ind w:left="360"/>
        <w:contextualSpacing/>
        <w:jc w:val="both"/>
        <w:rPr>
          <w:rFonts w:eastAsiaTheme="minorHAnsi"/>
          <w:sz w:val="22"/>
          <w:szCs w:val="22"/>
          <w:lang w:val="tr-TR"/>
        </w:rPr>
      </w:pPr>
    </w:p>
    <w:p w14:paraId="000F313C" w14:textId="2385E2EE" w:rsidR="00747261" w:rsidRPr="001A4B94" w:rsidRDefault="00A04866" w:rsidP="00C24F8F">
      <w:pPr>
        <w:numPr>
          <w:ilvl w:val="0"/>
          <w:numId w:val="21"/>
        </w:numPr>
        <w:spacing w:before="120" w:after="160" w:line="259" w:lineRule="auto"/>
        <w:contextualSpacing/>
        <w:jc w:val="both"/>
        <w:rPr>
          <w:rFonts w:eastAsiaTheme="minorHAnsi"/>
          <w:iCs/>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MIGA</w:t>
      </w:r>
      <w:r w:rsidR="002A04B5" w:rsidRPr="001A4B94">
        <w:rPr>
          <w:rFonts w:eastAsiaTheme="minorHAnsi"/>
          <w:b/>
          <w:sz w:val="22"/>
          <w:szCs w:val="22"/>
          <w:lang w:val="tr-TR"/>
        </w:rPr>
        <w:t xml:space="preserve">’nın garantilerine ilişkin risk toplamı 2013 ile 2016 mali yılları arasında 458 milyon ABD$’dan 1 milyar 695 milyon ABD$’na yükselmiştir. </w:t>
      </w:r>
      <w:r w:rsidR="00747261" w:rsidRPr="001A4B94">
        <w:rPr>
          <w:rFonts w:eastAsiaTheme="minorHAnsi"/>
          <w:sz w:val="22"/>
          <w:szCs w:val="22"/>
          <w:lang w:val="tr-TR"/>
        </w:rPr>
        <w:t xml:space="preserve">MIGA </w:t>
      </w:r>
      <w:r w:rsidR="002A04B5" w:rsidRPr="001A4B94">
        <w:rPr>
          <w:rFonts w:eastAsiaTheme="minorHAnsi"/>
          <w:sz w:val="22"/>
          <w:szCs w:val="22"/>
          <w:lang w:val="tr-TR"/>
        </w:rPr>
        <w:t>müdahaleleri ekonominin stratejik alanlarını (sağlık, finansal sektör ve ulaştırma sektörü gibi) destekleyici dış kaynaklı özel finansmanın harekete geçirilmesine yardımcı olmuştur</w:t>
      </w:r>
      <w:r w:rsidR="00747261" w:rsidRPr="001A4B94">
        <w:rPr>
          <w:rFonts w:eastAsiaTheme="minorHAnsi"/>
          <w:sz w:val="22"/>
          <w:szCs w:val="22"/>
          <w:lang w:val="tr-TR"/>
        </w:rPr>
        <w:t>. T</w:t>
      </w:r>
      <w:r w:rsidR="008C1149" w:rsidRPr="001A4B94">
        <w:rPr>
          <w:rFonts w:eastAsiaTheme="minorHAnsi"/>
          <w:sz w:val="22"/>
          <w:szCs w:val="22"/>
          <w:lang w:val="tr-TR"/>
        </w:rPr>
        <w:t>ürkiy</w:t>
      </w:r>
      <w:r w:rsidR="00BA02FC" w:rsidRPr="001A4B94">
        <w:rPr>
          <w:rFonts w:eastAsiaTheme="minorHAnsi"/>
          <w:sz w:val="22"/>
          <w:szCs w:val="22"/>
          <w:lang w:val="tr-TR"/>
        </w:rPr>
        <w:t>e MIGA’</w:t>
      </w:r>
      <w:r w:rsidR="008C1149" w:rsidRPr="001A4B94">
        <w:rPr>
          <w:rFonts w:eastAsiaTheme="minorHAnsi"/>
          <w:sz w:val="22"/>
          <w:szCs w:val="22"/>
          <w:lang w:val="tr-TR"/>
        </w:rPr>
        <w:t>n</w:t>
      </w:r>
      <w:r w:rsidR="00BA02FC" w:rsidRPr="001A4B94">
        <w:rPr>
          <w:rFonts w:eastAsiaTheme="minorHAnsi"/>
          <w:sz w:val="22"/>
          <w:szCs w:val="22"/>
          <w:lang w:val="tr-TR"/>
        </w:rPr>
        <w:t>ı</w:t>
      </w:r>
      <w:r w:rsidR="008C1149" w:rsidRPr="001A4B94">
        <w:rPr>
          <w:rFonts w:eastAsiaTheme="minorHAnsi"/>
          <w:sz w:val="22"/>
          <w:szCs w:val="22"/>
          <w:lang w:val="tr-TR"/>
        </w:rPr>
        <w:t>n en yüksek risk toplamına sahip ülkesidir</w:t>
      </w:r>
      <w:r w:rsidR="00747261" w:rsidRPr="001A4B94">
        <w:rPr>
          <w:rFonts w:eastAsiaTheme="minorHAnsi"/>
          <w:sz w:val="22"/>
          <w:szCs w:val="22"/>
          <w:lang w:val="tr-TR"/>
        </w:rPr>
        <w:t xml:space="preserve">; </w:t>
      </w:r>
      <w:r w:rsidR="008C1149" w:rsidRPr="001A4B94">
        <w:rPr>
          <w:rFonts w:eastAsiaTheme="minorHAnsi"/>
          <w:sz w:val="22"/>
          <w:szCs w:val="22"/>
          <w:lang w:val="tr-TR"/>
        </w:rPr>
        <w:t>ürün bileşimi geleneksel siyasi risk sigortasından krediler için sağlanan ödenmeme riski teminatlarına kadar çeşitlilik göstermektedir.</w:t>
      </w:r>
      <w:r w:rsidR="00747261" w:rsidRPr="001A4B94">
        <w:rPr>
          <w:rFonts w:eastAsiaTheme="minorHAnsi"/>
          <w:sz w:val="22"/>
          <w:szCs w:val="22"/>
          <w:lang w:val="tr-TR"/>
        </w:rPr>
        <w:t xml:space="preserve"> </w:t>
      </w:r>
      <w:r w:rsidR="00747261" w:rsidRPr="001A4B94">
        <w:rPr>
          <w:rFonts w:eastAsiaTheme="minorHAnsi"/>
          <w:iCs/>
          <w:sz w:val="22"/>
          <w:szCs w:val="22"/>
          <w:lang w:val="tr-TR"/>
        </w:rPr>
        <w:t>IFC</w:t>
      </w:r>
      <w:r w:rsidR="008C1149" w:rsidRPr="001A4B94">
        <w:rPr>
          <w:rFonts w:eastAsiaTheme="minorHAnsi"/>
          <w:iCs/>
          <w:sz w:val="22"/>
          <w:szCs w:val="22"/>
          <w:lang w:val="tr-TR"/>
        </w:rPr>
        <w:t xml:space="preserve"> ile </w:t>
      </w:r>
      <w:r w:rsidR="00747261" w:rsidRPr="001A4B94">
        <w:rPr>
          <w:rFonts w:eastAsiaTheme="minorHAnsi"/>
          <w:iCs/>
          <w:sz w:val="22"/>
          <w:szCs w:val="22"/>
          <w:lang w:val="tr-TR"/>
        </w:rPr>
        <w:t>MIGA</w:t>
      </w:r>
      <w:r w:rsidR="008C1149" w:rsidRPr="001A4B94">
        <w:rPr>
          <w:rFonts w:eastAsiaTheme="minorHAnsi"/>
          <w:iCs/>
          <w:sz w:val="22"/>
          <w:szCs w:val="22"/>
          <w:lang w:val="tr-TR"/>
        </w:rPr>
        <w:t>’nın ortak iş geliştirme çalışmaları, MIGA’nın belediye altyapısı ve sağlık sektörlerinde aynı zamanda IFC finansmanında da yararlanan beş yeni proje için 347 milyon ABD$ düzeyinde garanti sağlaması ile sonuçlanmıştır</w:t>
      </w:r>
      <w:r w:rsidR="00747261" w:rsidRPr="001A4B94">
        <w:rPr>
          <w:rFonts w:eastAsiaTheme="minorHAnsi"/>
          <w:iCs/>
          <w:sz w:val="22"/>
          <w:szCs w:val="22"/>
          <w:lang w:val="tr-TR"/>
        </w:rPr>
        <w:t>.</w:t>
      </w:r>
    </w:p>
    <w:p w14:paraId="61E069D1" w14:textId="77777777" w:rsidR="00747261" w:rsidRPr="001A4B94" w:rsidRDefault="00747261" w:rsidP="00747261">
      <w:pPr>
        <w:spacing w:before="120" w:after="160"/>
        <w:ind w:left="360"/>
        <w:contextualSpacing/>
        <w:jc w:val="both"/>
        <w:rPr>
          <w:rFonts w:eastAsiaTheme="minorHAnsi"/>
          <w:sz w:val="22"/>
          <w:szCs w:val="22"/>
          <w:lang w:val="tr-TR"/>
        </w:rPr>
      </w:pPr>
    </w:p>
    <w:p w14:paraId="79485868" w14:textId="39BB47B2" w:rsidR="00747261" w:rsidRPr="001A4B94" w:rsidRDefault="00A04866" w:rsidP="00970C82">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IBRD </w:t>
      </w:r>
      <w:r w:rsidR="008C1149" w:rsidRPr="001A4B94">
        <w:rPr>
          <w:rFonts w:eastAsiaTheme="minorHAnsi"/>
          <w:b/>
          <w:sz w:val="22"/>
          <w:szCs w:val="22"/>
          <w:lang w:val="tr-TR"/>
        </w:rPr>
        <w:t xml:space="preserve">portföy uygulaması </w:t>
      </w:r>
      <w:r w:rsidR="005C7381" w:rsidRPr="001A4B94">
        <w:rPr>
          <w:rFonts w:eastAsiaTheme="minorHAnsi"/>
          <w:b/>
          <w:sz w:val="22"/>
          <w:szCs w:val="22"/>
          <w:lang w:val="tr-TR"/>
        </w:rPr>
        <w:t>CPS döneminde rekor derecede yüksek kullandırım oranlarına ulaşmıştır</w:t>
      </w:r>
      <w:r w:rsidR="00747261" w:rsidRPr="001A4B94">
        <w:rPr>
          <w:rFonts w:eastAsiaTheme="minorHAnsi"/>
          <w:b/>
          <w:sz w:val="22"/>
          <w:szCs w:val="22"/>
          <w:lang w:val="tr-TR"/>
        </w:rPr>
        <w:t xml:space="preserve">. </w:t>
      </w:r>
      <w:r w:rsidR="005C7381" w:rsidRPr="001A4B94">
        <w:rPr>
          <w:rFonts w:eastAsiaTheme="minorHAnsi"/>
          <w:sz w:val="22"/>
          <w:szCs w:val="22"/>
          <w:lang w:val="tr-TR"/>
        </w:rPr>
        <w:t>Yoğun portföy izleme çalışmaları sorunların erken aşamada tespitini sağlamıştır</w:t>
      </w:r>
      <w:r w:rsidR="00747261" w:rsidRPr="001A4B94">
        <w:rPr>
          <w:rFonts w:eastAsiaTheme="minorHAnsi"/>
          <w:sz w:val="22"/>
          <w:szCs w:val="22"/>
          <w:lang w:val="tr-TR"/>
        </w:rPr>
        <w:t xml:space="preserve">. </w:t>
      </w:r>
      <w:r w:rsidR="005C7381" w:rsidRPr="001A4B94">
        <w:rPr>
          <w:rFonts w:eastAsiaTheme="minorHAnsi"/>
          <w:sz w:val="22"/>
          <w:szCs w:val="22"/>
          <w:lang w:val="tr-TR"/>
        </w:rPr>
        <w:t>Yüzde 20 ile en düşük gerçekleştiği 2014 MY dışında, kullandırım oranı yüzde 30’un üzerinde kalmıştır. Böylelikle her mali yılda mevcut IBRD kaynaklarının neredeyse üçte  biri kullandırılmıştır.  Bunda 2014 yılında yeni kurulan izleme mekanizmasının uygulanması etkili olmuştur</w:t>
      </w:r>
      <w:r w:rsidR="00747261" w:rsidRPr="001A4B94">
        <w:rPr>
          <w:rFonts w:eastAsiaTheme="minorHAnsi"/>
          <w:sz w:val="22"/>
          <w:szCs w:val="22"/>
          <w:lang w:val="tr-TR"/>
        </w:rPr>
        <w:t xml:space="preserve">.  </w:t>
      </w:r>
    </w:p>
    <w:p w14:paraId="65EDEB56" w14:textId="77777777" w:rsidR="005C7381" w:rsidRPr="001A4B94" w:rsidRDefault="005C7381" w:rsidP="00747261">
      <w:pPr>
        <w:spacing w:after="160" w:line="259" w:lineRule="auto"/>
        <w:ind w:firstLine="360"/>
        <w:jc w:val="center"/>
        <w:rPr>
          <w:rFonts w:eastAsiaTheme="minorHAnsi"/>
          <w:b/>
          <w:sz w:val="6"/>
          <w:szCs w:val="6"/>
          <w:lang w:val="tr-TR"/>
        </w:rPr>
      </w:pPr>
    </w:p>
    <w:p w14:paraId="67748152" w14:textId="5037C242" w:rsidR="00747261" w:rsidRPr="001A4B94" w:rsidRDefault="005C7381" w:rsidP="00747261">
      <w:pPr>
        <w:spacing w:after="160" w:line="259" w:lineRule="auto"/>
        <w:ind w:firstLine="360"/>
        <w:jc w:val="center"/>
        <w:rPr>
          <w:rFonts w:eastAsiaTheme="minorHAnsi"/>
          <w:b/>
          <w:sz w:val="20"/>
          <w:szCs w:val="20"/>
          <w:lang w:val="tr-TR"/>
        </w:rPr>
      </w:pPr>
      <w:r w:rsidRPr="001A4B94">
        <w:rPr>
          <w:rFonts w:eastAsiaTheme="minorHAnsi"/>
          <w:b/>
          <w:sz w:val="20"/>
          <w:szCs w:val="20"/>
          <w:lang w:val="tr-TR"/>
        </w:rPr>
        <w:t>Tablo</w:t>
      </w:r>
      <w:r w:rsidR="00747261" w:rsidRPr="001A4B94">
        <w:rPr>
          <w:rFonts w:eastAsiaTheme="minorHAnsi"/>
          <w:b/>
          <w:sz w:val="20"/>
          <w:szCs w:val="20"/>
          <w:lang w:val="tr-TR"/>
        </w:rPr>
        <w:t xml:space="preserve"> 1: </w:t>
      </w:r>
      <w:r w:rsidRPr="001A4B94">
        <w:rPr>
          <w:rFonts w:eastAsiaTheme="minorHAnsi"/>
          <w:b/>
          <w:sz w:val="20"/>
          <w:szCs w:val="20"/>
          <w:lang w:val="tr-TR"/>
        </w:rPr>
        <w:t xml:space="preserve">Türkiye için Seçilen </w:t>
      </w:r>
      <w:r w:rsidR="00747261" w:rsidRPr="001A4B94">
        <w:rPr>
          <w:rFonts w:eastAsiaTheme="minorHAnsi"/>
          <w:b/>
          <w:sz w:val="20"/>
          <w:szCs w:val="20"/>
          <w:lang w:val="tr-TR"/>
        </w:rPr>
        <w:t xml:space="preserve">IBRD </w:t>
      </w:r>
      <w:r w:rsidRPr="001A4B94">
        <w:rPr>
          <w:rFonts w:eastAsiaTheme="minorHAnsi"/>
          <w:b/>
          <w:sz w:val="20"/>
          <w:szCs w:val="20"/>
          <w:lang w:val="tr-TR"/>
        </w:rPr>
        <w:t xml:space="preserve">Portföyü Göstergeleri </w:t>
      </w:r>
      <w:r w:rsidR="00747261" w:rsidRPr="001A4B94">
        <w:rPr>
          <w:rFonts w:eastAsiaTheme="minorHAnsi"/>
          <w:b/>
          <w:sz w:val="20"/>
          <w:szCs w:val="20"/>
          <w:lang w:val="tr-TR"/>
        </w:rPr>
        <w:t>(</w:t>
      </w:r>
      <w:r w:rsidRPr="001A4B94">
        <w:rPr>
          <w:rFonts w:eastAsiaTheme="minorHAnsi"/>
          <w:b/>
          <w:sz w:val="20"/>
          <w:szCs w:val="20"/>
          <w:lang w:val="tr-TR"/>
        </w:rPr>
        <w:t>2012 MY – 2016 MY</w:t>
      </w:r>
      <w:r w:rsidR="00747261" w:rsidRPr="001A4B94">
        <w:rPr>
          <w:rFonts w:eastAsiaTheme="minorHAnsi"/>
          <w:b/>
          <w:sz w:val="20"/>
          <w:szCs w:val="20"/>
          <w:lang w:val="tr-TR"/>
        </w:rPr>
        <w:t>)</w:t>
      </w:r>
    </w:p>
    <w:tbl>
      <w:tblPr>
        <w:tblStyle w:val="TableGrid1"/>
        <w:tblW w:w="0" w:type="auto"/>
        <w:jc w:val="center"/>
        <w:tblLook w:val="04A0" w:firstRow="1" w:lastRow="0" w:firstColumn="1" w:lastColumn="0" w:noHBand="0" w:noVBand="1"/>
      </w:tblPr>
      <w:tblGrid>
        <w:gridCol w:w="3680"/>
        <w:gridCol w:w="960"/>
        <w:gridCol w:w="960"/>
        <w:gridCol w:w="960"/>
        <w:gridCol w:w="960"/>
        <w:gridCol w:w="960"/>
      </w:tblGrid>
      <w:tr w:rsidR="00747261" w:rsidRPr="001A4B94" w14:paraId="7AF251C5" w14:textId="77777777" w:rsidTr="00747261">
        <w:trPr>
          <w:trHeight w:val="300"/>
          <w:jc w:val="center"/>
        </w:trPr>
        <w:tc>
          <w:tcPr>
            <w:tcW w:w="3680" w:type="dxa"/>
            <w:noWrap/>
            <w:hideMark/>
          </w:tcPr>
          <w:p w14:paraId="7B920439" w14:textId="77777777" w:rsidR="00747261" w:rsidRPr="001A4B94" w:rsidRDefault="00747261" w:rsidP="00747261">
            <w:pPr>
              <w:jc w:val="both"/>
              <w:rPr>
                <w:rFonts w:eastAsiaTheme="minorHAnsi"/>
                <w:sz w:val="18"/>
                <w:szCs w:val="18"/>
                <w:lang w:val="tr-TR"/>
              </w:rPr>
            </w:pPr>
            <w:r w:rsidRPr="001A4B94">
              <w:rPr>
                <w:rFonts w:eastAsiaTheme="minorHAnsi"/>
                <w:sz w:val="18"/>
                <w:szCs w:val="18"/>
                <w:lang w:val="tr-TR"/>
              </w:rPr>
              <w:t> </w:t>
            </w:r>
          </w:p>
        </w:tc>
        <w:tc>
          <w:tcPr>
            <w:tcW w:w="960" w:type="dxa"/>
            <w:noWrap/>
            <w:hideMark/>
          </w:tcPr>
          <w:p w14:paraId="2BB8EBF4" w14:textId="131BDE67" w:rsidR="00747261" w:rsidRPr="001A4B94" w:rsidRDefault="005C7381" w:rsidP="00747261">
            <w:pPr>
              <w:jc w:val="center"/>
              <w:rPr>
                <w:rFonts w:eastAsiaTheme="minorHAnsi"/>
                <w:b/>
                <w:bCs/>
                <w:sz w:val="18"/>
                <w:szCs w:val="18"/>
                <w:lang w:val="tr-TR"/>
              </w:rPr>
            </w:pPr>
            <w:r w:rsidRPr="001A4B94">
              <w:rPr>
                <w:rFonts w:eastAsiaTheme="minorHAnsi"/>
                <w:b/>
                <w:bCs/>
                <w:sz w:val="18"/>
                <w:szCs w:val="18"/>
                <w:lang w:val="tr-TR"/>
              </w:rPr>
              <w:t>2012 MY</w:t>
            </w:r>
          </w:p>
        </w:tc>
        <w:tc>
          <w:tcPr>
            <w:tcW w:w="960" w:type="dxa"/>
            <w:noWrap/>
            <w:hideMark/>
          </w:tcPr>
          <w:p w14:paraId="7040C32F" w14:textId="3BFE51A5" w:rsidR="00747261" w:rsidRPr="001A4B94" w:rsidRDefault="005C7381" w:rsidP="00747261">
            <w:pPr>
              <w:jc w:val="center"/>
              <w:rPr>
                <w:rFonts w:eastAsiaTheme="minorHAnsi"/>
                <w:b/>
                <w:bCs/>
                <w:sz w:val="18"/>
                <w:szCs w:val="18"/>
                <w:lang w:val="tr-TR"/>
              </w:rPr>
            </w:pPr>
            <w:r w:rsidRPr="001A4B94">
              <w:rPr>
                <w:rFonts w:eastAsiaTheme="minorHAnsi"/>
                <w:b/>
                <w:bCs/>
                <w:sz w:val="18"/>
                <w:szCs w:val="18"/>
                <w:lang w:val="tr-TR"/>
              </w:rPr>
              <w:t>2013 MY</w:t>
            </w:r>
          </w:p>
        </w:tc>
        <w:tc>
          <w:tcPr>
            <w:tcW w:w="960" w:type="dxa"/>
            <w:noWrap/>
            <w:hideMark/>
          </w:tcPr>
          <w:p w14:paraId="7F8CD037" w14:textId="68BDAE38" w:rsidR="00747261" w:rsidRPr="001A4B94" w:rsidRDefault="005C7381" w:rsidP="00747261">
            <w:pPr>
              <w:jc w:val="center"/>
              <w:rPr>
                <w:rFonts w:eastAsiaTheme="minorHAnsi"/>
                <w:b/>
                <w:bCs/>
                <w:sz w:val="18"/>
                <w:szCs w:val="18"/>
                <w:lang w:val="tr-TR"/>
              </w:rPr>
            </w:pPr>
            <w:r w:rsidRPr="001A4B94">
              <w:rPr>
                <w:rFonts w:eastAsiaTheme="minorHAnsi"/>
                <w:b/>
                <w:bCs/>
                <w:sz w:val="18"/>
                <w:szCs w:val="18"/>
                <w:lang w:val="tr-TR"/>
              </w:rPr>
              <w:t>2014 MY</w:t>
            </w:r>
          </w:p>
        </w:tc>
        <w:tc>
          <w:tcPr>
            <w:tcW w:w="960" w:type="dxa"/>
            <w:noWrap/>
            <w:hideMark/>
          </w:tcPr>
          <w:p w14:paraId="581CCEC8" w14:textId="2A89EA72" w:rsidR="00747261" w:rsidRPr="001A4B94" w:rsidRDefault="005C7381" w:rsidP="00747261">
            <w:pPr>
              <w:jc w:val="center"/>
              <w:rPr>
                <w:rFonts w:eastAsiaTheme="minorHAnsi"/>
                <w:b/>
                <w:bCs/>
                <w:sz w:val="18"/>
                <w:szCs w:val="18"/>
                <w:lang w:val="tr-TR"/>
              </w:rPr>
            </w:pPr>
            <w:r w:rsidRPr="001A4B94">
              <w:rPr>
                <w:rFonts w:eastAsiaTheme="minorHAnsi"/>
                <w:b/>
                <w:bCs/>
                <w:sz w:val="18"/>
                <w:szCs w:val="18"/>
                <w:lang w:val="tr-TR"/>
              </w:rPr>
              <w:t>2015 MY</w:t>
            </w:r>
          </w:p>
        </w:tc>
        <w:tc>
          <w:tcPr>
            <w:tcW w:w="960" w:type="dxa"/>
            <w:noWrap/>
            <w:hideMark/>
          </w:tcPr>
          <w:p w14:paraId="6435B1C9" w14:textId="77615D7E" w:rsidR="00747261" w:rsidRPr="001A4B94" w:rsidRDefault="005C7381" w:rsidP="00747261">
            <w:pPr>
              <w:jc w:val="center"/>
              <w:rPr>
                <w:rFonts w:eastAsiaTheme="minorHAnsi"/>
                <w:b/>
                <w:bCs/>
                <w:sz w:val="18"/>
                <w:szCs w:val="18"/>
                <w:lang w:val="tr-TR"/>
              </w:rPr>
            </w:pPr>
            <w:r w:rsidRPr="001A4B94">
              <w:rPr>
                <w:rFonts w:eastAsiaTheme="minorHAnsi"/>
                <w:b/>
                <w:bCs/>
                <w:sz w:val="18"/>
                <w:szCs w:val="18"/>
                <w:lang w:val="tr-TR"/>
              </w:rPr>
              <w:t>2016 MY</w:t>
            </w:r>
          </w:p>
        </w:tc>
      </w:tr>
      <w:tr w:rsidR="00747261" w:rsidRPr="001A4B94" w14:paraId="32C7E02D" w14:textId="77777777" w:rsidTr="00747261">
        <w:trPr>
          <w:trHeight w:val="300"/>
          <w:jc w:val="center"/>
        </w:trPr>
        <w:tc>
          <w:tcPr>
            <w:tcW w:w="3680" w:type="dxa"/>
            <w:noWrap/>
            <w:hideMark/>
          </w:tcPr>
          <w:p w14:paraId="3D37E608" w14:textId="28A91190" w:rsidR="00747261" w:rsidRPr="001A4B94" w:rsidRDefault="00970C82" w:rsidP="00747261">
            <w:pPr>
              <w:jc w:val="both"/>
              <w:rPr>
                <w:rFonts w:eastAsiaTheme="minorHAnsi"/>
                <w:b/>
                <w:bCs/>
                <w:sz w:val="18"/>
                <w:szCs w:val="18"/>
                <w:lang w:val="tr-TR"/>
              </w:rPr>
            </w:pPr>
            <w:r w:rsidRPr="001A4B94">
              <w:rPr>
                <w:rFonts w:eastAsiaTheme="minorHAnsi"/>
                <w:b/>
                <w:bCs/>
                <w:sz w:val="18"/>
                <w:szCs w:val="18"/>
                <w:lang w:val="tr-TR"/>
              </w:rPr>
              <w:t xml:space="preserve">Aktif proje sayısı </w:t>
            </w:r>
          </w:p>
        </w:tc>
        <w:tc>
          <w:tcPr>
            <w:tcW w:w="960" w:type="dxa"/>
            <w:noWrap/>
            <w:hideMark/>
          </w:tcPr>
          <w:p w14:paraId="2480974D" w14:textId="77777777"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11</w:t>
            </w:r>
          </w:p>
        </w:tc>
        <w:tc>
          <w:tcPr>
            <w:tcW w:w="960" w:type="dxa"/>
            <w:noWrap/>
            <w:hideMark/>
          </w:tcPr>
          <w:p w14:paraId="74392901" w14:textId="77777777"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12</w:t>
            </w:r>
          </w:p>
        </w:tc>
        <w:tc>
          <w:tcPr>
            <w:tcW w:w="960" w:type="dxa"/>
            <w:noWrap/>
            <w:hideMark/>
          </w:tcPr>
          <w:p w14:paraId="4FE708DE" w14:textId="77777777"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12</w:t>
            </w:r>
          </w:p>
        </w:tc>
        <w:tc>
          <w:tcPr>
            <w:tcW w:w="960" w:type="dxa"/>
            <w:noWrap/>
            <w:hideMark/>
          </w:tcPr>
          <w:p w14:paraId="6D4C1013" w14:textId="77777777"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12</w:t>
            </w:r>
          </w:p>
        </w:tc>
        <w:tc>
          <w:tcPr>
            <w:tcW w:w="960" w:type="dxa"/>
            <w:noWrap/>
            <w:hideMark/>
          </w:tcPr>
          <w:p w14:paraId="1A11AA88" w14:textId="77777777"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10</w:t>
            </w:r>
          </w:p>
        </w:tc>
      </w:tr>
      <w:tr w:rsidR="00747261" w:rsidRPr="001A4B94" w14:paraId="2E3C4E69" w14:textId="77777777" w:rsidTr="00747261">
        <w:trPr>
          <w:trHeight w:val="300"/>
          <w:jc w:val="center"/>
        </w:trPr>
        <w:tc>
          <w:tcPr>
            <w:tcW w:w="3680" w:type="dxa"/>
            <w:noWrap/>
            <w:hideMark/>
          </w:tcPr>
          <w:p w14:paraId="38EFDDBD" w14:textId="2E65A220" w:rsidR="00747261" w:rsidRPr="001A4B94" w:rsidRDefault="00747261" w:rsidP="00747261">
            <w:pPr>
              <w:jc w:val="both"/>
              <w:rPr>
                <w:rFonts w:eastAsiaTheme="minorHAnsi"/>
                <w:b/>
                <w:bCs/>
                <w:sz w:val="18"/>
                <w:szCs w:val="18"/>
                <w:lang w:val="tr-TR"/>
              </w:rPr>
            </w:pPr>
            <w:r w:rsidRPr="001A4B94">
              <w:rPr>
                <w:rFonts w:eastAsiaTheme="minorHAnsi"/>
                <w:b/>
                <w:bCs/>
                <w:sz w:val="18"/>
                <w:szCs w:val="18"/>
                <w:lang w:val="tr-TR"/>
              </w:rPr>
              <w:t xml:space="preserve">Net </w:t>
            </w:r>
            <w:r w:rsidR="00970C82" w:rsidRPr="001A4B94">
              <w:rPr>
                <w:rFonts w:eastAsiaTheme="minorHAnsi"/>
                <w:b/>
                <w:bCs/>
                <w:sz w:val="18"/>
                <w:szCs w:val="18"/>
                <w:lang w:val="tr-TR"/>
              </w:rPr>
              <w:t xml:space="preserve">taahhütler </w:t>
            </w:r>
            <w:r w:rsidRPr="001A4B94">
              <w:rPr>
                <w:rFonts w:eastAsiaTheme="minorHAnsi"/>
                <w:b/>
                <w:bCs/>
                <w:sz w:val="18"/>
                <w:szCs w:val="18"/>
                <w:lang w:val="tr-TR"/>
              </w:rPr>
              <w:t>(</w:t>
            </w:r>
            <w:r w:rsidR="00970C82" w:rsidRPr="001A4B94">
              <w:rPr>
                <w:rFonts w:eastAsiaTheme="minorHAnsi"/>
                <w:b/>
                <w:bCs/>
                <w:sz w:val="18"/>
                <w:szCs w:val="18"/>
                <w:lang w:val="tr-TR"/>
              </w:rPr>
              <w:t>milyon ABD$</w:t>
            </w:r>
            <w:r w:rsidRPr="001A4B94">
              <w:rPr>
                <w:rFonts w:eastAsiaTheme="minorHAnsi"/>
                <w:b/>
                <w:bCs/>
                <w:sz w:val="18"/>
                <w:szCs w:val="18"/>
                <w:lang w:val="tr-TR"/>
              </w:rPr>
              <w:t>)</w:t>
            </w:r>
          </w:p>
        </w:tc>
        <w:tc>
          <w:tcPr>
            <w:tcW w:w="960" w:type="dxa"/>
            <w:noWrap/>
            <w:hideMark/>
          </w:tcPr>
          <w:p w14:paraId="651A68C2" w14:textId="4257CEFD"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4.</w:t>
            </w:r>
            <w:r w:rsidR="00747261" w:rsidRPr="001A4B94">
              <w:rPr>
                <w:rFonts w:eastAsiaTheme="minorHAnsi"/>
                <w:sz w:val="18"/>
                <w:szCs w:val="18"/>
                <w:lang w:val="tr-TR"/>
              </w:rPr>
              <w:t>742</w:t>
            </w:r>
          </w:p>
        </w:tc>
        <w:tc>
          <w:tcPr>
            <w:tcW w:w="960" w:type="dxa"/>
            <w:noWrap/>
            <w:hideMark/>
          </w:tcPr>
          <w:p w14:paraId="4131D728" w14:textId="0EBAD248"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5</w:t>
            </w:r>
            <w:r w:rsidR="00970C82" w:rsidRPr="001A4B94">
              <w:rPr>
                <w:rFonts w:eastAsiaTheme="minorHAnsi"/>
                <w:sz w:val="18"/>
                <w:szCs w:val="18"/>
                <w:lang w:val="tr-TR"/>
              </w:rPr>
              <w:t>.</w:t>
            </w:r>
            <w:r w:rsidRPr="001A4B94">
              <w:rPr>
                <w:rFonts w:eastAsiaTheme="minorHAnsi"/>
                <w:sz w:val="18"/>
                <w:szCs w:val="18"/>
                <w:lang w:val="tr-TR"/>
              </w:rPr>
              <w:t>763</w:t>
            </w:r>
          </w:p>
        </w:tc>
        <w:tc>
          <w:tcPr>
            <w:tcW w:w="960" w:type="dxa"/>
            <w:noWrap/>
            <w:hideMark/>
          </w:tcPr>
          <w:p w14:paraId="3017FCF6" w14:textId="4D1A71A3"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5.</w:t>
            </w:r>
            <w:r w:rsidR="00747261" w:rsidRPr="001A4B94">
              <w:rPr>
                <w:rFonts w:eastAsiaTheme="minorHAnsi"/>
                <w:sz w:val="18"/>
                <w:szCs w:val="18"/>
                <w:lang w:val="tr-TR"/>
              </w:rPr>
              <w:t>078</w:t>
            </w:r>
          </w:p>
        </w:tc>
        <w:tc>
          <w:tcPr>
            <w:tcW w:w="960" w:type="dxa"/>
            <w:noWrap/>
            <w:hideMark/>
          </w:tcPr>
          <w:p w14:paraId="235044A2" w14:textId="3DFE0900"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4</w:t>
            </w:r>
            <w:r w:rsidR="00970C82" w:rsidRPr="001A4B94">
              <w:rPr>
                <w:rFonts w:eastAsiaTheme="minorHAnsi"/>
                <w:sz w:val="18"/>
                <w:szCs w:val="18"/>
                <w:lang w:val="tr-TR"/>
              </w:rPr>
              <w:t>.</w:t>
            </w:r>
            <w:r w:rsidRPr="001A4B94">
              <w:rPr>
                <w:rFonts w:eastAsiaTheme="minorHAnsi"/>
                <w:sz w:val="18"/>
                <w:szCs w:val="18"/>
                <w:lang w:val="tr-TR"/>
              </w:rPr>
              <w:t>310</w:t>
            </w:r>
          </w:p>
        </w:tc>
        <w:tc>
          <w:tcPr>
            <w:tcW w:w="960" w:type="dxa"/>
            <w:noWrap/>
            <w:hideMark/>
          </w:tcPr>
          <w:p w14:paraId="5965B778" w14:textId="1016E849" w:rsidR="00747261" w:rsidRPr="001A4B94" w:rsidRDefault="00747261" w:rsidP="00747261">
            <w:pPr>
              <w:jc w:val="right"/>
              <w:rPr>
                <w:rFonts w:eastAsiaTheme="minorHAnsi"/>
                <w:sz w:val="18"/>
                <w:szCs w:val="18"/>
                <w:lang w:val="tr-TR"/>
              </w:rPr>
            </w:pPr>
            <w:r w:rsidRPr="001A4B94">
              <w:rPr>
                <w:rFonts w:eastAsiaTheme="minorHAnsi"/>
                <w:sz w:val="18"/>
                <w:szCs w:val="18"/>
                <w:lang w:val="tr-TR"/>
              </w:rPr>
              <w:t>3</w:t>
            </w:r>
            <w:r w:rsidR="00970C82" w:rsidRPr="001A4B94">
              <w:rPr>
                <w:rFonts w:eastAsiaTheme="minorHAnsi"/>
                <w:sz w:val="18"/>
                <w:szCs w:val="18"/>
                <w:lang w:val="tr-TR"/>
              </w:rPr>
              <w:t>.</w:t>
            </w:r>
            <w:r w:rsidRPr="001A4B94">
              <w:rPr>
                <w:rFonts w:eastAsiaTheme="minorHAnsi"/>
                <w:sz w:val="18"/>
                <w:szCs w:val="18"/>
                <w:lang w:val="tr-TR"/>
              </w:rPr>
              <w:t>899</w:t>
            </w:r>
          </w:p>
        </w:tc>
      </w:tr>
      <w:tr w:rsidR="00747261" w:rsidRPr="001A4B94" w14:paraId="590042E2" w14:textId="77777777" w:rsidTr="00747261">
        <w:trPr>
          <w:trHeight w:val="300"/>
          <w:jc w:val="center"/>
        </w:trPr>
        <w:tc>
          <w:tcPr>
            <w:tcW w:w="3680" w:type="dxa"/>
            <w:noWrap/>
            <w:hideMark/>
          </w:tcPr>
          <w:p w14:paraId="5A98E77D" w14:textId="75B56522" w:rsidR="00747261" w:rsidRPr="001A4B94" w:rsidRDefault="00970C82" w:rsidP="00747261">
            <w:pPr>
              <w:jc w:val="both"/>
              <w:rPr>
                <w:rFonts w:eastAsiaTheme="minorHAnsi"/>
                <w:b/>
                <w:bCs/>
                <w:sz w:val="18"/>
                <w:szCs w:val="18"/>
                <w:lang w:val="tr-TR"/>
              </w:rPr>
            </w:pPr>
            <w:r w:rsidRPr="001A4B94">
              <w:rPr>
                <w:rFonts w:eastAsiaTheme="minorHAnsi"/>
                <w:b/>
                <w:bCs/>
                <w:sz w:val="18"/>
                <w:szCs w:val="18"/>
                <w:lang w:val="tr-TR"/>
              </w:rPr>
              <w:t xml:space="preserve">Kullandırım oramı </w:t>
            </w:r>
            <w:r w:rsidR="00747261" w:rsidRPr="001A4B94">
              <w:rPr>
                <w:rFonts w:eastAsiaTheme="minorHAnsi"/>
                <w:b/>
                <w:bCs/>
                <w:sz w:val="18"/>
                <w:szCs w:val="18"/>
                <w:lang w:val="tr-TR"/>
              </w:rPr>
              <w:t>(</w:t>
            </w:r>
            <w:r w:rsidRPr="001A4B94">
              <w:rPr>
                <w:rFonts w:eastAsiaTheme="minorHAnsi"/>
                <w:b/>
                <w:bCs/>
                <w:sz w:val="18"/>
                <w:szCs w:val="18"/>
                <w:lang w:val="tr-TR"/>
              </w:rPr>
              <w:t>yatırım</w:t>
            </w:r>
            <w:r w:rsidR="00747261" w:rsidRPr="001A4B94">
              <w:rPr>
                <w:rFonts w:eastAsiaTheme="minorHAnsi"/>
                <w:b/>
                <w:bCs/>
                <w:sz w:val="18"/>
                <w:szCs w:val="18"/>
                <w:lang w:val="tr-TR"/>
              </w:rPr>
              <w:t>)</w:t>
            </w:r>
          </w:p>
        </w:tc>
        <w:tc>
          <w:tcPr>
            <w:tcW w:w="960" w:type="dxa"/>
            <w:noWrap/>
            <w:hideMark/>
          </w:tcPr>
          <w:p w14:paraId="36F57BFB" w14:textId="5AF6828A"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w:t>
            </w:r>
            <w:r w:rsidR="00747261" w:rsidRPr="001A4B94">
              <w:rPr>
                <w:rFonts w:eastAsiaTheme="minorHAnsi"/>
                <w:sz w:val="18"/>
                <w:szCs w:val="18"/>
                <w:lang w:val="tr-TR"/>
              </w:rPr>
              <w:t>36</w:t>
            </w:r>
          </w:p>
        </w:tc>
        <w:tc>
          <w:tcPr>
            <w:tcW w:w="960" w:type="dxa"/>
            <w:noWrap/>
            <w:hideMark/>
          </w:tcPr>
          <w:p w14:paraId="02A2104C" w14:textId="54EB2755"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%37</w:t>
            </w:r>
          </w:p>
        </w:tc>
        <w:tc>
          <w:tcPr>
            <w:tcW w:w="960" w:type="dxa"/>
            <w:noWrap/>
            <w:hideMark/>
          </w:tcPr>
          <w:p w14:paraId="1E57EB5C" w14:textId="44813057"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%20</w:t>
            </w:r>
          </w:p>
        </w:tc>
        <w:tc>
          <w:tcPr>
            <w:tcW w:w="960" w:type="dxa"/>
            <w:noWrap/>
            <w:hideMark/>
          </w:tcPr>
          <w:p w14:paraId="2DECE14C" w14:textId="339DA249"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w:t>
            </w:r>
            <w:r w:rsidR="00747261" w:rsidRPr="001A4B94">
              <w:rPr>
                <w:rFonts w:eastAsiaTheme="minorHAnsi"/>
                <w:sz w:val="18"/>
                <w:szCs w:val="18"/>
                <w:lang w:val="tr-TR"/>
              </w:rPr>
              <w:t>36</w:t>
            </w:r>
          </w:p>
        </w:tc>
        <w:tc>
          <w:tcPr>
            <w:tcW w:w="960" w:type="dxa"/>
            <w:noWrap/>
            <w:hideMark/>
          </w:tcPr>
          <w:p w14:paraId="738BE5EA" w14:textId="6194B612"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%31</w:t>
            </w:r>
          </w:p>
        </w:tc>
      </w:tr>
      <w:tr w:rsidR="00747261" w:rsidRPr="001A4B94" w14:paraId="09BFDCAB" w14:textId="77777777" w:rsidTr="00747261">
        <w:trPr>
          <w:trHeight w:val="300"/>
          <w:jc w:val="center"/>
        </w:trPr>
        <w:tc>
          <w:tcPr>
            <w:tcW w:w="3680" w:type="dxa"/>
            <w:noWrap/>
            <w:hideMark/>
          </w:tcPr>
          <w:p w14:paraId="7A12C21F" w14:textId="3049005A" w:rsidR="00747261" w:rsidRPr="001A4B94" w:rsidRDefault="00970C82" w:rsidP="00747261">
            <w:pPr>
              <w:jc w:val="both"/>
              <w:rPr>
                <w:rFonts w:eastAsiaTheme="minorHAnsi"/>
                <w:b/>
                <w:bCs/>
                <w:sz w:val="18"/>
                <w:szCs w:val="18"/>
                <w:lang w:val="tr-TR"/>
              </w:rPr>
            </w:pPr>
            <w:r w:rsidRPr="001A4B94">
              <w:rPr>
                <w:rFonts w:eastAsiaTheme="minorHAnsi"/>
                <w:b/>
                <w:bCs/>
                <w:sz w:val="18"/>
                <w:szCs w:val="18"/>
                <w:lang w:val="tr-TR"/>
              </w:rPr>
              <w:t>Proaktiflik endeksi</w:t>
            </w:r>
            <w:r w:rsidR="00747261" w:rsidRPr="001A4B94">
              <w:rPr>
                <w:rFonts w:eastAsiaTheme="minorHAnsi"/>
                <w:b/>
                <w:bCs/>
                <w:sz w:val="18"/>
                <w:szCs w:val="18"/>
                <w:vertAlign w:val="superscript"/>
                <w:lang w:val="tr-TR"/>
              </w:rPr>
              <w:footnoteReference w:id="10"/>
            </w:r>
          </w:p>
        </w:tc>
        <w:tc>
          <w:tcPr>
            <w:tcW w:w="960" w:type="dxa"/>
            <w:noWrap/>
            <w:hideMark/>
          </w:tcPr>
          <w:p w14:paraId="3CAE204A" w14:textId="2D08C4B0"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%67</w:t>
            </w:r>
          </w:p>
        </w:tc>
        <w:tc>
          <w:tcPr>
            <w:tcW w:w="960" w:type="dxa"/>
            <w:noWrap/>
            <w:hideMark/>
          </w:tcPr>
          <w:p w14:paraId="7F1988A0" w14:textId="006E1996"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%100</w:t>
            </w:r>
          </w:p>
        </w:tc>
        <w:tc>
          <w:tcPr>
            <w:tcW w:w="960" w:type="dxa"/>
            <w:noWrap/>
            <w:hideMark/>
          </w:tcPr>
          <w:p w14:paraId="119B68D9" w14:textId="454DF59B"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%100</w:t>
            </w:r>
          </w:p>
        </w:tc>
        <w:tc>
          <w:tcPr>
            <w:tcW w:w="960" w:type="dxa"/>
            <w:noWrap/>
            <w:hideMark/>
          </w:tcPr>
          <w:p w14:paraId="12121717" w14:textId="013B3755"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%100</w:t>
            </w:r>
          </w:p>
        </w:tc>
        <w:tc>
          <w:tcPr>
            <w:tcW w:w="960" w:type="dxa"/>
            <w:noWrap/>
            <w:hideMark/>
          </w:tcPr>
          <w:p w14:paraId="5B0C810E" w14:textId="2E5EDCC5"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%100</w:t>
            </w:r>
          </w:p>
        </w:tc>
      </w:tr>
      <w:tr w:rsidR="00747261" w:rsidRPr="001A4B94" w14:paraId="1BBF33C7" w14:textId="77777777" w:rsidTr="00747261">
        <w:trPr>
          <w:trHeight w:val="300"/>
          <w:jc w:val="center"/>
        </w:trPr>
        <w:tc>
          <w:tcPr>
            <w:tcW w:w="3680" w:type="dxa"/>
            <w:noWrap/>
            <w:hideMark/>
          </w:tcPr>
          <w:p w14:paraId="208132C9" w14:textId="221106C0" w:rsidR="00747261" w:rsidRPr="001A4B94" w:rsidRDefault="00970C82" w:rsidP="00747261">
            <w:pPr>
              <w:jc w:val="both"/>
              <w:rPr>
                <w:rFonts w:eastAsiaTheme="minorHAnsi"/>
                <w:b/>
                <w:bCs/>
                <w:sz w:val="18"/>
                <w:szCs w:val="18"/>
                <w:lang w:val="tr-TR"/>
              </w:rPr>
            </w:pPr>
            <w:r w:rsidRPr="001A4B94">
              <w:rPr>
                <w:rFonts w:eastAsiaTheme="minorHAnsi"/>
                <w:b/>
                <w:bCs/>
                <w:sz w:val="18"/>
                <w:szCs w:val="18"/>
                <w:lang w:val="tr-TR"/>
              </w:rPr>
              <w:t>Risk altındaki projelerin oranı (</w:t>
            </w:r>
            <w:r w:rsidR="00747261" w:rsidRPr="001A4B94">
              <w:rPr>
                <w:rFonts w:eastAsiaTheme="minorHAnsi"/>
                <w:b/>
                <w:bCs/>
                <w:sz w:val="18"/>
                <w:szCs w:val="18"/>
                <w:lang w:val="tr-TR"/>
              </w:rPr>
              <w:t>%</w:t>
            </w:r>
            <w:r w:rsidRPr="001A4B94">
              <w:rPr>
                <w:rFonts w:eastAsiaTheme="minorHAnsi"/>
                <w:b/>
                <w:bCs/>
                <w:sz w:val="18"/>
                <w:szCs w:val="18"/>
                <w:lang w:val="tr-TR"/>
              </w:rPr>
              <w:t>)</w:t>
            </w:r>
            <w:r w:rsidR="00747261" w:rsidRPr="001A4B94">
              <w:rPr>
                <w:rFonts w:eastAsiaTheme="minorHAnsi"/>
                <w:b/>
                <w:bCs/>
                <w:sz w:val="18"/>
                <w:szCs w:val="18"/>
                <w:lang w:val="tr-TR"/>
              </w:rPr>
              <w:t xml:space="preserve"> </w:t>
            </w:r>
          </w:p>
        </w:tc>
        <w:tc>
          <w:tcPr>
            <w:tcW w:w="960" w:type="dxa"/>
            <w:noWrap/>
            <w:hideMark/>
          </w:tcPr>
          <w:p w14:paraId="1786185F" w14:textId="3AAA5563"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%6</w:t>
            </w:r>
          </w:p>
        </w:tc>
        <w:tc>
          <w:tcPr>
            <w:tcW w:w="960" w:type="dxa"/>
            <w:noWrap/>
            <w:hideMark/>
          </w:tcPr>
          <w:p w14:paraId="0E61B5B4" w14:textId="148535C1"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%17</w:t>
            </w:r>
          </w:p>
        </w:tc>
        <w:tc>
          <w:tcPr>
            <w:tcW w:w="960" w:type="dxa"/>
            <w:noWrap/>
            <w:hideMark/>
          </w:tcPr>
          <w:p w14:paraId="55846EEA" w14:textId="5745BBE8"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%17</w:t>
            </w:r>
          </w:p>
        </w:tc>
        <w:tc>
          <w:tcPr>
            <w:tcW w:w="960" w:type="dxa"/>
            <w:noWrap/>
            <w:hideMark/>
          </w:tcPr>
          <w:p w14:paraId="549FED82" w14:textId="32450108"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%8</w:t>
            </w:r>
          </w:p>
        </w:tc>
        <w:tc>
          <w:tcPr>
            <w:tcW w:w="960" w:type="dxa"/>
            <w:noWrap/>
            <w:hideMark/>
          </w:tcPr>
          <w:p w14:paraId="166780A7" w14:textId="2297FCA5"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%0</w:t>
            </w:r>
          </w:p>
        </w:tc>
      </w:tr>
      <w:tr w:rsidR="00747261" w:rsidRPr="001A4B94" w14:paraId="36DCF2FA" w14:textId="77777777" w:rsidTr="00747261">
        <w:trPr>
          <w:trHeight w:val="300"/>
          <w:jc w:val="center"/>
        </w:trPr>
        <w:tc>
          <w:tcPr>
            <w:tcW w:w="3680" w:type="dxa"/>
            <w:noWrap/>
            <w:hideMark/>
          </w:tcPr>
          <w:p w14:paraId="11321A1C" w14:textId="3E1E16B1" w:rsidR="00747261" w:rsidRPr="001A4B94" w:rsidRDefault="00970C82" w:rsidP="00747261">
            <w:pPr>
              <w:jc w:val="both"/>
              <w:rPr>
                <w:rFonts w:eastAsiaTheme="minorHAnsi"/>
                <w:b/>
                <w:bCs/>
                <w:sz w:val="18"/>
                <w:szCs w:val="18"/>
                <w:lang w:val="tr-TR"/>
              </w:rPr>
            </w:pPr>
            <w:r w:rsidRPr="001A4B94">
              <w:rPr>
                <w:rFonts w:eastAsiaTheme="minorHAnsi"/>
                <w:b/>
                <w:bCs/>
                <w:sz w:val="18"/>
                <w:szCs w:val="18"/>
                <w:lang w:val="tr-TR"/>
              </w:rPr>
              <w:t>Risk altındaki taahhütlerin oranı (%)</w:t>
            </w:r>
          </w:p>
        </w:tc>
        <w:tc>
          <w:tcPr>
            <w:tcW w:w="960" w:type="dxa"/>
            <w:noWrap/>
            <w:hideMark/>
          </w:tcPr>
          <w:p w14:paraId="4A205C38" w14:textId="652FD54F"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%7</w:t>
            </w:r>
          </w:p>
        </w:tc>
        <w:tc>
          <w:tcPr>
            <w:tcW w:w="960" w:type="dxa"/>
            <w:noWrap/>
            <w:hideMark/>
          </w:tcPr>
          <w:p w14:paraId="567EA516" w14:textId="585E0A8E"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%11</w:t>
            </w:r>
          </w:p>
        </w:tc>
        <w:tc>
          <w:tcPr>
            <w:tcW w:w="960" w:type="dxa"/>
            <w:noWrap/>
            <w:hideMark/>
          </w:tcPr>
          <w:p w14:paraId="5390278A" w14:textId="70B2A02A"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%14</w:t>
            </w:r>
          </w:p>
        </w:tc>
        <w:tc>
          <w:tcPr>
            <w:tcW w:w="960" w:type="dxa"/>
            <w:noWrap/>
            <w:hideMark/>
          </w:tcPr>
          <w:p w14:paraId="5C49BE36" w14:textId="671EC33E"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%4</w:t>
            </w:r>
          </w:p>
        </w:tc>
        <w:tc>
          <w:tcPr>
            <w:tcW w:w="960" w:type="dxa"/>
            <w:noWrap/>
            <w:hideMark/>
          </w:tcPr>
          <w:p w14:paraId="1412F8BC" w14:textId="0F8EBFCC"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%0</w:t>
            </w:r>
          </w:p>
        </w:tc>
      </w:tr>
      <w:tr w:rsidR="00747261" w:rsidRPr="001A4B94" w14:paraId="5F9B5F92" w14:textId="77777777" w:rsidTr="00747261">
        <w:trPr>
          <w:trHeight w:val="315"/>
          <w:jc w:val="center"/>
        </w:trPr>
        <w:tc>
          <w:tcPr>
            <w:tcW w:w="3680" w:type="dxa"/>
            <w:noWrap/>
            <w:hideMark/>
          </w:tcPr>
          <w:p w14:paraId="556240E1" w14:textId="4EE66C59" w:rsidR="00747261" w:rsidRPr="001A4B94" w:rsidRDefault="00970C82" w:rsidP="00747261">
            <w:pPr>
              <w:jc w:val="both"/>
              <w:rPr>
                <w:rFonts w:eastAsiaTheme="minorHAnsi"/>
                <w:b/>
                <w:bCs/>
                <w:sz w:val="18"/>
                <w:szCs w:val="18"/>
                <w:lang w:val="tr-TR"/>
              </w:rPr>
            </w:pPr>
            <w:r w:rsidRPr="001A4B94">
              <w:rPr>
                <w:rFonts w:eastAsiaTheme="minorHAnsi"/>
                <w:b/>
                <w:bCs/>
                <w:sz w:val="18"/>
                <w:szCs w:val="18"/>
                <w:lang w:val="tr-TR"/>
              </w:rPr>
              <w:t xml:space="preserve">Sorunlu projelerin yüzdesi </w:t>
            </w:r>
          </w:p>
        </w:tc>
        <w:tc>
          <w:tcPr>
            <w:tcW w:w="960" w:type="dxa"/>
            <w:noWrap/>
            <w:hideMark/>
          </w:tcPr>
          <w:p w14:paraId="355FCC55" w14:textId="6C07DC94"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%9</w:t>
            </w:r>
          </w:p>
        </w:tc>
        <w:tc>
          <w:tcPr>
            <w:tcW w:w="960" w:type="dxa"/>
            <w:noWrap/>
            <w:hideMark/>
          </w:tcPr>
          <w:p w14:paraId="372EB57E" w14:textId="4CF8ED39"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w:t>
            </w:r>
            <w:r w:rsidR="00747261" w:rsidRPr="001A4B94">
              <w:rPr>
                <w:rFonts w:eastAsiaTheme="minorHAnsi"/>
                <w:sz w:val="18"/>
                <w:szCs w:val="18"/>
                <w:lang w:val="tr-TR"/>
              </w:rPr>
              <w:t>17</w:t>
            </w:r>
          </w:p>
        </w:tc>
        <w:tc>
          <w:tcPr>
            <w:tcW w:w="960" w:type="dxa"/>
            <w:noWrap/>
            <w:hideMark/>
          </w:tcPr>
          <w:p w14:paraId="15F569BC" w14:textId="21B10D71"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w:t>
            </w:r>
            <w:r w:rsidR="00747261" w:rsidRPr="001A4B94">
              <w:rPr>
                <w:rFonts w:eastAsiaTheme="minorHAnsi"/>
                <w:sz w:val="18"/>
                <w:szCs w:val="18"/>
                <w:lang w:val="tr-TR"/>
              </w:rPr>
              <w:t>8</w:t>
            </w:r>
          </w:p>
        </w:tc>
        <w:tc>
          <w:tcPr>
            <w:tcW w:w="960" w:type="dxa"/>
            <w:noWrap/>
            <w:hideMark/>
          </w:tcPr>
          <w:p w14:paraId="02E6054D" w14:textId="038682AA"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w:t>
            </w:r>
            <w:r w:rsidR="00747261" w:rsidRPr="001A4B94">
              <w:rPr>
                <w:rFonts w:eastAsiaTheme="minorHAnsi"/>
                <w:sz w:val="18"/>
                <w:szCs w:val="18"/>
                <w:lang w:val="tr-TR"/>
              </w:rPr>
              <w:t>8</w:t>
            </w:r>
          </w:p>
        </w:tc>
        <w:tc>
          <w:tcPr>
            <w:tcW w:w="960" w:type="dxa"/>
            <w:noWrap/>
            <w:hideMark/>
          </w:tcPr>
          <w:p w14:paraId="4D6610B2" w14:textId="46DA01B2" w:rsidR="00747261" w:rsidRPr="001A4B94" w:rsidRDefault="00970C82" w:rsidP="00747261">
            <w:pPr>
              <w:jc w:val="right"/>
              <w:rPr>
                <w:rFonts w:eastAsiaTheme="minorHAnsi"/>
                <w:sz w:val="18"/>
                <w:szCs w:val="18"/>
                <w:lang w:val="tr-TR"/>
              </w:rPr>
            </w:pPr>
            <w:r w:rsidRPr="001A4B94">
              <w:rPr>
                <w:rFonts w:eastAsiaTheme="minorHAnsi"/>
                <w:sz w:val="18"/>
                <w:szCs w:val="18"/>
                <w:lang w:val="tr-TR"/>
              </w:rPr>
              <w:t>%</w:t>
            </w:r>
            <w:r w:rsidR="00747261" w:rsidRPr="001A4B94">
              <w:rPr>
                <w:rFonts w:eastAsiaTheme="minorHAnsi"/>
                <w:sz w:val="18"/>
                <w:szCs w:val="18"/>
                <w:lang w:val="tr-TR"/>
              </w:rPr>
              <w:t>0</w:t>
            </w:r>
          </w:p>
        </w:tc>
      </w:tr>
    </w:tbl>
    <w:p w14:paraId="66AE4BE3" w14:textId="77777777" w:rsidR="00747261" w:rsidRPr="001A4B94" w:rsidRDefault="00747261" w:rsidP="00747261">
      <w:pPr>
        <w:spacing w:after="160"/>
        <w:jc w:val="both"/>
        <w:rPr>
          <w:rFonts w:eastAsiaTheme="minorHAnsi"/>
          <w:sz w:val="22"/>
          <w:szCs w:val="22"/>
          <w:lang w:val="tr-TR"/>
        </w:rPr>
      </w:pPr>
    </w:p>
    <w:p w14:paraId="47A23A3A" w14:textId="1DAC0D07"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IBRD </w:t>
      </w:r>
      <w:r w:rsidR="00DD6F01" w:rsidRPr="001A4B94">
        <w:rPr>
          <w:rFonts w:eastAsiaTheme="minorHAnsi"/>
          <w:b/>
          <w:sz w:val="22"/>
          <w:szCs w:val="22"/>
          <w:lang w:val="tr-TR"/>
        </w:rPr>
        <w:t>portföyü hacmen neredeyse yüzde 25 oranında daralırken daha fazla yoğunlaşmıştır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DD6F01" w:rsidRPr="001A4B94">
        <w:rPr>
          <w:rFonts w:eastAsiaTheme="minorHAnsi"/>
          <w:sz w:val="22"/>
          <w:szCs w:val="22"/>
          <w:lang w:val="tr-TR"/>
        </w:rPr>
        <w:t>Yeni operasyonların sunulm</w:t>
      </w:r>
      <w:r w:rsidR="007A3856" w:rsidRPr="001A4B94">
        <w:rPr>
          <w:rFonts w:eastAsiaTheme="minorHAnsi"/>
          <w:sz w:val="22"/>
          <w:szCs w:val="22"/>
          <w:lang w:val="tr-TR"/>
        </w:rPr>
        <w:t>a</w:t>
      </w:r>
      <w:r w:rsidR="00DD6F01" w:rsidRPr="001A4B94">
        <w:rPr>
          <w:rFonts w:eastAsiaTheme="minorHAnsi"/>
          <w:sz w:val="22"/>
          <w:szCs w:val="22"/>
          <w:lang w:val="tr-TR"/>
        </w:rPr>
        <w:t>sındaki gecikmenin ve aktif projelerdeki hızlı kullandırımın ortak etkisi, aktif portföy büyüklüğünü 5,5 milyar ABD$’dan 3,9 milyar ABD$’na düşürmüştür. Portföydeki bu yo</w:t>
      </w:r>
      <w:r w:rsidR="007A3856" w:rsidRPr="001A4B94">
        <w:rPr>
          <w:rFonts w:eastAsiaTheme="minorHAnsi"/>
          <w:sz w:val="22"/>
          <w:szCs w:val="22"/>
          <w:lang w:val="tr-TR"/>
        </w:rPr>
        <w:t>ğ</w:t>
      </w:r>
      <w:r w:rsidR="00DD6F01" w:rsidRPr="001A4B94">
        <w:rPr>
          <w:rFonts w:eastAsiaTheme="minorHAnsi"/>
          <w:sz w:val="22"/>
          <w:szCs w:val="22"/>
          <w:lang w:val="tr-TR"/>
        </w:rPr>
        <w:t xml:space="preserve">unlaşma </w:t>
      </w:r>
      <w:r w:rsidR="007A3856" w:rsidRPr="001A4B94">
        <w:rPr>
          <w:rFonts w:eastAsiaTheme="minorHAnsi"/>
          <w:sz w:val="22"/>
          <w:szCs w:val="22"/>
          <w:lang w:val="tr-TR"/>
        </w:rPr>
        <w:t>B</w:t>
      </w:r>
      <w:r w:rsidR="00DD6F01" w:rsidRPr="001A4B94">
        <w:rPr>
          <w:rFonts w:eastAsiaTheme="minorHAnsi"/>
          <w:sz w:val="22"/>
          <w:szCs w:val="22"/>
          <w:lang w:val="tr-TR"/>
        </w:rPr>
        <w:t>anka ve Hükümet ekiplerinin bir yanda</w:t>
      </w:r>
      <w:r w:rsidR="007A3856" w:rsidRPr="001A4B94">
        <w:rPr>
          <w:rFonts w:eastAsiaTheme="minorHAnsi"/>
          <w:sz w:val="22"/>
          <w:szCs w:val="22"/>
          <w:lang w:val="tr-TR"/>
        </w:rPr>
        <w:t>n</w:t>
      </w:r>
      <w:r w:rsidR="00DD6F01" w:rsidRPr="001A4B94">
        <w:rPr>
          <w:rFonts w:eastAsiaTheme="minorHAnsi"/>
          <w:sz w:val="22"/>
          <w:szCs w:val="22"/>
          <w:lang w:val="tr-TR"/>
        </w:rPr>
        <w:t xml:space="preserve"> uygulama zorlukları üz</w:t>
      </w:r>
      <w:r w:rsidR="007A3856" w:rsidRPr="001A4B94">
        <w:rPr>
          <w:rFonts w:eastAsiaTheme="minorHAnsi"/>
          <w:sz w:val="22"/>
          <w:szCs w:val="22"/>
          <w:lang w:val="tr-TR"/>
        </w:rPr>
        <w:t>e</w:t>
      </w:r>
      <w:r w:rsidR="00DD6F01" w:rsidRPr="001A4B94">
        <w:rPr>
          <w:rFonts w:eastAsiaTheme="minorHAnsi"/>
          <w:sz w:val="22"/>
          <w:szCs w:val="22"/>
          <w:lang w:val="tr-TR"/>
        </w:rPr>
        <w:t>rin</w:t>
      </w:r>
      <w:r w:rsidR="007A3856" w:rsidRPr="001A4B94">
        <w:rPr>
          <w:rFonts w:eastAsiaTheme="minorHAnsi"/>
          <w:sz w:val="22"/>
          <w:szCs w:val="22"/>
          <w:lang w:val="tr-TR"/>
        </w:rPr>
        <w:t>d</w:t>
      </w:r>
      <w:r w:rsidR="00DD6F01" w:rsidRPr="001A4B94">
        <w:rPr>
          <w:rFonts w:eastAsiaTheme="minorHAnsi"/>
          <w:sz w:val="22"/>
          <w:szCs w:val="22"/>
          <w:lang w:val="tr-TR"/>
        </w:rPr>
        <w:t>e od</w:t>
      </w:r>
      <w:r w:rsidR="007A3856" w:rsidRPr="001A4B94">
        <w:rPr>
          <w:rFonts w:eastAsiaTheme="minorHAnsi"/>
          <w:sz w:val="22"/>
          <w:szCs w:val="22"/>
          <w:lang w:val="tr-TR"/>
        </w:rPr>
        <w:t>a</w:t>
      </w:r>
      <w:r w:rsidR="00DD6F01" w:rsidRPr="001A4B94">
        <w:rPr>
          <w:rFonts w:eastAsiaTheme="minorHAnsi"/>
          <w:sz w:val="22"/>
          <w:szCs w:val="22"/>
          <w:lang w:val="tr-TR"/>
        </w:rPr>
        <w:t>klanırken a</w:t>
      </w:r>
      <w:r w:rsidR="007A3856" w:rsidRPr="001A4B94">
        <w:rPr>
          <w:rFonts w:eastAsiaTheme="minorHAnsi"/>
          <w:sz w:val="22"/>
          <w:szCs w:val="22"/>
          <w:lang w:val="tr-TR"/>
        </w:rPr>
        <w:t>y</w:t>
      </w:r>
      <w:r w:rsidR="00DD6F01" w:rsidRPr="001A4B94">
        <w:rPr>
          <w:rFonts w:eastAsiaTheme="minorHAnsi"/>
          <w:sz w:val="22"/>
          <w:szCs w:val="22"/>
          <w:lang w:val="tr-TR"/>
        </w:rPr>
        <w:t xml:space="preserve">nı zamanda </w:t>
      </w:r>
      <w:r w:rsidR="007A3856" w:rsidRPr="001A4B94">
        <w:rPr>
          <w:rFonts w:eastAsiaTheme="minorHAnsi"/>
          <w:sz w:val="22"/>
          <w:szCs w:val="22"/>
          <w:lang w:val="tr-TR"/>
        </w:rPr>
        <w:t>koruma önlemleri, satın alma ve finansal yönetim ile ilgili kritik konular için kaynakları zamanlı ve yeterli bir şekilde harekete geçirmelerine olanak tanımıştır</w:t>
      </w:r>
      <w:r w:rsidR="00747261" w:rsidRPr="001A4B94">
        <w:rPr>
          <w:rFonts w:eastAsiaTheme="minorHAnsi"/>
          <w:sz w:val="22"/>
          <w:szCs w:val="22"/>
          <w:lang w:val="tr-TR"/>
        </w:rPr>
        <w:t xml:space="preserve">. </w:t>
      </w:r>
      <w:r w:rsidR="007A3856" w:rsidRPr="001A4B94">
        <w:rPr>
          <w:rFonts w:eastAsiaTheme="minorHAnsi"/>
          <w:sz w:val="22"/>
          <w:szCs w:val="22"/>
          <w:lang w:val="tr-TR"/>
        </w:rPr>
        <w:t>Deneyimli Proje Uygulama Birimleri ile birlikte, mev</w:t>
      </w:r>
      <w:r w:rsidR="006720DF" w:rsidRPr="001A4B94">
        <w:rPr>
          <w:rFonts w:eastAsiaTheme="minorHAnsi"/>
          <w:sz w:val="22"/>
          <w:szCs w:val="22"/>
          <w:lang w:val="tr-TR"/>
        </w:rPr>
        <w:t xml:space="preserve">cut </w:t>
      </w:r>
      <w:r w:rsidR="007A3856" w:rsidRPr="001A4B94">
        <w:rPr>
          <w:rFonts w:eastAsiaTheme="minorHAnsi"/>
          <w:sz w:val="22"/>
          <w:szCs w:val="22"/>
          <w:lang w:val="tr-TR"/>
        </w:rPr>
        <w:t>operasyonlara yönelik geriye dönük finansman imkanı tanıyan ek finansmanlar tercih edilen bir seçenek olarak ortaya çıkmıştır</w:t>
      </w:r>
      <w:r w:rsidR="00747261" w:rsidRPr="001A4B94">
        <w:rPr>
          <w:rFonts w:eastAsiaTheme="minorHAnsi"/>
          <w:sz w:val="22"/>
          <w:szCs w:val="22"/>
          <w:lang w:val="tr-TR"/>
        </w:rPr>
        <w:t>.</w:t>
      </w:r>
    </w:p>
    <w:p w14:paraId="35A09917" w14:textId="77777777" w:rsidR="00747261" w:rsidRPr="001A4B94" w:rsidRDefault="00747261" w:rsidP="00747261">
      <w:pPr>
        <w:spacing w:after="160"/>
        <w:contextualSpacing/>
        <w:jc w:val="both"/>
        <w:rPr>
          <w:rFonts w:eastAsiaTheme="minorHAnsi"/>
          <w:sz w:val="22"/>
          <w:szCs w:val="22"/>
          <w:lang w:val="tr-TR"/>
        </w:rPr>
      </w:pPr>
    </w:p>
    <w:p w14:paraId="6D1DCEE9" w14:textId="60BA44C3"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cstheme="minorBidi"/>
          <w:b/>
          <w:bCs/>
          <w:sz w:val="22"/>
          <w:szCs w:val="22"/>
          <w:lang w:val="tr-TR"/>
        </w:rPr>
        <w:lastRenderedPageBreak/>
        <w:t xml:space="preserve"> </w:t>
      </w:r>
      <w:r w:rsidR="006720DF" w:rsidRPr="001A4B94">
        <w:rPr>
          <w:rFonts w:eastAsiaTheme="minorHAnsi" w:cstheme="minorBidi"/>
          <w:b/>
          <w:bCs/>
          <w:sz w:val="22"/>
          <w:szCs w:val="22"/>
          <w:lang w:val="tr-TR"/>
        </w:rPr>
        <w:t>CPS döneminin ba</w:t>
      </w:r>
      <w:r w:rsidR="008A552D" w:rsidRPr="001A4B94">
        <w:rPr>
          <w:rFonts w:eastAsiaTheme="minorHAnsi" w:cstheme="minorBidi"/>
          <w:b/>
          <w:bCs/>
          <w:sz w:val="22"/>
          <w:szCs w:val="22"/>
          <w:lang w:val="tr-TR"/>
        </w:rPr>
        <w:t>ş</w:t>
      </w:r>
      <w:r w:rsidR="006720DF" w:rsidRPr="001A4B94">
        <w:rPr>
          <w:rFonts w:eastAsiaTheme="minorHAnsi" w:cstheme="minorBidi"/>
          <w:b/>
          <w:bCs/>
          <w:sz w:val="22"/>
          <w:szCs w:val="22"/>
          <w:lang w:val="tr-TR"/>
        </w:rPr>
        <w:t>ında IFC’nin taahhüt edilen portföyü 2,3 milyar ABD$ (kendi hes</w:t>
      </w:r>
      <w:r w:rsidR="00557629" w:rsidRPr="001A4B94">
        <w:rPr>
          <w:rFonts w:eastAsiaTheme="minorHAnsi" w:cstheme="minorBidi"/>
          <w:b/>
          <w:bCs/>
          <w:sz w:val="22"/>
          <w:szCs w:val="22"/>
          <w:lang w:val="tr-TR"/>
        </w:rPr>
        <w:t>abına yapılan yatırımlar) düzeyi</w:t>
      </w:r>
      <w:r w:rsidR="006720DF" w:rsidRPr="001A4B94">
        <w:rPr>
          <w:rFonts w:eastAsiaTheme="minorHAnsi" w:cstheme="minorBidi"/>
          <w:b/>
          <w:bCs/>
          <w:sz w:val="22"/>
          <w:szCs w:val="22"/>
          <w:lang w:val="tr-TR"/>
        </w:rPr>
        <w:t>n</w:t>
      </w:r>
      <w:r w:rsidR="00557629" w:rsidRPr="001A4B94">
        <w:rPr>
          <w:rFonts w:eastAsiaTheme="minorHAnsi" w:cstheme="minorBidi"/>
          <w:b/>
          <w:bCs/>
          <w:sz w:val="22"/>
          <w:szCs w:val="22"/>
          <w:lang w:val="tr-TR"/>
        </w:rPr>
        <w:t>d</w:t>
      </w:r>
      <w:r w:rsidR="006720DF" w:rsidRPr="001A4B94">
        <w:rPr>
          <w:rFonts w:eastAsiaTheme="minorHAnsi" w:cstheme="minorBidi"/>
          <w:b/>
          <w:bCs/>
          <w:sz w:val="22"/>
          <w:szCs w:val="22"/>
          <w:lang w:val="tr-TR"/>
        </w:rPr>
        <w:t>e ilken,</w:t>
      </w:r>
      <w:r w:rsidR="00461AD1" w:rsidRPr="001A4B94">
        <w:rPr>
          <w:rFonts w:eastAsiaTheme="minorHAnsi" w:cstheme="minorBidi"/>
          <w:b/>
          <w:bCs/>
          <w:sz w:val="22"/>
          <w:szCs w:val="22"/>
          <w:lang w:val="tr-TR"/>
        </w:rPr>
        <w:t xml:space="preserve"> dönem sonunda bu rakam 3,8 milyar ABD$’na ulaşmıştır</w:t>
      </w:r>
      <w:r w:rsidR="00747261" w:rsidRPr="001A4B94">
        <w:rPr>
          <w:rFonts w:eastAsiaTheme="minorHAnsi" w:cstheme="minorBidi"/>
          <w:b/>
          <w:bCs/>
          <w:sz w:val="22"/>
          <w:szCs w:val="22"/>
          <w:lang w:val="tr-TR"/>
        </w:rPr>
        <w:t xml:space="preserve">. </w:t>
      </w:r>
      <w:r w:rsidR="00461AD1" w:rsidRPr="001A4B94">
        <w:rPr>
          <w:rFonts w:eastAsiaTheme="minorHAnsi"/>
          <w:sz w:val="22"/>
          <w:szCs w:val="22"/>
          <w:lang w:val="tr-TR"/>
        </w:rPr>
        <w:t>Portföy daha f</w:t>
      </w:r>
      <w:r w:rsidR="00557629" w:rsidRPr="001A4B94">
        <w:rPr>
          <w:rFonts w:eastAsiaTheme="minorHAnsi"/>
          <w:sz w:val="22"/>
          <w:szCs w:val="22"/>
          <w:lang w:val="tr-TR"/>
        </w:rPr>
        <w:t>a</w:t>
      </w:r>
      <w:r w:rsidR="00461AD1" w:rsidRPr="001A4B94">
        <w:rPr>
          <w:rFonts w:eastAsiaTheme="minorHAnsi"/>
          <w:sz w:val="22"/>
          <w:szCs w:val="22"/>
          <w:lang w:val="tr-TR"/>
        </w:rPr>
        <w:t>zla çeşitlenmiştir ve 2012 MY ile 2016 MY ar</w:t>
      </w:r>
      <w:r w:rsidR="008A552D" w:rsidRPr="001A4B94">
        <w:rPr>
          <w:rFonts w:eastAsiaTheme="minorHAnsi"/>
          <w:sz w:val="22"/>
          <w:szCs w:val="22"/>
          <w:lang w:val="tr-TR"/>
        </w:rPr>
        <w:t>a</w:t>
      </w:r>
      <w:r w:rsidR="00461AD1" w:rsidRPr="001A4B94">
        <w:rPr>
          <w:rFonts w:eastAsiaTheme="minorHAnsi"/>
          <w:sz w:val="22"/>
          <w:szCs w:val="22"/>
          <w:lang w:val="tr-TR"/>
        </w:rPr>
        <w:t>sında finansal piyasalar alanındaki operasyonların payı yüzde 48’den yüzde 41’e inmiş, altyapı alanındaki operasyonların oranı %27’den yüzde 34’e çıkmış, imalat, hizmetl</w:t>
      </w:r>
      <w:r w:rsidR="00557629" w:rsidRPr="001A4B94">
        <w:rPr>
          <w:rFonts w:eastAsiaTheme="minorHAnsi"/>
          <w:sz w:val="22"/>
          <w:szCs w:val="22"/>
          <w:lang w:val="tr-TR"/>
        </w:rPr>
        <w:t>e</w:t>
      </w:r>
      <w:r w:rsidR="00461AD1" w:rsidRPr="001A4B94">
        <w:rPr>
          <w:rFonts w:eastAsiaTheme="minorHAnsi"/>
          <w:sz w:val="22"/>
          <w:szCs w:val="22"/>
          <w:lang w:val="tr-TR"/>
        </w:rPr>
        <w:t>r ve tarım alanındaki operasyonların payı yüzde 22’den yüzde 20’ye düşmüş  ve medya, teknoloji ve telekomünikasyon alanındaki operasyonların payı yüzde 3’ten yüzde 5’e yük</w:t>
      </w:r>
      <w:r w:rsidR="00557629" w:rsidRPr="001A4B94">
        <w:rPr>
          <w:rFonts w:eastAsiaTheme="minorHAnsi"/>
          <w:sz w:val="22"/>
          <w:szCs w:val="22"/>
          <w:lang w:val="tr-TR"/>
        </w:rPr>
        <w:t>s</w:t>
      </w:r>
      <w:r w:rsidR="00461AD1" w:rsidRPr="001A4B94">
        <w:rPr>
          <w:rFonts w:eastAsiaTheme="minorHAnsi"/>
          <w:sz w:val="22"/>
          <w:szCs w:val="22"/>
          <w:lang w:val="tr-TR"/>
        </w:rPr>
        <w:t xml:space="preserve">elmiştir. Portföy kalitesinde de bir iyileşme kaydedilmiştir: takibe düşen kredilerin </w:t>
      </w:r>
      <w:r w:rsidR="00557629" w:rsidRPr="001A4B94">
        <w:rPr>
          <w:rFonts w:eastAsiaTheme="minorHAnsi"/>
          <w:sz w:val="22"/>
          <w:szCs w:val="22"/>
          <w:lang w:val="tr-TR"/>
        </w:rPr>
        <w:t xml:space="preserve">miktarı CPS döneminin başında 68,6 milyon ABD$ iken 2016 MY sonu itibariyle 15,3 milyon ABD$ olarak gerçekleşmiştir </w:t>
      </w:r>
      <w:r w:rsidR="00747261" w:rsidRPr="001A4B94">
        <w:rPr>
          <w:rFonts w:eastAsiaTheme="minorHAnsi"/>
          <w:sz w:val="22"/>
          <w:szCs w:val="22"/>
          <w:lang w:val="tr-TR"/>
        </w:rPr>
        <w:t>(</w:t>
      </w:r>
      <w:r w:rsidR="00557629" w:rsidRPr="001A4B94">
        <w:rPr>
          <w:rFonts w:eastAsiaTheme="minorHAnsi"/>
          <w:sz w:val="22"/>
          <w:szCs w:val="22"/>
          <w:lang w:val="tr-TR"/>
        </w:rPr>
        <w:t>veya ödenmemiş bakiyenin yüzde 3,9’undan yüzde 0,6’sına inmiştir)</w:t>
      </w:r>
      <w:r w:rsidR="00747261" w:rsidRPr="001A4B94">
        <w:rPr>
          <w:rFonts w:eastAsiaTheme="minorHAnsi"/>
          <w:sz w:val="22"/>
          <w:szCs w:val="22"/>
          <w:lang w:val="tr-TR"/>
        </w:rPr>
        <w:t xml:space="preserve">. </w:t>
      </w:r>
    </w:p>
    <w:p w14:paraId="2B97AC65" w14:textId="77777777" w:rsidR="00747261" w:rsidRPr="001A4B94" w:rsidRDefault="00747261" w:rsidP="00747261">
      <w:pPr>
        <w:tabs>
          <w:tab w:val="left" w:pos="2370"/>
        </w:tabs>
        <w:spacing w:before="120" w:after="160"/>
        <w:ind w:left="360"/>
        <w:contextualSpacing/>
        <w:jc w:val="both"/>
        <w:rPr>
          <w:rFonts w:eastAsiaTheme="minorHAnsi"/>
          <w:sz w:val="22"/>
          <w:szCs w:val="22"/>
          <w:lang w:val="tr-TR"/>
        </w:rPr>
      </w:pPr>
      <w:r w:rsidRPr="001A4B94">
        <w:rPr>
          <w:rFonts w:eastAsiaTheme="minorHAnsi"/>
          <w:sz w:val="22"/>
          <w:szCs w:val="22"/>
          <w:lang w:val="tr-TR"/>
        </w:rPr>
        <w:tab/>
      </w:r>
    </w:p>
    <w:p w14:paraId="74BD59F5" w14:textId="310CBB70" w:rsidR="00747261" w:rsidRPr="001A4B94" w:rsidRDefault="00A04866" w:rsidP="00174F69">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9C22E9" w:rsidRPr="001A4B94">
        <w:rPr>
          <w:rFonts w:eastAsiaTheme="minorHAnsi"/>
          <w:b/>
          <w:sz w:val="22"/>
          <w:szCs w:val="22"/>
          <w:lang w:val="tr-TR"/>
        </w:rPr>
        <w:t>Analitik çalışmalar DBG’nin Türkiye’nin çok çeşitli kalkınma zorluklarını destekleyen öncelikli alanlarda bilgiler sağlamıştır</w:t>
      </w:r>
      <w:r w:rsidR="00747261" w:rsidRPr="001A4B94">
        <w:rPr>
          <w:rFonts w:eastAsiaTheme="minorHAnsi"/>
          <w:b/>
          <w:sz w:val="22"/>
          <w:szCs w:val="22"/>
          <w:lang w:val="tr-TR"/>
        </w:rPr>
        <w:t xml:space="preserve">. </w:t>
      </w:r>
      <w:r w:rsidR="00747261" w:rsidRPr="001A4B94">
        <w:rPr>
          <w:rFonts w:eastAsiaTheme="minorHAnsi"/>
          <w:sz w:val="22"/>
          <w:szCs w:val="22"/>
          <w:lang w:val="tr-TR"/>
        </w:rPr>
        <w:t>Bank</w:t>
      </w:r>
      <w:r w:rsidR="00C159B1" w:rsidRPr="001A4B94">
        <w:rPr>
          <w:rFonts w:eastAsiaTheme="minorHAnsi"/>
          <w:sz w:val="22"/>
          <w:szCs w:val="22"/>
          <w:lang w:val="tr-TR"/>
        </w:rPr>
        <w:t>a</w:t>
      </w:r>
      <w:r w:rsidR="00747261" w:rsidRPr="001A4B94">
        <w:rPr>
          <w:rFonts w:eastAsiaTheme="minorHAnsi"/>
          <w:sz w:val="22"/>
          <w:szCs w:val="22"/>
          <w:lang w:val="tr-TR"/>
        </w:rPr>
        <w:t xml:space="preserve"> </w:t>
      </w:r>
      <w:r w:rsidR="00C159B1" w:rsidRPr="001A4B94">
        <w:rPr>
          <w:rFonts w:eastAsiaTheme="minorHAnsi"/>
          <w:sz w:val="22"/>
          <w:szCs w:val="22"/>
          <w:lang w:val="tr-TR"/>
        </w:rPr>
        <w:t>müşterinin küresel bilgi ve analitik çalışma için işbirliği taleplerine cevap vermiştir</w:t>
      </w:r>
      <w:r w:rsidR="00747261" w:rsidRPr="001A4B94">
        <w:rPr>
          <w:rFonts w:eastAsiaTheme="minorHAnsi"/>
          <w:sz w:val="22"/>
          <w:szCs w:val="22"/>
          <w:lang w:val="tr-TR"/>
        </w:rPr>
        <w:t xml:space="preserve">. </w:t>
      </w:r>
      <w:r w:rsidR="00C159B1" w:rsidRPr="001A4B94">
        <w:rPr>
          <w:rFonts w:eastAsiaTheme="minorHAnsi"/>
          <w:sz w:val="22"/>
          <w:szCs w:val="22"/>
          <w:lang w:val="tr-TR"/>
        </w:rPr>
        <w:t xml:space="preserve">CPS İlerleme raporu zamanında daha fazla </w:t>
      </w:r>
      <w:r w:rsidR="00747261" w:rsidRPr="001A4B94">
        <w:rPr>
          <w:rFonts w:eastAsiaTheme="minorHAnsi"/>
          <w:sz w:val="22"/>
          <w:szCs w:val="22"/>
          <w:lang w:val="tr-TR"/>
        </w:rPr>
        <w:t xml:space="preserve">ASA </w:t>
      </w:r>
      <w:r w:rsidR="00C159B1" w:rsidRPr="001A4B94">
        <w:rPr>
          <w:rFonts w:eastAsiaTheme="minorHAnsi"/>
          <w:sz w:val="22"/>
          <w:szCs w:val="22"/>
          <w:lang w:val="tr-TR"/>
        </w:rPr>
        <w:t xml:space="preserve">önceliklendirmesine ihtiyaç duyulduğu tespit edilmiştir ve bunun sonucunda stratejik odağı korumak için program odaklı </w:t>
      </w:r>
      <w:r w:rsidR="00747261" w:rsidRPr="001A4B94">
        <w:rPr>
          <w:rFonts w:eastAsiaTheme="minorHAnsi"/>
          <w:sz w:val="22"/>
          <w:szCs w:val="22"/>
          <w:lang w:val="tr-TR"/>
        </w:rPr>
        <w:t xml:space="preserve">ASA </w:t>
      </w:r>
      <w:r w:rsidR="00C159B1" w:rsidRPr="001A4B94">
        <w:rPr>
          <w:rFonts w:eastAsiaTheme="minorHAnsi"/>
          <w:sz w:val="22"/>
          <w:szCs w:val="22"/>
          <w:lang w:val="tr-TR"/>
        </w:rPr>
        <w:t>uygulamaya konulmuştur</w:t>
      </w:r>
      <w:r w:rsidR="00747261" w:rsidRPr="001A4B94">
        <w:rPr>
          <w:rFonts w:eastAsiaTheme="minorHAnsi"/>
          <w:sz w:val="22"/>
          <w:szCs w:val="22"/>
          <w:lang w:val="tr-TR"/>
        </w:rPr>
        <w:t xml:space="preserve">. </w:t>
      </w:r>
      <w:r w:rsidR="00C159B1" w:rsidRPr="001A4B94">
        <w:rPr>
          <w:rFonts w:eastAsiaTheme="minorHAnsi"/>
          <w:sz w:val="22"/>
          <w:szCs w:val="22"/>
          <w:lang w:val="tr-TR"/>
        </w:rPr>
        <w:t>Türkiye’nin büyüklüğü ve yüksek gelirli ülke seviyesine ulaşma yolunda kaydettiği ilerleme göz önüne alındığında, karşı karşıya olduğu kalkınma zorlukları da karm</w:t>
      </w:r>
      <w:r w:rsidR="00174F69" w:rsidRPr="001A4B94">
        <w:rPr>
          <w:rFonts w:eastAsiaTheme="minorHAnsi"/>
          <w:sz w:val="22"/>
          <w:szCs w:val="22"/>
          <w:lang w:val="tr-TR"/>
        </w:rPr>
        <w:t>a</w:t>
      </w:r>
      <w:r w:rsidR="00C159B1" w:rsidRPr="001A4B94">
        <w:rPr>
          <w:rFonts w:eastAsiaTheme="minorHAnsi"/>
          <w:sz w:val="22"/>
          <w:szCs w:val="22"/>
          <w:lang w:val="tr-TR"/>
        </w:rPr>
        <w:t>şıktır ve derin, ö</w:t>
      </w:r>
      <w:r w:rsidR="00174F69" w:rsidRPr="001A4B94">
        <w:rPr>
          <w:rFonts w:eastAsiaTheme="minorHAnsi"/>
          <w:sz w:val="22"/>
          <w:szCs w:val="22"/>
          <w:lang w:val="tr-TR"/>
        </w:rPr>
        <w:t>z</w:t>
      </w:r>
      <w:r w:rsidR="00C159B1" w:rsidRPr="001A4B94">
        <w:rPr>
          <w:rFonts w:eastAsiaTheme="minorHAnsi"/>
          <w:sz w:val="22"/>
          <w:szCs w:val="22"/>
          <w:lang w:val="tr-TR"/>
        </w:rPr>
        <w:t xml:space="preserve">el tasarlanmış </w:t>
      </w:r>
      <w:r w:rsidR="00174F69" w:rsidRPr="001A4B94">
        <w:rPr>
          <w:rFonts w:eastAsiaTheme="minorHAnsi"/>
          <w:sz w:val="22"/>
          <w:szCs w:val="22"/>
          <w:lang w:val="tr-TR"/>
        </w:rPr>
        <w:t>v</w:t>
      </w:r>
      <w:r w:rsidR="00C159B1" w:rsidRPr="001A4B94">
        <w:rPr>
          <w:rFonts w:eastAsiaTheme="minorHAnsi"/>
          <w:sz w:val="22"/>
          <w:szCs w:val="22"/>
          <w:lang w:val="tr-TR"/>
        </w:rPr>
        <w:t>e sektörler arası analizler gerektirmekt</w:t>
      </w:r>
      <w:r w:rsidR="00174F69" w:rsidRPr="001A4B94">
        <w:rPr>
          <w:rFonts w:eastAsiaTheme="minorHAnsi"/>
          <w:sz w:val="22"/>
          <w:szCs w:val="22"/>
          <w:lang w:val="tr-TR"/>
        </w:rPr>
        <w:t>e</w:t>
      </w:r>
      <w:r w:rsidR="00C159B1" w:rsidRPr="001A4B94">
        <w:rPr>
          <w:rFonts w:eastAsiaTheme="minorHAnsi"/>
          <w:sz w:val="22"/>
          <w:szCs w:val="22"/>
          <w:lang w:val="tr-TR"/>
        </w:rPr>
        <w:t>dir.</w:t>
      </w:r>
      <w:r w:rsidR="00747261" w:rsidRPr="001A4B94">
        <w:rPr>
          <w:rFonts w:eastAsiaTheme="minorHAnsi"/>
          <w:sz w:val="22"/>
          <w:szCs w:val="22"/>
          <w:lang w:val="tr-TR"/>
        </w:rPr>
        <w:t xml:space="preserve"> </w:t>
      </w:r>
      <w:r w:rsidR="00174F69" w:rsidRPr="001A4B94">
        <w:rPr>
          <w:rFonts w:eastAsiaTheme="minorHAnsi"/>
          <w:sz w:val="22"/>
          <w:szCs w:val="22"/>
          <w:lang w:val="tr-TR"/>
        </w:rPr>
        <w:t>Bu durum, sorunların tespiti ve politika çözümlerinin sunulması  için daha fazla kaynak ayrılmasını gerektirmektedir. Öte yandan</w:t>
      </w:r>
      <w:r w:rsidR="00747261" w:rsidRPr="001A4B94">
        <w:rPr>
          <w:rFonts w:eastAsiaTheme="minorHAnsi"/>
          <w:sz w:val="22"/>
          <w:szCs w:val="22"/>
          <w:lang w:val="tr-TR"/>
        </w:rPr>
        <w:t xml:space="preserve">, </w:t>
      </w:r>
      <w:r w:rsidR="00174F69" w:rsidRPr="001A4B94">
        <w:rPr>
          <w:rFonts w:eastAsiaTheme="minorHAnsi"/>
          <w:sz w:val="22"/>
          <w:szCs w:val="22"/>
          <w:lang w:val="tr-TR"/>
        </w:rPr>
        <w:t xml:space="preserve">Hükümet ile istişare içerisinde belirlenen daha kompakt, seçici ve çıktıya dayalı bir </w:t>
      </w:r>
      <w:r w:rsidR="00747261" w:rsidRPr="001A4B94">
        <w:rPr>
          <w:rFonts w:eastAsiaTheme="minorHAnsi"/>
          <w:sz w:val="22"/>
          <w:szCs w:val="22"/>
          <w:lang w:val="tr-TR"/>
        </w:rPr>
        <w:t>ASA program</w:t>
      </w:r>
      <w:r w:rsidR="00174F69" w:rsidRPr="001A4B94">
        <w:rPr>
          <w:rFonts w:eastAsiaTheme="minorHAnsi"/>
          <w:sz w:val="22"/>
          <w:szCs w:val="22"/>
          <w:lang w:val="tr-TR"/>
        </w:rPr>
        <w:t>ı</w:t>
      </w:r>
      <w:r w:rsidR="00747261" w:rsidRPr="001A4B94">
        <w:rPr>
          <w:rFonts w:eastAsiaTheme="minorHAnsi"/>
          <w:sz w:val="22"/>
          <w:szCs w:val="22"/>
          <w:lang w:val="tr-TR"/>
        </w:rPr>
        <w:t xml:space="preserve"> </w:t>
      </w:r>
      <w:r w:rsidR="00174F69" w:rsidRPr="001A4B94">
        <w:rPr>
          <w:rFonts w:eastAsiaTheme="minorHAnsi"/>
          <w:sz w:val="22"/>
          <w:szCs w:val="22"/>
          <w:lang w:val="tr-TR"/>
        </w:rPr>
        <w:t>Banka analizlerinin değerini arttıracak ve önemli maliyet faydaları sağlayacaktır</w:t>
      </w:r>
      <w:r w:rsidR="00747261" w:rsidRPr="001A4B94">
        <w:rPr>
          <w:rFonts w:eastAsiaTheme="minorHAnsi"/>
          <w:sz w:val="22"/>
          <w:szCs w:val="22"/>
          <w:lang w:val="tr-TR"/>
        </w:rPr>
        <w:t xml:space="preserve">.  </w:t>
      </w:r>
      <w:r w:rsidR="00174F69" w:rsidRPr="001A4B94">
        <w:rPr>
          <w:rFonts w:eastAsiaTheme="minorHAnsi"/>
          <w:sz w:val="22"/>
          <w:szCs w:val="22"/>
          <w:lang w:val="tr-TR"/>
        </w:rPr>
        <w:t>ASA programı</w:t>
      </w:r>
      <w:r w:rsidR="008A552D" w:rsidRPr="001A4B94">
        <w:rPr>
          <w:rFonts w:eastAsiaTheme="minorHAnsi"/>
          <w:sz w:val="22"/>
          <w:szCs w:val="22"/>
          <w:lang w:val="tr-TR"/>
        </w:rPr>
        <w:t>n</w:t>
      </w:r>
      <w:r w:rsidR="00174F69" w:rsidRPr="001A4B94">
        <w:rPr>
          <w:rFonts w:eastAsiaTheme="minorHAnsi"/>
          <w:sz w:val="22"/>
          <w:szCs w:val="22"/>
          <w:lang w:val="tr-TR"/>
        </w:rPr>
        <w:t>da karşılaşılan bir başka zorluk</w:t>
      </w:r>
      <w:r w:rsidR="008A552D" w:rsidRPr="001A4B94">
        <w:rPr>
          <w:rFonts w:eastAsiaTheme="minorHAnsi"/>
          <w:sz w:val="22"/>
          <w:szCs w:val="22"/>
          <w:lang w:val="tr-TR"/>
        </w:rPr>
        <w:t xml:space="preserve"> da</w:t>
      </w:r>
      <w:r w:rsidR="00174F69" w:rsidRPr="001A4B94">
        <w:rPr>
          <w:rFonts w:eastAsiaTheme="minorHAnsi"/>
          <w:sz w:val="22"/>
          <w:szCs w:val="22"/>
          <w:lang w:val="tr-TR"/>
        </w:rPr>
        <w:t xml:space="preserve"> verilere erişimdeki düzensizlik olmuştur</w:t>
      </w:r>
      <w:r w:rsidR="00747261" w:rsidRPr="001A4B94">
        <w:rPr>
          <w:rFonts w:eastAsiaTheme="minorHAnsi"/>
          <w:sz w:val="22"/>
          <w:szCs w:val="22"/>
          <w:lang w:val="tr-TR"/>
        </w:rPr>
        <w:t xml:space="preserve">: </w:t>
      </w:r>
      <w:r w:rsidR="00174F69" w:rsidRPr="001A4B94">
        <w:rPr>
          <w:rFonts w:eastAsiaTheme="minorHAnsi"/>
          <w:sz w:val="22"/>
          <w:szCs w:val="22"/>
          <w:lang w:val="tr-TR"/>
        </w:rPr>
        <w:t>bazı durumlarda</w:t>
      </w:r>
      <w:r w:rsidR="00747261" w:rsidRPr="001A4B94">
        <w:rPr>
          <w:rFonts w:eastAsiaTheme="minorHAnsi"/>
          <w:sz w:val="22"/>
          <w:szCs w:val="22"/>
          <w:lang w:val="tr-TR"/>
        </w:rPr>
        <w:t xml:space="preserve">, </w:t>
      </w:r>
      <w:r w:rsidR="000915D8" w:rsidRPr="001A4B94">
        <w:rPr>
          <w:rFonts w:eastAsiaTheme="minorHAnsi"/>
          <w:sz w:val="22"/>
          <w:szCs w:val="22"/>
          <w:lang w:val="tr-TR"/>
        </w:rPr>
        <w:t>analizler sadece kamuya açık verilere dayandırılırken, bazı durumlarda ise ya kurumların verileri paylaşma yetkisi olmamıştır ya da güvenilir olduğunu düşünmedikleri için verileri paylaşmamışlardır</w:t>
      </w:r>
      <w:r w:rsidR="00747261" w:rsidRPr="001A4B94">
        <w:rPr>
          <w:rFonts w:eastAsiaTheme="minorHAnsi"/>
          <w:sz w:val="22"/>
          <w:szCs w:val="22"/>
          <w:lang w:val="tr-TR"/>
        </w:rPr>
        <w:t xml:space="preserve">. </w:t>
      </w:r>
    </w:p>
    <w:p w14:paraId="1F30FFD8" w14:textId="77777777" w:rsidR="00747261" w:rsidRPr="001A4B94" w:rsidRDefault="00747261" w:rsidP="00747261">
      <w:pPr>
        <w:spacing w:after="160"/>
        <w:ind w:left="360"/>
        <w:contextualSpacing/>
        <w:jc w:val="both"/>
        <w:rPr>
          <w:rFonts w:eastAsiaTheme="minorHAnsi"/>
          <w:sz w:val="22"/>
          <w:szCs w:val="22"/>
          <w:lang w:val="tr-TR"/>
        </w:rPr>
      </w:pPr>
    </w:p>
    <w:p w14:paraId="35D3D46A" w14:textId="4C66F3A9"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IBRD </w:t>
      </w:r>
      <w:r w:rsidR="00E85B44" w:rsidRPr="001A4B94">
        <w:rPr>
          <w:rFonts w:eastAsiaTheme="minorHAnsi"/>
          <w:b/>
          <w:sz w:val="22"/>
          <w:szCs w:val="22"/>
          <w:lang w:val="tr-TR"/>
        </w:rPr>
        <w:t xml:space="preserve">bilgi portföyündeki kısıtları dışarıdan destekleyici kaynakları harekete </w:t>
      </w:r>
      <w:r w:rsidR="00DB79C9" w:rsidRPr="001A4B94">
        <w:rPr>
          <w:rFonts w:eastAsiaTheme="minorHAnsi"/>
          <w:b/>
          <w:sz w:val="22"/>
          <w:szCs w:val="22"/>
          <w:lang w:val="tr-TR"/>
        </w:rPr>
        <w:t>geçirerek</w:t>
      </w:r>
      <w:r w:rsidR="00E85B44" w:rsidRPr="001A4B94">
        <w:rPr>
          <w:rFonts w:eastAsiaTheme="minorHAnsi"/>
          <w:b/>
          <w:sz w:val="22"/>
          <w:szCs w:val="22"/>
          <w:lang w:val="tr-TR"/>
        </w:rPr>
        <w:t xml:space="preserve"> aşmıştır</w:t>
      </w:r>
      <w:r w:rsidR="00747261" w:rsidRPr="001A4B94">
        <w:rPr>
          <w:rFonts w:eastAsiaTheme="minorHAnsi"/>
          <w:b/>
          <w:sz w:val="22"/>
          <w:szCs w:val="22"/>
          <w:lang w:val="tr-TR"/>
        </w:rPr>
        <w:t>.</w:t>
      </w:r>
      <w:r w:rsidR="00747261" w:rsidRPr="001A4B94">
        <w:rPr>
          <w:rFonts w:eastAsiaTheme="minorHAnsi"/>
          <w:sz w:val="22"/>
          <w:szCs w:val="22"/>
          <w:lang w:val="tr-TR"/>
        </w:rPr>
        <w:t xml:space="preserve"> CPS </w:t>
      </w:r>
      <w:r w:rsidR="00E85B44" w:rsidRPr="001A4B94">
        <w:rPr>
          <w:rFonts w:eastAsiaTheme="minorHAnsi"/>
          <w:sz w:val="22"/>
          <w:szCs w:val="22"/>
          <w:lang w:val="tr-TR"/>
        </w:rPr>
        <w:t xml:space="preserve">döneminde </w:t>
      </w:r>
      <w:r w:rsidR="00CB07D7" w:rsidRPr="001A4B94">
        <w:rPr>
          <w:rFonts w:eastAsiaTheme="minorHAnsi"/>
          <w:sz w:val="22"/>
          <w:szCs w:val="22"/>
          <w:lang w:val="tr-TR"/>
        </w:rPr>
        <w:t xml:space="preserve">yeni iş </w:t>
      </w:r>
      <w:r w:rsidR="00DB79C9" w:rsidRPr="001A4B94">
        <w:rPr>
          <w:rFonts w:eastAsiaTheme="minorHAnsi"/>
          <w:sz w:val="22"/>
          <w:szCs w:val="22"/>
          <w:lang w:val="tr-TR"/>
        </w:rPr>
        <w:t xml:space="preserve">alanlarını </w:t>
      </w:r>
      <w:r w:rsidR="00CB07D7" w:rsidRPr="001A4B94">
        <w:rPr>
          <w:rFonts w:eastAsiaTheme="minorHAnsi"/>
          <w:sz w:val="22"/>
          <w:szCs w:val="22"/>
          <w:lang w:val="tr-TR"/>
        </w:rPr>
        <w:t xml:space="preserve">desteklemek için </w:t>
      </w:r>
      <w:r w:rsidR="00374037" w:rsidRPr="001A4B94">
        <w:rPr>
          <w:rFonts w:eastAsiaTheme="minorHAnsi"/>
          <w:sz w:val="22"/>
          <w:szCs w:val="22"/>
          <w:lang w:val="tr-TR"/>
        </w:rPr>
        <w:t>AB</w:t>
      </w:r>
      <w:r w:rsidR="00CB07D7" w:rsidRPr="001A4B94">
        <w:rPr>
          <w:rFonts w:eastAsiaTheme="minorHAnsi"/>
          <w:sz w:val="22"/>
          <w:szCs w:val="22"/>
          <w:lang w:val="tr-TR"/>
        </w:rPr>
        <w:t>/IPA</w:t>
      </w:r>
      <w:r w:rsidR="00374037" w:rsidRPr="001A4B94">
        <w:rPr>
          <w:rFonts w:eastAsiaTheme="minorHAnsi"/>
          <w:sz w:val="22"/>
          <w:szCs w:val="22"/>
          <w:lang w:val="tr-TR"/>
        </w:rPr>
        <w:t xml:space="preserve"> </w:t>
      </w:r>
      <w:r w:rsidR="00DB79C9" w:rsidRPr="001A4B94">
        <w:rPr>
          <w:rFonts w:eastAsiaTheme="minorHAnsi"/>
          <w:sz w:val="22"/>
          <w:szCs w:val="22"/>
          <w:lang w:val="tr-TR"/>
        </w:rPr>
        <w:t>finansmanlı</w:t>
      </w:r>
      <w:r w:rsidR="00374037" w:rsidRPr="001A4B94">
        <w:rPr>
          <w:rFonts w:eastAsiaTheme="minorHAnsi"/>
          <w:sz w:val="22"/>
          <w:szCs w:val="22"/>
          <w:lang w:val="tr-TR"/>
        </w:rPr>
        <w:t xml:space="preserve"> Bölgesel Yatırım </w:t>
      </w:r>
      <w:r w:rsidR="008A552D" w:rsidRPr="001A4B94">
        <w:rPr>
          <w:rFonts w:eastAsiaTheme="minorHAnsi"/>
          <w:sz w:val="22"/>
          <w:szCs w:val="22"/>
          <w:lang w:val="tr-TR"/>
        </w:rPr>
        <w:t>O</w:t>
      </w:r>
      <w:r w:rsidR="00374037" w:rsidRPr="001A4B94">
        <w:rPr>
          <w:rFonts w:eastAsiaTheme="minorHAnsi"/>
          <w:sz w:val="22"/>
          <w:szCs w:val="22"/>
          <w:lang w:val="tr-TR"/>
        </w:rPr>
        <w:t xml:space="preserve">rtamı Değerlendirmesi (RICA, 2015 MY) konulu </w:t>
      </w:r>
      <w:r w:rsidR="00CB07D7" w:rsidRPr="001A4B94">
        <w:rPr>
          <w:rFonts w:eastAsiaTheme="minorHAnsi"/>
          <w:sz w:val="22"/>
          <w:szCs w:val="22"/>
          <w:lang w:val="tr-TR"/>
        </w:rPr>
        <w:t xml:space="preserve">RAS, </w:t>
      </w:r>
      <w:r w:rsidR="00374037" w:rsidRPr="001A4B94">
        <w:rPr>
          <w:rFonts w:eastAsiaTheme="minorHAnsi"/>
          <w:sz w:val="22"/>
          <w:szCs w:val="22"/>
          <w:lang w:val="tr-TR"/>
        </w:rPr>
        <w:t>AB</w:t>
      </w:r>
      <w:r w:rsidR="00CB07D7" w:rsidRPr="001A4B94">
        <w:rPr>
          <w:rFonts w:eastAsiaTheme="minorHAnsi"/>
          <w:sz w:val="22"/>
          <w:szCs w:val="22"/>
          <w:lang w:val="tr-TR"/>
        </w:rPr>
        <w:t>/IPA</w:t>
      </w:r>
      <w:r w:rsidR="00374037" w:rsidRPr="001A4B94">
        <w:rPr>
          <w:rFonts w:eastAsiaTheme="minorHAnsi"/>
          <w:sz w:val="22"/>
          <w:szCs w:val="22"/>
          <w:lang w:val="tr-TR"/>
        </w:rPr>
        <w:t xml:space="preserve"> </w:t>
      </w:r>
      <w:r w:rsidR="00DB79C9" w:rsidRPr="001A4B94">
        <w:rPr>
          <w:rFonts w:eastAsiaTheme="minorHAnsi"/>
          <w:sz w:val="22"/>
          <w:szCs w:val="22"/>
          <w:lang w:val="tr-TR"/>
        </w:rPr>
        <w:t>f</w:t>
      </w:r>
      <w:r w:rsidR="00374037" w:rsidRPr="001A4B94">
        <w:rPr>
          <w:rFonts w:eastAsiaTheme="minorHAnsi"/>
          <w:sz w:val="22"/>
          <w:szCs w:val="22"/>
          <w:lang w:val="tr-TR"/>
        </w:rPr>
        <w:t xml:space="preserve">inansmanlı </w:t>
      </w:r>
      <w:r w:rsidR="00DB79C9" w:rsidRPr="001A4B94">
        <w:rPr>
          <w:rFonts w:eastAsiaTheme="minorHAnsi"/>
          <w:sz w:val="22"/>
          <w:szCs w:val="22"/>
          <w:lang w:val="tr-TR"/>
        </w:rPr>
        <w:t xml:space="preserve">Enerji Sektörü Teknik Yardım RETF  </w:t>
      </w:r>
      <w:r w:rsidR="00CB07D7" w:rsidRPr="001A4B94">
        <w:rPr>
          <w:rFonts w:eastAsiaTheme="minorHAnsi"/>
          <w:sz w:val="22"/>
          <w:szCs w:val="22"/>
          <w:lang w:val="tr-TR"/>
        </w:rPr>
        <w:t>(</w:t>
      </w:r>
      <w:r w:rsidR="00DB79C9" w:rsidRPr="001A4B94">
        <w:rPr>
          <w:rFonts w:eastAsiaTheme="minorHAnsi"/>
          <w:sz w:val="22"/>
          <w:szCs w:val="22"/>
          <w:lang w:val="tr-TR"/>
        </w:rPr>
        <w:t>2015 MY ve 2016 MY</w:t>
      </w:r>
      <w:r w:rsidR="00CB07D7" w:rsidRPr="001A4B94">
        <w:rPr>
          <w:rFonts w:eastAsiaTheme="minorHAnsi"/>
          <w:sz w:val="22"/>
          <w:szCs w:val="22"/>
          <w:lang w:val="tr-TR"/>
        </w:rPr>
        <w:t xml:space="preserve">), </w:t>
      </w:r>
      <w:r w:rsidR="008A552D" w:rsidRPr="001A4B94">
        <w:rPr>
          <w:rFonts w:eastAsiaTheme="minorHAnsi"/>
          <w:sz w:val="22"/>
          <w:szCs w:val="22"/>
          <w:lang w:val="tr-TR"/>
        </w:rPr>
        <w:t xml:space="preserve">AB </w:t>
      </w:r>
      <w:r w:rsidR="00DB79C9" w:rsidRPr="001A4B94">
        <w:rPr>
          <w:rFonts w:eastAsiaTheme="minorHAnsi"/>
          <w:sz w:val="22"/>
          <w:szCs w:val="22"/>
          <w:lang w:val="tr-TR"/>
        </w:rPr>
        <w:t xml:space="preserve">finansmanlı Gümrük Birliği Değerlendirmesi </w:t>
      </w:r>
      <w:r w:rsidR="00CB07D7" w:rsidRPr="001A4B94">
        <w:rPr>
          <w:rFonts w:eastAsiaTheme="minorHAnsi"/>
          <w:sz w:val="22"/>
          <w:szCs w:val="22"/>
          <w:lang w:val="tr-TR"/>
        </w:rPr>
        <w:t>(</w:t>
      </w:r>
      <w:r w:rsidR="00DB79C9" w:rsidRPr="001A4B94">
        <w:rPr>
          <w:rFonts w:eastAsiaTheme="minorHAnsi"/>
          <w:sz w:val="22"/>
          <w:szCs w:val="22"/>
          <w:lang w:val="tr-TR"/>
        </w:rPr>
        <w:t>2014 MY)</w:t>
      </w:r>
      <w:r w:rsidR="00CB07D7" w:rsidRPr="001A4B94">
        <w:rPr>
          <w:rFonts w:eastAsiaTheme="minorHAnsi"/>
          <w:sz w:val="22"/>
          <w:szCs w:val="22"/>
          <w:lang w:val="tr-TR"/>
        </w:rPr>
        <w:t xml:space="preserve"> </w:t>
      </w:r>
      <w:r w:rsidR="00DB79C9" w:rsidRPr="001A4B94">
        <w:rPr>
          <w:rFonts w:eastAsiaTheme="minorHAnsi"/>
          <w:sz w:val="22"/>
          <w:szCs w:val="22"/>
          <w:lang w:val="tr-TR"/>
        </w:rPr>
        <w:t xml:space="preserve">ve </w:t>
      </w:r>
      <w:r w:rsidR="00CB07D7" w:rsidRPr="001A4B94">
        <w:rPr>
          <w:rFonts w:eastAsiaTheme="minorHAnsi"/>
          <w:sz w:val="22"/>
          <w:szCs w:val="22"/>
          <w:lang w:val="tr-TR"/>
        </w:rPr>
        <w:t>SIDA</w:t>
      </w:r>
      <w:r w:rsidR="00DB79C9" w:rsidRPr="001A4B94">
        <w:rPr>
          <w:rFonts w:eastAsiaTheme="minorHAnsi"/>
          <w:sz w:val="22"/>
          <w:szCs w:val="22"/>
          <w:lang w:val="tr-TR"/>
        </w:rPr>
        <w:t xml:space="preserve"> finansmanlı Kadınların Ekonomik Fırsatlara Erişimlerinin Arttırılması konulu Teknik Yardım </w:t>
      </w:r>
      <w:r w:rsidR="00CB07D7" w:rsidRPr="001A4B94">
        <w:rPr>
          <w:rFonts w:eastAsiaTheme="minorHAnsi"/>
          <w:sz w:val="22"/>
          <w:szCs w:val="22"/>
          <w:lang w:val="tr-TR"/>
        </w:rPr>
        <w:t>gibi yenilikçi, finansman dışı f</w:t>
      </w:r>
      <w:r w:rsidR="00DB79C9" w:rsidRPr="001A4B94">
        <w:rPr>
          <w:rFonts w:eastAsiaTheme="minorHAnsi"/>
          <w:sz w:val="22"/>
          <w:szCs w:val="22"/>
          <w:lang w:val="tr-TR"/>
        </w:rPr>
        <w:t>a</w:t>
      </w:r>
      <w:r w:rsidR="00CB07D7" w:rsidRPr="001A4B94">
        <w:rPr>
          <w:rFonts w:eastAsiaTheme="minorHAnsi"/>
          <w:sz w:val="22"/>
          <w:szCs w:val="22"/>
          <w:lang w:val="tr-TR"/>
        </w:rPr>
        <w:t>aliyetl</w:t>
      </w:r>
      <w:r w:rsidR="00DB79C9" w:rsidRPr="001A4B94">
        <w:rPr>
          <w:rFonts w:eastAsiaTheme="minorHAnsi"/>
          <w:sz w:val="22"/>
          <w:szCs w:val="22"/>
          <w:lang w:val="tr-TR"/>
        </w:rPr>
        <w:t>e</w:t>
      </w:r>
      <w:r w:rsidR="00CB07D7" w:rsidRPr="001A4B94">
        <w:rPr>
          <w:rFonts w:eastAsiaTheme="minorHAnsi"/>
          <w:sz w:val="22"/>
          <w:szCs w:val="22"/>
          <w:lang w:val="tr-TR"/>
        </w:rPr>
        <w:t>r uyg</w:t>
      </w:r>
      <w:r w:rsidR="00DB79C9" w:rsidRPr="001A4B94">
        <w:rPr>
          <w:rFonts w:eastAsiaTheme="minorHAnsi"/>
          <w:sz w:val="22"/>
          <w:szCs w:val="22"/>
          <w:lang w:val="tr-TR"/>
        </w:rPr>
        <w:t>u</w:t>
      </w:r>
      <w:r w:rsidR="00CB07D7" w:rsidRPr="001A4B94">
        <w:rPr>
          <w:rFonts w:eastAsiaTheme="minorHAnsi"/>
          <w:sz w:val="22"/>
          <w:szCs w:val="22"/>
          <w:lang w:val="tr-TR"/>
        </w:rPr>
        <w:t>lamaya konulmuştur</w:t>
      </w:r>
      <w:r w:rsidR="00747261" w:rsidRPr="001A4B94">
        <w:rPr>
          <w:rFonts w:eastAsiaTheme="minorHAnsi"/>
          <w:sz w:val="22"/>
          <w:szCs w:val="22"/>
          <w:lang w:val="tr-TR"/>
        </w:rPr>
        <w:t xml:space="preserve">. </w:t>
      </w:r>
      <w:r w:rsidR="00DB79C9" w:rsidRPr="001A4B94">
        <w:rPr>
          <w:rFonts w:eastAsiaTheme="minorHAnsi"/>
          <w:sz w:val="22"/>
          <w:szCs w:val="22"/>
          <w:lang w:val="tr-TR"/>
        </w:rPr>
        <w:t>Ayrıca</w:t>
      </w:r>
      <w:r w:rsidR="00747261" w:rsidRPr="001A4B94">
        <w:rPr>
          <w:rFonts w:eastAsiaTheme="minorHAnsi"/>
          <w:sz w:val="22"/>
          <w:szCs w:val="22"/>
          <w:lang w:val="tr-TR"/>
        </w:rPr>
        <w:t xml:space="preserve">, </w:t>
      </w:r>
      <w:r w:rsidR="002E1FB9" w:rsidRPr="001A4B94">
        <w:rPr>
          <w:rFonts w:eastAsiaTheme="minorHAnsi"/>
          <w:sz w:val="22"/>
          <w:szCs w:val="22"/>
          <w:lang w:val="tr-TR"/>
        </w:rPr>
        <w:t>önümüzdeki yeni bir ulaştırma sektörü BETF ve Belediye sektörü RETF çalı</w:t>
      </w:r>
      <w:r w:rsidR="00A63A17" w:rsidRPr="001A4B94">
        <w:rPr>
          <w:rFonts w:eastAsiaTheme="minorHAnsi"/>
          <w:sz w:val="22"/>
          <w:szCs w:val="22"/>
          <w:lang w:val="tr-TR"/>
        </w:rPr>
        <w:t>ş</w:t>
      </w:r>
      <w:r w:rsidR="002E1FB9" w:rsidRPr="001A4B94">
        <w:rPr>
          <w:rFonts w:eastAsiaTheme="minorHAnsi"/>
          <w:sz w:val="22"/>
          <w:szCs w:val="22"/>
          <w:lang w:val="tr-TR"/>
        </w:rPr>
        <w:t>m</w:t>
      </w:r>
      <w:r w:rsidR="00A63A17" w:rsidRPr="001A4B94">
        <w:rPr>
          <w:rFonts w:eastAsiaTheme="minorHAnsi"/>
          <w:sz w:val="22"/>
          <w:szCs w:val="22"/>
          <w:lang w:val="tr-TR"/>
        </w:rPr>
        <w:t>a</w:t>
      </w:r>
      <w:r w:rsidR="002E1FB9" w:rsidRPr="001A4B94">
        <w:rPr>
          <w:rFonts w:eastAsiaTheme="minorHAnsi"/>
          <w:sz w:val="22"/>
          <w:szCs w:val="22"/>
          <w:lang w:val="tr-TR"/>
        </w:rPr>
        <w:t xml:space="preserve">sı için </w:t>
      </w:r>
      <w:r w:rsidR="00DB79C9" w:rsidRPr="001A4B94">
        <w:rPr>
          <w:rFonts w:eastAsiaTheme="minorHAnsi"/>
          <w:sz w:val="22"/>
          <w:szCs w:val="22"/>
          <w:lang w:val="tr-TR"/>
        </w:rPr>
        <w:t>A</w:t>
      </w:r>
      <w:r w:rsidR="002E1FB9" w:rsidRPr="001A4B94">
        <w:rPr>
          <w:rFonts w:eastAsiaTheme="minorHAnsi"/>
          <w:sz w:val="22"/>
          <w:szCs w:val="22"/>
          <w:lang w:val="tr-TR"/>
        </w:rPr>
        <w:t>B</w:t>
      </w:r>
      <w:r w:rsidR="00DB79C9" w:rsidRPr="001A4B94">
        <w:rPr>
          <w:rFonts w:eastAsiaTheme="minorHAnsi"/>
          <w:sz w:val="22"/>
          <w:szCs w:val="22"/>
          <w:lang w:val="tr-TR"/>
        </w:rPr>
        <w:t xml:space="preserve"> </w:t>
      </w:r>
      <w:r w:rsidR="00FB0363" w:rsidRPr="001A4B94">
        <w:rPr>
          <w:rFonts w:eastAsiaTheme="minorHAnsi"/>
          <w:sz w:val="22"/>
          <w:szCs w:val="22"/>
          <w:lang w:val="tr-TR"/>
        </w:rPr>
        <w:t>/IPA</w:t>
      </w:r>
      <w:r w:rsidR="002E1FB9" w:rsidRPr="001A4B94">
        <w:rPr>
          <w:rFonts w:eastAsiaTheme="minorHAnsi"/>
          <w:sz w:val="22"/>
          <w:szCs w:val="22"/>
          <w:lang w:val="tr-TR"/>
        </w:rPr>
        <w:t xml:space="preserve"> fonlarından kaynak temin edilmiştir </w:t>
      </w:r>
      <w:r w:rsidR="00747261" w:rsidRPr="001A4B94">
        <w:rPr>
          <w:rFonts w:eastAsiaTheme="minorHAnsi"/>
          <w:sz w:val="22"/>
          <w:szCs w:val="22"/>
          <w:lang w:val="tr-TR"/>
        </w:rPr>
        <w:t>(</w:t>
      </w:r>
      <w:r w:rsidR="002E1FB9" w:rsidRPr="001A4B94">
        <w:rPr>
          <w:rFonts w:eastAsiaTheme="minorHAnsi"/>
          <w:sz w:val="22"/>
          <w:szCs w:val="22"/>
          <w:lang w:val="tr-TR"/>
        </w:rPr>
        <w:t>her ikisi</w:t>
      </w:r>
      <w:r w:rsidR="00A63A17" w:rsidRPr="001A4B94">
        <w:rPr>
          <w:rFonts w:eastAsiaTheme="minorHAnsi"/>
          <w:sz w:val="22"/>
          <w:szCs w:val="22"/>
          <w:lang w:val="tr-TR"/>
        </w:rPr>
        <w:t xml:space="preserve"> </w:t>
      </w:r>
      <w:r w:rsidR="002E1FB9" w:rsidRPr="001A4B94">
        <w:rPr>
          <w:rFonts w:eastAsiaTheme="minorHAnsi"/>
          <w:sz w:val="22"/>
          <w:szCs w:val="22"/>
          <w:lang w:val="tr-TR"/>
        </w:rPr>
        <w:t>de şu anda hazırlanmaktadır</w:t>
      </w:r>
      <w:r w:rsidR="00747261" w:rsidRPr="001A4B94">
        <w:rPr>
          <w:rFonts w:eastAsiaTheme="minorHAnsi"/>
          <w:sz w:val="22"/>
          <w:szCs w:val="22"/>
          <w:lang w:val="tr-TR"/>
        </w:rPr>
        <w:t xml:space="preserve">). RICA </w:t>
      </w:r>
      <w:r w:rsidR="00A63A17" w:rsidRPr="001A4B94">
        <w:rPr>
          <w:rFonts w:eastAsiaTheme="minorHAnsi"/>
          <w:sz w:val="22"/>
          <w:szCs w:val="22"/>
          <w:lang w:val="tr-TR"/>
        </w:rPr>
        <w:t>Türkiye’deki ilk RAS çıktısı örneğini</w:t>
      </w:r>
      <w:r w:rsidR="00747261" w:rsidRPr="001A4B94">
        <w:rPr>
          <w:rFonts w:eastAsiaTheme="minorHAnsi"/>
          <w:sz w:val="22"/>
          <w:szCs w:val="22"/>
          <w:lang w:val="tr-TR"/>
        </w:rPr>
        <w:t xml:space="preserve">, </w:t>
      </w:r>
      <w:r w:rsidR="00A63A17" w:rsidRPr="001A4B94">
        <w:rPr>
          <w:rFonts w:eastAsiaTheme="minorHAnsi"/>
          <w:sz w:val="22"/>
          <w:szCs w:val="22"/>
          <w:lang w:val="tr-TR"/>
        </w:rPr>
        <w:t>ancak kendine özgü yapısı sebebiyle</w:t>
      </w:r>
      <w:r w:rsidR="00A63A17" w:rsidRPr="001A4B94">
        <w:rPr>
          <w:rFonts w:eastAsiaTheme="minorEastAsia"/>
          <w:lang w:val="tr-TR" w:eastAsia="ja-JP"/>
        </w:rPr>
        <w:t xml:space="preserve"> tüm alanlar ve kurumlar için tekrarlanabilir bir model teşkil etmemektedir. </w:t>
      </w:r>
      <w:r w:rsidR="00A63A17" w:rsidRPr="001A4B94">
        <w:rPr>
          <w:rFonts w:eastAsiaTheme="minorHAnsi"/>
          <w:sz w:val="22"/>
          <w:szCs w:val="22"/>
          <w:lang w:val="tr-TR"/>
        </w:rPr>
        <w:t>Dolayısıyla</w:t>
      </w:r>
      <w:r w:rsidR="00747261" w:rsidRPr="001A4B94">
        <w:rPr>
          <w:rFonts w:eastAsiaTheme="minorHAnsi"/>
          <w:sz w:val="22"/>
          <w:szCs w:val="22"/>
          <w:lang w:val="tr-TR"/>
        </w:rPr>
        <w:t xml:space="preserve">, IBRD </w:t>
      </w:r>
      <w:r w:rsidR="00A63A17" w:rsidRPr="001A4B94">
        <w:rPr>
          <w:rFonts w:eastAsiaTheme="minorHAnsi"/>
          <w:sz w:val="22"/>
          <w:szCs w:val="22"/>
          <w:lang w:val="tr-TR"/>
        </w:rPr>
        <w:t>Türkiye’de henüz tam teşekküllü bir RAS programı geliştirmede başarılı olamamıştır</w:t>
      </w:r>
      <w:r w:rsidR="00747261" w:rsidRPr="001A4B94">
        <w:rPr>
          <w:rFonts w:eastAsiaTheme="minorHAnsi"/>
          <w:sz w:val="22"/>
          <w:szCs w:val="22"/>
          <w:lang w:val="tr-TR"/>
        </w:rPr>
        <w:t xml:space="preserve">, </w:t>
      </w:r>
      <w:r w:rsidR="00A63A17" w:rsidRPr="001A4B94">
        <w:rPr>
          <w:rFonts w:eastAsiaTheme="minorHAnsi"/>
          <w:sz w:val="22"/>
          <w:szCs w:val="22"/>
          <w:lang w:val="tr-TR"/>
        </w:rPr>
        <w:t xml:space="preserve">ancak </w:t>
      </w:r>
      <w:r w:rsidR="00B84548" w:rsidRPr="001A4B94">
        <w:rPr>
          <w:rFonts w:eastAsiaTheme="minorHAnsi"/>
          <w:sz w:val="22"/>
          <w:szCs w:val="22"/>
          <w:lang w:val="tr-TR"/>
        </w:rPr>
        <w:t>kilit hususlarda IBRD ile Hükümet arasında</w:t>
      </w:r>
      <w:r w:rsidR="00CF0D43" w:rsidRPr="001A4B94">
        <w:rPr>
          <w:rFonts w:eastAsiaTheme="minorHAnsi"/>
          <w:sz w:val="22"/>
          <w:szCs w:val="22"/>
          <w:lang w:val="tr-TR"/>
        </w:rPr>
        <w:t>ki</w:t>
      </w:r>
      <w:r w:rsidR="00B84548" w:rsidRPr="001A4B94">
        <w:rPr>
          <w:rFonts w:eastAsiaTheme="minorHAnsi"/>
          <w:sz w:val="22"/>
          <w:szCs w:val="22"/>
          <w:lang w:val="tr-TR"/>
        </w:rPr>
        <w:t xml:space="preserve"> farklılıkların </w:t>
      </w:r>
      <w:r w:rsidR="00CF0D43" w:rsidRPr="001A4B94">
        <w:rPr>
          <w:rFonts w:eastAsiaTheme="minorHAnsi"/>
          <w:sz w:val="22"/>
          <w:szCs w:val="22"/>
          <w:lang w:val="tr-TR"/>
        </w:rPr>
        <w:t xml:space="preserve">(başka hususların yanında resmi dil, tek kaynak kullanımı, ihtilaf çözümü ile ilgili) </w:t>
      </w:r>
      <w:r w:rsidR="00B84548" w:rsidRPr="001A4B94">
        <w:rPr>
          <w:rFonts w:eastAsiaTheme="minorHAnsi"/>
          <w:sz w:val="22"/>
          <w:szCs w:val="22"/>
          <w:lang w:val="tr-TR"/>
        </w:rPr>
        <w:t>aşılmasında ilerleme kaydedilmektedir</w:t>
      </w:r>
      <w:r w:rsidR="00CF0D43" w:rsidRPr="001A4B94">
        <w:rPr>
          <w:rFonts w:eastAsiaTheme="minorHAnsi"/>
          <w:sz w:val="22"/>
          <w:szCs w:val="22"/>
          <w:lang w:val="tr-TR"/>
        </w:rPr>
        <w:t>. Kilit hükümlerdeki sorunları a</w:t>
      </w:r>
      <w:r w:rsidR="008A552D" w:rsidRPr="001A4B94">
        <w:rPr>
          <w:rFonts w:eastAsiaTheme="minorHAnsi"/>
          <w:sz w:val="22"/>
          <w:szCs w:val="22"/>
          <w:lang w:val="tr-TR"/>
        </w:rPr>
        <w:t>ş</w:t>
      </w:r>
      <w:r w:rsidR="00CF0D43" w:rsidRPr="001A4B94">
        <w:rPr>
          <w:rFonts w:eastAsiaTheme="minorHAnsi"/>
          <w:sz w:val="22"/>
          <w:szCs w:val="22"/>
          <w:lang w:val="tr-TR"/>
        </w:rPr>
        <w:t xml:space="preserve">mak için Yönlendirme Komitesi tarafından incelenmek üzere hazırlanan bir </w:t>
      </w:r>
      <w:r w:rsidR="00747261" w:rsidRPr="001A4B94">
        <w:rPr>
          <w:rFonts w:eastAsiaTheme="minorHAnsi"/>
          <w:sz w:val="22"/>
          <w:szCs w:val="22"/>
          <w:lang w:val="tr-TR"/>
        </w:rPr>
        <w:t xml:space="preserve">RAS </w:t>
      </w:r>
      <w:r w:rsidR="00CF0D43" w:rsidRPr="001A4B94">
        <w:rPr>
          <w:rFonts w:eastAsiaTheme="minorHAnsi"/>
          <w:sz w:val="22"/>
          <w:szCs w:val="22"/>
          <w:lang w:val="tr-TR"/>
        </w:rPr>
        <w:t>Çerçeve Anlaşması taslağı henüz onay sürecine ulaşamamıştır</w:t>
      </w:r>
      <w:r w:rsidR="00747261" w:rsidRPr="001A4B94">
        <w:rPr>
          <w:rFonts w:eastAsiaTheme="minorHAnsi"/>
          <w:sz w:val="22"/>
          <w:szCs w:val="22"/>
          <w:lang w:val="tr-TR"/>
        </w:rPr>
        <w:t xml:space="preserve">. </w:t>
      </w:r>
      <w:r w:rsidR="00CF0D43" w:rsidRPr="001A4B94">
        <w:rPr>
          <w:rFonts w:eastAsiaTheme="minorHAnsi"/>
          <w:sz w:val="22"/>
          <w:szCs w:val="22"/>
          <w:lang w:val="tr-TR"/>
        </w:rPr>
        <w:t>Banka’nın taslak KÖİ RAS anlaşmasında çözülmeyi bekleyen  hukuki karmaşıklıkların aşılması için gerekli çabalara öncülük etmesi beklenmektedir.</w:t>
      </w:r>
      <w:r w:rsidR="00747261" w:rsidRPr="001A4B94">
        <w:rPr>
          <w:rFonts w:eastAsiaTheme="minorHAnsi"/>
          <w:sz w:val="22"/>
          <w:szCs w:val="22"/>
          <w:lang w:val="tr-TR"/>
        </w:rPr>
        <w:t xml:space="preserve">  </w:t>
      </w:r>
    </w:p>
    <w:p w14:paraId="1A88C346" w14:textId="77777777" w:rsidR="00747261" w:rsidRPr="001A4B94" w:rsidRDefault="00747261" w:rsidP="00747261">
      <w:pPr>
        <w:spacing w:after="160" w:line="259" w:lineRule="auto"/>
        <w:ind w:left="720"/>
        <w:contextualSpacing/>
        <w:rPr>
          <w:rFonts w:eastAsiaTheme="minorHAnsi"/>
          <w:color w:val="000000" w:themeColor="text1"/>
          <w:sz w:val="22"/>
          <w:szCs w:val="22"/>
          <w:lang w:val="tr-TR"/>
        </w:rPr>
      </w:pPr>
    </w:p>
    <w:p w14:paraId="0BB802F7" w14:textId="3F0E5A4D" w:rsidR="00747261" w:rsidRPr="001A4B94" w:rsidRDefault="00A04866" w:rsidP="00C24F8F">
      <w:pPr>
        <w:numPr>
          <w:ilvl w:val="0"/>
          <w:numId w:val="21"/>
        </w:numPr>
        <w:spacing w:after="160" w:line="259" w:lineRule="auto"/>
        <w:contextualSpacing/>
        <w:jc w:val="both"/>
        <w:rPr>
          <w:rFonts w:eastAsiaTheme="minorHAnsi"/>
          <w:color w:val="000000" w:themeColor="text1"/>
          <w:sz w:val="22"/>
          <w:szCs w:val="22"/>
          <w:lang w:val="tr-TR"/>
        </w:rPr>
      </w:pPr>
      <w:r w:rsidRPr="001A4B94">
        <w:rPr>
          <w:rFonts w:eastAsiaTheme="minorHAnsi" w:cstheme="minorBidi"/>
          <w:b/>
          <w:bCs/>
          <w:color w:val="000000" w:themeColor="text1"/>
          <w:sz w:val="22"/>
          <w:szCs w:val="22"/>
          <w:lang w:val="tr-TR"/>
        </w:rPr>
        <w:t xml:space="preserve"> </w:t>
      </w:r>
      <w:r w:rsidR="0053565E" w:rsidRPr="001A4B94">
        <w:rPr>
          <w:rFonts w:eastAsiaTheme="minorHAnsi" w:cstheme="minorBidi"/>
          <w:b/>
          <w:bCs/>
          <w:color w:val="000000" w:themeColor="text1"/>
          <w:sz w:val="22"/>
          <w:szCs w:val="22"/>
          <w:lang w:val="tr-TR"/>
        </w:rPr>
        <w:t>Sürdürüle</w:t>
      </w:r>
      <w:r w:rsidR="0054100A" w:rsidRPr="001A4B94">
        <w:rPr>
          <w:rFonts w:eastAsiaTheme="minorHAnsi" w:cstheme="minorBidi"/>
          <w:b/>
          <w:bCs/>
          <w:color w:val="000000" w:themeColor="text1"/>
          <w:sz w:val="22"/>
          <w:szCs w:val="22"/>
          <w:lang w:val="tr-TR"/>
        </w:rPr>
        <w:t>b</w:t>
      </w:r>
      <w:r w:rsidR="0053565E" w:rsidRPr="001A4B94">
        <w:rPr>
          <w:rFonts w:eastAsiaTheme="minorHAnsi" w:cstheme="minorBidi"/>
          <w:b/>
          <w:bCs/>
          <w:color w:val="000000" w:themeColor="text1"/>
          <w:sz w:val="22"/>
          <w:szCs w:val="22"/>
          <w:lang w:val="tr-TR"/>
        </w:rPr>
        <w:t>i</w:t>
      </w:r>
      <w:r w:rsidR="0054100A" w:rsidRPr="001A4B94">
        <w:rPr>
          <w:rFonts w:eastAsiaTheme="minorHAnsi" w:cstheme="minorBidi"/>
          <w:b/>
          <w:bCs/>
          <w:color w:val="000000" w:themeColor="text1"/>
          <w:sz w:val="22"/>
          <w:szCs w:val="22"/>
          <w:lang w:val="tr-TR"/>
        </w:rPr>
        <w:t xml:space="preserve">lir şehirler ile ilgili olarak Banka ile IFC arasında yürütülen Ortak Uygulama Programı </w:t>
      </w:r>
      <w:r w:rsidR="00747261" w:rsidRPr="001A4B94">
        <w:rPr>
          <w:rFonts w:eastAsiaTheme="minorHAnsi" w:cstheme="minorBidi"/>
          <w:b/>
          <w:bCs/>
          <w:color w:val="000000" w:themeColor="text1"/>
          <w:sz w:val="22"/>
          <w:szCs w:val="22"/>
          <w:lang w:val="tr-TR"/>
        </w:rPr>
        <w:t xml:space="preserve">(JIP) </w:t>
      </w:r>
      <w:r w:rsidR="0054100A" w:rsidRPr="001A4B94">
        <w:rPr>
          <w:rFonts w:eastAsiaTheme="minorHAnsi" w:cstheme="minorBidi"/>
          <w:b/>
          <w:bCs/>
          <w:color w:val="000000" w:themeColor="text1"/>
          <w:sz w:val="22"/>
          <w:szCs w:val="22"/>
          <w:lang w:val="tr-TR"/>
        </w:rPr>
        <w:t>henüz tam olarak istenilen sonuçlara ulaşamamıştır</w:t>
      </w:r>
      <w:r w:rsidR="00747261" w:rsidRPr="001A4B94">
        <w:rPr>
          <w:rFonts w:eastAsiaTheme="minorHAnsi" w:cstheme="minorBidi"/>
          <w:color w:val="000000" w:themeColor="text1"/>
          <w:sz w:val="22"/>
          <w:szCs w:val="22"/>
          <w:lang w:val="tr-TR"/>
        </w:rPr>
        <w:t xml:space="preserve">. IFC </w:t>
      </w:r>
      <w:r w:rsidR="0054100A" w:rsidRPr="001A4B94">
        <w:rPr>
          <w:rFonts w:eastAsiaTheme="minorHAnsi" w:cstheme="minorBidi"/>
          <w:color w:val="000000" w:themeColor="text1"/>
          <w:sz w:val="22"/>
          <w:szCs w:val="22"/>
          <w:lang w:val="tr-TR"/>
        </w:rPr>
        <w:t>tarafında</w:t>
      </w:r>
      <w:r w:rsidR="00747261" w:rsidRPr="001A4B94">
        <w:rPr>
          <w:rFonts w:eastAsiaTheme="minorHAnsi" w:cstheme="minorBidi"/>
          <w:color w:val="000000" w:themeColor="text1"/>
          <w:sz w:val="22"/>
          <w:szCs w:val="22"/>
          <w:lang w:val="tr-TR"/>
        </w:rPr>
        <w:t xml:space="preserve">, </w:t>
      </w:r>
      <w:r w:rsidR="0054100A" w:rsidRPr="001A4B94">
        <w:rPr>
          <w:rFonts w:eastAsiaTheme="minorHAnsi" w:cstheme="minorBidi"/>
          <w:color w:val="000000" w:themeColor="text1"/>
          <w:sz w:val="22"/>
          <w:szCs w:val="22"/>
          <w:lang w:val="tr-TR"/>
        </w:rPr>
        <w:t>kentsel altyapı yatırımlarının ilerletilmesinde iyi bir ilerleme kaydedilmiştir</w:t>
      </w:r>
      <w:r w:rsidR="00747261" w:rsidRPr="001A4B94">
        <w:rPr>
          <w:rFonts w:eastAsiaTheme="minorHAnsi" w:cstheme="minorBidi"/>
          <w:color w:val="000000" w:themeColor="text1"/>
          <w:sz w:val="22"/>
          <w:szCs w:val="22"/>
          <w:lang w:val="tr-TR"/>
        </w:rPr>
        <w:t xml:space="preserve">, </w:t>
      </w:r>
      <w:r w:rsidR="0054100A" w:rsidRPr="001A4B94">
        <w:rPr>
          <w:rFonts w:eastAsiaTheme="minorHAnsi" w:cstheme="minorBidi"/>
          <w:color w:val="000000" w:themeColor="text1"/>
          <w:sz w:val="22"/>
          <w:szCs w:val="22"/>
          <w:lang w:val="tr-TR"/>
        </w:rPr>
        <w:t>ancak Banka tarafında Sürdürüleb</w:t>
      </w:r>
      <w:r w:rsidR="0053565E" w:rsidRPr="001A4B94">
        <w:rPr>
          <w:rFonts w:eastAsiaTheme="minorHAnsi" w:cstheme="minorBidi"/>
          <w:color w:val="000000" w:themeColor="text1"/>
          <w:sz w:val="22"/>
          <w:szCs w:val="22"/>
          <w:lang w:val="tr-TR"/>
        </w:rPr>
        <w:t>i</w:t>
      </w:r>
      <w:r w:rsidR="0054100A" w:rsidRPr="001A4B94">
        <w:rPr>
          <w:rFonts w:eastAsiaTheme="minorHAnsi" w:cstheme="minorBidi"/>
          <w:color w:val="000000" w:themeColor="text1"/>
          <w:sz w:val="22"/>
          <w:szCs w:val="22"/>
          <w:lang w:val="tr-TR"/>
        </w:rPr>
        <w:t>lir Ş</w:t>
      </w:r>
      <w:r w:rsidR="0053565E" w:rsidRPr="001A4B94">
        <w:rPr>
          <w:rFonts w:eastAsiaTheme="minorHAnsi" w:cstheme="minorBidi"/>
          <w:color w:val="000000" w:themeColor="text1"/>
          <w:sz w:val="22"/>
          <w:szCs w:val="22"/>
          <w:lang w:val="tr-TR"/>
        </w:rPr>
        <w:t>ehirler ope</w:t>
      </w:r>
      <w:r w:rsidR="0054100A" w:rsidRPr="001A4B94">
        <w:rPr>
          <w:rFonts w:eastAsiaTheme="minorHAnsi" w:cstheme="minorBidi"/>
          <w:color w:val="000000" w:themeColor="text1"/>
          <w:sz w:val="22"/>
          <w:szCs w:val="22"/>
          <w:lang w:val="tr-TR"/>
        </w:rPr>
        <w:t>r</w:t>
      </w:r>
      <w:r w:rsidR="0053565E" w:rsidRPr="001A4B94">
        <w:rPr>
          <w:rFonts w:eastAsiaTheme="minorHAnsi" w:cstheme="minorBidi"/>
          <w:color w:val="000000" w:themeColor="text1"/>
          <w:sz w:val="22"/>
          <w:szCs w:val="22"/>
          <w:lang w:val="tr-TR"/>
        </w:rPr>
        <w:t>a</w:t>
      </w:r>
      <w:r w:rsidR="0054100A" w:rsidRPr="001A4B94">
        <w:rPr>
          <w:rFonts w:eastAsiaTheme="minorHAnsi" w:cstheme="minorBidi"/>
          <w:color w:val="000000" w:themeColor="text1"/>
          <w:sz w:val="22"/>
          <w:szCs w:val="22"/>
          <w:lang w:val="tr-TR"/>
        </w:rPr>
        <w:t>sy</w:t>
      </w:r>
      <w:r w:rsidR="0053565E" w:rsidRPr="001A4B94">
        <w:rPr>
          <w:rFonts w:eastAsiaTheme="minorHAnsi" w:cstheme="minorBidi"/>
          <w:color w:val="000000" w:themeColor="text1"/>
          <w:sz w:val="22"/>
          <w:szCs w:val="22"/>
          <w:lang w:val="tr-TR"/>
        </w:rPr>
        <w:t>o</w:t>
      </w:r>
      <w:r w:rsidR="0054100A" w:rsidRPr="001A4B94">
        <w:rPr>
          <w:rFonts w:eastAsiaTheme="minorHAnsi" w:cstheme="minorBidi"/>
          <w:color w:val="000000" w:themeColor="text1"/>
          <w:sz w:val="22"/>
          <w:szCs w:val="22"/>
          <w:lang w:val="tr-TR"/>
        </w:rPr>
        <w:t>nunun uygulamaya konulması 2016 sonuna sarkmıştır</w:t>
      </w:r>
      <w:r w:rsidR="00747261" w:rsidRPr="001A4B94">
        <w:rPr>
          <w:rFonts w:eastAsiaTheme="minorHAnsi" w:cstheme="minorBidi"/>
          <w:color w:val="000000" w:themeColor="text1"/>
          <w:sz w:val="22"/>
          <w:szCs w:val="22"/>
          <w:lang w:val="tr-TR"/>
        </w:rPr>
        <w:t xml:space="preserve">, </w:t>
      </w:r>
      <w:r w:rsidR="0054100A" w:rsidRPr="001A4B94">
        <w:rPr>
          <w:rFonts w:eastAsiaTheme="minorHAnsi" w:cstheme="minorBidi"/>
          <w:color w:val="000000" w:themeColor="text1"/>
          <w:sz w:val="22"/>
          <w:szCs w:val="22"/>
          <w:lang w:val="tr-TR"/>
        </w:rPr>
        <w:t xml:space="preserve">dolayısıyla ortak </w:t>
      </w:r>
      <w:r w:rsidR="00747261" w:rsidRPr="001A4B94">
        <w:rPr>
          <w:rFonts w:eastAsiaTheme="minorHAnsi" w:cstheme="minorBidi"/>
          <w:color w:val="000000" w:themeColor="text1"/>
          <w:sz w:val="22"/>
          <w:szCs w:val="22"/>
          <w:lang w:val="tr-TR"/>
        </w:rPr>
        <w:t xml:space="preserve">IBRD-IFC </w:t>
      </w:r>
      <w:r w:rsidR="0054100A" w:rsidRPr="001A4B94">
        <w:rPr>
          <w:rFonts w:eastAsiaTheme="minorHAnsi" w:cstheme="minorBidi"/>
          <w:color w:val="000000" w:themeColor="text1"/>
          <w:sz w:val="22"/>
          <w:szCs w:val="22"/>
          <w:lang w:val="tr-TR"/>
        </w:rPr>
        <w:t>yaklaşımın</w:t>
      </w:r>
      <w:r w:rsidR="0053565E" w:rsidRPr="001A4B94">
        <w:rPr>
          <w:rFonts w:eastAsiaTheme="minorHAnsi" w:cstheme="minorBidi"/>
          <w:color w:val="000000" w:themeColor="text1"/>
          <w:sz w:val="22"/>
          <w:szCs w:val="22"/>
          <w:lang w:val="tr-TR"/>
        </w:rPr>
        <w:t>ı</w:t>
      </w:r>
      <w:r w:rsidR="0054100A" w:rsidRPr="001A4B94">
        <w:rPr>
          <w:rFonts w:eastAsiaTheme="minorHAnsi" w:cstheme="minorBidi"/>
          <w:color w:val="000000" w:themeColor="text1"/>
          <w:sz w:val="22"/>
          <w:szCs w:val="22"/>
          <w:lang w:val="tr-TR"/>
        </w:rPr>
        <w:t>n tam ola</w:t>
      </w:r>
      <w:r w:rsidR="0053565E" w:rsidRPr="001A4B94">
        <w:rPr>
          <w:rFonts w:eastAsiaTheme="minorHAnsi" w:cstheme="minorBidi"/>
          <w:color w:val="000000" w:themeColor="text1"/>
          <w:sz w:val="22"/>
          <w:szCs w:val="22"/>
          <w:lang w:val="tr-TR"/>
        </w:rPr>
        <w:t>r</w:t>
      </w:r>
      <w:r w:rsidR="0054100A" w:rsidRPr="001A4B94">
        <w:rPr>
          <w:rFonts w:eastAsiaTheme="minorHAnsi" w:cstheme="minorBidi"/>
          <w:color w:val="000000" w:themeColor="text1"/>
          <w:sz w:val="22"/>
          <w:szCs w:val="22"/>
          <w:lang w:val="tr-TR"/>
        </w:rPr>
        <w:t>ak etkisi henüz hissedilememiştir</w:t>
      </w:r>
      <w:r w:rsidR="00747261" w:rsidRPr="001A4B94">
        <w:rPr>
          <w:rFonts w:eastAsiaTheme="minorHAnsi" w:cstheme="minorBidi"/>
          <w:color w:val="000000" w:themeColor="text1"/>
          <w:sz w:val="22"/>
          <w:szCs w:val="22"/>
          <w:lang w:val="tr-TR"/>
        </w:rPr>
        <w:t xml:space="preserve">. </w:t>
      </w:r>
      <w:r w:rsidR="0054100A" w:rsidRPr="001A4B94">
        <w:rPr>
          <w:rFonts w:eastAsiaTheme="minorHAnsi" w:cstheme="minorBidi"/>
          <w:color w:val="000000" w:themeColor="text1"/>
          <w:sz w:val="22"/>
          <w:szCs w:val="22"/>
          <w:lang w:val="tr-TR"/>
        </w:rPr>
        <w:t>Bu</w:t>
      </w:r>
      <w:r w:rsidR="0053565E" w:rsidRPr="001A4B94">
        <w:rPr>
          <w:rFonts w:eastAsiaTheme="minorHAnsi" w:cstheme="minorBidi"/>
          <w:color w:val="000000" w:themeColor="text1"/>
          <w:sz w:val="22"/>
          <w:szCs w:val="22"/>
          <w:lang w:val="tr-TR"/>
        </w:rPr>
        <w:t>n</w:t>
      </w:r>
      <w:r w:rsidR="0054100A" w:rsidRPr="001A4B94">
        <w:rPr>
          <w:rFonts w:eastAsiaTheme="minorHAnsi" w:cstheme="minorBidi"/>
          <w:color w:val="000000" w:themeColor="text1"/>
          <w:sz w:val="22"/>
          <w:szCs w:val="22"/>
          <w:lang w:val="tr-TR"/>
        </w:rPr>
        <w:t>unla birlikte,</w:t>
      </w:r>
      <w:r w:rsidR="0053565E" w:rsidRPr="001A4B94">
        <w:rPr>
          <w:rFonts w:eastAsiaTheme="minorHAnsi" w:cstheme="minorBidi"/>
          <w:color w:val="000000" w:themeColor="text1"/>
          <w:sz w:val="22"/>
          <w:szCs w:val="22"/>
          <w:lang w:val="tr-TR"/>
        </w:rPr>
        <w:t xml:space="preserve"> </w:t>
      </w:r>
      <w:r w:rsidR="0053565E" w:rsidRPr="001A4B94">
        <w:rPr>
          <w:rFonts w:eastAsiaTheme="minorHAnsi" w:cstheme="minorBidi"/>
          <w:bCs/>
          <w:color w:val="000000" w:themeColor="text1"/>
          <w:sz w:val="22"/>
          <w:szCs w:val="22"/>
          <w:lang w:val="tr-TR"/>
        </w:rPr>
        <w:t>Ortak Uygulama Programı</w:t>
      </w:r>
      <w:r w:rsidR="0053565E" w:rsidRPr="001A4B94">
        <w:rPr>
          <w:rFonts w:eastAsiaTheme="minorHAnsi" w:cstheme="minorBidi"/>
          <w:color w:val="000000" w:themeColor="text1"/>
          <w:sz w:val="22"/>
          <w:szCs w:val="22"/>
          <w:lang w:val="tr-TR"/>
        </w:rPr>
        <w:t xml:space="preserve"> yoluyla tasarlanmamış olmasına rağmen, </w:t>
      </w:r>
      <w:r w:rsidR="0054100A" w:rsidRPr="001A4B94">
        <w:rPr>
          <w:rFonts w:eastAsiaTheme="minorHAnsi" w:cstheme="minorBidi"/>
          <w:color w:val="000000" w:themeColor="text1"/>
          <w:sz w:val="22"/>
          <w:szCs w:val="22"/>
          <w:lang w:val="tr-TR"/>
        </w:rPr>
        <w:t xml:space="preserve"> </w:t>
      </w:r>
      <w:r w:rsidR="0053565E" w:rsidRPr="001A4B94">
        <w:rPr>
          <w:rFonts w:eastAsiaTheme="minorHAnsi" w:cstheme="minorBidi"/>
          <w:color w:val="000000" w:themeColor="text1"/>
          <w:sz w:val="22"/>
          <w:szCs w:val="22"/>
          <w:lang w:val="tr-TR"/>
        </w:rPr>
        <w:t xml:space="preserve">enerji sektöründeki ortak müdahaleler oldukça tatmin edici sonuçlar </w:t>
      </w:r>
      <w:r w:rsidR="0053565E" w:rsidRPr="001A4B94">
        <w:rPr>
          <w:rFonts w:eastAsiaTheme="minorHAnsi" w:cstheme="minorBidi"/>
          <w:color w:val="000000" w:themeColor="text1"/>
          <w:sz w:val="22"/>
          <w:szCs w:val="22"/>
          <w:lang w:val="tr-TR"/>
        </w:rPr>
        <w:lastRenderedPageBreak/>
        <w:t xml:space="preserve">vermiştir ve geleceğe dönük olarak IFC ile IBRD arasında stratejik ortak çalışmaları geliştirmenin </w:t>
      </w:r>
      <w:r w:rsidR="00747261" w:rsidRPr="001A4B94">
        <w:rPr>
          <w:rFonts w:eastAsiaTheme="minorHAnsi" w:cstheme="minorBidi"/>
          <w:color w:val="000000" w:themeColor="text1"/>
          <w:sz w:val="22"/>
          <w:szCs w:val="22"/>
          <w:lang w:val="tr-TR"/>
        </w:rPr>
        <w:t xml:space="preserve"> </w:t>
      </w:r>
      <w:r w:rsidR="0053565E" w:rsidRPr="001A4B94">
        <w:rPr>
          <w:rFonts w:eastAsiaTheme="minorHAnsi" w:cstheme="minorBidi"/>
          <w:color w:val="000000" w:themeColor="text1"/>
          <w:sz w:val="22"/>
          <w:szCs w:val="22"/>
          <w:lang w:val="tr-TR"/>
        </w:rPr>
        <w:t>getirebileceği potansiyeli ortaya koymaktadır</w:t>
      </w:r>
      <w:r w:rsidR="00747261" w:rsidRPr="001A4B94">
        <w:rPr>
          <w:rFonts w:eastAsiaTheme="minorHAnsi"/>
          <w:color w:val="000000" w:themeColor="text1"/>
          <w:sz w:val="22"/>
          <w:szCs w:val="22"/>
          <w:lang w:val="tr-TR"/>
        </w:rPr>
        <w:t>.</w:t>
      </w:r>
    </w:p>
    <w:p w14:paraId="2D56697D" w14:textId="77777777" w:rsidR="00747261" w:rsidRPr="001A4B94" w:rsidRDefault="00747261" w:rsidP="00747261">
      <w:pPr>
        <w:spacing w:after="160"/>
        <w:ind w:left="360"/>
        <w:contextualSpacing/>
        <w:jc w:val="both"/>
        <w:rPr>
          <w:rFonts w:eastAsiaTheme="minorHAnsi"/>
          <w:sz w:val="22"/>
          <w:szCs w:val="22"/>
          <w:lang w:val="tr-TR"/>
        </w:rPr>
      </w:pPr>
    </w:p>
    <w:p w14:paraId="6719BD3F" w14:textId="4D0158D2"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Don</w:t>
      </w:r>
      <w:r w:rsidR="006D1E7E" w:rsidRPr="001A4B94">
        <w:rPr>
          <w:rFonts w:eastAsiaTheme="minorHAnsi"/>
          <w:b/>
          <w:sz w:val="22"/>
          <w:szCs w:val="22"/>
          <w:lang w:val="tr-TR"/>
        </w:rPr>
        <w:t>ö</w:t>
      </w:r>
      <w:r w:rsidR="00747261" w:rsidRPr="001A4B94">
        <w:rPr>
          <w:rFonts w:eastAsiaTheme="minorHAnsi"/>
          <w:b/>
          <w:sz w:val="22"/>
          <w:szCs w:val="22"/>
          <w:lang w:val="tr-TR"/>
        </w:rPr>
        <w:t xml:space="preserve">r </w:t>
      </w:r>
      <w:r w:rsidR="00B70C4E" w:rsidRPr="001A4B94">
        <w:rPr>
          <w:rFonts w:eastAsiaTheme="minorHAnsi"/>
          <w:b/>
          <w:sz w:val="22"/>
          <w:szCs w:val="22"/>
          <w:lang w:val="tr-TR"/>
        </w:rPr>
        <w:t>koordi</w:t>
      </w:r>
      <w:r w:rsidR="006D1E7E" w:rsidRPr="001A4B94">
        <w:rPr>
          <w:rFonts w:eastAsiaTheme="minorHAnsi"/>
          <w:b/>
          <w:sz w:val="22"/>
          <w:szCs w:val="22"/>
          <w:lang w:val="tr-TR"/>
        </w:rPr>
        <w:t>n</w:t>
      </w:r>
      <w:r w:rsidR="00B70C4E" w:rsidRPr="001A4B94">
        <w:rPr>
          <w:rFonts w:eastAsiaTheme="minorHAnsi"/>
          <w:b/>
          <w:sz w:val="22"/>
          <w:szCs w:val="22"/>
          <w:lang w:val="tr-TR"/>
        </w:rPr>
        <w:t>a</w:t>
      </w:r>
      <w:r w:rsidR="006D1E7E" w:rsidRPr="001A4B94">
        <w:rPr>
          <w:rFonts w:eastAsiaTheme="minorHAnsi"/>
          <w:b/>
          <w:sz w:val="22"/>
          <w:szCs w:val="22"/>
          <w:lang w:val="tr-TR"/>
        </w:rPr>
        <w:t>syonu güçlü olmuştur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6D1E7E" w:rsidRPr="001A4B94">
        <w:rPr>
          <w:rFonts w:eastAsiaTheme="minorHAnsi"/>
          <w:sz w:val="22"/>
          <w:szCs w:val="22"/>
          <w:lang w:val="tr-TR"/>
        </w:rPr>
        <w:t>BETF, RETF ve RAS modellerini uygularke</w:t>
      </w:r>
      <w:r w:rsidR="00B70C4E" w:rsidRPr="001A4B94">
        <w:rPr>
          <w:rFonts w:eastAsiaTheme="minorHAnsi"/>
          <w:sz w:val="22"/>
          <w:szCs w:val="22"/>
          <w:lang w:val="tr-TR"/>
        </w:rPr>
        <w:t>n AB ile sağlanan etkili koordi</w:t>
      </w:r>
      <w:r w:rsidR="006D1E7E" w:rsidRPr="001A4B94">
        <w:rPr>
          <w:rFonts w:eastAsiaTheme="minorHAnsi"/>
          <w:sz w:val="22"/>
          <w:szCs w:val="22"/>
          <w:lang w:val="tr-TR"/>
        </w:rPr>
        <w:t>n</w:t>
      </w:r>
      <w:r w:rsidR="00B70C4E" w:rsidRPr="001A4B94">
        <w:rPr>
          <w:rFonts w:eastAsiaTheme="minorHAnsi"/>
          <w:sz w:val="22"/>
          <w:szCs w:val="22"/>
          <w:lang w:val="tr-TR"/>
        </w:rPr>
        <w:t>a</w:t>
      </w:r>
      <w:r w:rsidR="006D1E7E" w:rsidRPr="001A4B94">
        <w:rPr>
          <w:rFonts w:eastAsiaTheme="minorHAnsi"/>
          <w:sz w:val="22"/>
          <w:szCs w:val="22"/>
          <w:lang w:val="tr-TR"/>
        </w:rPr>
        <w:t xml:space="preserve">syon </w:t>
      </w:r>
      <w:r w:rsidR="00747261" w:rsidRPr="001A4B94">
        <w:rPr>
          <w:rFonts w:eastAsiaTheme="minorHAnsi"/>
          <w:sz w:val="22"/>
          <w:szCs w:val="22"/>
          <w:lang w:val="tr-TR"/>
        </w:rPr>
        <w:t xml:space="preserve">(IPA </w:t>
      </w:r>
      <w:r w:rsidR="006D1E7E" w:rsidRPr="001A4B94">
        <w:rPr>
          <w:rFonts w:eastAsiaTheme="minorHAnsi"/>
          <w:sz w:val="22"/>
          <w:szCs w:val="22"/>
          <w:lang w:val="tr-TR"/>
        </w:rPr>
        <w:t>aracı yo</w:t>
      </w:r>
      <w:r w:rsidR="00B70C4E" w:rsidRPr="001A4B94">
        <w:rPr>
          <w:rFonts w:eastAsiaTheme="minorHAnsi"/>
          <w:sz w:val="22"/>
          <w:szCs w:val="22"/>
          <w:lang w:val="tr-TR"/>
        </w:rPr>
        <w:t>l</w:t>
      </w:r>
      <w:r w:rsidR="006D1E7E" w:rsidRPr="001A4B94">
        <w:rPr>
          <w:rFonts w:eastAsiaTheme="minorHAnsi"/>
          <w:sz w:val="22"/>
          <w:szCs w:val="22"/>
          <w:lang w:val="tr-TR"/>
        </w:rPr>
        <w:t>uyla</w:t>
      </w:r>
      <w:r w:rsidR="00747261" w:rsidRPr="001A4B94">
        <w:rPr>
          <w:rFonts w:eastAsiaTheme="minorHAnsi"/>
          <w:sz w:val="22"/>
          <w:szCs w:val="22"/>
          <w:lang w:val="tr-TR"/>
        </w:rPr>
        <w:t xml:space="preserve">) </w:t>
      </w:r>
      <w:r w:rsidR="004B46D2" w:rsidRPr="001A4B94">
        <w:rPr>
          <w:rFonts w:eastAsiaTheme="minorHAnsi"/>
          <w:sz w:val="22"/>
          <w:szCs w:val="22"/>
          <w:lang w:val="tr-TR"/>
        </w:rPr>
        <w:t>önümüzdeki CPF dönemi için önemli bir pota</w:t>
      </w:r>
      <w:r w:rsidR="00B70C4E" w:rsidRPr="001A4B94">
        <w:rPr>
          <w:rFonts w:eastAsiaTheme="minorHAnsi"/>
          <w:sz w:val="22"/>
          <w:szCs w:val="22"/>
          <w:lang w:val="tr-TR"/>
        </w:rPr>
        <w:t>nsiyel sunan önemli bir kilomet</w:t>
      </w:r>
      <w:r w:rsidR="004B46D2" w:rsidRPr="001A4B94">
        <w:rPr>
          <w:rFonts w:eastAsiaTheme="minorHAnsi"/>
          <w:sz w:val="22"/>
          <w:szCs w:val="22"/>
          <w:lang w:val="tr-TR"/>
        </w:rPr>
        <w:t>r</w:t>
      </w:r>
      <w:r w:rsidR="00B70C4E" w:rsidRPr="001A4B94">
        <w:rPr>
          <w:rFonts w:eastAsiaTheme="minorHAnsi"/>
          <w:sz w:val="22"/>
          <w:szCs w:val="22"/>
          <w:lang w:val="tr-TR"/>
        </w:rPr>
        <w:t>e</w:t>
      </w:r>
      <w:r w:rsidR="004B46D2" w:rsidRPr="001A4B94">
        <w:rPr>
          <w:rFonts w:eastAsiaTheme="minorHAnsi"/>
          <w:sz w:val="22"/>
          <w:szCs w:val="22"/>
          <w:lang w:val="tr-TR"/>
        </w:rPr>
        <w:t xml:space="preserve"> taşı teşkil etmiştir.</w:t>
      </w:r>
      <w:r w:rsidR="00747261" w:rsidRPr="001A4B94">
        <w:rPr>
          <w:rFonts w:eastAsiaTheme="minorHAnsi"/>
          <w:sz w:val="22"/>
          <w:szCs w:val="22"/>
          <w:lang w:val="tr-TR"/>
        </w:rPr>
        <w:t xml:space="preserve"> </w:t>
      </w:r>
      <w:r w:rsidR="004B46D2" w:rsidRPr="001A4B94">
        <w:rPr>
          <w:rFonts w:eastAsiaTheme="minorHAnsi"/>
          <w:sz w:val="22"/>
          <w:szCs w:val="22"/>
          <w:lang w:val="tr-TR"/>
        </w:rPr>
        <w:t>Suriyeli sığınmacı çalışm</w:t>
      </w:r>
      <w:r w:rsidR="00B70C4E" w:rsidRPr="001A4B94">
        <w:rPr>
          <w:rFonts w:eastAsiaTheme="minorHAnsi"/>
          <w:sz w:val="22"/>
          <w:szCs w:val="22"/>
          <w:lang w:val="tr-TR"/>
        </w:rPr>
        <w:t>a</w:t>
      </w:r>
      <w:r w:rsidR="004B46D2" w:rsidRPr="001A4B94">
        <w:rPr>
          <w:rFonts w:eastAsiaTheme="minorHAnsi"/>
          <w:sz w:val="22"/>
          <w:szCs w:val="22"/>
          <w:lang w:val="tr-TR"/>
        </w:rPr>
        <w:t>sı, bu güçlendirilmiş ortaklığın ki</w:t>
      </w:r>
      <w:r w:rsidR="00B70C4E" w:rsidRPr="001A4B94">
        <w:rPr>
          <w:rFonts w:eastAsiaTheme="minorHAnsi"/>
          <w:sz w:val="22"/>
          <w:szCs w:val="22"/>
          <w:lang w:val="tr-TR"/>
        </w:rPr>
        <w:t>l</w:t>
      </w:r>
      <w:r w:rsidR="004B46D2" w:rsidRPr="001A4B94">
        <w:rPr>
          <w:rFonts w:eastAsiaTheme="minorHAnsi"/>
          <w:sz w:val="22"/>
          <w:szCs w:val="22"/>
          <w:lang w:val="tr-TR"/>
        </w:rPr>
        <w:t>it bir odak alanını oluşturmaktadır</w:t>
      </w:r>
      <w:r w:rsidR="00747261" w:rsidRPr="001A4B94">
        <w:rPr>
          <w:rFonts w:eastAsiaTheme="minorHAnsi"/>
          <w:sz w:val="22"/>
          <w:szCs w:val="22"/>
          <w:lang w:val="tr-TR"/>
        </w:rPr>
        <w:t xml:space="preserve">. </w:t>
      </w:r>
      <w:r w:rsidR="004B46D2" w:rsidRPr="001A4B94">
        <w:rPr>
          <w:rFonts w:eastAsiaTheme="minorHAnsi"/>
          <w:sz w:val="22"/>
          <w:szCs w:val="22"/>
          <w:lang w:val="tr-TR"/>
        </w:rPr>
        <w:t>Ayrıca</w:t>
      </w:r>
      <w:r w:rsidR="00747261" w:rsidRPr="001A4B94">
        <w:rPr>
          <w:rFonts w:eastAsiaTheme="minorHAnsi"/>
          <w:sz w:val="22"/>
          <w:szCs w:val="22"/>
          <w:lang w:val="tr-TR"/>
        </w:rPr>
        <w:t xml:space="preserve">, </w:t>
      </w:r>
      <w:r w:rsidR="004B46D2" w:rsidRPr="001A4B94">
        <w:rPr>
          <w:rFonts w:eastAsiaTheme="minorHAnsi"/>
          <w:sz w:val="22"/>
          <w:szCs w:val="22"/>
          <w:lang w:val="tr-TR"/>
        </w:rPr>
        <w:t>Enerji Sektörü TY programında EBRD ile, belediye sektörün</w:t>
      </w:r>
      <w:r w:rsidR="00B70C4E" w:rsidRPr="001A4B94">
        <w:rPr>
          <w:rFonts w:eastAsiaTheme="minorHAnsi"/>
          <w:sz w:val="22"/>
          <w:szCs w:val="22"/>
          <w:lang w:val="tr-TR"/>
        </w:rPr>
        <w:t>d</w:t>
      </w:r>
      <w:r w:rsidR="004B46D2" w:rsidRPr="001A4B94">
        <w:rPr>
          <w:rFonts w:eastAsiaTheme="minorHAnsi"/>
          <w:sz w:val="22"/>
          <w:szCs w:val="22"/>
          <w:lang w:val="tr-TR"/>
        </w:rPr>
        <w:t>e AFD ile,  TANAP operasyonunda Avrupa Yatırım Bankası ve Asya Altyapı Yatırım Bankası ile, PMR projesin</w:t>
      </w:r>
      <w:r w:rsidR="00B70C4E" w:rsidRPr="001A4B94">
        <w:rPr>
          <w:rFonts w:eastAsiaTheme="minorHAnsi"/>
          <w:sz w:val="22"/>
          <w:szCs w:val="22"/>
          <w:lang w:val="tr-TR"/>
        </w:rPr>
        <w:t>d</w:t>
      </w:r>
      <w:r w:rsidR="004B46D2" w:rsidRPr="001A4B94">
        <w:rPr>
          <w:rFonts w:eastAsiaTheme="minorHAnsi"/>
          <w:sz w:val="22"/>
          <w:szCs w:val="22"/>
          <w:lang w:val="tr-TR"/>
        </w:rPr>
        <w:t>e GIZ ile</w:t>
      </w:r>
      <w:r w:rsidR="00B70C4E" w:rsidRPr="001A4B94">
        <w:rPr>
          <w:rFonts w:eastAsiaTheme="minorHAnsi"/>
          <w:sz w:val="22"/>
          <w:szCs w:val="22"/>
          <w:lang w:val="tr-TR"/>
        </w:rPr>
        <w:t xml:space="preserve"> </w:t>
      </w:r>
      <w:r w:rsidR="004B46D2" w:rsidRPr="001A4B94">
        <w:rPr>
          <w:rFonts w:eastAsiaTheme="minorHAnsi"/>
          <w:sz w:val="22"/>
          <w:szCs w:val="22"/>
          <w:lang w:val="tr-TR"/>
        </w:rPr>
        <w:t xml:space="preserve"> ve toplumsal </w:t>
      </w:r>
      <w:r w:rsidR="00B70C4E" w:rsidRPr="001A4B94">
        <w:rPr>
          <w:rFonts w:eastAsiaTheme="minorHAnsi"/>
          <w:sz w:val="22"/>
          <w:szCs w:val="22"/>
          <w:lang w:val="tr-TR"/>
        </w:rPr>
        <w:t xml:space="preserve">cinsiyet gündemi üzerinde </w:t>
      </w:r>
      <w:r w:rsidR="004B46D2" w:rsidRPr="001A4B94">
        <w:rPr>
          <w:rFonts w:eastAsiaTheme="minorHAnsi"/>
          <w:sz w:val="22"/>
          <w:szCs w:val="22"/>
          <w:lang w:val="tr-TR"/>
        </w:rPr>
        <w:t>SIDA ile sa</w:t>
      </w:r>
      <w:r w:rsidR="00B70C4E" w:rsidRPr="001A4B94">
        <w:rPr>
          <w:rFonts w:eastAsiaTheme="minorHAnsi"/>
          <w:sz w:val="22"/>
          <w:szCs w:val="22"/>
          <w:lang w:val="tr-TR"/>
        </w:rPr>
        <w:t>ğ</w:t>
      </w:r>
      <w:r w:rsidR="004B46D2" w:rsidRPr="001A4B94">
        <w:rPr>
          <w:rFonts w:eastAsiaTheme="minorHAnsi"/>
          <w:sz w:val="22"/>
          <w:szCs w:val="22"/>
          <w:lang w:val="tr-TR"/>
        </w:rPr>
        <w:t>lanan işbirliği</w:t>
      </w:r>
      <w:r w:rsidR="00B70C4E" w:rsidRPr="001A4B94">
        <w:rPr>
          <w:rFonts w:eastAsiaTheme="minorHAnsi"/>
          <w:sz w:val="22"/>
          <w:szCs w:val="22"/>
          <w:lang w:val="tr-TR"/>
        </w:rPr>
        <w:t>,</w:t>
      </w:r>
      <w:r w:rsidR="004B46D2" w:rsidRPr="001A4B94">
        <w:rPr>
          <w:rFonts w:eastAsiaTheme="minorHAnsi"/>
          <w:sz w:val="22"/>
          <w:szCs w:val="22"/>
          <w:lang w:val="tr-TR"/>
        </w:rPr>
        <w:t xml:space="preserve"> </w:t>
      </w:r>
      <w:r w:rsidR="00B70C4E" w:rsidRPr="001A4B94">
        <w:rPr>
          <w:rFonts w:eastAsiaTheme="minorHAnsi"/>
          <w:sz w:val="22"/>
          <w:szCs w:val="22"/>
          <w:lang w:val="tr-TR"/>
        </w:rPr>
        <w:t xml:space="preserve">Banka Grubu’nun Türkiye’de donör koordinasyonu </w:t>
      </w:r>
      <w:r w:rsidR="005E4557" w:rsidRPr="001A4B94">
        <w:rPr>
          <w:rFonts w:eastAsiaTheme="minorHAnsi"/>
          <w:sz w:val="22"/>
          <w:szCs w:val="22"/>
          <w:lang w:val="tr-TR"/>
        </w:rPr>
        <w:t xml:space="preserve">misyonu </w:t>
      </w:r>
      <w:r w:rsidR="00B70C4E" w:rsidRPr="001A4B94">
        <w:rPr>
          <w:rFonts w:eastAsiaTheme="minorHAnsi"/>
          <w:sz w:val="22"/>
          <w:szCs w:val="22"/>
          <w:lang w:val="tr-TR"/>
        </w:rPr>
        <w:t>için yeni ufuklar açmıştır</w:t>
      </w:r>
      <w:r w:rsidR="00747261" w:rsidRPr="001A4B94">
        <w:rPr>
          <w:rFonts w:eastAsiaTheme="minorHAnsi"/>
          <w:sz w:val="22"/>
          <w:szCs w:val="22"/>
          <w:lang w:val="tr-TR"/>
        </w:rPr>
        <w:t xml:space="preserve">. </w:t>
      </w:r>
    </w:p>
    <w:p w14:paraId="617DF5BF" w14:textId="77777777" w:rsidR="00747261" w:rsidRPr="001A4B94" w:rsidRDefault="00747261" w:rsidP="00747261">
      <w:pPr>
        <w:ind w:left="720"/>
        <w:contextualSpacing/>
        <w:rPr>
          <w:rFonts w:eastAsiaTheme="minorHAnsi"/>
          <w:b/>
          <w:sz w:val="22"/>
          <w:szCs w:val="22"/>
          <w:lang w:val="tr-TR"/>
        </w:rPr>
      </w:pPr>
    </w:p>
    <w:p w14:paraId="384994C0" w14:textId="44AA999B" w:rsidR="00747261" w:rsidRPr="001A4B94" w:rsidRDefault="00B70C4E" w:rsidP="00C24F8F">
      <w:pPr>
        <w:numPr>
          <w:ilvl w:val="0"/>
          <w:numId w:val="20"/>
        </w:numPr>
        <w:spacing w:after="160" w:line="259" w:lineRule="auto"/>
        <w:contextualSpacing/>
        <w:jc w:val="center"/>
        <w:rPr>
          <w:rFonts w:eastAsiaTheme="minorHAnsi"/>
          <w:b/>
          <w:sz w:val="22"/>
          <w:szCs w:val="22"/>
          <w:lang w:val="tr-TR"/>
        </w:rPr>
      </w:pPr>
      <w:r w:rsidRPr="001A4B94">
        <w:rPr>
          <w:rFonts w:eastAsiaTheme="minorHAnsi"/>
          <w:b/>
          <w:sz w:val="22"/>
          <w:szCs w:val="22"/>
          <w:lang w:val="tr-TR"/>
        </w:rPr>
        <w:t xml:space="preserve">KURUMSAL HEDEFLERE UYUM </w:t>
      </w:r>
    </w:p>
    <w:p w14:paraId="79DC66F5" w14:textId="77777777" w:rsidR="00747261" w:rsidRPr="001A4B94" w:rsidRDefault="00747261" w:rsidP="00747261">
      <w:pPr>
        <w:spacing w:after="160"/>
        <w:ind w:left="720"/>
        <w:contextualSpacing/>
        <w:rPr>
          <w:rFonts w:eastAsiaTheme="minorHAnsi"/>
          <w:b/>
          <w:sz w:val="22"/>
          <w:szCs w:val="22"/>
          <w:lang w:val="tr-TR"/>
        </w:rPr>
      </w:pPr>
    </w:p>
    <w:p w14:paraId="5C6BDAB0" w14:textId="343254A0" w:rsidR="00165DE6" w:rsidRPr="001A4B94" w:rsidRDefault="00A04866" w:rsidP="002A0063">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2A0063" w:rsidRPr="001A4B94">
        <w:rPr>
          <w:rFonts w:eastAsiaTheme="minorHAnsi"/>
          <w:b/>
          <w:sz w:val="22"/>
          <w:szCs w:val="22"/>
          <w:lang w:val="tr-TR"/>
        </w:rPr>
        <w:t>R</w:t>
      </w:r>
      <w:r w:rsidR="00B70C4E" w:rsidRPr="001A4B94">
        <w:rPr>
          <w:rFonts w:eastAsiaTheme="minorHAnsi"/>
          <w:b/>
          <w:sz w:val="22"/>
          <w:szCs w:val="22"/>
          <w:lang w:val="tr-TR"/>
        </w:rPr>
        <w:t>evi</w:t>
      </w:r>
      <w:r w:rsidR="002A0063" w:rsidRPr="001A4B94">
        <w:rPr>
          <w:rFonts w:eastAsiaTheme="minorHAnsi"/>
          <w:b/>
          <w:sz w:val="22"/>
          <w:szCs w:val="22"/>
          <w:lang w:val="tr-TR"/>
        </w:rPr>
        <w:t>z</w:t>
      </w:r>
      <w:r w:rsidR="00B70C4E" w:rsidRPr="001A4B94">
        <w:rPr>
          <w:rFonts w:eastAsiaTheme="minorHAnsi"/>
          <w:b/>
          <w:sz w:val="22"/>
          <w:szCs w:val="22"/>
          <w:lang w:val="tr-TR"/>
        </w:rPr>
        <w:t>e edilen CPS programı Dünya Ban</w:t>
      </w:r>
      <w:r w:rsidR="00A159D4" w:rsidRPr="001A4B94">
        <w:rPr>
          <w:rFonts w:eastAsiaTheme="minorHAnsi"/>
          <w:b/>
          <w:sz w:val="22"/>
          <w:szCs w:val="22"/>
          <w:lang w:val="tr-TR"/>
        </w:rPr>
        <w:t>a</w:t>
      </w:r>
      <w:r w:rsidR="00B70C4E" w:rsidRPr="001A4B94">
        <w:rPr>
          <w:rFonts w:eastAsiaTheme="minorHAnsi"/>
          <w:b/>
          <w:sz w:val="22"/>
          <w:szCs w:val="22"/>
          <w:lang w:val="tr-TR"/>
        </w:rPr>
        <w:t>ksı Grubu’nun yoksulluğu azaltma ve paylaşılan refahı arttırma h</w:t>
      </w:r>
      <w:r w:rsidR="002A0063" w:rsidRPr="001A4B94">
        <w:rPr>
          <w:rFonts w:eastAsiaTheme="minorHAnsi"/>
          <w:b/>
          <w:sz w:val="22"/>
          <w:szCs w:val="22"/>
          <w:lang w:val="tr-TR"/>
        </w:rPr>
        <w:t>e</w:t>
      </w:r>
      <w:r w:rsidR="00B70C4E" w:rsidRPr="001A4B94">
        <w:rPr>
          <w:rFonts w:eastAsiaTheme="minorHAnsi"/>
          <w:b/>
          <w:sz w:val="22"/>
          <w:szCs w:val="22"/>
          <w:lang w:val="tr-TR"/>
        </w:rPr>
        <w:t>defleri ile yakında</w:t>
      </w:r>
      <w:r w:rsidR="002A0063" w:rsidRPr="001A4B94">
        <w:rPr>
          <w:rFonts w:eastAsiaTheme="minorHAnsi"/>
          <w:b/>
          <w:sz w:val="22"/>
          <w:szCs w:val="22"/>
          <w:lang w:val="tr-TR"/>
        </w:rPr>
        <w:t>n</w:t>
      </w:r>
      <w:r w:rsidR="00B70C4E" w:rsidRPr="001A4B94">
        <w:rPr>
          <w:rFonts w:eastAsiaTheme="minorHAnsi"/>
          <w:b/>
          <w:sz w:val="22"/>
          <w:szCs w:val="22"/>
          <w:lang w:val="tr-TR"/>
        </w:rPr>
        <w:t xml:space="preserve"> uyumludur</w:t>
      </w:r>
      <w:r w:rsidR="00747261" w:rsidRPr="001A4B94">
        <w:rPr>
          <w:rFonts w:eastAsiaTheme="minorHAnsi"/>
          <w:b/>
          <w:sz w:val="22"/>
          <w:szCs w:val="22"/>
          <w:lang w:val="tr-TR"/>
        </w:rPr>
        <w:t xml:space="preserve">. </w:t>
      </w:r>
      <w:r w:rsidR="00B70C4E" w:rsidRPr="001A4B94">
        <w:rPr>
          <w:rFonts w:eastAsiaTheme="minorHAnsi"/>
          <w:sz w:val="22"/>
          <w:szCs w:val="22"/>
          <w:lang w:val="tr-TR"/>
        </w:rPr>
        <w:t>Orijinal CPS DBG</w:t>
      </w:r>
      <w:r w:rsidR="00A159D4" w:rsidRPr="001A4B94">
        <w:rPr>
          <w:rFonts w:eastAsiaTheme="minorHAnsi"/>
          <w:sz w:val="22"/>
          <w:szCs w:val="22"/>
          <w:lang w:val="tr-TR"/>
        </w:rPr>
        <w:t xml:space="preserve"> tarafından </w:t>
      </w:r>
      <w:r w:rsidR="00B70C4E" w:rsidRPr="001A4B94">
        <w:rPr>
          <w:rFonts w:eastAsiaTheme="minorHAnsi"/>
          <w:sz w:val="22"/>
          <w:szCs w:val="22"/>
          <w:lang w:val="tr-TR"/>
        </w:rPr>
        <w:t>bu ikiz hedefler belirlenmeden önce</w:t>
      </w:r>
      <w:r w:rsidR="00B70C4E" w:rsidRPr="001A4B94">
        <w:rPr>
          <w:rFonts w:eastAsiaTheme="minorHAnsi"/>
          <w:b/>
          <w:sz w:val="22"/>
          <w:szCs w:val="22"/>
          <w:lang w:val="tr-TR"/>
        </w:rPr>
        <w:t xml:space="preserve"> </w:t>
      </w:r>
      <w:r w:rsidR="002A5646" w:rsidRPr="001A4B94">
        <w:rPr>
          <w:rFonts w:eastAsiaTheme="minorHAnsi"/>
          <w:sz w:val="22"/>
          <w:szCs w:val="22"/>
          <w:lang w:val="tr-TR"/>
        </w:rPr>
        <w:t>hazırlanm</w:t>
      </w:r>
      <w:r w:rsidR="002A0063" w:rsidRPr="001A4B94">
        <w:rPr>
          <w:rFonts w:eastAsiaTheme="minorHAnsi"/>
          <w:sz w:val="22"/>
          <w:szCs w:val="22"/>
          <w:lang w:val="tr-TR"/>
        </w:rPr>
        <w:t>a</w:t>
      </w:r>
      <w:r w:rsidR="002A5646" w:rsidRPr="001A4B94">
        <w:rPr>
          <w:rFonts w:eastAsiaTheme="minorHAnsi"/>
          <w:sz w:val="22"/>
          <w:szCs w:val="22"/>
          <w:lang w:val="tr-TR"/>
        </w:rPr>
        <w:t>sına rağmen,</w:t>
      </w:r>
      <w:r w:rsidR="002A5646" w:rsidRPr="001A4B94">
        <w:rPr>
          <w:rFonts w:eastAsiaTheme="minorHAnsi"/>
          <w:b/>
          <w:sz w:val="22"/>
          <w:szCs w:val="22"/>
          <w:lang w:val="tr-TR"/>
        </w:rPr>
        <w:t xml:space="preserve"> </w:t>
      </w:r>
      <w:r w:rsidR="002A5646" w:rsidRPr="001A4B94">
        <w:rPr>
          <w:rFonts w:eastAsiaTheme="minorHAnsi"/>
          <w:sz w:val="22"/>
          <w:szCs w:val="22"/>
          <w:lang w:val="tr-TR"/>
        </w:rPr>
        <w:t>amaçları</w:t>
      </w:r>
      <w:r w:rsidR="00747261" w:rsidRPr="001A4B94">
        <w:rPr>
          <w:rFonts w:eastAsiaTheme="minorHAnsi"/>
          <w:sz w:val="22"/>
          <w:szCs w:val="22"/>
          <w:lang w:val="tr-TR"/>
        </w:rPr>
        <w:t xml:space="preserve"> </w:t>
      </w:r>
      <w:r w:rsidR="002A0063" w:rsidRPr="001A4B94">
        <w:rPr>
          <w:rFonts w:eastAsiaTheme="minorHAnsi"/>
          <w:sz w:val="22"/>
          <w:szCs w:val="22"/>
          <w:lang w:val="tr-TR"/>
        </w:rPr>
        <w:t xml:space="preserve">kadınların ve gençlerin işgücü piyasasında aktivasyonu (Amaç 1 kapsamında) ve erken çocukluk gelişimi ve özel sektörde toplumsal cinsiyet eşitliği sertifika programının geliştirilmesi (Amaç 2 kapsamında) yoluyla kısmen  kilit hedef grupların sosyo-ekonomik koşullarının geliştirilmesi üzerinde odaklanmıştır.    </w:t>
      </w:r>
    </w:p>
    <w:p w14:paraId="483FA378" w14:textId="09E553B2" w:rsidR="00747261" w:rsidRPr="001A4B94" w:rsidRDefault="00A04866" w:rsidP="009A79DE">
      <w:pPr>
        <w:pStyle w:val="ListeParagraf"/>
        <w:numPr>
          <w:ilvl w:val="0"/>
          <w:numId w:val="21"/>
        </w:numPr>
        <w:jc w:val="both"/>
        <w:rPr>
          <w:rFonts w:ascii="Times New Roman" w:eastAsiaTheme="minorHAnsi" w:hAnsi="Times New Roman"/>
          <w:lang w:val="tr-TR"/>
        </w:rPr>
      </w:pPr>
      <w:r w:rsidRPr="001A4B94">
        <w:rPr>
          <w:rFonts w:ascii="Times New Roman" w:eastAsiaTheme="minorHAnsi" w:hAnsi="Times New Roman"/>
          <w:b/>
          <w:lang w:val="tr-TR"/>
        </w:rPr>
        <w:t xml:space="preserve"> </w:t>
      </w:r>
      <w:r w:rsidR="00165DE6" w:rsidRPr="001A4B94">
        <w:rPr>
          <w:rFonts w:ascii="Times New Roman" w:eastAsiaTheme="minorHAnsi" w:hAnsi="Times New Roman"/>
          <w:b/>
          <w:lang w:val="tr-TR"/>
        </w:rPr>
        <w:t xml:space="preserve">CPS </w:t>
      </w:r>
      <w:r w:rsidR="00FD06EC" w:rsidRPr="001A4B94">
        <w:rPr>
          <w:rFonts w:ascii="Times New Roman" w:eastAsiaTheme="minorHAnsi" w:hAnsi="Times New Roman"/>
          <w:b/>
          <w:lang w:val="tr-TR"/>
        </w:rPr>
        <w:t xml:space="preserve">İlerleme Raporu </w:t>
      </w:r>
      <w:r w:rsidR="002D1733" w:rsidRPr="001A4B94">
        <w:rPr>
          <w:rFonts w:ascii="Times New Roman" w:eastAsiaTheme="minorHAnsi" w:hAnsi="Times New Roman"/>
          <w:b/>
          <w:lang w:val="tr-TR"/>
        </w:rPr>
        <w:t xml:space="preserve">Türkiye’de 2003-11 </w:t>
      </w:r>
      <w:r w:rsidR="0063435B" w:rsidRPr="001A4B94">
        <w:rPr>
          <w:rFonts w:ascii="Times New Roman" w:eastAsiaTheme="minorHAnsi" w:hAnsi="Times New Roman"/>
          <w:b/>
          <w:lang w:val="tr-TR"/>
        </w:rPr>
        <w:t>döneminde</w:t>
      </w:r>
      <w:r w:rsidR="002D1733" w:rsidRPr="001A4B94">
        <w:rPr>
          <w:rFonts w:ascii="Times New Roman" w:eastAsiaTheme="minorHAnsi" w:hAnsi="Times New Roman"/>
          <w:b/>
          <w:lang w:val="tr-TR"/>
        </w:rPr>
        <w:t xml:space="preserve"> özellikle </w:t>
      </w:r>
      <w:r w:rsidR="0063435B" w:rsidRPr="001A4B94">
        <w:rPr>
          <w:rFonts w:ascii="Times New Roman" w:eastAsiaTheme="minorHAnsi" w:hAnsi="Times New Roman"/>
          <w:b/>
          <w:lang w:val="tr-TR"/>
        </w:rPr>
        <w:t>istihdamın</w:t>
      </w:r>
      <w:r w:rsidR="002D1733" w:rsidRPr="001A4B94">
        <w:rPr>
          <w:rFonts w:ascii="Times New Roman" w:eastAsiaTheme="minorHAnsi" w:hAnsi="Times New Roman"/>
          <w:b/>
          <w:lang w:val="tr-TR"/>
        </w:rPr>
        <w:t xml:space="preserve"> arttırılması ve özel sektör kazançlarının yükseltilmesi yoluyla yoksulluk ile mücadelede </w:t>
      </w:r>
      <w:r w:rsidR="0063435B" w:rsidRPr="001A4B94">
        <w:rPr>
          <w:rFonts w:ascii="Times New Roman" w:eastAsiaTheme="minorHAnsi" w:hAnsi="Times New Roman"/>
          <w:b/>
          <w:lang w:val="tr-TR"/>
        </w:rPr>
        <w:t>kaydedilen</w:t>
      </w:r>
      <w:r w:rsidR="002D1733" w:rsidRPr="001A4B94">
        <w:rPr>
          <w:rFonts w:ascii="Times New Roman" w:eastAsiaTheme="minorHAnsi" w:hAnsi="Times New Roman"/>
          <w:b/>
          <w:lang w:val="tr-TR"/>
        </w:rPr>
        <w:t xml:space="preserve"> önemli ilerlemenin kısa bir analizini sunmuştur</w:t>
      </w:r>
      <w:r w:rsidR="00165DE6" w:rsidRPr="001A4B94">
        <w:rPr>
          <w:rFonts w:ascii="Times New Roman" w:eastAsiaTheme="minorHAnsi" w:hAnsi="Times New Roman"/>
          <w:b/>
          <w:lang w:val="tr-TR"/>
        </w:rPr>
        <w:t>.</w:t>
      </w:r>
      <w:r w:rsidR="00165DE6" w:rsidRPr="001A4B94">
        <w:rPr>
          <w:rFonts w:ascii="Times New Roman" w:eastAsiaTheme="minorHAnsi" w:hAnsi="Times New Roman"/>
          <w:lang w:val="tr-TR"/>
        </w:rPr>
        <w:t xml:space="preserve"> </w:t>
      </w:r>
      <w:r w:rsidR="002D1733" w:rsidRPr="001A4B94">
        <w:rPr>
          <w:rFonts w:ascii="Times New Roman" w:eastAsiaTheme="minorHAnsi" w:hAnsi="Times New Roman"/>
          <w:lang w:val="tr-TR"/>
        </w:rPr>
        <w:t xml:space="preserve">Aynı zamanda, örneğin ekonomik volatilite bağlamında sosyal korumanın yeterliliği, kırsal / kentsel ayrımı, kadınların işgücüne katılımı ve kuşaklar arası eşitsizlik ile ilişkili olarak aşılmayı bekleyen kilit zorlukları da </w:t>
      </w:r>
      <w:r w:rsidR="0063435B" w:rsidRPr="001A4B94">
        <w:rPr>
          <w:rFonts w:ascii="Times New Roman" w:eastAsiaTheme="minorHAnsi" w:hAnsi="Times New Roman"/>
          <w:lang w:val="tr-TR"/>
        </w:rPr>
        <w:t>tespit</w:t>
      </w:r>
      <w:r w:rsidR="002D1733" w:rsidRPr="001A4B94">
        <w:rPr>
          <w:rFonts w:ascii="Times New Roman" w:eastAsiaTheme="minorHAnsi" w:hAnsi="Times New Roman"/>
          <w:lang w:val="tr-TR"/>
        </w:rPr>
        <w:t xml:space="preserve"> etmiştir</w:t>
      </w:r>
      <w:r w:rsidR="00165DE6" w:rsidRPr="001A4B94">
        <w:rPr>
          <w:rFonts w:ascii="Times New Roman" w:eastAsiaTheme="minorHAnsi" w:hAnsi="Times New Roman"/>
          <w:lang w:val="tr-TR"/>
        </w:rPr>
        <w:t xml:space="preserve">. </w:t>
      </w:r>
      <w:r w:rsidR="0063435B" w:rsidRPr="001A4B94">
        <w:rPr>
          <w:rFonts w:ascii="Times New Roman" w:eastAsiaTheme="minorHAnsi" w:hAnsi="Times New Roman"/>
          <w:lang w:val="tr-TR"/>
        </w:rPr>
        <w:t xml:space="preserve">İlerleme raporu, bu ve diğer hususların yeni Sistematik Ülke </w:t>
      </w:r>
      <w:r w:rsidR="00A159D4" w:rsidRPr="001A4B94">
        <w:rPr>
          <w:rFonts w:ascii="Times New Roman" w:eastAsiaTheme="minorHAnsi" w:hAnsi="Times New Roman"/>
          <w:lang w:val="tr-TR"/>
        </w:rPr>
        <w:t>D</w:t>
      </w:r>
      <w:r w:rsidR="0063435B" w:rsidRPr="001A4B94">
        <w:rPr>
          <w:rFonts w:ascii="Times New Roman" w:eastAsiaTheme="minorHAnsi" w:hAnsi="Times New Roman"/>
          <w:lang w:val="tr-TR"/>
        </w:rPr>
        <w:t>eğerlendirmesi kapsamında daha yakından incelenmesi gerektiğini belirtmiş, böylelikle CPS döneminin geri kalan bölümünde Banka Grubu’nun faaliyetlerinin ikiz hedefler ile uyumunu doğrulamak için gerekli bilgi açıklarının kapatılması için analitik çalışmalar  yapmayı taahhüt etmiştir.</w:t>
      </w:r>
    </w:p>
    <w:p w14:paraId="4C6F1ECA" w14:textId="40B2CC44"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 xml:space="preserve">CPS </w:t>
      </w:r>
      <w:r w:rsidR="0063435B" w:rsidRPr="001A4B94">
        <w:rPr>
          <w:rFonts w:eastAsiaTheme="minorHAnsi"/>
          <w:b/>
          <w:sz w:val="22"/>
          <w:szCs w:val="22"/>
          <w:lang w:val="tr-TR"/>
        </w:rPr>
        <w:t>Tasarım aşamasında</w:t>
      </w:r>
      <w:r w:rsidR="00747261" w:rsidRPr="001A4B94">
        <w:rPr>
          <w:rFonts w:eastAsiaTheme="minorHAnsi"/>
          <w:b/>
          <w:sz w:val="22"/>
          <w:szCs w:val="22"/>
          <w:lang w:val="tr-TR"/>
        </w:rPr>
        <w:t xml:space="preserve">, </w:t>
      </w:r>
      <w:r w:rsidR="000B25A7" w:rsidRPr="001A4B94">
        <w:rPr>
          <w:rFonts w:eastAsiaTheme="minorHAnsi"/>
          <w:b/>
          <w:sz w:val="22"/>
          <w:szCs w:val="22"/>
          <w:lang w:val="tr-TR"/>
        </w:rPr>
        <w:t>DBG Operasyonlarında Vatandaş Katılımının Yaygınlaştırılmasına yönelik Stratejik Çerçeve henüz mevcut değildi</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0B25A7" w:rsidRPr="001A4B94">
        <w:rPr>
          <w:rFonts w:eastAsiaTheme="minorHAnsi"/>
          <w:sz w:val="22"/>
          <w:szCs w:val="22"/>
          <w:lang w:val="tr-TR"/>
        </w:rPr>
        <w:t>Ancak</w:t>
      </w:r>
      <w:r w:rsidR="00747261" w:rsidRPr="001A4B94">
        <w:rPr>
          <w:rFonts w:eastAsiaTheme="minorHAnsi"/>
          <w:sz w:val="22"/>
          <w:szCs w:val="22"/>
          <w:lang w:val="tr-TR"/>
        </w:rPr>
        <w:t xml:space="preserve">, </w:t>
      </w:r>
      <w:r w:rsidR="000B25A7" w:rsidRPr="001A4B94">
        <w:rPr>
          <w:rFonts w:eastAsiaTheme="minorHAnsi"/>
          <w:sz w:val="22"/>
          <w:szCs w:val="22"/>
          <w:lang w:val="tr-TR"/>
        </w:rPr>
        <w:t>söz konusu stratejik</w:t>
      </w:r>
      <w:r w:rsidR="00DE3A61" w:rsidRPr="001A4B94">
        <w:rPr>
          <w:rFonts w:eastAsiaTheme="minorHAnsi"/>
          <w:sz w:val="22"/>
          <w:szCs w:val="22"/>
          <w:lang w:val="tr-TR"/>
        </w:rPr>
        <w:t xml:space="preserve"> </w:t>
      </w:r>
      <w:r w:rsidR="000B25A7" w:rsidRPr="001A4B94">
        <w:rPr>
          <w:rFonts w:eastAsiaTheme="minorHAnsi"/>
          <w:sz w:val="22"/>
          <w:szCs w:val="22"/>
          <w:lang w:val="tr-TR"/>
        </w:rPr>
        <w:t>çerçeve kabul edildikten sonra, CPS dönemin</w:t>
      </w:r>
      <w:r w:rsidR="00DE3A61" w:rsidRPr="001A4B94">
        <w:rPr>
          <w:rFonts w:eastAsiaTheme="minorHAnsi"/>
          <w:sz w:val="22"/>
          <w:szCs w:val="22"/>
          <w:lang w:val="tr-TR"/>
        </w:rPr>
        <w:t>d</w:t>
      </w:r>
      <w:r w:rsidR="000B25A7" w:rsidRPr="001A4B94">
        <w:rPr>
          <w:rFonts w:eastAsiaTheme="minorHAnsi"/>
          <w:sz w:val="22"/>
          <w:szCs w:val="22"/>
          <w:lang w:val="tr-TR"/>
        </w:rPr>
        <w:t>eki beş yeni finansman operasyonunun üçü Vatandaş Katılımı koşullarına uygun olarak tasarlanmıştır</w:t>
      </w:r>
      <w:r w:rsidR="00747261" w:rsidRPr="001A4B94">
        <w:rPr>
          <w:rFonts w:eastAsiaTheme="minorHAnsi"/>
          <w:sz w:val="22"/>
          <w:szCs w:val="22"/>
          <w:lang w:val="tr-TR"/>
        </w:rPr>
        <w:t xml:space="preserve">. </w:t>
      </w:r>
      <w:r w:rsidR="000B25A7" w:rsidRPr="001A4B94">
        <w:rPr>
          <w:rFonts w:eastAsiaTheme="minorHAnsi"/>
          <w:sz w:val="22"/>
          <w:szCs w:val="22"/>
          <w:lang w:val="tr-TR"/>
        </w:rPr>
        <w:t>CPS düzeyi</w:t>
      </w:r>
      <w:r w:rsidR="00DE3A61" w:rsidRPr="001A4B94">
        <w:rPr>
          <w:rFonts w:eastAsiaTheme="minorHAnsi"/>
          <w:sz w:val="22"/>
          <w:szCs w:val="22"/>
          <w:lang w:val="tr-TR"/>
        </w:rPr>
        <w:t xml:space="preserve">nde </w:t>
      </w:r>
      <w:r w:rsidR="000B25A7" w:rsidRPr="001A4B94">
        <w:rPr>
          <w:rFonts w:eastAsiaTheme="minorHAnsi"/>
          <w:sz w:val="22"/>
          <w:szCs w:val="22"/>
          <w:lang w:val="tr-TR"/>
        </w:rPr>
        <w:t>Vatandaş Katılımı ile ilgili mevcut göstergeler arasında</w:t>
      </w:r>
      <w:r w:rsidR="00747261" w:rsidRPr="001A4B94">
        <w:rPr>
          <w:rFonts w:eastAsiaTheme="minorHAnsi"/>
          <w:sz w:val="22"/>
          <w:szCs w:val="22"/>
          <w:lang w:val="tr-TR"/>
        </w:rPr>
        <w:t>, “</w:t>
      </w:r>
      <w:r w:rsidR="000B25A7" w:rsidRPr="001A4B94">
        <w:rPr>
          <w:rFonts w:eastAsiaTheme="minorHAnsi"/>
          <w:sz w:val="22"/>
          <w:szCs w:val="22"/>
          <w:lang w:val="tr-TR"/>
        </w:rPr>
        <w:t>Vatandaş Karnesine dayalı olarak kamu kurumları arasında daha fazla puan almak için performans iyileştirme çabalarının başlatılması ve bir rekabet ortamı oluşturulması</w:t>
      </w:r>
      <w:r w:rsidR="00747261" w:rsidRPr="001A4B94">
        <w:rPr>
          <w:rFonts w:eastAsiaTheme="minorHAnsi"/>
          <w:sz w:val="22"/>
          <w:szCs w:val="22"/>
          <w:lang w:val="tr-TR"/>
        </w:rPr>
        <w:t xml:space="preserve">” </w:t>
      </w:r>
      <w:r w:rsidR="000B25A7" w:rsidRPr="001A4B94">
        <w:rPr>
          <w:rFonts w:eastAsiaTheme="minorHAnsi"/>
          <w:sz w:val="22"/>
          <w:szCs w:val="22"/>
          <w:lang w:val="tr-TR"/>
        </w:rPr>
        <w:t xml:space="preserve">ve </w:t>
      </w:r>
      <w:r w:rsidR="00747261" w:rsidRPr="001A4B94">
        <w:rPr>
          <w:rFonts w:eastAsiaTheme="minorHAnsi"/>
          <w:sz w:val="22"/>
          <w:szCs w:val="22"/>
          <w:lang w:val="tr-TR"/>
        </w:rPr>
        <w:t>“</w:t>
      </w:r>
      <w:r w:rsidR="000B25A7" w:rsidRPr="001A4B94">
        <w:rPr>
          <w:rFonts w:eastAsiaTheme="minorHAnsi"/>
          <w:sz w:val="22"/>
          <w:szCs w:val="22"/>
          <w:lang w:val="tr-TR"/>
        </w:rPr>
        <w:t>Tapu hizmetlerine ilişkin müşteri memnuniyet oranının yükselmesi</w:t>
      </w:r>
      <w:r w:rsidR="00747261" w:rsidRPr="001A4B94">
        <w:rPr>
          <w:rFonts w:eastAsiaTheme="minorHAnsi"/>
          <w:sz w:val="22"/>
          <w:szCs w:val="22"/>
          <w:lang w:val="tr-TR"/>
        </w:rPr>
        <w:t xml:space="preserve">” </w:t>
      </w:r>
      <w:r w:rsidR="000B25A7" w:rsidRPr="001A4B94">
        <w:rPr>
          <w:rFonts w:eastAsiaTheme="minorHAnsi"/>
          <w:sz w:val="22"/>
          <w:szCs w:val="22"/>
          <w:lang w:val="tr-TR"/>
        </w:rPr>
        <w:t>göstergeleri tam o</w:t>
      </w:r>
      <w:r w:rsidR="006B135D" w:rsidRPr="001A4B94">
        <w:rPr>
          <w:rFonts w:eastAsiaTheme="minorHAnsi"/>
          <w:sz w:val="22"/>
          <w:szCs w:val="22"/>
          <w:lang w:val="tr-TR"/>
        </w:rPr>
        <w:t>l</w:t>
      </w:r>
      <w:r w:rsidR="000B25A7" w:rsidRPr="001A4B94">
        <w:rPr>
          <w:rFonts w:eastAsiaTheme="minorHAnsi"/>
          <w:sz w:val="22"/>
          <w:szCs w:val="22"/>
          <w:lang w:val="tr-TR"/>
        </w:rPr>
        <w:t xml:space="preserve">arak karşılanmış, hatta </w:t>
      </w:r>
      <w:r w:rsidR="006B135D" w:rsidRPr="001A4B94">
        <w:rPr>
          <w:rFonts w:eastAsiaTheme="minorHAnsi"/>
          <w:sz w:val="22"/>
          <w:szCs w:val="22"/>
          <w:lang w:val="tr-TR"/>
        </w:rPr>
        <w:t>hedeflenenden daha yüksek performans gösterilmiştir</w:t>
      </w:r>
      <w:r w:rsidR="00747261" w:rsidRPr="001A4B94">
        <w:rPr>
          <w:rFonts w:eastAsiaTheme="minorHAnsi"/>
          <w:sz w:val="22"/>
          <w:szCs w:val="22"/>
          <w:lang w:val="tr-TR"/>
        </w:rPr>
        <w:t xml:space="preserve">. </w:t>
      </w:r>
    </w:p>
    <w:p w14:paraId="5DFD104F" w14:textId="77777777" w:rsidR="00747261" w:rsidRPr="001A4B94" w:rsidRDefault="00747261" w:rsidP="00747261">
      <w:pPr>
        <w:spacing w:after="160"/>
        <w:ind w:left="360"/>
        <w:contextualSpacing/>
        <w:jc w:val="both"/>
        <w:rPr>
          <w:rFonts w:eastAsiaTheme="minorHAnsi"/>
          <w:sz w:val="22"/>
          <w:szCs w:val="22"/>
          <w:lang w:val="tr-TR"/>
        </w:rPr>
      </w:pPr>
    </w:p>
    <w:p w14:paraId="50679A3D" w14:textId="747BC4BA" w:rsidR="00747261" w:rsidRPr="001A4B94" w:rsidRDefault="006B135D" w:rsidP="00C24F8F">
      <w:pPr>
        <w:numPr>
          <w:ilvl w:val="0"/>
          <w:numId w:val="20"/>
        </w:numPr>
        <w:spacing w:after="160" w:line="259" w:lineRule="auto"/>
        <w:contextualSpacing/>
        <w:jc w:val="center"/>
        <w:rPr>
          <w:rFonts w:eastAsiaTheme="minorHAnsi"/>
          <w:b/>
          <w:sz w:val="22"/>
          <w:szCs w:val="22"/>
          <w:lang w:val="tr-TR"/>
        </w:rPr>
      </w:pPr>
      <w:r w:rsidRPr="001A4B94">
        <w:rPr>
          <w:rFonts w:eastAsiaTheme="minorHAnsi"/>
          <w:b/>
          <w:sz w:val="22"/>
          <w:szCs w:val="22"/>
          <w:lang w:val="tr-TR"/>
        </w:rPr>
        <w:t xml:space="preserve">ÇIKARILAN ANA DERSLER </w:t>
      </w:r>
    </w:p>
    <w:p w14:paraId="3194F372" w14:textId="77777777" w:rsidR="00747261" w:rsidRPr="001A4B94" w:rsidRDefault="00747261" w:rsidP="00747261">
      <w:pPr>
        <w:spacing w:after="160" w:line="259" w:lineRule="auto"/>
        <w:ind w:left="720"/>
        <w:contextualSpacing/>
        <w:rPr>
          <w:rFonts w:eastAsiaTheme="minorHAnsi"/>
          <w:b/>
          <w:sz w:val="22"/>
          <w:szCs w:val="22"/>
          <w:lang w:val="tr-TR"/>
        </w:rPr>
      </w:pPr>
    </w:p>
    <w:p w14:paraId="3A4C3BB9" w14:textId="0CF80FDF"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DE3A61" w:rsidRPr="001A4B94">
        <w:rPr>
          <w:rFonts w:eastAsiaTheme="minorHAnsi"/>
          <w:b/>
          <w:sz w:val="22"/>
          <w:szCs w:val="22"/>
          <w:lang w:val="tr-TR"/>
        </w:rPr>
        <w:t>D</w:t>
      </w:r>
      <w:r w:rsidR="00747261" w:rsidRPr="001A4B94">
        <w:rPr>
          <w:rFonts w:eastAsiaTheme="minorHAnsi"/>
          <w:b/>
          <w:sz w:val="22"/>
          <w:szCs w:val="22"/>
          <w:lang w:val="tr-TR"/>
        </w:rPr>
        <w:t xml:space="preserve">BG </w:t>
      </w:r>
      <w:r w:rsidR="00DE3A61" w:rsidRPr="001A4B94">
        <w:rPr>
          <w:rFonts w:eastAsiaTheme="minorHAnsi"/>
          <w:b/>
          <w:sz w:val="22"/>
          <w:szCs w:val="22"/>
          <w:lang w:val="tr-TR"/>
        </w:rPr>
        <w:t>Ülke İşbirliği Stratejisi, stratejik düzeyde eşgüdümlü bir yaklaşım sağlamıştır</w:t>
      </w:r>
      <w:r w:rsidR="00747261" w:rsidRPr="001A4B94">
        <w:rPr>
          <w:rFonts w:eastAsiaTheme="minorHAnsi"/>
          <w:b/>
          <w:sz w:val="22"/>
          <w:szCs w:val="22"/>
          <w:lang w:val="tr-TR"/>
        </w:rPr>
        <w:t xml:space="preserve">.  </w:t>
      </w:r>
      <w:r w:rsidR="00DE3A61" w:rsidRPr="001A4B94">
        <w:rPr>
          <w:rFonts w:eastAsiaTheme="minorHAnsi"/>
          <w:sz w:val="22"/>
          <w:szCs w:val="22"/>
          <w:lang w:val="tr-TR"/>
        </w:rPr>
        <w:t>IFC’nin Türkiye’deki portföyü diğer ülkelere göre çok daha fazladır; dolayısıyla</w:t>
      </w:r>
      <w:r w:rsidR="00747261" w:rsidRPr="001A4B94">
        <w:rPr>
          <w:rFonts w:eastAsiaTheme="minorHAnsi"/>
          <w:sz w:val="22"/>
          <w:szCs w:val="22"/>
          <w:lang w:val="tr-TR"/>
        </w:rPr>
        <w:t xml:space="preserve"> </w:t>
      </w:r>
      <w:r w:rsidR="00DE3A61" w:rsidRPr="001A4B94">
        <w:rPr>
          <w:rFonts w:eastAsiaTheme="minorHAnsi"/>
          <w:sz w:val="22"/>
          <w:szCs w:val="22"/>
          <w:lang w:val="tr-TR"/>
        </w:rPr>
        <w:t>eşgüdümlü bir D</w:t>
      </w:r>
      <w:r w:rsidR="009A79DE" w:rsidRPr="001A4B94">
        <w:rPr>
          <w:rFonts w:eastAsiaTheme="minorHAnsi"/>
          <w:sz w:val="22"/>
          <w:szCs w:val="22"/>
          <w:lang w:val="tr-TR"/>
        </w:rPr>
        <w:t xml:space="preserve">BG yaklaşımı doğal olarak daha </w:t>
      </w:r>
      <w:r w:rsidR="00DE3A61" w:rsidRPr="001A4B94">
        <w:rPr>
          <w:rFonts w:eastAsiaTheme="minorHAnsi"/>
          <w:sz w:val="22"/>
          <w:szCs w:val="22"/>
          <w:lang w:val="tr-TR"/>
        </w:rPr>
        <w:t>f</w:t>
      </w:r>
      <w:r w:rsidR="009A79DE" w:rsidRPr="001A4B94">
        <w:rPr>
          <w:rFonts w:eastAsiaTheme="minorHAnsi"/>
          <w:sz w:val="22"/>
          <w:szCs w:val="22"/>
          <w:lang w:val="tr-TR"/>
        </w:rPr>
        <w:t>a</w:t>
      </w:r>
      <w:r w:rsidR="00DE3A61" w:rsidRPr="001A4B94">
        <w:rPr>
          <w:rFonts w:eastAsiaTheme="minorHAnsi"/>
          <w:sz w:val="22"/>
          <w:szCs w:val="22"/>
          <w:lang w:val="tr-TR"/>
        </w:rPr>
        <w:t>zla önem taşımaktadır</w:t>
      </w:r>
      <w:r w:rsidR="00747261" w:rsidRPr="001A4B94">
        <w:rPr>
          <w:rFonts w:eastAsiaTheme="minorHAnsi"/>
          <w:sz w:val="22"/>
          <w:szCs w:val="22"/>
          <w:lang w:val="tr-TR"/>
        </w:rPr>
        <w:t xml:space="preserve">.  </w:t>
      </w:r>
      <w:r w:rsidR="009A79DE" w:rsidRPr="001A4B94">
        <w:rPr>
          <w:rFonts w:eastAsiaTheme="minorHAnsi"/>
          <w:sz w:val="22"/>
          <w:szCs w:val="22"/>
          <w:lang w:val="tr-TR"/>
        </w:rPr>
        <w:t xml:space="preserve">CPS kapsamında elde edilen sonuçlar; </w:t>
      </w:r>
      <w:r w:rsidR="00747261" w:rsidRPr="001A4B94">
        <w:rPr>
          <w:rFonts w:eastAsiaTheme="minorHAnsi"/>
          <w:sz w:val="22"/>
          <w:szCs w:val="22"/>
          <w:lang w:val="tr-TR"/>
        </w:rPr>
        <w:t xml:space="preserve">IBRD, IFC </w:t>
      </w:r>
      <w:r w:rsidR="009A79DE" w:rsidRPr="001A4B94">
        <w:rPr>
          <w:rFonts w:eastAsiaTheme="minorHAnsi"/>
          <w:sz w:val="22"/>
          <w:szCs w:val="22"/>
          <w:lang w:val="tr-TR"/>
        </w:rPr>
        <w:t xml:space="preserve">ve </w:t>
      </w:r>
      <w:r w:rsidR="00747261" w:rsidRPr="001A4B94">
        <w:rPr>
          <w:rFonts w:eastAsiaTheme="minorHAnsi"/>
          <w:sz w:val="22"/>
          <w:szCs w:val="22"/>
          <w:lang w:val="tr-TR"/>
        </w:rPr>
        <w:t>MIGA</w:t>
      </w:r>
      <w:r w:rsidR="009A79DE" w:rsidRPr="001A4B94">
        <w:rPr>
          <w:rFonts w:eastAsiaTheme="minorHAnsi"/>
          <w:sz w:val="22"/>
          <w:szCs w:val="22"/>
          <w:lang w:val="tr-TR"/>
        </w:rPr>
        <w:t>’nın paralel olarak çalıştığı</w:t>
      </w:r>
      <w:r w:rsidR="00747261" w:rsidRPr="001A4B94">
        <w:rPr>
          <w:rFonts w:eastAsiaTheme="minorHAnsi"/>
          <w:sz w:val="22"/>
          <w:szCs w:val="22"/>
          <w:lang w:val="tr-TR"/>
        </w:rPr>
        <w:t xml:space="preserve">, </w:t>
      </w:r>
      <w:r w:rsidR="009A79DE" w:rsidRPr="001A4B94">
        <w:rPr>
          <w:rFonts w:eastAsiaTheme="minorHAnsi"/>
          <w:sz w:val="22"/>
          <w:szCs w:val="22"/>
          <w:lang w:val="tr-TR"/>
        </w:rPr>
        <w:t xml:space="preserve">sonuç göstergelerinin operasyonlar ile uyumlaştırıldığı ve </w:t>
      </w:r>
      <w:r w:rsidR="00747261" w:rsidRPr="001A4B94">
        <w:rPr>
          <w:rFonts w:eastAsiaTheme="minorHAnsi"/>
          <w:sz w:val="22"/>
          <w:szCs w:val="22"/>
          <w:lang w:val="tr-TR"/>
        </w:rPr>
        <w:t xml:space="preserve"> </w:t>
      </w:r>
      <w:r w:rsidR="009A79DE" w:rsidRPr="001A4B94">
        <w:rPr>
          <w:rFonts w:eastAsiaTheme="minorHAnsi"/>
          <w:sz w:val="22"/>
          <w:szCs w:val="22"/>
          <w:lang w:val="tr-TR"/>
        </w:rPr>
        <w:t xml:space="preserve">çeşitli finansman araçları ile ve finansman dışı araçların kullanıldığı bir sektörde yoğun bir şekilde ortak çalışmaların yapıldığı durumlarda daha iyi olmuştur. </w:t>
      </w:r>
      <w:r w:rsidR="00747261" w:rsidRPr="001A4B94">
        <w:rPr>
          <w:rFonts w:eastAsiaTheme="minorHAnsi"/>
          <w:sz w:val="22"/>
          <w:szCs w:val="22"/>
          <w:lang w:val="tr-TR"/>
        </w:rPr>
        <w:t xml:space="preserve"> </w:t>
      </w:r>
      <w:r w:rsidR="009A79DE" w:rsidRPr="001A4B94">
        <w:rPr>
          <w:rFonts w:eastAsiaTheme="minorHAnsi"/>
          <w:sz w:val="22"/>
          <w:szCs w:val="22"/>
          <w:lang w:val="tr-TR"/>
        </w:rPr>
        <w:t>D</w:t>
      </w:r>
      <w:r w:rsidR="00747261" w:rsidRPr="001A4B94">
        <w:rPr>
          <w:rFonts w:eastAsiaTheme="minorHAnsi"/>
          <w:sz w:val="22"/>
          <w:szCs w:val="22"/>
          <w:lang w:val="tr-TR"/>
        </w:rPr>
        <w:t>BG</w:t>
      </w:r>
      <w:r w:rsidR="009A79DE" w:rsidRPr="001A4B94">
        <w:rPr>
          <w:rFonts w:eastAsiaTheme="minorHAnsi"/>
          <w:sz w:val="22"/>
          <w:szCs w:val="22"/>
          <w:lang w:val="tr-TR"/>
        </w:rPr>
        <w:t>’nin enerji sektöründeki başarısı, stratejik odaklı ve eşgüdümlü bir yaklaşımın önümüzdeki CPF döneminde daha fazla başarı üretebileceğini göstermektedir</w:t>
      </w:r>
      <w:r w:rsidR="00747261" w:rsidRPr="001A4B94">
        <w:rPr>
          <w:rFonts w:eastAsiaTheme="minorHAnsi"/>
          <w:sz w:val="22"/>
          <w:szCs w:val="22"/>
          <w:lang w:val="tr-TR"/>
        </w:rPr>
        <w:t>.</w:t>
      </w:r>
    </w:p>
    <w:p w14:paraId="114C54EE" w14:textId="1A658691"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lastRenderedPageBreak/>
        <w:t xml:space="preserve"> </w:t>
      </w:r>
      <w:r w:rsidR="00747261" w:rsidRPr="001A4B94">
        <w:rPr>
          <w:rFonts w:eastAsiaTheme="minorHAnsi"/>
          <w:b/>
          <w:sz w:val="22"/>
          <w:szCs w:val="22"/>
          <w:lang w:val="tr-TR"/>
        </w:rPr>
        <w:t xml:space="preserve">CPS </w:t>
      </w:r>
      <w:r w:rsidR="00873E71" w:rsidRPr="001A4B94">
        <w:rPr>
          <w:rFonts w:eastAsiaTheme="minorHAnsi"/>
          <w:b/>
          <w:sz w:val="22"/>
          <w:szCs w:val="22"/>
          <w:lang w:val="tr-TR"/>
        </w:rPr>
        <w:t>amaçları Türkiye’nin kalkınma ama</w:t>
      </w:r>
      <w:r w:rsidR="00A159D4" w:rsidRPr="001A4B94">
        <w:rPr>
          <w:rFonts w:eastAsiaTheme="minorHAnsi"/>
          <w:b/>
          <w:sz w:val="22"/>
          <w:szCs w:val="22"/>
          <w:lang w:val="tr-TR"/>
        </w:rPr>
        <w:t>ç</w:t>
      </w:r>
      <w:r w:rsidR="00873E71" w:rsidRPr="001A4B94">
        <w:rPr>
          <w:rFonts w:eastAsiaTheme="minorHAnsi"/>
          <w:b/>
          <w:sz w:val="22"/>
          <w:szCs w:val="22"/>
          <w:lang w:val="tr-TR"/>
        </w:rPr>
        <w:t>ları ile iyi bir şekilde uyumludur</w:t>
      </w:r>
      <w:r w:rsidR="00747261" w:rsidRPr="001A4B94">
        <w:rPr>
          <w:rFonts w:eastAsiaTheme="minorHAnsi"/>
          <w:b/>
          <w:sz w:val="22"/>
          <w:szCs w:val="22"/>
          <w:lang w:val="tr-TR"/>
        </w:rPr>
        <w:t xml:space="preserve">, </w:t>
      </w:r>
      <w:r w:rsidR="00873E71" w:rsidRPr="001A4B94">
        <w:rPr>
          <w:rFonts w:eastAsiaTheme="minorHAnsi"/>
          <w:b/>
          <w:sz w:val="22"/>
          <w:szCs w:val="22"/>
          <w:lang w:val="tr-TR"/>
        </w:rPr>
        <w:t>ancak sonuç çerçevesi daha sağlam bir şekil</w:t>
      </w:r>
      <w:r w:rsidR="00A01436" w:rsidRPr="001A4B94">
        <w:rPr>
          <w:rFonts w:eastAsiaTheme="minorHAnsi"/>
          <w:b/>
          <w:sz w:val="22"/>
          <w:szCs w:val="22"/>
          <w:lang w:val="tr-TR"/>
        </w:rPr>
        <w:t>d</w:t>
      </w:r>
      <w:r w:rsidR="00873E71" w:rsidRPr="001A4B94">
        <w:rPr>
          <w:rFonts w:eastAsiaTheme="minorHAnsi"/>
          <w:b/>
          <w:sz w:val="22"/>
          <w:szCs w:val="22"/>
          <w:lang w:val="tr-TR"/>
        </w:rPr>
        <w:t>e oluşturulab</w:t>
      </w:r>
      <w:r w:rsidR="00A01436" w:rsidRPr="001A4B94">
        <w:rPr>
          <w:rFonts w:eastAsiaTheme="minorHAnsi"/>
          <w:b/>
          <w:sz w:val="22"/>
          <w:szCs w:val="22"/>
          <w:lang w:val="tr-TR"/>
        </w:rPr>
        <w:t>i</w:t>
      </w:r>
      <w:r w:rsidR="00873E71" w:rsidRPr="001A4B94">
        <w:rPr>
          <w:rFonts w:eastAsiaTheme="minorHAnsi"/>
          <w:b/>
          <w:sz w:val="22"/>
          <w:szCs w:val="22"/>
          <w:lang w:val="tr-TR"/>
        </w:rPr>
        <w:t xml:space="preserve">lirdi </w:t>
      </w:r>
      <w:r w:rsidR="00873E71" w:rsidRPr="001A4B94">
        <w:rPr>
          <w:rFonts w:eastAsiaTheme="minorHAnsi"/>
          <w:sz w:val="22"/>
          <w:szCs w:val="22"/>
          <w:lang w:val="tr-TR"/>
        </w:rPr>
        <w:t>ve program ile planlanan sonuçlar arasında daha açık bağlantılar sergileyen göst</w:t>
      </w:r>
      <w:r w:rsidR="00143F5F" w:rsidRPr="001A4B94">
        <w:rPr>
          <w:rFonts w:eastAsiaTheme="minorHAnsi"/>
          <w:sz w:val="22"/>
          <w:szCs w:val="22"/>
          <w:lang w:val="tr-TR"/>
        </w:rPr>
        <w:t>e</w:t>
      </w:r>
      <w:r w:rsidR="00873E71" w:rsidRPr="001A4B94">
        <w:rPr>
          <w:rFonts w:eastAsiaTheme="minorHAnsi"/>
          <w:sz w:val="22"/>
          <w:szCs w:val="22"/>
          <w:lang w:val="tr-TR"/>
        </w:rPr>
        <w:t>rgeler içerebilirdi.</w:t>
      </w:r>
      <w:r w:rsidR="00747261" w:rsidRPr="001A4B94">
        <w:rPr>
          <w:rFonts w:eastAsiaTheme="minorHAnsi"/>
          <w:sz w:val="22"/>
          <w:szCs w:val="22"/>
          <w:lang w:val="tr-TR"/>
        </w:rPr>
        <w:t xml:space="preserve"> </w:t>
      </w:r>
      <w:r w:rsidR="00873E71" w:rsidRPr="001A4B94">
        <w:rPr>
          <w:rFonts w:eastAsiaTheme="minorHAnsi"/>
          <w:sz w:val="22"/>
          <w:szCs w:val="22"/>
          <w:lang w:val="tr-TR"/>
        </w:rPr>
        <w:t xml:space="preserve">Türkiye ekonomisinin büyüklüğü ve </w:t>
      </w:r>
      <w:r w:rsidR="00A159D4" w:rsidRPr="001A4B94">
        <w:rPr>
          <w:rFonts w:eastAsiaTheme="minorHAnsi"/>
          <w:sz w:val="22"/>
          <w:szCs w:val="22"/>
          <w:lang w:val="tr-TR"/>
        </w:rPr>
        <w:t>B</w:t>
      </w:r>
      <w:r w:rsidR="00873E71" w:rsidRPr="001A4B94">
        <w:rPr>
          <w:rFonts w:eastAsiaTheme="minorHAnsi"/>
          <w:sz w:val="22"/>
          <w:szCs w:val="22"/>
          <w:lang w:val="tr-TR"/>
        </w:rPr>
        <w:t xml:space="preserve">anka Grubu programının </w:t>
      </w:r>
      <w:r w:rsidR="00A01436" w:rsidRPr="001A4B94">
        <w:rPr>
          <w:rFonts w:eastAsiaTheme="minorHAnsi"/>
          <w:sz w:val="22"/>
          <w:szCs w:val="22"/>
          <w:lang w:val="tr-TR"/>
        </w:rPr>
        <w:t>e</w:t>
      </w:r>
      <w:r w:rsidR="00873E71" w:rsidRPr="001A4B94">
        <w:rPr>
          <w:rFonts w:eastAsiaTheme="minorHAnsi"/>
          <w:sz w:val="22"/>
          <w:szCs w:val="22"/>
          <w:lang w:val="tr-TR"/>
        </w:rPr>
        <w:t>lde edilen sonuçlara atfedilmesindeki zorluklar düşünüldüğünde bu oldukça güç bir iştir.</w:t>
      </w:r>
      <w:r w:rsidR="00747261" w:rsidRPr="001A4B94">
        <w:rPr>
          <w:rFonts w:eastAsiaTheme="minorHAnsi"/>
          <w:sz w:val="22"/>
          <w:szCs w:val="22"/>
          <w:lang w:val="tr-TR"/>
        </w:rPr>
        <w:t xml:space="preserve">  </w:t>
      </w:r>
      <w:r w:rsidR="00873E71" w:rsidRPr="001A4B94">
        <w:rPr>
          <w:rFonts w:eastAsiaTheme="minorHAnsi"/>
          <w:sz w:val="22"/>
          <w:szCs w:val="22"/>
          <w:lang w:val="tr-TR"/>
        </w:rPr>
        <w:t>Geleceğe dönük olarak</w:t>
      </w:r>
      <w:r w:rsidR="00747261" w:rsidRPr="001A4B94">
        <w:rPr>
          <w:rFonts w:eastAsiaTheme="minorHAnsi"/>
          <w:sz w:val="22"/>
          <w:szCs w:val="22"/>
          <w:lang w:val="tr-TR"/>
        </w:rPr>
        <w:t>,</w:t>
      </w:r>
      <w:r w:rsidR="00A01436" w:rsidRPr="001A4B94">
        <w:rPr>
          <w:rFonts w:eastAsiaTheme="minorHAnsi"/>
          <w:sz w:val="22"/>
          <w:szCs w:val="22"/>
          <w:lang w:val="tr-TR"/>
        </w:rPr>
        <w:t xml:space="preserve"> Türkiye’nin</w:t>
      </w:r>
      <w:r w:rsidR="00747261" w:rsidRPr="001A4B94">
        <w:rPr>
          <w:rFonts w:eastAsiaTheme="minorHAnsi"/>
          <w:sz w:val="22"/>
          <w:szCs w:val="22"/>
          <w:lang w:val="tr-TR"/>
        </w:rPr>
        <w:t xml:space="preserve"> </w:t>
      </w:r>
      <w:r w:rsidR="00A01436" w:rsidRPr="001A4B94">
        <w:rPr>
          <w:rFonts w:eastAsiaTheme="minorHAnsi"/>
          <w:sz w:val="22"/>
          <w:szCs w:val="22"/>
          <w:lang w:val="tr-TR"/>
        </w:rPr>
        <w:t xml:space="preserve">yeni CPF için sonuç çerçevesini daha keskin ir şekilde odaklandırmak ve bu sonuçların programa atfedilebilmesi konusunda daha açık bir anlayış oluşturulması gerekecektir. </w:t>
      </w:r>
    </w:p>
    <w:p w14:paraId="3862F1AC" w14:textId="77777777" w:rsidR="00747261" w:rsidRPr="001A4B94" w:rsidRDefault="00747261" w:rsidP="00747261">
      <w:pPr>
        <w:spacing w:after="160" w:line="259" w:lineRule="auto"/>
        <w:ind w:left="720"/>
        <w:contextualSpacing/>
        <w:rPr>
          <w:rFonts w:eastAsiaTheme="minorHAnsi"/>
          <w:sz w:val="22"/>
          <w:szCs w:val="22"/>
          <w:lang w:val="tr-TR"/>
        </w:rPr>
      </w:pPr>
    </w:p>
    <w:p w14:paraId="46DE2AB3" w14:textId="5EC24AEA" w:rsidR="00747261" w:rsidRPr="001A4B94" w:rsidRDefault="00A04866" w:rsidP="00A52238">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A01436" w:rsidRPr="001A4B94">
        <w:rPr>
          <w:rFonts w:eastAsiaTheme="minorHAnsi"/>
          <w:b/>
          <w:sz w:val="22"/>
          <w:szCs w:val="22"/>
          <w:lang w:val="tr-TR"/>
        </w:rPr>
        <w:t>Başarı farklı oyuncul</w:t>
      </w:r>
      <w:r w:rsidR="00205D8E" w:rsidRPr="001A4B94">
        <w:rPr>
          <w:rFonts w:eastAsiaTheme="minorHAnsi"/>
          <w:b/>
          <w:sz w:val="22"/>
          <w:szCs w:val="22"/>
          <w:lang w:val="tr-TR"/>
        </w:rPr>
        <w:t>a</w:t>
      </w:r>
      <w:r w:rsidR="00A01436" w:rsidRPr="001A4B94">
        <w:rPr>
          <w:rFonts w:eastAsiaTheme="minorHAnsi"/>
          <w:b/>
          <w:sz w:val="22"/>
          <w:szCs w:val="22"/>
          <w:lang w:val="tr-TR"/>
        </w:rPr>
        <w:t>rın müdah</w:t>
      </w:r>
      <w:r w:rsidR="00205D8E" w:rsidRPr="001A4B94">
        <w:rPr>
          <w:rFonts w:eastAsiaTheme="minorHAnsi"/>
          <w:b/>
          <w:sz w:val="22"/>
          <w:szCs w:val="22"/>
          <w:lang w:val="tr-TR"/>
        </w:rPr>
        <w:t>a</w:t>
      </w:r>
      <w:r w:rsidR="00A01436" w:rsidRPr="001A4B94">
        <w:rPr>
          <w:rFonts w:eastAsiaTheme="minorHAnsi"/>
          <w:b/>
          <w:sz w:val="22"/>
          <w:szCs w:val="22"/>
          <w:lang w:val="tr-TR"/>
        </w:rPr>
        <w:t>lelerinin dikkatli bir şekilde sıralandığı uz</w:t>
      </w:r>
      <w:r w:rsidR="00205D8E" w:rsidRPr="001A4B94">
        <w:rPr>
          <w:rFonts w:eastAsiaTheme="minorHAnsi"/>
          <w:b/>
          <w:sz w:val="22"/>
          <w:szCs w:val="22"/>
          <w:lang w:val="tr-TR"/>
        </w:rPr>
        <w:t>u</w:t>
      </w:r>
      <w:r w:rsidR="00A01436" w:rsidRPr="001A4B94">
        <w:rPr>
          <w:rFonts w:eastAsiaTheme="minorHAnsi"/>
          <w:b/>
          <w:sz w:val="22"/>
          <w:szCs w:val="22"/>
          <w:lang w:val="tr-TR"/>
        </w:rPr>
        <w:t>n vadeli bir ortak çalı</w:t>
      </w:r>
      <w:r w:rsidR="00205D8E" w:rsidRPr="001A4B94">
        <w:rPr>
          <w:rFonts w:eastAsiaTheme="minorHAnsi"/>
          <w:b/>
          <w:sz w:val="22"/>
          <w:szCs w:val="22"/>
          <w:lang w:val="tr-TR"/>
        </w:rPr>
        <w:t>ş</w:t>
      </w:r>
      <w:r w:rsidR="00A01436" w:rsidRPr="001A4B94">
        <w:rPr>
          <w:rFonts w:eastAsiaTheme="minorHAnsi"/>
          <w:b/>
          <w:sz w:val="22"/>
          <w:szCs w:val="22"/>
          <w:lang w:val="tr-TR"/>
        </w:rPr>
        <w:t xml:space="preserve">ma gerektirir. </w:t>
      </w:r>
      <w:r w:rsidR="00A01436" w:rsidRPr="001A4B94">
        <w:rPr>
          <w:rFonts w:eastAsiaTheme="minorHAnsi"/>
          <w:sz w:val="22"/>
          <w:szCs w:val="22"/>
          <w:lang w:val="tr-TR"/>
        </w:rPr>
        <w:t>Örneğin</w:t>
      </w:r>
      <w:r w:rsidR="00747261" w:rsidRPr="001A4B94">
        <w:rPr>
          <w:rFonts w:eastAsiaTheme="minorHAnsi"/>
          <w:sz w:val="22"/>
          <w:szCs w:val="22"/>
          <w:lang w:val="tr-TR"/>
        </w:rPr>
        <w:t xml:space="preserve">, </w:t>
      </w:r>
      <w:r w:rsidR="007D4326" w:rsidRPr="001A4B94">
        <w:rPr>
          <w:rFonts w:eastAsiaTheme="minorHAnsi"/>
          <w:sz w:val="22"/>
          <w:szCs w:val="22"/>
          <w:lang w:val="tr-TR"/>
        </w:rPr>
        <w:t>B</w:t>
      </w:r>
      <w:r w:rsidR="00A01436" w:rsidRPr="001A4B94">
        <w:rPr>
          <w:rFonts w:eastAsiaTheme="minorHAnsi"/>
          <w:sz w:val="22"/>
          <w:szCs w:val="22"/>
          <w:lang w:val="tr-TR"/>
        </w:rPr>
        <w:t xml:space="preserve">anka’nın bilgi ve </w:t>
      </w:r>
      <w:r w:rsidR="00747261" w:rsidRPr="001A4B94">
        <w:rPr>
          <w:rFonts w:eastAsiaTheme="minorHAnsi"/>
          <w:sz w:val="22"/>
          <w:szCs w:val="22"/>
          <w:lang w:val="tr-TR"/>
        </w:rPr>
        <w:t xml:space="preserve">DPL </w:t>
      </w:r>
      <w:r w:rsidR="00A01436" w:rsidRPr="001A4B94">
        <w:rPr>
          <w:rFonts w:eastAsiaTheme="minorHAnsi"/>
          <w:sz w:val="22"/>
          <w:szCs w:val="22"/>
          <w:lang w:val="tr-TR"/>
        </w:rPr>
        <w:t xml:space="preserve">çalışmaları belirli sektörler için uygun bir ortam oluşturmakta ve genel stratejik çerçeveyi belirlemektedir </w:t>
      </w:r>
      <w:r w:rsidR="00747261" w:rsidRPr="001A4B94">
        <w:rPr>
          <w:rFonts w:eastAsiaTheme="minorHAnsi"/>
          <w:sz w:val="22"/>
          <w:szCs w:val="22"/>
          <w:lang w:val="tr-TR"/>
        </w:rPr>
        <w:t>(</w:t>
      </w:r>
      <w:r w:rsidR="00A01436" w:rsidRPr="001A4B94">
        <w:rPr>
          <w:rFonts w:eastAsiaTheme="minorHAnsi"/>
          <w:sz w:val="22"/>
          <w:szCs w:val="22"/>
          <w:lang w:val="tr-TR"/>
        </w:rPr>
        <w:t>örneğin enerji</w:t>
      </w:r>
      <w:r w:rsidR="00747261" w:rsidRPr="001A4B94">
        <w:rPr>
          <w:rFonts w:eastAsiaTheme="minorHAnsi"/>
          <w:sz w:val="22"/>
          <w:szCs w:val="22"/>
          <w:lang w:val="tr-TR"/>
        </w:rPr>
        <w:t xml:space="preserve">). </w:t>
      </w:r>
      <w:r w:rsidR="007D4326" w:rsidRPr="001A4B94">
        <w:rPr>
          <w:rFonts w:eastAsiaTheme="minorHAnsi"/>
          <w:sz w:val="22"/>
          <w:szCs w:val="22"/>
          <w:lang w:val="tr-TR"/>
        </w:rPr>
        <w:t>Bunu takiben, IFC özel sektörden ortakları ile birl</w:t>
      </w:r>
      <w:r w:rsidR="00205D8E" w:rsidRPr="001A4B94">
        <w:rPr>
          <w:rFonts w:eastAsiaTheme="minorHAnsi"/>
          <w:sz w:val="22"/>
          <w:szCs w:val="22"/>
          <w:lang w:val="tr-TR"/>
        </w:rPr>
        <w:t>i</w:t>
      </w:r>
      <w:r w:rsidR="007D4326" w:rsidRPr="001A4B94">
        <w:rPr>
          <w:rFonts w:eastAsiaTheme="minorHAnsi"/>
          <w:sz w:val="22"/>
          <w:szCs w:val="22"/>
          <w:lang w:val="tr-TR"/>
        </w:rPr>
        <w:t>kte bu sektörl</w:t>
      </w:r>
      <w:r w:rsidR="00205D8E" w:rsidRPr="001A4B94">
        <w:rPr>
          <w:rFonts w:eastAsiaTheme="minorHAnsi"/>
          <w:sz w:val="22"/>
          <w:szCs w:val="22"/>
          <w:lang w:val="tr-TR"/>
        </w:rPr>
        <w:t>e</w:t>
      </w:r>
      <w:r w:rsidR="007D4326" w:rsidRPr="001A4B94">
        <w:rPr>
          <w:rFonts w:eastAsiaTheme="minorHAnsi"/>
          <w:sz w:val="22"/>
          <w:szCs w:val="22"/>
          <w:lang w:val="tr-TR"/>
        </w:rPr>
        <w:t>rde çalışmalarını arttırmaktadır</w:t>
      </w:r>
      <w:r w:rsidR="00747261" w:rsidRPr="001A4B94">
        <w:rPr>
          <w:rFonts w:eastAsiaTheme="minorHAnsi"/>
          <w:sz w:val="22"/>
          <w:szCs w:val="22"/>
          <w:lang w:val="tr-TR"/>
        </w:rPr>
        <w:t xml:space="preserve">.  </w:t>
      </w:r>
      <w:r w:rsidR="007D4326" w:rsidRPr="001A4B94">
        <w:rPr>
          <w:rFonts w:eastAsiaTheme="minorHAnsi"/>
          <w:sz w:val="22"/>
          <w:szCs w:val="22"/>
          <w:lang w:val="tr-TR"/>
        </w:rPr>
        <w:t>Ayrıca, Banka’nın birleştirici rolü açık bir şekilde etkili olmuştur; diğer finansal or</w:t>
      </w:r>
      <w:r w:rsidR="00205D8E" w:rsidRPr="001A4B94">
        <w:rPr>
          <w:rFonts w:eastAsiaTheme="minorHAnsi"/>
          <w:sz w:val="22"/>
          <w:szCs w:val="22"/>
          <w:lang w:val="tr-TR"/>
        </w:rPr>
        <w:t>t</w:t>
      </w:r>
      <w:r w:rsidR="007D4326" w:rsidRPr="001A4B94">
        <w:rPr>
          <w:rFonts w:eastAsiaTheme="minorHAnsi"/>
          <w:sz w:val="22"/>
          <w:szCs w:val="22"/>
          <w:lang w:val="tr-TR"/>
        </w:rPr>
        <w:t>aklar bazen kamu sektörünün desteğiyle olgunlaşmış bir sektörel çerçeveye adım atabilmişlerdir</w:t>
      </w:r>
      <w:r w:rsidR="00747261" w:rsidRPr="001A4B94">
        <w:rPr>
          <w:rFonts w:eastAsiaTheme="minorHAnsi"/>
          <w:sz w:val="22"/>
          <w:szCs w:val="22"/>
          <w:lang w:val="tr-TR"/>
        </w:rPr>
        <w:t xml:space="preserve">, </w:t>
      </w:r>
      <w:r w:rsidR="007D4326" w:rsidRPr="001A4B94">
        <w:rPr>
          <w:rFonts w:eastAsiaTheme="minorHAnsi"/>
          <w:sz w:val="22"/>
          <w:szCs w:val="22"/>
          <w:lang w:val="tr-TR"/>
        </w:rPr>
        <w:t>bazen de IBRD’yi finansman dışında bırakmışlardır</w:t>
      </w:r>
      <w:r w:rsidR="00747261" w:rsidRPr="001A4B94">
        <w:rPr>
          <w:rFonts w:eastAsiaTheme="minorHAnsi"/>
          <w:sz w:val="22"/>
          <w:szCs w:val="22"/>
          <w:lang w:val="tr-TR"/>
        </w:rPr>
        <w:t>.</w:t>
      </w:r>
    </w:p>
    <w:p w14:paraId="5418FF5A" w14:textId="77777777" w:rsidR="00747261" w:rsidRPr="001A4B94" w:rsidRDefault="00747261" w:rsidP="00747261">
      <w:pPr>
        <w:spacing w:after="160" w:line="259" w:lineRule="auto"/>
        <w:ind w:left="720"/>
        <w:contextualSpacing/>
        <w:rPr>
          <w:rFonts w:eastAsiaTheme="minorHAnsi"/>
          <w:sz w:val="22"/>
          <w:szCs w:val="22"/>
          <w:lang w:val="tr-TR"/>
        </w:rPr>
      </w:pPr>
    </w:p>
    <w:p w14:paraId="5E08EFDE" w14:textId="6AE40056"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747261" w:rsidRPr="001A4B94">
        <w:rPr>
          <w:rFonts w:eastAsiaTheme="minorHAnsi"/>
          <w:b/>
          <w:sz w:val="22"/>
          <w:szCs w:val="22"/>
          <w:lang w:val="tr-TR"/>
        </w:rPr>
        <w:t>IFC program</w:t>
      </w:r>
      <w:r w:rsidR="007D4326" w:rsidRPr="001A4B94">
        <w:rPr>
          <w:rFonts w:eastAsiaTheme="minorHAnsi"/>
          <w:b/>
          <w:sz w:val="22"/>
          <w:szCs w:val="22"/>
          <w:lang w:val="tr-TR"/>
        </w:rPr>
        <w:t>ı</w:t>
      </w:r>
      <w:r w:rsidR="00747261" w:rsidRPr="001A4B94">
        <w:rPr>
          <w:rFonts w:eastAsiaTheme="minorHAnsi"/>
          <w:b/>
          <w:sz w:val="22"/>
          <w:szCs w:val="22"/>
          <w:lang w:val="tr-TR"/>
        </w:rPr>
        <w:t xml:space="preserve"> </w:t>
      </w:r>
      <w:r w:rsidR="007D4326" w:rsidRPr="001A4B94">
        <w:rPr>
          <w:rFonts w:eastAsiaTheme="minorHAnsi"/>
          <w:b/>
          <w:sz w:val="22"/>
          <w:szCs w:val="22"/>
          <w:lang w:val="tr-TR"/>
        </w:rPr>
        <w:t>özel sektör ile uzun vadeli bir ilişki kurmanın önemini göstermiştir</w:t>
      </w:r>
      <w:r w:rsidR="00747261" w:rsidRPr="001A4B94">
        <w:rPr>
          <w:rFonts w:eastAsiaTheme="minorHAnsi"/>
          <w:b/>
          <w:sz w:val="22"/>
          <w:szCs w:val="22"/>
          <w:lang w:val="tr-TR"/>
        </w:rPr>
        <w:t xml:space="preserve">. </w:t>
      </w:r>
      <w:r w:rsidR="00747261" w:rsidRPr="001A4B94">
        <w:rPr>
          <w:rFonts w:eastAsiaTheme="minorHAnsi"/>
          <w:sz w:val="22"/>
          <w:szCs w:val="22"/>
          <w:lang w:val="tr-TR"/>
        </w:rPr>
        <w:t xml:space="preserve"> </w:t>
      </w:r>
      <w:r w:rsidR="00205D8E" w:rsidRPr="001A4B94">
        <w:rPr>
          <w:rFonts w:eastAsiaTheme="minorHAnsi"/>
          <w:sz w:val="22"/>
          <w:szCs w:val="22"/>
          <w:lang w:val="tr-TR"/>
        </w:rPr>
        <w:t>IFC’nin İstanbul Ofisinin bölgesel bir merkezden yakındaki üst düzey personeli ve yönetimi (</w:t>
      </w:r>
      <w:r w:rsidR="00C72096" w:rsidRPr="001A4B94">
        <w:rPr>
          <w:rFonts w:eastAsiaTheme="minorHAnsi"/>
          <w:sz w:val="22"/>
          <w:szCs w:val="22"/>
          <w:lang w:val="tr-TR"/>
        </w:rPr>
        <w:t>Bölge Başkan Yardımcısı, Bölge sektör Direktörleri ve Yöneticileri ile Danışmanlık Birimi Başkanı dahil olmak üzere</w:t>
      </w:r>
      <w:r w:rsidR="00205D8E" w:rsidRPr="001A4B94">
        <w:rPr>
          <w:rFonts w:eastAsiaTheme="minorHAnsi"/>
          <w:sz w:val="22"/>
          <w:szCs w:val="22"/>
          <w:lang w:val="tr-TR"/>
        </w:rPr>
        <w:t>)  bir araya getirerek IFC’nin ilk operasyon merkezine dönüştürülmesi, Türkiye’de IFC’nin piyasa fırsatlarına  hızlı bir şekilde cevap vererek sağlam baş</w:t>
      </w:r>
      <w:r w:rsidR="00C72096" w:rsidRPr="001A4B94">
        <w:rPr>
          <w:rFonts w:eastAsiaTheme="minorHAnsi"/>
          <w:sz w:val="22"/>
          <w:szCs w:val="22"/>
          <w:lang w:val="tr-TR"/>
        </w:rPr>
        <w:t>a</w:t>
      </w:r>
      <w:r w:rsidR="00205D8E" w:rsidRPr="001A4B94">
        <w:rPr>
          <w:rFonts w:eastAsiaTheme="minorHAnsi"/>
          <w:sz w:val="22"/>
          <w:szCs w:val="22"/>
          <w:lang w:val="tr-TR"/>
        </w:rPr>
        <w:t>rının yolunu açan güçlü yatırım ve kalkınma sonuçl</w:t>
      </w:r>
      <w:r w:rsidR="00C72096" w:rsidRPr="001A4B94">
        <w:rPr>
          <w:rFonts w:eastAsiaTheme="minorHAnsi"/>
          <w:sz w:val="22"/>
          <w:szCs w:val="22"/>
          <w:lang w:val="tr-TR"/>
        </w:rPr>
        <w:t>a</w:t>
      </w:r>
      <w:r w:rsidR="00205D8E" w:rsidRPr="001A4B94">
        <w:rPr>
          <w:rFonts w:eastAsiaTheme="minorHAnsi"/>
          <w:sz w:val="22"/>
          <w:szCs w:val="22"/>
          <w:lang w:val="tr-TR"/>
        </w:rPr>
        <w:t>rı üretmesine yardımcı olmuştur</w:t>
      </w:r>
      <w:r w:rsidR="00747261" w:rsidRPr="001A4B94">
        <w:rPr>
          <w:rFonts w:eastAsiaTheme="minorHAnsi"/>
          <w:sz w:val="22"/>
          <w:szCs w:val="22"/>
          <w:lang w:val="tr-TR"/>
        </w:rPr>
        <w:t xml:space="preserve">. </w:t>
      </w:r>
    </w:p>
    <w:p w14:paraId="17E6FF21" w14:textId="77777777" w:rsidR="00747261" w:rsidRPr="001A4B94" w:rsidRDefault="00747261" w:rsidP="00747261">
      <w:pPr>
        <w:spacing w:after="160" w:line="259" w:lineRule="auto"/>
        <w:ind w:left="720"/>
        <w:contextualSpacing/>
        <w:rPr>
          <w:rFonts w:eastAsiaTheme="minorHAnsi"/>
          <w:sz w:val="22"/>
          <w:szCs w:val="22"/>
          <w:lang w:val="tr-TR"/>
        </w:rPr>
      </w:pPr>
    </w:p>
    <w:p w14:paraId="13D6428C" w14:textId="43E81D0D"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2E4882" w:rsidRPr="001A4B94">
        <w:rPr>
          <w:rFonts w:eastAsiaTheme="minorHAnsi"/>
          <w:b/>
          <w:sz w:val="22"/>
          <w:szCs w:val="22"/>
          <w:lang w:val="tr-TR"/>
        </w:rPr>
        <w:t xml:space="preserve">IBRD </w:t>
      </w:r>
      <w:r w:rsidR="00C72096" w:rsidRPr="001A4B94">
        <w:rPr>
          <w:rFonts w:eastAsiaTheme="minorHAnsi"/>
          <w:b/>
          <w:sz w:val="22"/>
          <w:szCs w:val="22"/>
          <w:lang w:val="tr-TR"/>
        </w:rPr>
        <w:t xml:space="preserve">finansmanının </w:t>
      </w:r>
      <w:r w:rsidR="002E4882" w:rsidRPr="001A4B94">
        <w:rPr>
          <w:rFonts w:eastAsiaTheme="minorHAnsi"/>
          <w:b/>
          <w:sz w:val="22"/>
          <w:szCs w:val="22"/>
          <w:lang w:val="tr-TR"/>
        </w:rPr>
        <w:t xml:space="preserve">idari karmaşıklık </w:t>
      </w:r>
      <w:r w:rsidR="00D04F24" w:rsidRPr="001A4B94">
        <w:rPr>
          <w:rFonts w:eastAsiaTheme="minorHAnsi"/>
          <w:b/>
          <w:sz w:val="22"/>
          <w:szCs w:val="22"/>
          <w:lang w:val="tr-TR"/>
        </w:rPr>
        <w:t>içerdiği</w:t>
      </w:r>
      <w:r w:rsidR="00747261" w:rsidRPr="001A4B94">
        <w:rPr>
          <w:rFonts w:eastAsiaTheme="minorHAnsi"/>
          <w:b/>
          <w:sz w:val="22"/>
          <w:szCs w:val="22"/>
          <w:lang w:val="tr-TR"/>
        </w:rPr>
        <w:t xml:space="preserve">, </w:t>
      </w:r>
      <w:r w:rsidR="00D04F24" w:rsidRPr="001A4B94">
        <w:rPr>
          <w:rFonts w:eastAsiaTheme="minorHAnsi"/>
          <w:b/>
          <w:sz w:val="22"/>
          <w:szCs w:val="22"/>
          <w:lang w:val="tr-TR"/>
        </w:rPr>
        <w:t>bakanlık bütçelerini arttırmadığı ve kamu dışı sistemlerin (örneğin IBRD) yaygın bir şekilde kullanımını gerektirdiği düşünüldüğünde</w:t>
      </w:r>
      <w:r w:rsidR="00747261" w:rsidRPr="001A4B94">
        <w:rPr>
          <w:rFonts w:eastAsiaTheme="minorHAnsi"/>
          <w:b/>
          <w:sz w:val="22"/>
          <w:szCs w:val="22"/>
          <w:lang w:val="tr-TR"/>
        </w:rPr>
        <w:t xml:space="preserve">, </w:t>
      </w:r>
      <w:r w:rsidR="00D04F24" w:rsidRPr="001A4B94">
        <w:rPr>
          <w:rFonts w:eastAsiaTheme="minorHAnsi"/>
          <w:b/>
          <w:sz w:val="22"/>
          <w:szCs w:val="22"/>
          <w:lang w:val="tr-TR"/>
        </w:rPr>
        <w:t xml:space="preserve">yeni </w:t>
      </w:r>
      <w:r w:rsidR="00747261" w:rsidRPr="001A4B94">
        <w:rPr>
          <w:rFonts w:eastAsiaTheme="minorHAnsi"/>
          <w:b/>
          <w:sz w:val="22"/>
          <w:szCs w:val="22"/>
          <w:lang w:val="tr-TR"/>
        </w:rPr>
        <w:t xml:space="preserve">IPF </w:t>
      </w:r>
      <w:r w:rsidR="00D04F24" w:rsidRPr="001A4B94">
        <w:rPr>
          <w:rFonts w:eastAsiaTheme="minorHAnsi"/>
          <w:b/>
          <w:sz w:val="22"/>
          <w:szCs w:val="22"/>
          <w:lang w:val="tr-TR"/>
        </w:rPr>
        <w:t>finansmanı Türkiye’de zorluk yaşamaya devam edecektir.</w:t>
      </w:r>
      <w:r w:rsidR="00747261" w:rsidRPr="001A4B94">
        <w:rPr>
          <w:rFonts w:eastAsiaTheme="minorHAnsi"/>
          <w:sz w:val="22"/>
          <w:szCs w:val="22"/>
          <w:lang w:val="tr-TR"/>
        </w:rPr>
        <w:t xml:space="preserve"> </w:t>
      </w:r>
      <w:r w:rsidR="00D04F24" w:rsidRPr="001A4B94">
        <w:rPr>
          <w:rFonts w:eastAsiaTheme="minorHAnsi"/>
          <w:sz w:val="22"/>
          <w:szCs w:val="22"/>
          <w:lang w:val="tr-TR"/>
        </w:rPr>
        <w:t>Hük</w:t>
      </w:r>
      <w:r w:rsidR="00A52238" w:rsidRPr="001A4B94">
        <w:rPr>
          <w:rFonts w:eastAsiaTheme="minorHAnsi"/>
          <w:sz w:val="22"/>
          <w:szCs w:val="22"/>
          <w:lang w:val="tr-TR"/>
        </w:rPr>
        <w:t>ü</w:t>
      </w:r>
      <w:r w:rsidR="00D04F24" w:rsidRPr="001A4B94">
        <w:rPr>
          <w:rFonts w:eastAsiaTheme="minorHAnsi"/>
          <w:sz w:val="22"/>
          <w:szCs w:val="22"/>
          <w:lang w:val="tr-TR"/>
        </w:rPr>
        <w:t xml:space="preserve">met </w:t>
      </w:r>
      <w:r w:rsidR="00A52238" w:rsidRPr="001A4B94">
        <w:rPr>
          <w:rFonts w:eastAsiaTheme="minorHAnsi"/>
          <w:sz w:val="22"/>
          <w:szCs w:val="22"/>
          <w:lang w:val="tr-TR"/>
        </w:rPr>
        <w:t>mevzuata uyum bakımından sorunsuz bir uygulama sağlayacak ve yerli ihale ve finansal yönetim düzenlemelerinin uygulanacağı operasyonları tercih etmektedir.</w:t>
      </w:r>
      <w:r w:rsidR="00747261" w:rsidRPr="001A4B94" w:rsidDel="00765294">
        <w:rPr>
          <w:rFonts w:eastAsiaTheme="minorHAnsi"/>
          <w:sz w:val="22"/>
          <w:szCs w:val="22"/>
          <w:lang w:val="tr-TR"/>
        </w:rPr>
        <w:t xml:space="preserve"> </w:t>
      </w:r>
      <w:r w:rsidR="00A52238" w:rsidRPr="001A4B94">
        <w:rPr>
          <w:rFonts w:eastAsiaTheme="minorHAnsi"/>
          <w:sz w:val="22"/>
          <w:szCs w:val="22"/>
          <w:lang w:val="tr-TR"/>
        </w:rPr>
        <w:t xml:space="preserve">Böyle bir ortamda yeni </w:t>
      </w:r>
      <w:r w:rsidR="00747261" w:rsidRPr="001A4B94">
        <w:rPr>
          <w:rFonts w:eastAsiaTheme="minorHAnsi"/>
          <w:sz w:val="22"/>
          <w:szCs w:val="22"/>
          <w:lang w:val="tr-TR"/>
        </w:rPr>
        <w:t xml:space="preserve">IPF </w:t>
      </w:r>
      <w:r w:rsidR="00A52238" w:rsidRPr="001A4B94">
        <w:rPr>
          <w:rFonts w:eastAsiaTheme="minorHAnsi"/>
          <w:sz w:val="22"/>
          <w:szCs w:val="22"/>
          <w:lang w:val="tr-TR"/>
        </w:rPr>
        <w:t>finansman oper</w:t>
      </w:r>
      <w:r w:rsidR="00AA5FBF" w:rsidRPr="001A4B94">
        <w:rPr>
          <w:rFonts w:eastAsiaTheme="minorHAnsi"/>
          <w:sz w:val="22"/>
          <w:szCs w:val="22"/>
          <w:lang w:val="tr-TR"/>
        </w:rPr>
        <w:t>a</w:t>
      </w:r>
      <w:r w:rsidR="00A52238" w:rsidRPr="001A4B94">
        <w:rPr>
          <w:rFonts w:eastAsiaTheme="minorHAnsi"/>
          <w:sz w:val="22"/>
          <w:szCs w:val="22"/>
          <w:lang w:val="tr-TR"/>
        </w:rPr>
        <w:t xml:space="preserve">syonlarının başlatılabilmesi için </w:t>
      </w:r>
      <w:r w:rsidR="004F02D9" w:rsidRPr="001A4B94">
        <w:rPr>
          <w:rFonts w:eastAsiaTheme="minorHAnsi"/>
          <w:sz w:val="22"/>
          <w:szCs w:val="22"/>
          <w:lang w:val="tr-TR"/>
        </w:rPr>
        <w:t xml:space="preserve">dikkatli bir değerlendirme yapılması ve </w:t>
      </w:r>
      <w:r w:rsidR="006402FF" w:rsidRPr="001A4B94">
        <w:rPr>
          <w:rFonts w:eastAsiaTheme="minorHAnsi"/>
          <w:sz w:val="22"/>
          <w:szCs w:val="22"/>
          <w:lang w:val="tr-TR"/>
        </w:rPr>
        <w:t xml:space="preserve">proje hazırlık </w:t>
      </w:r>
      <w:r w:rsidR="00AA5FBF" w:rsidRPr="001A4B94">
        <w:rPr>
          <w:rFonts w:eastAsiaTheme="minorHAnsi"/>
          <w:sz w:val="22"/>
          <w:szCs w:val="22"/>
          <w:lang w:val="tr-TR"/>
        </w:rPr>
        <w:t>sürecinin ilk</w:t>
      </w:r>
      <w:r w:rsidR="006402FF" w:rsidRPr="001A4B94">
        <w:rPr>
          <w:rFonts w:eastAsiaTheme="minorHAnsi"/>
          <w:sz w:val="22"/>
          <w:szCs w:val="22"/>
          <w:lang w:val="tr-TR"/>
        </w:rPr>
        <w:t xml:space="preserve"> aşamalarından itibaren Hük</w:t>
      </w:r>
      <w:r w:rsidR="00AA5FBF" w:rsidRPr="001A4B94">
        <w:rPr>
          <w:rFonts w:eastAsiaTheme="minorHAnsi"/>
          <w:sz w:val="22"/>
          <w:szCs w:val="22"/>
          <w:lang w:val="tr-TR"/>
        </w:rPr>
        <w:t>ü</w:t>
      </w:r>
      <w:r w:rsidR="006402FF" w:rsidRPr="001A4B94">
        <w:rPr>
          <w:rFonts w:eastAsiaTheme="minorHAnsi"/>
          <w:sz w:val="22"/>
          <w:szCs w:val="22"/>
          <w:lang w:val="tr-TR"/>
        </w:rPr>
        <w:t>met tarafından oper</w:t>
      </w:r>
      <w:r w:rsidR="00AA5FBF" w:rsidRPr="001A4B94">
        <w:rPr>
          <w:rFonts w:eastAsiaTheme="minorHAnsi"/>
          <w:sz w:val="22"/>
          <w:szCs w:val="22"/>
          <w:lang w:val="tr-TR"/>
        </w:rPr>
        <w:t>a</w:t>
      </w:r>
      <w:r w:rsidR="006402FF" w:rsidRPr="001A4B94">
        <w:rPr>
          <w:rFonts w:eastAsiaTheme="minorHAnsi"/>
          <w:sz w:val="22"/>
          <w:szCs w:val="22"/>
          <w:lang w:val="tr-TR"/>
        </w:rPr>
        <w:t>syonun sahiplenildiğinin do</w:t>
      </w:r>
      <w:r w:rsidR="00AA5FBF" w:rsidRPr="001A4B94">
        <w:rPr>
          <w:rFonts w:eastAsiaTheme="minorHAnsi"/>
          <w:sz w:val="22"/>
          <w:szCs w:val="22"/>
          <w:lang w:val="tr-TR"/>
        </w:rPr>
        <w:t>ğ</w:t>
      </w:r>
      <w:r w:rsidR="006402FF" w:rsidRPr="001A4B94">
        <w:rPr>
          <w:rFonts w:eastAsiaTheme="minorHAnsi"/>
          <w:sz w:val="22"/>
          <w:szCs w:val="22"/>
          <w:lang w:val="tr-TR"/>
        </w:rPr>
        <w:t>rulanm</w:t>
      </w:r>
      <w:r w:rsidR="00AA5FBF" w:rsidRPr="001A4B94">
        <w:rPr>
          <w:rFonts w:eastAsiaTheme="minorHAnsi"/>
          <w:sz w:val="22"/>
          <w:szCs w:val="22"/>
          <w:lang w:val="tr-TR"/>
        </w:rPr>
        <w:t>a</w:t>
      </w:r>
      <w:r w:rsidR="006402FF" w:rsidRPr="001A4B94">
        <w:rPr>
          <w:rFonts w:eastAsiaTheme="minorHAnsi"/>
          <w:sz w:val="22"/>
          <w:szCs w:val="22"/>
          <w:lang w:val="tr-TR"/>
        </w:rPr>
        <w:t>sı gerekir.</w:t>
      </w:r>
      <w:r w:rsidR="00747261" w:rsidRPr="001A4B94">
        <w:rPr>
          <w:rFonts w:eastAsiaTheme="minorHAnsi"/>
          <w:sz w:val="22"/>
          <w:szCs w:val="22"/>
          <w:lang w:val="tr-TR"/>
        </w:rPr>
        <w:t xml:space="preserve"> </w:t>
      </w:r>
      <w:r w:rsidR="006402FF" w:rsidRPr="001A4B94">
        <w:rPr>
          <w:rFonts w:eastAsiaTheme="minorHAnsi"/>
          <w:sz w:val="22"/>
          <w:szCs w:val="22"/>
          <w:lang w:val="tr-TR"/>
        </w:rPr>
        <w:t>Bu da proje h</w:t>
      </w:r>
      <w:r w:rsidR="00AA5FBF" w:rsidRPr="001A4B94">
        <w:rPr>
          <w:rFonts w:eastAsiaTheme="minorHAnsi"/>
          <w:sz w:val="22"/>
          <w:szCs w:val="22"/>
          <w:lang w:val="tr-TR"/>
        </w:rPr>
        <w:t>a</w:t>
      </w:r>
      <w:r w:rsidR="006402FF" w:rsidRPr="001A4B94">
        <w:rPr>
          <w:rFonts w:eastAsiaTheme="minorHAnsi"/>
          <w:sz w:val="22"/>
          <w:szCs w:val="22"/>
          <w:lang w:val="tr-TR"/>
        </w:rPr>
        <w:t>zırlık sür</w:t>
      </w:r>
      <w:r w:rsidR="00AA5FBF" w:rsidRPr="001A4B94">
        <w:rPr>
          <w:rFonts w:eastAsiaTheme="minorHAnsi"/>
          <w:sz w:val="22"/>
          <w:szCs w:val="22"/>
          <w:lang w:val="tr-TR"/>
        </w:rPr>
        <w:t>e</w:t>
      </w:r>
      <w:r w:rsidR="006402FF" w:rsidRPr="001A4B94">
        <w:rPr>
          <w:rFonts w:eastAsiaTheme="minorHAnsi"/>
          <w:sz w:val="22"/>
          <w:szCs w:val="22"/>
          <w:lang w:val="tr-TR"/>
        </w:rPr>
        <w:t>cinin gene</w:t>
      </w:r>
      <w:r w:rsidR="00AA5FBF" w:rsidRPr="001A4B94">
        <w:rPr>
          <w:rFonts w:eastAsiaTheme="minorHAnsi"/>
          <w:sz w:val="22"/>
          <w:szCs w:val="22"/>
          <w:lang w:val="tr-TR"/>
        </w:rPr>
        <w:t>l</w:t>
      </w:r>
      <w:r w:rsidR="006402FF" w:rsidRPr="001A4B94">
        <w:rPr>
          <w:rFonts w:eastAsiaTheme="minorHAnsi"/>
          <w:sz w:val="22"/>
          <w:szCs w:val="22"/>
          <w:lang w:val="tr-TR"/>
        </w:rPr>
        <w:t>likle uzun bir zaman alması an</w:t>
      </w:r>
      <w:r w:rsidR="00AA5FBF" w:rsidRPr="001A4B94">
        <w:rPr>
          <w:rFonts w:eastAsiaTheme="minorHAnsi"/>
          <w:sz w:val="22"/>
          <w:szCs w:val="22"/>
          <w:lang w:val="tr-TR"/>
        </w:rPr>
        <w:t>l</w:t>
      </w:r>
      <w:r w:rsidR="006402FF" w:rsidRPr="001A4B94">
        <w:rPr>
          <w:rFonts w:eastAsiaTheme="minorHAnsi"/>
          <w:sz w:val="22"/>
          <w:szCs w:val="22"/>
          <w:lang w:val="tr-TR"/>
        </w:rPr>
        <w:t>amına gelmektedir. Genel olarak</w:t>
      </w:r>
      <w:r w:rsidR="00747261" w:rsidRPr="001A4B94">
        <w:rPr>
          <w:rFonts w:eastAsiaTheme="minorHAnsi"/>
          <w:sz w:val="22"/>
          <w:szCs w:val="22"/>
          <w:lang w:val="tr-TR"/>
        </w:rPr>
        <w:t xml:space="preserve">, </w:t>
      </w:r>
      <w:r w:rsidR="006402FF" w:rsidRPr="001A4B94">
        <w:rPr>
          <w:rFonts w:eastAsiaTheme="minorHAnsi"/>
          <w:sz w:val="22"/>
          <w:szCs w:val="22"/>
          <w:lang w:val="tr-TR"/>
        </w:rPr>
        <w:t>bu kısıtlar güven tesis etmek ve hedeflenen kalkınma son</w:t>
      </w:r>
      <w:r w:rsidR="00AA5FBF" w:rsidRPr="001A4B94">
        <w:rPr>
          <w:rFonts w:eastAsiaTheme="minorHAnsi"/>
          <w:sz w:val="22"/>
          <w:szCs w:val="22"/>
          <w:lang w:val="tr-TR"/>
        </w:rPr>
        <w:t>u</w:t>
      </w:r>
      <w:r w:rsidR="006402FF" w:rsidRPr="001A4B94">
        <w:rPr>
          <w:rFonts w:eastAsiaTheme="minorHAnsi"/>
          <w:sz w:val="22"/>
          <w:szCs w:val="22"/>
          <w:lang w:val="tr-TR"/>
        </w:rPr>
        <w:t>çları doğrultusunda potans</w:t>
      </w:r>
      <w:r w:rsidR="00AA5FBF" w:rsidRPr="001A4B94">
        <w:rPr>
          <w:rFonts w:eastAsiaTheme="minorHAnsi"/>
          <w:sz w:val="22"/>
          <w:szCs w:val="22"/>
          <w:lang w:val="tr-TR"/>
        </w:rPr>
        <w:t>i</w:t>
      </w:r>
      <w:r w:rsidR="006402FF" w:rsidRPr="001A4B94">
        <w:rPr>
          <w:rFonts w:eastAsiaTheme="minorHAnsi"/>
          <w:sz w:val="22"/>
          <w:szCs w:val="22"/>
          <w:lang w:val="tr-TR"/>
        </w:rPr>
        <w:t>yel katma değeri göstermek için seçici, kararlı ve destekleyici bir ortak çalışmaya ihtiyaç duyuldu</w:t>
      </w:r>
      <w:r w:rsidR="00AA5FBF" w:rsidRPr="001A4B94">
        <w:rPr>
          <w:rFonts w:eastAsiaTheme="minorHAnsi"/>
          <w:sz w:val="22"/>
          <w:szCs w:val="22"/>
          <w:lang w:val="tr-TR"/>
        </w:rPr>
        <w:t>ğ</w:t>
      </w:r>
      <w:r w:rsidR="006402FF" w:rsidRPr="001A4B94">
        <w:rPr>
          <w:rFonts w:eastAsiaTheme="minorHAnsi"/>
          <w:sz w:val="22"/>
          <w:szCs w:val="22"/>
          <w:lang w:val="tr-TR"/>
        </w:rPr>
        <w:t>unu ortaya koymaktadır</w:t>
      </w:r>
      <w:r w:rsidR="00747261" w:rsidRPr="001A4B94">
        <w:rPr>
          <w:rFonts w:eastAsiaTheme="minorHAnsi"/>
          <w:sz w:val="22"/>
          <w:szCs w:val="22"/>
          <w:lang w:val="tr-TR"/>
        </w:rPr>
        <w:t xml:space="preserve">.  </w:t>
      </w:r>
      <w:r w:rsidR="006402FF" w:rsidRPr="001A4B94">
        <w:rPr>
          <w:rFonts w:eastAsiaTheme="minorHAnsi"/>
          <w:sz w:val="22"/>
          <w:szCs w:val="22"/>
          <w:lang w:val="tr-TR"/>
        </w:rPr>
        <w:t xml:space="preserve">Bu durumda, DBG Türkiye’deki </w:t>
      </w:r>
      <w:r w:rsidR="002E4882" w:rsidRPr="001A4B94">
        <w:rPr>
          <w:rFonts w:eastAsiaTheme="minorHAnsi"/>
          <w:sz w:val="22"/>
          <w:szCs w:val="22"/>
          <w:lang w:val="tr-TR"/>
        </w:rPr>
        <w:t>ba</w:t>
      </w:r>
      <w:r w:rsidR="00AA5FBF" w:rsidRPr="001A4B94">
        <w:rPr>
          <w:rFonts w:eastAsiaTheme="minorHAnsi"/>
          <w:sz w:val="22"/>
          <w:szCs w:val="22"/>
          <w:lang w:val="tr-TR"/>
        </w:rPr>
        <w:t>ğ</w:t>
      </w:r>
      <w:r w:rsidR="002E4882" w:rsidRPr="001A4B94">
        <w:rPr>
          <w:rFonts w:eastAsiaTheme="minorHAnsi"/>
          <w:sz w:val="22"/>
          <w:szCs w:val="22"/>
          <w:lang w:val="tr-TR"/>
        </w:rPr>
        <w:t>lamı ve müşterinin kendi bütçe ve kamu mali yönetim süreçlerini ve mev</w:t>
      </w:r>
      <w:r w:rsidR="00AA5FBF" w:rsidRPr="001A4B94">
        <w:rPr>
          <w:rFonts w:eastAsiaTheme="minorHAnsi"/>
          <w:sz w:val="22"/>
          <w:szCs w:val="22"/>
          <w:lang w:val="tr-TR"/>
        </w:rPr>
        <w:t>z</w:t>
      </w:r>
      <w:r w:rsidR="002E4882" w:rsidRPr="001A4B94">
        <w:rPr>
          <w:rFonts w:eastAsiaTheme="minorHAnsi"/>
          <w:sz w:val="22"/>
          <w:szCs w:val="22"/>
          <w:lang w:val="tr-TR"/>
        </w:rPr>
        <w:t>uatını çok iyi anlamak zorundadır</w:t>
      </w:r>
      <w:r w:rsidR="00747261" w:rsidRPr="001A4B94">
        <w:rPr>
          <w:rFonts w:eastAsiaTheme="minorHAnsi"/>
          <w:sz w:val="22"/>
          <w:szCs w:val="22"/>
          <w:lang w:val="tr-TR"/>
        </w:rPr>
        <w:t>.</w:t>
      </w:r>
    </w:p>
    <w:p w14:paraId="1DC3B91F" w14:textId="77777777" w:rsidR="00747261" w:rsidRPr="001A4B94" w:rsidRDefault="00747261" w:rsidP="00747261">
      <w:pPr>
        <w:spacing w:after="160"/>
        <w:ind w:left="360"/>
        <w:contextualSpacing/>
        <w:jc w:val="both"/>
        <w:rPr>
          <w:rFonts w:eastAsiaTheme="minorHAnsi"/>
          <w:sz w:val="22"/>
          <w:szCs w:val="22"/>
          <w:lang w:val="tr-TR"/>
        </w:rPr>
      </w:pPr>
    </w:p>
    <w:p w14:paraId="78A19FF1" w14:textId="2F6D02CC" w:rsidR="00747261" w:rsidRPr="001A4B94" w:rsidRDefault="00A04866"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w:t>
      </w:r>
      <w:r w:rsidR="00AA5FBF" w:rsidRPr="001A4B94">
        <w:rPr>
          <w:rFonts w:eastAsiaTheme="minorHAnsi"/>
          <w:b/>
          <w:sz w:val="22"/>
          <w:szCs w:val="22"/>
          <w:lang w:val="tr-TR"/>
        </w:rPr>
        <w:t>Türkiye’de yeni IPF operasyonlarının gerektird</w:t>
      </w:r>
      <w:r w:rsidR="00724483" w:rsidRPr="001A4B94">
        <w:rPr>
          <w:rFonts w:eastAsiaTheme="minorHAnsi"/>
          <w:b/>
          <w:sz w:val="22"/>
          <w:szCs w:val="22"/>
          <w:lang w:val="tr-TR"/>
        </w:rPr>
        <w:t>i</w:t>
      </w:r>
      <w:r w:rsidR="00AA5FBF" w:rsidRPr="001A4B94">
        <w:rPr>
          <w:rFonts w:eastAsiaTheme="minorHAnsi"/>
          <w:b/>
          <w:sz w:val="22"/>
          <w:szCs w:val="22"/>
          <w:lang w:val="tr-TR"/>
        </w:rPr>
        <w:t xml:space="preserve">ği büyük çaba göz önüne alındığında, </w:t>
      </w:r>
      <w:r w:rsidR="00747261" w:rsidRPr="001A4B94">
        <w:rPr>
          <w:rFonts w:eastAsiaTheme="minorHAnsi"/>
          <w:b/>
          <w:sz w:val="22"/>
          <w:szCs w:val="22"/>
          <w:lang w:val="tr-TR"/>
        </w:rPr>
        <w:t>Bank</w:t>
      </w:r>
      <w:r w:rsidR="00AA5FBF" w:rsidRPr="001A4B94">
        <w:rPr>
          <w:rFonts w:eastAsiaTheme="minorHAnsi"/>
          <w:b/>
          <w:sz w:val="22"/>
          <w:szCs w:val="22"/>
          <w:lang w:val="tr-TR"/>
        </w:rPr>
        <w:t>a</w:t>
      </w:r>
      <w:r w:rsidR="00747261" w:rsidRPr="001A4B94">
        <w:rPr>
          <w:rFonts w:eastAsiaTheme="minorHAnsi"/>
          <w:b/>
          <w:sz w:val="22"/>
          <w:szCs w:val="22"/>
          <w:lang w:val="tr-TR"/>
        </w:rPr>
        <w:t xml:space="preserve"> </w:t>
      </w:r>
      <w:r w:rsidR="00AA5FBF" w:rsidRPr="001A4B94">
        <w:rPr>
          <w:rFonts w:eastAsiaTheme="minorHAnsi"/>
          <w:b/>
          <w:sz w:val="22"/>
          <w:szCs w:val="22"/>
          <w:lang w:val="tr-TR"/>
        </w:rPr>
        <w:t xml:space="preserve">halihazırda çalışmalar yaptığı </w:t>
      </w:r>
      <w:r w:rsidR="00B910DF" w:rsidRPr="001A4B94">
        <w:rPr>
          <w:rFonts w:eastAsiaTheme="minorHAnsi"/>
          <w:b/>
          <w:sz w:val="22"/>
          <w:szCs w:val="22"/>
          <w:lang w:val="tr-TR"/>
        </w:rPr>
        <w:t xml:space="preserve">sektörler ve ifade edilen müşteri talebinin çok yüksek olduğu projeler </w:t>
      </w:r>
      <w:r w:rsidR="00747261" w:rsidRPr="001A4B94">
        <w:rPr>
          <w:rFonts w:eastAsiaTheme="minorHAnsi"/>
          <w:b/>
          <w:sz w:val="22"/>
          <w:szCs w:val="22"/>
          <w:lang w:val="tr-TR"/>
        </w:rPr>
        <w:t>(</w:t>
      </w:r>
      <w:r w:rsidR="00B910DF" w:rsidRPr="001A4B94">
        <w:rPr>
          <w:rFonts w:eastAsiaTheme="minorHAnsi"/>
          <w:b/>
          <w:sz w:val="22"/>
          <w:szCs w:val="22"/>
          <w:lang w:val="tr-TR"/>
        </w:rPr>
        <w:t xml:space="preserve">örneğin </w:t>
      </w:r>
      <w:r w:rsidR="00747261" w:rsidRPr="001A4B94">
        <w:rPr>
          <w:rFonts w:eastAsiaTheme="minorHAnsi"/>
          <w:b/>
          <w:sz w:val="22"/>
          <w:szCs w:val="22"/>
          <w:lang w:val="tr-TR"/>
        </w:rPr>
        <w:t>TANAP)</w:t>
      </w:r>
      <w:r w:rsidR="00B910DF" w:rsidRPr="001A4B94">
        <w:rPr>
          <w:rFonts w:eastAsiaTheme="minorHAnsi"/>
          <w:b/>
          <w:sz w:val="22"/>
          <w:szCs w:val="22"/>
          <w:lang w:val="tr-TR"/>
        </w:rPr>
        <w:t xml:space="preserve"> üzerinde odaklanmalıdır</w:t>
      </w:r>
      <w:r w:rsidR="00747261" w:rsidRPr="001A4B94">
        <w:rPr>
          <w:rFonts w:eastAsiaTheme="minorHAnsi"/>
          <w:b/>
          <w:sz w:val="22"/>
          <w:szCs w:val="22"/>
          <w:lang w:val="tr-TR"/>
        </w:rPr>
        <w:t xml:space="preserve">. </w:t>
      </w:r>
      <w:r w:rsidR="00747261" w:rsidRPr="001A4B94">
        <w:rPr>
          <w:rFonts w:eastAsiaTheme="minorHAnsi"/>
          <w:sz w:val="22"/>
          <w:szCs w:val="22"/>
          <w:lang w:val="tr-TR"/>
        </w:rPr>
        <w:t xml:space="preserve"> </w:t>
      </w:r>
      <w:r w:rsidR="00B910DF" w:rsidRPr="001A4B94">
        <w:rPr>
          <w:rFonts w:eastAsiaTheme="minorHAnsi"/>
          <w:sz w:val="22"/>
          <w:szCs w:val="22"/>
          <w:lang w:val="tr-TR"/>
        </w:rPr>
        <w:t>CPS döneminin ikinci yarısında (2014-16 MY</w:t>
      </w:r>
      <w:r w:rsidR="00747261" w:rsidRPr="001A4B94">
        <w:rPr>
          <w:rFonts w:eastAsiaTheme="minorHAnsi"/>
          <w:sz w:val="22"/>
          <w:szCs w:val="22"/>
          <w:lang w:val="tr-TR"/>
        </w:rPr>
        <w:t xml:space="preserve">), IBRD </w:t>
      </w:r>
      <w:r w:rsidR="00B910DF" w:rsidRPr="001A4B94">
        <w:rPr>
          <w:rFonts w:eastAsiaTheme="minorHAnsi"/>
          <w:sz w:val="22"/>
          <w:szCs w:val="22"/>
          <w:lang w:val="tr-TR"/>
        </w:rPr>
        <w:t>ikisi ek finansman niteliğinde olmak üzere dört IPF operasyonu ger</w:t>
      </w:r>
      <w:r w:rsidR="00724483" w:rsidRPr="001A4B94">
        <w:rPr>
          <w:rFonts w:eastAsiaTheme="minorHAnsi"/>
          <w:sz w:val="22"/>
          <w:szCs w:val="22"/>
          <w:lang w:val="tr-TR"/>
        </w:rPr>
        <w:t>ç</w:t>
      </w:r>
      <w:r w:rsidR="00B910DF" w:rsidRPr="001A4B94">
        <w:rPr>
          <w:rFonts w:eastAsiaTheme="minorHAnsi"/>
          <w:sz w:val="22"/>
          <w:szCs w:val="22"/>
          <w:lang w:val="tr-TR"/>
        </w:rPr>
        <w:t>ekleştirmiştir</w:t>
      </w:r>
      <w:r w:rsidR="00747261" w:rsidRPr="001A4B94">
        <w:rPr>
          <w:rFonts w:eastAsiaTheme="minorHAnsi"/>
          <w:sz w:val="22"/>
          <w:szCs w:val="22"/>
          <w:lang w:val="tr-TR"/>
        </w:rPr>
        <w:t xml:space="preserve">. </w:t>
      </w:r>
      <w:r w:rsidR="00B910DF" w:rsidRPr="001A4B94">
        <w:rPr>
          <w:rFonts w:eastAsiaTheme="minorHAnsi"/>
          <w:sz w:val="22"/>
          <w:szCs w:val="22"/>
          <w:lang w:val="tr-TR"/>
        </w:rPr>
        <w:t>CPS dönemi için planlanan diğer üç proje</w:t>
      </w:r>
      <w:r w:rsidR="00724483" w:rsidRPr="001A4B94">
        <w:rPr>
          <w:rFonts w:eastAsiaTheme="minorHAnsi"/>
          <w:sz w:val="22"/>
          <w:szCs w:val="22"/>
          <w:lang w:val="tr-TR"/>
        </w:rPr>
        <w:t xml:space="preserve"> </w:t>
      </w:r>
      <w:r w:rsidR="00B910DF" w:rsidRPr="001A4B94">
        <w:rPr>
          <w:rFonts w:eastAsiaTheme="minorHAnsi"/>
          <w:sz w:val="22"/>
          <w:szCs w:val="22"/>
          <w:lang w:val="tr-TR"/>
        </w:rPr>
        <w:t>gecikmeli olarak, CPS dönemi sona erdikte</w:t>
      </w:r>
      <w:r w:rsidR="00724483" w:rsidRPr="001A4B94">
        <w:rPr>
          <w:rFonts w:eastAsiaTheme="minorHAnsi"/>
          <w:sz w:val="22"/>
          <w:szCs w:val="22"/>
          <w:lang w:val="tr-TR"/>
        </w:rPr>
        <w:t>n</w:t>
      </w:r>
      <w:r w:rsidR="00B910DF" w:rsidRPr="001A4B94">
        <w:rPr>
          <w:rFonts w:eastAsiaTheme="minorHAnsi"/>
          <w:sz w:val="22"/>
          <w:szCs w:val="22"/>
          <w:lang w:val="tr-TR"/>
        </w:rPr>
        <w:t xml:space="preserve"> sonraki alt ay içerisinde  on</w:t>
      </w:r>
      <w:r w:rsidR="00724483" w:rsidRPr="001A4B94">
        <w:rPr>
          <w:rFonts w:eastAsiaTheme="minorHAnsi"/>
          <w:sz w:val="22"/>
          <w:szCs w:val="22"/>
          <w:lang w:val="tr-TR"/>
        </w:rPr>
        <w:t>a</w:t>
      </w:r>
      <w:r w:rsidR="00B910DF" w:rsidRPr="001A4B94">
        <w:rPr>
          <w:rFonts w:eastAsiaTheme="minorHAnsi"/>
          <w:sz w:val="22"/>
          <w:szCs w:val="22"/>
          <w:lang w:val="tr-TR"/>
        </w:rPr>
        <w:t>ylanmıştır</w:t>
      </w:r>
      <w:r w:rsidR="00747261" w:rsidRPr="001A4B94">
        <w:rPr>
          <w:rFonts w:eastAsiaTheme="minorHAnsi"/>
          <w:sz w:val="22"/>
          <w:szCs w:val="22"/>
          <w:lang w:val="tr-TR"/>
        </w:rPr>
        <w:t xml:space="preserve">. </w:t>
      </w:r>
      <w:r w:rsidR="00724483" w:rsidRPr="001A4B94">
        <w:rPr>
          <w:rFonts w:eastAsiaTheme="minorHAnsi"/>
          <w:sz w:val="22"/>
          <w:szCs w:val="22"/>
          <w:lang w:val="tr-TR"/>
        </w:rPr>
        <w:t>Tüm bu IPF ope</w:t>
      </w:r>
      <w:r w:rsidR="00B910DF" w:rsidRPr="001A4B94">
        <w:rPr>
          <w:rFonts w:eastAsiaTheme="minorHAnsi"/>
          <w:sz w:val="22"/>
          <w:szCs w:val="22"/>
          <w:lang w:val="tr-TR"/>
        </w:rPr>
        <w:t>r</w:t>
      </w:r>
      <w:r w:rsidR="00724483" w:rsidRPr="001A4B94">
        <w:rPr>
          <w:rFonts w:eastAsiaTheme="minorHAnsi"/>
          <w:sz w:val="22"/>
          <w:szCs w:val="22"/>
          <w:lang w:val="tr-TR"/>
        </w:rPr>
        <w:t>a</w:t>
      </w:r>
      <w:r w:rsidR="00B910DF" w:rsidRPr="001A4B94">
        <w:rPr>
          <w:rFonts w:eastAsiaTheme="minorHAnsi"/>
          <w:sz w:val="22"/>
          <w:szCs w:val="22"/>
          <w:lang w:val="tr-TR"/>
        </w:rPr>
        <w:t xml:space="preserve">syonları </w:t>
      </w:r>
      <w:r w:rsidR="0028663A" w:rsidRPr="001A4B94">
        <w:rPr>
          <w:rFonts w:eastAsiaTheme="minorHAnsi"/>
          <w:sz w:val="22"/>
          <w:szCs w:val="22"/>
          <w:lang w:val="tr-TR"/>
        </w:rPr>
        <w:t xml:space="preserve">Banka’nın halihazırda </w:t>
      </w:r>
      <w:r w:rsidR="00FF1BC7" w:rsidRPr="001A4B94">
        <w:rPr>
          <w:rFonts w:eastAsiaTheme="minorHAnsi"/>
          <w:sz w:val="22"/>
          <w:szCs w:val="22"/>
          <w:lang w:val="tr-TR"/>
        </w:rPr>
        <w:t xml:space="preserve">bir yatırım operasyonu ile </w:t>
      </w:r>
      <w:r w:rsidR="0028663A" w:rsidRPr="001A4B94">
        <w:rPr>
          <w:rFonts w:eastAsiaTheme="minorHAnsi"/>
          <w:sz w:val="22"/>
          <w:szCs w:val="22"/>
          <w:lang w:val="tr-TR"/>
        </w:rPr>
        <w:t>aktif olarak çalıştığı sektörler</w:t>
      </w:r>
      <w:r w:rsidR="00FF1BC7" w:rsidRPr="001A4B94">
        <w:rPr>
          <w:rFonts w:eastAsiaTheme="minorHAnsi"/>
          <w:sz w:val="22"/>
          <w:szCs w:val="22"/>
          <w:lang w:val="tr-TR"/>
        </w:rPr>
        <w:t xml:space="preserve">dedir. </w:t>
      </w:r>
      <w:r w:rsidR="00A159D4" w:rsidRPr="001A4B94">
        <w:rPr>
          <w:rFonts w:eastAsiaTheme="minorHAnsi"/>
          <w:sz w:val="22"/>
          <w:szCs w:val="22"/>
          <w:lang w:val="tr-TR"/>
        </w:rPr>
        <w:t>B</w:t>
      </w:r>
      <w:r w:rsidR="00FF1BC7" w:rsidRPr="001A4B94">
        <w:rPr>
          <w:rFonts w:eastAsiaTheme="minorHAnsi"/>
          <w:sz w:val="22"/>
          <w:szCs w:val="22"/>
          <w:lang w:val="tr-TR"/>
        </w:rPr>
        <w:t>anka yeni sektörlerde, uygulama sürecin</w:t>
      </w:r>
      <w:r w:rsidR="00724483" w:rsidRPr="001A4B94">
        <w:rPr>
          <w:rFonts w:eastAsiaTheme="minorHAnsi"/>
          <w:sz w:val="22"/>
          <w:szCs w:val="22"/>
          <w:lang w:val="tr-TR"/>
        </w:rPr>
        <w:t>d</w:t>
      </w:r>
      <w:r w:rsidR="00FF1BC7" w:rsidRPr="001A4B94">
        <w:rPr>
          <w:rFonts w:eastAsiaTheme="minorHAnsi"/>
          <w:sz w:val="22"/>
          <w:szCs w:val="22"/>
          <w:lang w:val="tr-TR"/>
        </w:rPr>
        <w:t>e yenilikçi yaklaşımlar ile yeni IPF’ler sunamamıştır</w:t>
      </w:r>
      <w:r w:rsidR="00724483" w:rsidRPr="001A4B94">
        <w:rPr>
          <w:rFonts w:eastAsiaTheme="minorHAnsi"/>
          <w:sz w:val="22"/>
          <w:szCs w:val="22"/>
          <w:lang w:val="tr-TR"/>
        </w:rPr>
        <w:t xml:space="preserve">. </w:t>
      </w:r>
      <w:r w:rsidR="00FF1BC7" w:rsidRPr="001A4B94">
        <w:rPr>
          <w:rFonts w:eastAsiaTheme="minorHAnsi"/>
          <w:sz w:val="22"/>
          <w:szCs w:val="22"/>
          <w:lang w:val="tr-TR"/>
        </w:rPr>
        <w:t>Bu deneyim daha seçici bir finansman programı ile sonuçlansa da, gelecek içi</w:t>
      </w:r>
      <w:r w:rsidR="00A159D4" w:rsidRPr="001A4B94">
        <w:rPr>
          <w:rFonts w:eastAsiaTheme="minorHAnsi"/>
          <w:sz w:val="22"/>
          <w:szCs w:val="22"/>
          <w:lang w:val="tr-TR"/>
        </w:rPr>
        <w:t>n</w:t>
      </w:r>
      <w:r w:rsidR="00FF1BC7" w:rsidRPr="001A4B94">
        <w:rPr>
          <w:rFonts w:eastAsiaTheme="minorHAnsi"/>
          <w:sz w:val="22"/>
          <w:szCs w:val="22"/>
          <w:lang w:val="tr-TR"/>
        </w:rPr>
        <w:t xml:space="preserve"> çok fazla seçici olma riski de ortaya çıkmaktadır</w:t>
      </w:r>
      <w:r w:rsidR="00747261" w:rsidRPr="001A4B94">
        <w:rPr>
          <w:rFonts w:eastAsiaTheme="minorHAnsi"/>
          <w:sz w:val="22"/>
          <w:szCs w:val="22"/>
          <w:lang w:val="tr-TR"/>
        </w:rPr>
        <w:t xml:space="preserve">.  </w:t>
      </w:r>
      <w:r w:rsidR="00FF1BC7" w:rsidRPr="001A4B94">
        <w:rPr>
          <w:rFonts w:eastAsiaTheme="minorHAnsi"/>
          <w:sz w:val="22"/>
          <w:szCs w:val="22"/>
          <w:lang w:val="tr-TR"/>
        </w:rPr>
        <w:t>Eğer Banka Türkiye’deki programını kalkınma önceliklerine cevap verecek şekilde geliştirmek istiyorsa, IPF yoluyla yeni sektörlerde çalışmanın -seçici ve bilinçli bir şekilde- önemli bir ön maliyet getireceğini</w:t>
      </w:r>
      <w:r w:rsidR="00724483" w:rsidRPr="001A4B94">
        <w:rPr>
          <w:rFonts w:eastAsiaTheme="minorHAnsi"/>
          <w:sz w:val="22"/>
          <w:szCs w:val="22"/>
          <w:lang w:val="tr-TR"/>
        </w:rPr>
        <w:t>,</w:t>
      </w:r>
      <w:r w:rsidR="00FF1BC7" w:rsidRPr="001A4B94">
        <w:rPr>
          <w:rFonts w:eastAsiaTheme="minorHAnsi"/>
          <w:sz w:val="22"/>
          <w:szCs w:val="22"/>
          <w:lang w:val="tr-TR"/>
        </w:rPr>
        <w:t xml:space="preserve"> </w:t>
      </w:r>
      <w:r w:rsidR="00724483" w:rsidRPr="001A4B94">
        <w:rPr>
          <w:rFonts w:eastAsiaTheme="minorHAnsi"/>
          <w:sz w:val="22"/>
          <w:szCs w:val="22"/>
          <w:lang w:val="tr-TR"/>
        </w:rPr>
        <w:t>bunun uygulama sürecinin uzun olacağını ve sonuçta  yüksek derecede bir belirsizlik içereceğini kabul etmek zorundadır</w:t>
      </w:r>
      <w:r w:rsidR="00747261" w:rsidRPr="001A4B94">
        <w:rPr>
          <w:rFonts w:eastAsiaTheme="minorHAnsi"/>
          <w:sz w:val="22"/>
          <w:szCs w:val="22"/>
          <w:lang w:val="tr-TR"/>
        </w:rPr>
        <w:t xml:space="preserve">. </w:t>
      </w:r>
      <w:r w:rsidR="00724483" w:rsidRPr="001A4B94">
        <w:rPr>
          <w:rFonts w:eastAsiaTheme="minorHAnsi"/>
          <w:sz w:val="22"/>
          <w:szCs w:val="22"/>
          <w:lang w:val="tr-TR"/>
        </w:rPr>
        <w:t>Aynı zamanda</w:t>
      </w:r>
      <w:r w:rsidR="00747261" w:rsidRPr="001A4B94">
        <w:rPr>
          <w:rFonts w:eastAsiaTheme="minorHAnsi"/>
          <w:sz w:val="22"/>
          <w:szCs w:val="22"/>
          <w:lang w:val="tr-TR"/>
        </w:rPr>
        <w:t xml:space="preserve">, </w:t>
      </w:r>
      <w:r w:rsidR="00724483" w:rsidRPr="001A4B94">
        <w:rPr>
          <w:rFonts w:eastAsiaTheme="minorHAnsi"/>
          <w:sz w:val="22"/>
          <w:szCs w:val="22"/>
          <w:lang w:val="tr-TR"/>
        </w:rPr>
        <w:t xml:space="preserve">ön maliyetleri ve gelecekteki belirsizlikleri azaltmak için,  müşteri talebini hassas ve kapsamlı bir şekilde değerlendirmek ve tasarımda yenilikçilik ile uygulama arasında tercih yapmaktan kaçınmak gerekecektir. </w:t>
      </w:r>
      <w:r w:rsidR="00383235" w:rsidRPr="001A4B94">
        <w:rPr>
          <w:rFonts w:eastAsiaTheme="minorHAnsi"/>
          <w:sz w:val="22"/>
          <w:szCs w:val="22"/>
          <w:lang w:val="tr-TR"/>
        </w:rPr>
        <w:t xml:space="preserve">Ayrıca IBRD’nin </w:t>
      </w:r>
      <w:r w:rsidR="00ED0D35" w:rsidRPr="001A4B94">
        <w:rPr>
          <w:rFonts w:eastAsiaTheme="minorHAnsi"/>
          <w:sz w:val="22"/>
          <w:szCs w:val="22"/>
          <w:lang w:val="tr-TR"/>
        </w:rPr>
        <w:t xml:space="preserve">Hükümet tarafındaki önerilen bir </w:t>
      </w:r>
      <w:r w:rsidR="00ED0D35" w:rsidRPr="001A4B94">
        <w:rPr>
          <w:rFonts w:eastAsiaTheme="minorHAnsi"/>
          <w:sz w:val="22"/>
          <w:szCs w:val="22"/>
          <w:lang w:val="tr-TR"/>
        </w:rPr>
        <w:lastRenderedPageBreak/>
        <w:t>ortağa IBRD’nin finansmana katılmasının ne gibi ek değer katacağını, daha yüksek finansman  maliyetlerinin neden haklı gösterilebileceğini ve uzun vadede IBRD koruma önlemlerinin kalkınma sonuçlarını nasıl iyileştirebileceğini açıklaması da önemlidir.</w:t>
      </w:r>
      <w:r w:rsidR="00747261" w:rsidRPr="001A4B94">
        <w:rPr>
          <w:rFonts w:eastAsiaTheme="minorHAnsi"/>
          <w:sz w:val="22"/>
          <w:szCs w:val="22"/>
          <w:lang w:val="tr-TR"/>
        </w:rPr>
        <w:t xml:space="preserve">  </w:t>
      </w:r>
      <w:r w:rsidR="00ED0D35" w:rsidRPr="001A4B94">
        <w:rPr>
          <w:rFonts w:eastAsiaTheme="minorHAnsi"/>
          <w:sz w:val="22"/>
          <w:szCs w:val="22"/>
          <w:lang w:val="tr-TR"/>
        </w:rPr>
        <w:t>Bu bağlamda</w:t>
      </w:r>
      <w:r w:rsidR="00747261" w:rsidRPr="001A4B94">
        <w:rPr>
          <w:rFonts w:eastAsiaTheme="minorHAnsi"/>
          <w:sz w:val="22"/>
          <w:szCs w:val="22"/>
          <w:lang w:val="tr-TR"/>
        </w:rPr>
        <w:t>, Bank</w:t>
      </w:r>
      <w:r w:rsidR="00ED0D35" w:rsidRPr="001A4B94">
        <w:rPr>
          <w:rFonts w:eastAsiaTheme="minorHAnsi"/>
          <w:sz w:val="22"/>
          <w:szCs w:val="22"/>
          <w:lang w:val="tr-TR"/>
        </w:rPr>
        <w:t>a</w:t>
      </w:r>
      <w:r w:rsidR="00A159D4" w:rsidRPr="001A4B94">
        <w:rPr>
          <w:rFonts w:eastAsiaTheme="minorHAnsi"/>
          <w:sz w:val="22"/>
          <w:szCs w:val="22"/>
          <w:lang w:val="tr-TR"/>
        </w:rPr>
        <w:t>’nın</w:t>
      </w:r>
      <w:r w:rsidR="00747261" w:rsidRPr="001A4B94">
        <w:rPr>
          <w:rFonts w:eastAsiaTheme="minorHAnsi"/>
          <w:sz w:val="22"/>
          <w:szCs w:val="22"/>
          <w:lang w:val="tr-TR"/>
        </w:rPr>
        <w:t xml:space="preserve"> </w:t>
      </w:r>
      <w:r w:rsidR="00ED0D35" w:rsidRPr="001A4B94">
        <w:rPr>
          <w:rFonts w:eastAsiaTheme="minorHAnsi"/>
          <w:sz w:val="22"/>
          <w:szCs w:val="22"/>
          <w:lang w:val="tr-TR"/>
        </w:rPr>
        <w:t>Türkiye’deki ka</w:t>
      </w:r>
      <w:r w:rsidR="0004610C" w:rsidRPr="001A4B94">
        <w:rPr>
          <w:rFonts w:eastAsiaTheme="minorHAnsi"/>
          <w:sz w:val="22"/>
          <w:szCs w:val="22"/>
          <w:lang w:val="tr-TR"/>
        </w:rPr>
        <w:t>l</w:t>
      </w:r>
      <w:r w:rsidR="00ED0D35" w:rsidRPr="001A4B94">
        <w:rPr>
          <w:rFonts w:eastAsiaTheme="minorHAnsi"/>
          <w:sz w:val="22"/>
          <w:szCs w:val="22"/>
          <w:lang w:val="tr-TR"/>
        </w:rPr>
        <w:t>kınma sonuçl</w:t>
      </w:r>
      <w:r w:rsidR="0004610C" w:rsidRPr="001A4B94">
        <w:rPr>
          <w:rFonts w:eastAsiaTheme="minorHAnsi"/>
          <w:sz w:val="22"/>
          <w:szCs w:val="22"/>
          <w:lang w:val="tr-TR"/>
        </w:rPr>
        <w:t>a</w:t>
      </w:r>
      <w:r w:rsidR="00ED0D35" w:rsidRPr="001A4B94">
        <w:rPr>
          <w:rFonts w:eastAsiaTheme="minorHAnsi"/>
          <w:sz w:val="22"/>
          <w:szCs w:val="22"/>
          <w:lang w:val="tr-TR"/>
        </w:rPr>
        <w:t>rının başarılm</w:t>
      </w:r>
      <w:r w:rsidR="0004610C" w:rsidRPr="001A4B94">
        <w:rPr>
          <w:rFonts w:eastAsiaTheme="minorHAnsi"/>
          <w:sz w:val="22"/>
          <w:szCs w:val="22"/>
          <w:lang w:val="tr-TR"/>
        </w:rPr>
        <w:t>a</w:t>
      </w:r>
      <w:r w:rsidR="00ED0D35" w:rsidRPr="001A4B94">
        <w:rPr>
          <w:rFonts w:eastAsiaTheme="minorHAnsi"/>
          <w:sz w:val="22"/>
          <w:szCs w:val="22"/>
          <w:lang w:val="tr-TR"/>
        </w:rPr>
        <w:t>sına katkıda bu</w:t>
      </w:r>
      <w:r w:rsidR="0004610C" w:rsidRPr="001A4B94">
        <w:rPr>
          <w:rFonts w:eastAsiaTheme="minorHAnsi"/>
          <w:sz w:val="22"/>
          <w:szCs w:val="22"/>
          <w:lang w:val="tr-TR"/>
        </w:rPr>
        <w:t>l</w:t>
      </w:r>
      <w:r w:rsidR="00ED0D35" w:rsidRPr="001A4B94">
        <w:rPr>
          <w:rFonts w:eastAsiaTheme="minorHAnsi"/>
          <w:sz w:val="22"/>
          <w:szCs w:val="22"/>
          <w:lang w:val="tr-TR"/>
        </w:rPr>
        <w:t>un</w:t>
      </w:r>
      <w:r w:rsidR="0004610C" w:rsidRPr="001A4B94">
        <w:rPr>
          <w:rFonts w:eastAsiaTheme="minorHAnsi"/>
          <w:sz w:val="22"/>
          <w:szCs w:val="22"/>
          <w:lang w:val="tr-TR"/>
        </w:rPr>
        <w:t>m</w:t>
      </w:r>
      <w:r w:rsidR="00ED0D35" w:rsidRPr="001A4B94">
        <w:rPr>
          <w:rFonts w:eastAsiaTheme="minorHAnsi"/>
          <w:sz w:val="22"/>
          <w:szCs w:val="22"/>
          <w:lang w:val="tr-TR"/>
        </w:rPr>
        <w:t xml:space="preserve">ak istediği tüm alanlarda IBRD finansmanının kullanılması için ikna edici bir gerekçe </w:t>
      </w:r>
      <w:r w:rsidR="0004610C" w:rsidRPr="001A4B94">
        <w:rPr>
          <w:rFonts w:eastAsiaTheme="minorHAnsi"/>
          <w:sz w:val="22"/>
          <w:szCs w:val="22"/>
          <w:lang w:val="tr-TR"/>
        </w:rPr>
        <w:t>öne sürmesi mümkün değildir; dolayısıyla analitik çalışmalar, politika danışmanlığı ve DPL ve kredi hatları üzerindeki yoğunlaşmanın sürmesi muhtemeldir.</w:t>
      </w:r>
      <w:r w:rsidR="00747261" w:rsidRPr="001A4B94">
        <w:rPr>
          <w:rFonts w:eastAsiaTheme="minorHAnsi"/>
          <w:sz w:val="22"/>
          <w:szCs w:val="22"/>
          <w:lang w:val="tr-TR"/>
        </w:rPr>
        <w:t xml:space="preserve"> </w:t>
      </w:r>
      <w:r w:rsidR="0004610C" w:rsidRPr="001A4B94">
        <w:rPr>
          <w:rFonts w:eastAsiaTheme="minorHAnsi"/>
          <w:sz w:val="22"/>
          <w:szCs w:val="22"/>
          <w:lang w:val="tr-TR"/>
        </w:rPr>
        <w:t>IPF’in prosedüre ilişkin karmaşıklığını aşmak için Türkiye portföyünde Sonuca Odaklı Programın (</w:t>
      </w:r>
      <w:r w:rsidR="00747261" w:rsidRPr="001A4B94">
        <w:rPr>
          <w:rFonts w:eastAsiaTheme="minorHAnsi"/>
          <w:sz w:val="22"/>
          <w:szCs w:val="22"/>
          <w:lang w:val="tr-TR"/>
        </w:rPr>
        <w:t>PforR</w:t>
      </w:r>
      <w:r w:rsidR="0004610C" w:rsidRPr="001A4B94">
        <w:rPr>
          <w:rFonts w:eastAsiaTheme="minorHAnsi"/>
          <w:sz w:val="22"/>
          <w:szCs w:val="22"/>
          <w:lang w:val="tr-TR"/>
        </w:rPr>
        <w:t xml:space="preserve">) uygulanması yeni CPF döneminde çözümün bir parçası olabilir. </w:t>
      </w:r>
    </w:p>
    <w:p w14:paraId="6B81DDE7" w14:textId="77777777" w:rsidR="00747261" w:rsidRPr="001A4B94" w:rsidRDefault="00747261" w:rsidP="00747261">
      <w:pPr>
        <w:spacing w:after="160"/>
        <w:ind w:left="360"/>
        <w:contextualSpacing/>
        <w:jc w:val="both"/>
        <w:rPr>
          <w:rFonts w:eastAsiaTheme="minorHAnsi"/>
          <w:sz w:val="22"/>
          <w:szCs w:val="22"/>
          <w:lang w:val="tr-TR"/>
        </w:rPr>
      </w:pPr>
    </w:p>
    <w:p w14:paraId="702AE2C6" w14:textId="041113F8" w:rsidR="00747261" w:rsidRPr="001A4B94" w:rsidRDefault="0004610C" w:rsidP="00C24F8F">
      <w:pPr>
        <w:numPr>
          <w:ilvl w:val="0"/>
          <w:numId w:val="21"/>
        </w:numPr>
        <w:spacing w:after="160" w:line="259" w:lineRule="auto"/>
        <w:contextualSpacing/>
        <w:jc w:val="both"/>
        <w:rPr>
          <w:rFonts w:eastAsiaTheme="minorHAnsi"/>
          <w:sz w:val="22"/>
          <w:szCs w:val="22"/>
          <w:lang w:val="tr-TR"/>
        </w:rPr>
      </w:pPr>
      <w:r w:rsidRPr="001A4B94">
        <w:rPr>
          <w:rFonts w:eastAsiaTheme="minorHAnsi"/>
          <w:b/>
          <w:sz w:val="22"/>
          <w:szCs w:val="22"/>
          <w:lang w:val="tr-TR"/>
        </w:rPr>
        <w:t xml:space="preserve"> D</w:t>
      </w:r>
      <w:r w:rsidR="00747261" w:rsidRPr="001A4B94">
        <w:rPr>
          <w:rFonts w:eastAsiaTheme="minorHAnsi"/>
          <w:b/>
          <w:sz w:val="22"/>
          <w:szCs w:val="22"/>
          <w:lang w:val="tr-TR"/>
        </w:rPr>
        <w:t>BG</w:t>
      </w:r>
      <w:r w:rsidR="000E1D3E" w:rsidRPr="001A4B94">
        <w:rPr>
          <w:rFonts w:eastAsiaTheme="minorHAnsi"/>
          <w:b/>
          <w:sz w:val="22"/>
          <w:szCs w:val="22"/>
          <w:lang w:val="tr-TR"/>
        </w:rPr>
        <w:t>,</w:t>
      </w:r>
      <w:r w:rsidR="00747261" w:rsidRPr="001A4B94">
        <w:rPr>
          <w:rFonts w:eastAsiaTheme="minorHAnsi"/>
          <w:b/>
          <w:sz w:val="22"/>
          <w:szCs w:val="22"/>
          <w:lang w:val="tr-TR"/>
        </w:rPr>
        <w:t xml:space="preserve"> </w:t>
      </w:r>
      <w:r w:rsidR="000E1D3E" w:rsidRPr="001A4B94">
        <w:rPr>
          <w:rFonts w:eastAsiaTheme="minorHAnsi"/>
          <w:b/>
          <w:sz w:val="22"/>
          <w:szCs w:val="22"/>
          <w:lang w:val="tr-TR"/>
        </w:rPr>
        <w:t>sahiplenme ve talep odaklı olduğunu gösterebilmesi için bilgi ve ASA g</w:t>
      </w:r>
      <w:r w:rsidR="00082452" w:rsidRPr="001A4B94">
        <w:rPr>
          <w:rFonts w:eastAsiaTheme="minorHAnsi"/>
          <w:b/>
          <w:sz w:val="22"/>
          <w:szCs w:val="22"/>
          <w:lang w:val="tr-TR"/>
        </w:rPr>
        <w:t>ü</w:t>
      </w:r>
      <w:r w:rsidR="000E1D3E" w:rsidRPr="001A4B94">
        <w:rPr>
          <w:rFonts w:eastAsiaTheme="minorHAnsi"/>
          <w:b/>
          <w:sz w:val="22"/>
          <w:szCs w:val="22"/>
          <w:lang w:val="tr-TR"/>
        </w:rPr>
        <w:t>ndemini daha stratejik olarak yönetmelidir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0E1D3E" w:rsidRPr="001A4B94">
        <w:rPr>
          <w:rFonts w:eastAsiaTheme="minorHAnsi"/>
          <w:sz w:val="22"/>
          <w:szCs w:val="22"/>
          <w:lang w:val="tr-TR"/>
        </w:rPr>
        <w:t xml:space="preserve">CPS döneminde verilere erişim ve raporların yayılması konusunda karşılaşılan zorluklar, müşterinin bilgi çalışmalarında her zaman yanında olmadığı  veya Dünya Bankası tavsiyelerine kamuoyunun önünde uymayı </w:t>
      </w:r>
      <w:r w:rsidR="00082452" w:rsidRPr="001A4B94">
        <w:rPr>
          <w:rFonts w:eastAsiaTheme="minorHAnsi"/>
          <w:sz w:val="22"/>
          <w:szCs w:val="22"/>
          <w:lang w:val="tr-TR"/>
        </w:rPr>
        <w:t>istemediği durumlar</w:t>
      </w:r>
      <w:r w:rsidR="007D5C21" w:rsidRPr="001A4B94">
        <w:rPr>
          <w:rFonts w:eastAsiaTheme="minorHAnsi"/>
          <w:sz w:val="22"/>
          <w:szCs w:val="22"/>
          <w:lang w:val="tr-TR"/>
        </w:rPr>
        <w:t xml:space="preserve"> olabileceğini göstermiştir.</w:t>
      </w:r>
      <w:r w:rsidR="00747261" w:rsidRPr="001A4B94">
        <w:rPr>
          <w:rFonts w:eastAsiaTheme="minorHAnsi"/>
          <w:sz w:val="22"/>
          <w:szCs w:val="22"/>
          <w:lang w:val="tr-TR"/>
        </w:rPr>
        <w:t xml:space="preserve"> </w:t>
      </w:r>
      <w:r w:rsidR="007D5C21" w:rsidRPr="001A4B94">
        <w:rPr>
          <w:rFonts w:eastAsiaTheme="minorHAnsi"/>
          <w:sz w:val="22"/>
          <w:szCs w:val="22"/>
          <w:lang w:val="tr-TR"/>
        </w:rPr>
        <w:t>Bu husus, çalışmanın kapsamı başlangıçta daha dikkatli bir şekilde ve  güçlü bir şekilde kararlaştırılmış (özellikle Hükümet nezdindeki daha üst yetki düzeylerinde) önceliklere ve odak alanlarına dayalı olarak belirlenerek daha iyi yön</w:t>
      </w:r>
      <w:r w:rsidR="00763080" w:rsidRPr="001A4B94">
        <w:rPr>
          <w:rFonts w:eastAsiaTheme="minorHAnsi"/>
          <w:sz w:val="22"/>
          <w:szCs w:val="22"/>
          <w:lang w:val="tr-TR"/>
        </w:rPr>
        <w:t>e</w:t>
      </w:r>
      <w:r w:rsidR="007D5C21" w:rsidRPr="001A4B94">
        <w:rPr>
          <w:rFonts w:eastAsiaTheme="minorHAnsi"/>
          <w:sz w:val="22"/>
          <w:szCs w:val="22"/>
          <w:lang w:val="tr-TR"/>
        </w:rPr>
        <w:t>tileb</w:t>
      </w:r>
      <w:r w:rsidR="00763080" w:rsidRPr="001A4B94">
        <w:rPr>
          <w:rFonts w:eastAsiaTheme="minorHAnsi"/>
          <w:sz w:val="22"/>
          <w:szCs w:val="22"/>
          <w:lang w:val="tr-TR"/>
        </w:rPr>
        <w:t>i</w:t>
      </w:r>
      <w:r w:rsidR="007D5C21" w:rsidRPr="001A4B94">
        <w:rPr>
          <w:rFonts w:eastAsiaTheme="minorHAnsi"/>
          <w:sz w:val="22"/>
          <w:szCs w:val="22"/>
          <w:lang w:val="tr-TR"/>
        </w:rPr>
        <w:t xml:space="preserve">lirdi. Gelecekte, </w:t>
      </w:r>
      <w:r w:rsidR="00763080" w:rsidRPr="001A4B94">
        <w:rPr>
          <w:rFonts w:eastAsiaTheme="minorHAnsi"/>
          <w:sz w:val="22"/>
          <w:szCs w:val="22"/>
          <w:lang w:val="tr-TR"/>
        </w:rPr>
        <w:t>belki d</w:t>
      </w:r>
      <w:r w:rsidR="00082452" w:rsidRPr="001A4B94">
        <w:rPr>
          <w:rFonts w:eastAsiaTheme="minorHAnsi"/>
          <w:sz w:val="22"/>
          <w:szCs w:val="22"/>
          <w:lang w:val="tr-TR"/>
        </w:rPr>
        <w:t>e daha az sayıda ancak uygun düzey</w:t>
      </w:r>
      <w:r w:rsidR="00763080" w:rsidRPr="001A4B94">
        <w:rPr>
          <w:rFonts w:eastAsiaTheme="minorHAnsi"/>
          <w:sz w:val="22"/>
          <w:szCs w:val="22"/>
          <w:lang w:val="tr-TR"/>
        </w:rPr>
        <w:t>l</w:t>
      </w:r>
      <w:r w:rsidR="00082452" w:rsidRPr="001A4B94">
        <w:rPr>
          <w:rFonts w:eastAsiaTheme="minorHAnsi"/>
          <w:sz w:val="22"/>
          <w:szCs w:val="22"/>
          <w:lang w:val="tr-TR"/>
        </w:rPr>
        <w:t>e</w:t>
      </w:r>
      <w:r w:rsidR="00763080" w:rsidRPr="001A4B94">
        <w:rPr>
          <w:rFonts w:eastAsiaTheme="minorHAnsi"/>
          <w:sz w:val="22"/>
          <w:szCs w:val="22"/>
          <w:lang w:val="tr-TR"/>
        </w:rPr>
        <w:t xml:space="preserve">rde daha fazla ilgi çekecek hedefli raporlar  hazırlayarak </w:t>
      </w:r>
      <w:r w:rsidR="00747261" w:rsidRPr="001A4B94">
        <w:rPr>
          <w:rFonts w:eastAsiaTheme="minorHAnsi"/>
          <w:sz w:val="22"/>
          <w:szCs w:val="22"/>
          <w:lang w:val="tr-TR"/>
        </w:rPr>
        <w:t>(</w:t>
      </w:r>
      <w:r w:rsidR="00763080" w:rsidRPr="001A4B94">
        <w:rPr>
          <w:rFonts w:eastAsiaTheme="minorHAnsi"/>
          <w:sz w:val="22"/>
          <w:szCs w:val="22"/>
          <w:lang w:val="tr-TR"/>
        </w:rPr>
        <w:t>ist</w:t>
      </w:r>
      <w:r w:rsidR="00082452" w:rsidRPr="001A4B94">
        <w:rPr>
          <w:rFonts w:eastAsiaTheme="minorHAnsi"/>
          <w:sz w:val="22"/>
          <w:szCs w:val="22"/>
          <w:lang w:val="tr-TR"/>
        </w:rPr>
        <w:t>e</w:t>
      </w:r>
      <w:r w:rsidR="00763080" w:rsidRPr="001A4B94">
        <w:rPr>
          <w:rFonts w:eastAsiaTheme="minorHAnsi"/>
          <w:sz w:val="22"/>
          <w:szCs w:val="22"/>
          <w:lang w:val="tr-TR"/>
        </w:rPr>
        <w:t>r derinlemesine tanılama çalı</w:t>
      </w:r>
      <w:r w:rsidR="00082452" w:rsidRPr="001A4B94">
        <w:rPr>
          <w:rFonts w:eastAsiaTheme="minorHAnsi"/>
          <w:sz w:val="22"/>
          <w:szCs w:val="22"/>
          <w:lang w:val="tr-TR"/>
        </w:rPr>
        <w:t>ş</w:t>
      </w:r>
      <w:r w:rsidR="00763080" w:rsidRPr="001A4B94">
        <w:rPr>
          <w:rFonts w:eastAsiaTheme="minorHAnsi"/>
          <w:sz w:val="22"/>
          <w:szCs w:val="22"/>
          <w:lang w:val="tr-TR"/>
        </w:rPr>
        <w:t>maları isterse ‘tam zamanında’ analizler veya politika tavsiyeleri</w:t>
      </w:r>
      <w:r w:rsidR="00747261" w:rsidRPr="001A4B94">
        <w:rPr>
          <w:rFonts w:eastAsiaTheme="minorHAnsi"/>
          <w:sz w:val="22"/>
          <w:szCs w:val="22"/>
          <w:lang w:val="tr-TR"/>
        </w:rPr>
        <w:t>)</w:t>
      </w:r>
      <w:r w:rsidR="00763080" w:rsidRPr="001A4B94">
        <w:rPr>
          <w:rFonts w:eastAsiaTheme="minorHAnsi"/>
          <w:sz w:val="22"/>
          <w:szCs w:val="22"/>
          <w:lang w:val="tr-TR"/>
        </w:rPr>
        <w:t xml:space="preserve"> bilgi programı daha uyumlu bir odağa sahip olabilir. </w:t>
      </w:r>
    </w:p>
    <w:p w14:paraId="384AA983" w14:textId="77777777" w:rsidR="00747261" w:rsidRPr="001A4B94" w:rsidRDefault="00747261" w:rsidP="00747261">
      <w:pPr>
        <w:spacing w:after="160" w:line="259" w:lineRule="auto"/>
        <w:ind w:left="720"/>
        <w:contextualSpacing/>
        <w:rPr>
          <w:rFonts w:eastAsiaTheme="minorHAnsi"/>
          <w:sz w:val="22"/>
          <w:szCs w:val="22"/>
          <w:lang w:val="tr-TR"/>
        </w:rPr>
      </w:pPr>
    </w:p>
    <w:p w14:paraId="2D201535" w14:textId="1E37CBFD" w:rsidR="00747261" w:rsidRPr="001A4B94" w:rsidRDefault="00A04866" w:rsidP="00A933C9">
      <w:pPr>
        <w:numPr>
          <w:ilvl w:val="0"/>
          <w:numId w:val="21"/>
        </w:numPr>
        <w:spacing w:after="160" w:line="259" w:lineRule="auto"/>
        <w:contextualSpacing/>
        <w:jc w:val="both"/>
        <w:rPr>
          <w:rFonts w:eastAsiaTheme="minorHAnsi"/>
          <w:sz w:val="20"/>
          <w:szCs w:val="20"/>
          <w:lang w:val="tr-TR"/>
        </w:rPr>
      </w:pPr>
      <w:r w:rsidRPr="001A4B94">
        <w:rPr>
          <w:rFonts w:eastAsiaTheme="minorHAnsi"/>
          <w:b/>
          <w:sz w:val="22"/>
          <w:szCs w:val="22"/>
          <w:lang w:val="tr-TR"/>
        </w:rPr>
        <w:t xml:space="preserve"> </w:t>
      </w:r>
      <w:r w:rsidR="00763080" w:rsidRPr="001A4B94">
        <w:rPr>
          <w:rFonts w:eastAsiaTheme="minorHAnsi"/>
          <w:b/>
          <w:sz w:val="22"/>
          <w:szCs w:val="22"/>
          <w:lang w:val="tr-TR"/>
        </w:rPr>
        <w:t>Bilgi çalı</w:t>
      </w:r>
      <w:r w:rsidR="00082452" w:rsidRPr="001A4B94">
        <w:rPr>
          <w:rFonts w:eastAsiaTheme="minorHAnsi"/>
          <w:b/>
          <w:sz w:val="22"/>
          <w:szCs w:val="22"/>
          <w:lang w:val="tr-TR"/>
        </w:rPr>
        <w:t>şmalarınd</w:t>
      </w:r>
      <w:r w:rsidR="00763080" w:rsidRPr="001A4B94">
        <w:rPr>
          <w:rFonts w:eastAsiaTheme="minorHAnsi"/>
          <w:b/>
          <w:sz w:val="22"/>
          <w:szCs w:val="22"/>
          <w:lang w:val="tr-TR"/>
        </w:rPr>
        <w:t>a</w:t>
      </w:r>
      <w:r w:rsidR="00082452" w:rsidRPr="001A4B94">
        <w:rPr>
          <w:rFonts w:eastAsiaTheme="minorHAnsi"/>
          <w:b/>
          <w:sz w:val="22"/>
          <w:szCs w:val="22"/>
          <w:lang w:val="tr-TR"/>
        </w:rPr>
        <w:t>n</w:t>
      </w:r>
      <w:r w:rsidR="00763080" w:rsidRPr="001A4B94">
        <w:rPr>
          <w:rFonts w:eastAsiaTheme="minorHAnsi"/>
          <w:b/>
          <w:sz w:val="22"/>
          <w:szCs w:val="22"/>
          <w:lang w:val="tr-TR"/>
        </w:rPr>
        <w:t xml:space="preserve"> çıkarılan dersler, Türkiye’de gelecekteki RAS işlerinin geliştirilmesi için dikkatli bir yaklaşıma duyula</w:t>
      </w:r>
      <w:r w:rsidR="00082452" w:rsidRPr="001A4B94">
        <w:rPr>
          <w:rFonts w:eastAsiaTheme="minorHAnsi"/>
          <w:b/>
          <w:sz w:val="22"/>
          <w:szCs w:val="22"/>
          <w:lang w:val="tr-TR"/>
        </w:rPr>
        <w:t>n ihtiyacı</w:t>
      </w:r>
      <w:r w:rsidR="00763080" w:rsidRPr="001A4B94">
        <w:rPr>
          <w:rFonts w:eastAsiaTheme="minorHAnsi"/>
          <w:b/>
          <w:sz w:val="22"/>
          <w:szCs w:val="22"/>
          <w:lang w:val="tr-TR"/>
        </w:rPr>
        <w:t xml:space="preserve"> vurgulamaktadır</w:t>
      </w:r>
      <w:r w:rsidR="00747261" w:rsidRPr="001A4B94">
        <w:rPr>
          <w:rFonts w:eastAsiaTheme="minorHAnsi"/>
          <w:b/>
          <w:sz w:val="22"/>
          <w:szCs w:val="22"/>
          <w:lang w:val="tr-TR"/>
        </w:rPr>
        <w:t>.</w:t>
      </w:r>
      <w:r w:rsidR="00747261" w:rsidRPr="001A4B94">
        <w:rPr>
          <w:rFonts w:eastAsiaTheme="minorHAnsi"/>
          <w:sz w:val="22"/>
          <w:szCs w:val="22"/>
          <w:lang w:val="tr-TR"/>
        </w:rPr>
        <w:t xml:space="preserve"> </w:t>
      </w:r>
      <w:r w:rsidR="00766EAA" w:rsidRPr="001A4B94">
        <w:rPr>
          <w:rFonts w:eastAsiaTheme="minorHAnsi"/>
          <w:sz w:val="22"/>
          <w:szCs w:val="22"/>
          <w:lang w:val="tr-TR"/>
        </w:rPr>
        <w:t>Olası bir Geri Ödenebilir Danışmanlık Hizmetleri (</w:t>
      </w:r>
      <w:r w:rsidR="00747261" w:rsidRPr="001A4B94">
        <w:rPr>
          <w:rFonts w:eastAsiaTheme="minorHAnsi"/>
          <w:sz w:val="22"/>
          <w:szCs w:val="22"/>
          <w:lang w:val="tr-TR"/>
        </w:rPr>
        <w:t>RAS</w:t>
      </w:r>
      <w:r w:rsidR="00766EAA" w:rsidRPr="001A4B94">
        <w:rPr>
          <w:rFonts w:eastAsiaTheme="minorHAnsi"/>
          <w:sz w:val="22"/>
          <w:szCs w:val="22"/>
          <w:lang w:val="tr-TR"/>
        </w:rPr>
        <w:t xml:space="preserve">) çalışmasının </w:t>
      </w:r>
      <w:r w:rsidR="00747261" w:rsidRPr="001A4B94">
        <w:rPr>
          <w:rFonts w:eastAsiaTheme="minorHAnsi"/>
          <w:sz w:val="22"/>
          <w:szCs w:val="22"/>
          <w:lang w:val="tr-TR"/>
        </w:rPr>
        <w:t xml:space="preserve"> </w:t>
      </w:r>
      <w:r w:rsidR="00766EAA" w:rsidRPr="001A4B94">
        <w:rPr>
          <w:rFonts w:eastAsiaTheme="minorHAnsi"/>
          <w:sz w:val="22"/>
          <w:szCs w:val="22"/>
          <w:lang w:val="tr-TR"/>
        </w:rPr>
        <w:t xml:space="preserve"> Dünya Bankası Grubu’nun Türkiye’nin doğrudan erişebileceği kaynaklara göre karşılaştırmalı avantaja veya küresel bilgiye sahip olduğu sektörlerde seçici ve stratejik çal</w:t>
      </w:r>
      <w:r w:rsidR="00082452" w:rsidRPr="001A4B94">
        <w:rPr>
          <w:rFonts w:eastAsiaTheme="minorHAnsi"/>
          <w:sz w:val="22"/>
          <w:szCs w:val="22"/>
          <w:lang w:val="tr-TR"/>
        </w:rPr>
        <w:t>ı</w:t>
      </w:r>
      <w:r w:rsidR="00766EAA" w:rsidRPr="001A4B94">
        <w:rPr>
          <w:rFonts w:eastAsiaTheme="minorHAnsi"/>
          <w:sz w:val="22"/>
          <w:szCs w:val="22"/>
          <w:lang w:val="tr-TR"/>
        </w:rPr>
        <w:t>şmalar ile açık bir şekilde ilişkilendirilmesi gerekecektir.</w:t>
      </w:r>
      <w:r w:rsidR="00747261" w:rsidRPr="001A4B94">
        <w:rPr>
          <w:rFonts w:eastAsiaTheme="minorHAnsi"/>
          <w:sz w:val="22"/>
          <w:szCs w:val="22"/>
          <w:lang w:val="tr-TR"/>
        </w:rPr>
        <w:t xml:space="preserve"> </w:t>
      </w:r>
      <w:r w:rsidR="00766EAA" w:rsidRPr="001A4B94">
        <w:rPr>
          <w:rFonts w:eastAsiaTheme="minorHAnsi"/>
          <w:sz w:val="22"/>
          <w:szCs w:val="22"/>
          <w:lang w:val="tr-TR"/>
        </w:rPr>
        <w:t xml:space="preserve">Gelecekte Türkiye’de bir RAS çalışması yapabilmek için, doğal olarak önceden kararlaştırılan </w:t>
      </w:r>
      <w:r w:rsidR="00082452" w:rsidRPr="001A4B94">
        <w:rPr>
          <w:rFonts w:eastAsiaTheme="minorHAnsi"/>
          <w:sz w:val="22"/>
          <w:szCs w:val="22"/>
          <w:lang w:val="tr-TR"/>
        </w:rPr>
        <w:t>açık bir sahiplenme olması ve bunun prensip olarak veri paylaşımı, tanılama ve yayım konularında daha iyi bir ortaklık sağlaması gerekecektir.</w:t>
      </w:r>
      <w:r w:rsidR="00747261" w:rsidRPr="001A4B94">
        <w:rPr>
          <w:rFonts w:eastAsiaTheme="minorHAnsi"/>
          <w:sz w:val="22"/>
          <w:szCs w:val="22"/>
          <w:lang w:val="tr-TR"/>
        </w:rPr>
        <w:t xml:space="preserve"> </w:t>
      </w:r>
      <w:r w:rsidR="00082452" w:rsidRPr="001A4B94">
        <w:rPr>
          <w:rFonts w:eastAsiaTheme="minorHAnsi"/>
          <w:sz w:val="22"/>
          <w:szCs w:val="22"/>
          <w:lang w:val="tr-TR"/>
        </w:rPr>
        <w:t>Bu da Türkiye’nin kamu sektörü süreçleri hakkındaki anlayışın derinleştirilmesini ve buna uyum sağlanmasını gerektirecektir.</w:t>
      </w:r>
    </w:p>
    <w:p w14:paraId="42DA66B3" w14:textId="77777777" w:rsidR="00747261" w:rsidRPr="001A4B94" w:rsidRDefault="00747261" w:rsidP="00747261">
      <w:pPr>
        <w:spacing w:after="240"/>
        <w:jc w:val="center"/>
        <w:rPr>
          <w:rFonts w:asciiTheme="minorHAnsi" w:eastAsiaTheme="minorEastAsia" w:hAnsiTheme="minorHAnsi" w:cstheme="minorBidi"/>
          <w:b/>
          <w:lang w:val="tr-TR" w:eastAsia="ja-JP"/>
        </w:rPr>
        <w:sectPr w:rsidR="00747261" w:rsidRPr="001A4B94" w:rsidSect="00747261">
          <w:pgSz w:w="12240" w:h="15840"/>
          <w:pgMar w:top="1440" w:right="1440" w:bottom="1440" w:left="1440" w:header="720" w:footer="720" w:gutter="0"/>
          <w:cols w:space="720"/>
          <w:titlePg/>
          <w:docGrid w:linePitch="360"/>
        </w:sectPr>
      </w:pPr>
    </w:p>
    <w:p w14:paraId="4FA2AFB4" w14:textId="10D46379" w:rsidR="00747261" w:rsidRPr="001A4B94" w:rsidRDefault="007033B1" w:rsidP="00747261">
      <w:pPr>
        <w:spacing w:after="240"/>
        <w:jc w:val="center"/>
        <w:rPr>
          <w:rFonts w:eastAsiaTheme="minorEastAsia"/>
          <w:b/>
          <w:vertAlign w:val="superscript"/>
          <w:lang w:val="tr-TR" w:eastAsia="ja-JP"/>
        </w:rPr>
      </w:pPr>
      <w:r w:rsidRPr="001A4B94">
        <w:rPr>
          <w:rFonts w:eastAsiaTheme="minorEastAsia"/>
          <w:b/>
          <w:lang w:val="tr-TR" w:eastAsia="ja-JP"/>
        </w:rPr>
        <w:lastRenderedPageBreak/>
        <w:t xml:space="preserve">2012 -16  MY Ülke Ortaklık Stratejisi Sonuç Çerçevesi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31"/>
        <w:gridCol w:w="6475"/>
      </w:tblGrid>
      <w:tr w:rsidR="00747261" w:rsidRPr="001A4B94" w14:paraId="07E7A3BA" w14:textId="77777777" w:rsidTr="00747261">
        <w:trPr>
          <w:trHeight w:val="287"/>
        </w:trPr>
        <w:tc>
          <w:tcPr>
            <w:tcW w:w="5000" w:type="pct"/>
            <w:gridSpan w:val="3"/>
            <w:shd w:val="clear" w:color="auto" w:fill="F2F2F2" w:themeFill="background1" w:themeFillShade="F2"/>
            <w:vAlign w:val="center"/>
          </w:tcPr>
          <w:p w14:paraId="2F3B5B97" w14:textId="39105466" w:rsidR="00747261" w:rsidRPr="001A4B94" w:rsidRDefault="00E9332D" w:rsidP="00747261">
            <w:pPr>
              <w:rPr>
                <w:rFonts w:eastAsiaTheme="minorEastAsia"/>
                <w:b/>
                <w:sz w:val="18"/>
                <w:szCs w:val="18"/>
                <w:lang w:val="tr-TR" w:eastAsia="ja-JP"/>
              </w:rPr>
            </w:pPr>
            <w:r w:rsidRPr="001A4B94">
              <w:rPr>
                <w:rFonts w:eastAsiaTheme="minorEastAsia"/>
                <w:b/>
                <w:sz w:val="18"/>
                <w:szCs w:val="18"/>
                <w:lang w:val="tr-TR" w:eastAsia="ja-JP"/>
              </w:rPr>
              <w:t>Eksen</w:t>
            </w:r>
            <w:r w:rsidR="00747261" w:rsidRPr="001A4B94">
              <w:rPr>
                <w:rFonts w:eastAsiaTheme="minorEastAsia"/>
                <w:b/>
                <w:sz w:val="18"/>
                <w:szCs w:val="18"/>
                <w:lang w:val="tr-TR" w:eastAsia="ja-JP"/>
              </w:rPr>
              <w:t xml:space="preserve"> 1: </w:t>
            </w:r>
            <w:r w:rsidRPr="001A4B94">
              <w:rPr>
                <w:rFonts w:eastAsiaTheme="minorEastAsia"/>
                <w:b/>
                <w:sz w:val="18"/>
                <w:szCs w:val="18"/>
                <w:lang w:val="tr-TR" w:eastAsia="ja-JP"/>
              </w:rPr>
              <w:t xml:space="preserve">Rekabet Gücünün ve İstihdamın Arttırılması   </w:t>
            </w:r>
            <w:r w:rsidR="00747261" w:rsidRPr="001A4B94">
              <w:rPr>
                <w:rFonts w:eastAsiaTheme="minorEastAsia"/>
                <w:b/>
                <w:sz w:val="18"/>
                <w:szCs w:val="18"/>
                <w:lang w:val="tr-TR" w:eastAsia="ja-JP"/>
              </w:rPr>
              <w:t xml:space="preserve">- </w:t>
            </w:r>
            <w:r w:rsidRPr="001A4B94">
              <w:rPr>
                <w:rFonts w:eastAsiaTheme="minorEastAsia"/>
                <w:b/>
                <w:color w:val="FF0000"/>
                <w:sz w:val="18"/>
                <w:szCs w:val="18"/>
                <w:lang w:val="tr-TR" w:eastAsia="ja-JP"/>
              </w:rPr>
              <w:t xml:space="preserve">Kısmen </w:t>
            </w:r>
            <w:r w:rsidR="00100E2B" w:rsidRPr="001A4B94">
              <w:rPr>
                <w:rFonts w:eastAsiaTheme="minorEastAsia"/>
                <w:b/>
                <w:color w:val="FF0000"/>
                <w:sz w:val="18"/>
                <w:szCs w:val="18"/>
                <w:lang w:val="tr-TR" w:eastAsia="ja-JP"/>
              </w:rPr>
              <w:t>b</w:t>
            </w:r>
            <w:r w:rsidRPr="001A4B94">
              <w:rPr>
                <w:rFonts w:eastAsiaTheme="minorEastAsia"/>
                <w:b/>
                <w:color w:val="FF0000"/>
                <w:sz w:val="18"/>
                <w:szCs w:val="18"/>
                <w:lang w:val="tr-TR" w:eastAsia="ja-JP"/>
              </w:rPr>
              <w:t>aşarıl</w:t>
            </w:r>
            <w:r w:rsidR="00100E2B" w:rsidRPr="001A4B94">
              <w:rPr>
                <w:rFonts w:eastAsiaTheme="minorEastAsia"/>
                <w:b/>
                <w:color w:val="FF0000"/>
                <w:sz w:val="18"/>
                <w:szCs w:val="18"/>
                <w:lang w:val="tr-TR" w:eastAsia="ja-JP"/>
              </w:rPr>
              <w:t xml:space="preserve">dı </w:t>
            </w:r>
          </w:p>
          <w:p w14:paraId="13358979" w14:textId="77777777" w:rsidR="00747261" w:rsidRPr="001A4B94" w:rsidRDefault="00747261" w:rsidP="00747261">
            <w:pPr>
              <w:jc w:val="center"/>
              <w:rPr>
                <w:rFonts w:eastAsiaTheme="minorEastAsia"/>
                <w:b/>
                <w:sz w:val="18"/>
                <w:szCs w:val="18"/>
                <w:lang w:val="tr-TR" w:eastAsia="ja-JP"/>
              </w:rPr>
            </w:pPr>
          </w:p>
        </w:tc>
      </w:tr>
      <w:tr w:rsidR="00747261" w:rsidRPr="001A4B94" w14:paraId="559D0B78" w14:textId="77777777" w:rsidTr="00747261">
        <w:trPr>
          <w:trHeight w:val="179"/>
        </w:trPr>
        <w:tc>
          <w:tcPr>
            <w:tcW w:w="5000" w:type="pct"/>
            <w:gridSpan w:val="3"/>
            <w:shd w:val="clear" w:color="auto" w:fill="D9D9D9" w:themeFill="background1" w:themeFillShade="D9"/>
          </w:tcPr>
          <w:p w14:paraId="5C80D5F5" w14:textId="2279E28B" w:rsidR="00747261" w:rsidRPr="001A4B94" w:rsidRDefault="00E9332D" w:rsidP="00747261">
            <w:pPr>
              <w:rPr>
                <w:rFonts w:eastAsiaTheme="minorEastAsia"/>
                <w:sz w:val="18"/>
                <w:szCs w:val="18"/>
                <w:lang w:val="tr-TR" w:eastAsia="ja-JP"/>
              </w:rPr>
            </w:pPr>
            <w:r w:rsidRPr="001A4B94">
              <w:rPr>
                <w:rFonts w:eastAsiaTheme="minorEastAsia"/>
                <w:b/>
                <w:sz w:val="18"/>
                <w:szCs w:val="18"/>
                <w:lang w:val="tr-TR" w:eastAsia="ja-JP"/>
              </w:rPr>
              <w:t xml:space="preserve">Tematik Alan </w:t>
            </w:r>
            <w:r w:rsidR="00747261" w:rsidRPr="001A4B94">
              <w:rPr>
                <w:rFonts w:eastAsiaTheme="minorEastAsia"/>
                <w:b/>
                <w:sz w:val="18"/>
                <w:szCs w:val="18"/>
                <w:lang w:val="tr-TR" w:eastAsia="ja-JP"/>
              </w:rPr>
              <w:t>1</w:t>
            </w:r>
            <w:r w:rsidR="00747261" w:rsidRPr="001A4B94">
              <w:rPr>
                <w:rFonts w:eastAsiaTheme="minorEastAsia"/>
                <w:sz w:val="18"/>
                <w:szCs w:val="18"/>
                <w:lang w:val="tr-TR" w:eastAsia="ja-JP"/>
              </w:rPr>
              <w:t xml:space="preserve">: </w:t>
            </w:r>
            <w:r w:rsidR="00407BF4" w:rsidRPr="001A4B94">
              <w:rPr>
                <w:rFonts w:eastAsiaTheme="minorEastAsia"/>
                <w:b/>
                <w:sz w:val="18"/>
                <w:szCs w:val="18"/>
                <w:lang w:val="tr-TR" w:eastAsia="ja-JP"/>
              </w:rPr>
              <w:t>Makroekonomik ve finansal istikrarın sürdürülmesi ve ihracatın, yurt içi tasarrufların ve dışsal etkilere karşı dayanıklılığın güçlendirilmesi</w:t>
            </w:r>
            <w:r w:rsidR="00747261" w:rsidRPr="001A4B94">
              <w:rPr>
                <w:rFonts w:eastAsiaTheme="minorEastAsia"/>
                <w:sz w:val="18"/>
                <w:szCs w:val="18"/>
                <w:lang w:val="tr-TR" w:eastAsia="ja-JP"/>
              </w:rPr>
              <w:t xml:space="preserve">. – </w:t>
            </w:r>
            <w:r w:rsidR="00407BF4" w:rsidRPr="001A4B94">
              <w:rPr>
                <w:rFonts w:eastAsiaTheme="minorEastAsia"/>
                <w:b/>
                <w:color w:val="FF0000"/>
                <w:sz w:val="18"/>
                <w:szCs w:val="18"/>
                <w:lang w:val="tr-TR" w:eastAsia="ja-JP"/>
              </w:rPr>
              <w:t>Kısmen Başarıl</w:t>
            </w:r>
            <w:r w:rsidR="00100E2B" w:rsidRPr="001A4B94">
              <w:rPr>
                <w:rFonts w:eastAsiaTheme="minorEastAsia"/>
                <w:b/>
                <w:color w:val="FF0000"/>
                <w:sz w:val="18"/>
                <w:szCs w:val="18"/>
                <w:lang w:val="tr-TR" w:eastAsia="ja-JP"/>
              </w:rPr>
              <w:t xml:space="preserve">dı </w:t>
            </w:r>
          </w:p>
        </w:tc>
      </w:tr>
      <w:tr w:rsidR="00747261" w:rsidRPr="001A4B94" w14:paraId="189D96F4" w14:textId="77777777" w:rsidTr="00747261">
        <w:trPr>
          <w:trHeight w:val="242"/>
        </w:trPr>
        <w:tc>
          <w:tcPr>
            <w:tcW w:w="1214" w:type="pct"/>
          </w:tcPr>
          <w:p w14:paraId="04CDD0EA" w14:textId="42186D22" w:rsidR="00747261" w:rsidRPr="001A4B94" w:rsidRDefault="00407BF4" w:rsidP="00747261">
            <w:pPr>
              <w:spacing w:after="160" w:line="259" w:lineRule="auto"/>
              <w:rPr>
                <w:rFonts w:eastAsiaTheme="minorHAnsi"/>
                <w:b/>
                <w:sz w:val="18"/>
                <w:szCs w:val="18"/>
                <w:lang w:val="tr-TR"/>
              </w:rPr>
            </w:pPr>
            <w:r w:rsidRPr="001A4B94">
              <w:rPr>
                <w:rFonts w:eastAsiaTheme="minorHAnsi"/>
                <w:b/>
                <w:sz w:val="18"/>
                <w:szCs w:val="18"/>
                <w:lang w:val="tr-TR" w:bidi="en-US"/>
              </w:rPr>
              <w:t>D</w:t>
            </w:r>
            <w:r w:rsidR="00747261" w:rsidRPr="001A4B94">
              <w:rPr>
                <w:rFonts w:eastAsiaTheme="minorHAnsi"/>
                <w:b/>
                <w:sz w:val="18"/>
                <w:szCs w:val="18"/>
                <w:lang w:val="tr-TR" w:bidi="en-US"/>
              </w:rPr>
              <w:t xml:space="preserve">BG </w:t>
            </w:r>
            <w:r w:rsidRPr="001A4B94">
              <w:rPr>
                <w:rFonts w:eastAsiaTheme="minorHAnsi"/>
                <w:b/>
                <w:sz w:val="18"/>
                <w:szCs w:val="18"/>
                <w:lang w:val="tr-TR" w:bidi="en-US"/>
              </w:rPr>
              <w:t xml:space="preserve">Sonuç Göstergeleri </w:t>
            </w:r>
          </w:p>
        </w:tc>
        <w:tc>
          <w:tcPr>
            <w:tcW w:w="1286" w:type="pct"/>
          </w:tcPr>
          <w:p w14:paraId="66D45E13" w14:textId="26751E38" w:rsidR="00747261" w:rsidRPr="001A4B94" w:rsidRDefault="00407BF4" w:rsidP="00747261">
            <w:pPr>
              <w:rPr>
                <w:rFonts w:eastAsia="Arial Unicode MS"/>
                <w:sz w:val="18"/>
                <w:szCs w:val="18"/>
                <w:lang w:val="tr-TR"/>
              </w:rPr>
            </w:pPr>
            <w:r w:rsidRPr="001A4B94">
              <w:rPr>
                <w:rFonts w:eastAsiaTheme="minorHAnsi"/>
                <w:b/>
                <w:sz w:val="18"/>
                <w:szCs w:val="18"/>
                <w:lang w:val="tr-TR" w:bidi="en-US"/>
              </w:rPr>
              <w:t>Bugüne Kadar Kaydedilen İlerleme</w:t>
            </w:r>
            <w:r w:rsidR="00747261" w:rsidRPr="001A4B94">
              <w:rPr>
                <w:rFonts w:eastAsiaTheme="minorHAnsi"/>
                <w:b/>
                <w:sz w:val="18"/>
                <w:szCs w:val="18"/>
                <w:lang w:val="tr-TR" w:bidi="en-US"/>
              </w:rPr>
              <w:t>:</w:t>
            </w:r>
          </w:p>
        </w:tc>
        <w:tc>
          <w:tcPr>
            <w:tcW w:w="2500" w:type="pct"/>
            <w:vMerge w:val="restart"/>
          </w:tcPr>
          <w:p w14:paraId="7C29DA29" w14:textId="3EF2563A" w:rsidR="00747261" w:rsidRPr="001A4B94" w:rsidRDefault="00C91682" w:rsidP="00747261">
            <w:pPr>
              <w:rPr>
                <w:rFonts w:eastAsiaTheme="minorEastAsia"/>
                <w:b/>
                <w:sz w:val="18"/>
                <w:szCs w:val="18"/>
                <w:lang w:val="tr-TR" w:eastAsia="ja-JP"/>
              </w:rPr>
            </w:pPr>
            <w:r w:rsidRPr="001A4B94">
              <w:rPr>
                <w:rFonts w:eastAsiaTheme="minorEastAsia"/>
                <w:b/>
                <w:sz w:val="18"/>
                <w:szCs w:val="18"/>
                <w:lang w:val="tr-TR" w:eastAsia="ja-JP"/>
              </w:rPr>
              <w:t>Finansman</w:t>
            </w:r>
            <w:r w:rsidR="00747261" w:rsidRPr="001A4B94">
              <w:rPr>
                <w:rFonts w:eastAsiaTheme="minorEastAsia"/>
                <w:b/>
                <w:sz w:val="18"/>
                <w:szCs w:val="18"/>
                <w:lang w:val="tr-TR" w:eastAsia="ja-JP"/>
              </w:rPr>
              <w:t>:</w:t>
            </w:r>
          </w:p>
          <w:p w14:paraId="6CA3603C" w14:textId="544B78AF" w:rsidR="00747261" w:rsidRPr="001A4B94" w:rsidRDefault="00747261"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DPL – </w:t>
            </w:r>
            <w:r w:rsidR="00C91682" w:rsidRPr="001A4B94">
              <w:rPr>
                <w:rFonts w:eastAsiaTheme="minorHAnsi"/>
                <w:sz w:val="18"/>
                <w:szCs w:val="18"/>
                <w:lang w:val="tr-TR"/>
              </w:rPr>
              <w:t xml:space="preserve">Paylaşılan Büyümenin Sürdürülmesi </w:t>
            </w:r>
            <w:r w:rsidRPr="001A4B94">
              <w:rPr>
                <w:rFonts w:eastAsiaTheme="minorHAnsi"/>
                <w:sz w:val="18"/>
                <w:szCs w:val="18"/>
                <w:lang w:val="tr-TR"/>
              </w:rPr>
              <w:t>I (</w:t>
            </w:r>
            <w:r w:rsidR="00C91682" w:rsidRPr="001A4B94">
              <w:rPr>
                <w:rFonts w:eastAsiaTheme="minorHAnsi"/>
                <w:sz w:val="18"/>
                <w:szCs w:val="18"/>
                <w:lang w:val="tr-TR"/>
              </w:rPr>
              <w:t>20</w:t>
            </w:r>
            <w:r w:rsidRPr="001A4B94">
              <w:rPr>
                <w:rFonts w:eastAsiaTheme="minorHAnsi"/>
                <w:sz w:val="18"/>
                <w:szCs w:val="18"/>
                <w:lang w:val="tr-TR"/>
              </w:rPr>
              <w:t>15</w:t>
            </w:r>
            <w:r w:rsidR="00C91682" w:rsidRPr="001A4B94">
              <w:rPr>
                <w:rFonts w:eastAsiaTheme="minorHAnsi"/>
                <w:sz w:val="18"/>
                <w:szCs w:val="18"/>
                <w:lang w:val="tr-TR"/>
              </w:rPr>
              <w:t xml:space="preserve"> MY</w:t>
            </w:r>
            <w:r w:rsidRPr="001A4B94">
              <w:rPr>
                <w:rFonts w:eastAsiaTheme="minorHAnsi"/>
                <w:sz w:val="18"/>
                <w:szCs w:val="18"/>
                <w:lang w:val="tr-TR"/>
              </w:rPr>
              <w:t>) P146322</w:t>
            </w:r>
          </w:p>
          <w:p w14:paraId="52AFDC0D" w14:textId="459A6D00" w:rsidR="00747261" w:rsidRPr="001A4B94" w:rsidRDefault="00747261"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DPL </w:t>
            </w:r>
            <w:r w:rsidR="00C91682" w:rsidRPr="001A4B94">
              <w:rPr>
                <w:rFonts w:eastAsiaTheme="minorHAnsi"/>
                <w:sz w:val="18"/>
                <w:szCs w:val="18"/>
                <w:lang w:val="tr-TR"/>
              </w:rPr>
              <w:t>–</w:t>
            </w:r>
            <w:r w:rsidRPr="001A4B94">
              <w:rPr>
                <w:rFonts w:eastAsiaTheme="minorHAnsi"/>
                <w:sz w:val="18"/>
                <w:szCs w:val="18"/>
                <w:lang w:val="tr-TR"/>
              </w:rPr>
              <w:t xml:space="preserve"> </w:t>
            </w:r>
            <w:r w:rsidR="00C071CC" w:rsidRPr="001A4B94">
              <w:rPr>
                <w:rFonts w:eastAsiaTheme="minorHAnsi"/>
                <w:sz w:val="18"/>
                <w:szCs w:val="18"/>
                <w:lang w:val="tr-TR"/>
              </w:rPr>
              <w:t>Rekabetçilik</w:t>
            </w:r>
            <w:r w:rsidR="00C91682" w:rsidRPr="001A4B94">
              <w:rPr>
                <w:rFonts w:eastAsiaTheme="minorHAnsi"/>
                <w:sz w:val="18"/>
                <w:szCs w:val="18"/>
                <w:lang w:val="tr-TR"/>
              </w:rPr>
              <w:t xml:space="preserve"> ve Tasarruflar </w:t>
            </w:r>
            <w:r w:rsidRPr="001A4B94">
              <w:rPr>
                <w:rFonts w:eastAsiaTheme="minorHAnsi"/>
                <w:sz w:val="18"/>
                <w:szCs w:val="18"/>
                <w:lang w:val="tr-TR"/>
              </w:rPr>
              <w:t xml:space="preserve">(CSDPL) </w:t>
            </w:r>
            <w:r w:rsidR="00C91682" w:rsidRPr="001A4B94">
              <w:rPr>
                <w:rFonts w:eastAsiaTheme="minorHAnsi"/>
                <w:sz w:val="18"/>
                <w:szCs w:val="18"/>
                <w:lang w:val="tr-TR"/>
              </w:rPr>
              <w:t>(2013 MY</w:t>
            </w:r>
            <w:r w:rsidRPr="001A4B94">
              <w:rPr>
                <w:rFonts w:eastAsiaTheme="minorHAnsi"/>
                <w:sz w:val="18"/>
                <w:szCs w:val="18"/>
                <w:lang w:val="tr-TR"/>
              </w:rPr>
              <w:t>) P127787</w:t>
            </w:r>
          </w:p>
          <w:p w14:paraId="3F99BB1C" w14:textId="5D2F9C20" w:rsidR="00747261" w:rsidRPr="001A4B94" w:rsidRDefault="00747261"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IFC </w:t>
            </w:r>
            <w:r w:rsidR="00BC666E" w:rsidRPr="001A4B94">
              <w:rPr>
                <w:rFonts w:eastAsiaTheme="minorHAnsi"/>
                <w:sz w:val="18"/>
                <w:szCs w:val="18"/>
                <w:lang w:val="tr-TR"/>
              </w:rPr>
              <w:t xml:space="preserve">özel şirketlerin rekabet gücünü arttırmaya yönelik uzun vadeli finansman </w:t>
            </w:r>
          </w:p>
          <w:p w14:paraId="07ABF997" w14:textId="5561F61E" w:rsidR="00747261" w:rsidRPr="001A4B94" w:rsidRDefault="00747261"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IFC </w:t>
            </w:r>
            <w:r w:rsidR="00BC666E" w:rsidRPr="001A4B94">
              <w:rPr>
                <w:rFonts w:eastAsiaTheme="minorHAnsi"/>
                <w:sz w:val="18"/>
                <w:szCs w:val="18"/>
                <w:lang w:val="tr-TR"/>
              </w:rPr>
              <w:t xml:space="preserve">ticaret finansmanı kredi hatları </w:t>
            </w:r>
          </w:p>
          <w:p w14:paraId="6B92D637" w14:textId="71F571AD" w:rsidR="00747261" w:rsidRPr="001A4B94" w:rsidRDefault="00BC666E"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Türk Eximbank’a yöne</w:t>
            </w:r>
            <w:r w:rsidR="00C071CC" w:rsidRPr="001A4B94">
              <w:rPr>
                <w:rFonts w:eastAsiaTheme="minorHAnsi"/>
                <w:sz w:val="18"/>
                <w:szCs w:val="18"/>
                <w:lang w:val="tr-TR"/>
              </w:rPr>
              <w:t>l</w:t>
            </w:r>
            <w:r w:rsidRPr="001A4B94">
              <w:rPr>
                <w:rFonts w:eastAsiaTheme="minorHAnsi"/>
                <w:sz w:val="18"/>
                <w:szCs w:val="18"/>
                <w:lang w:val="tr-TR"/>
              </w:rPr>
              <w:t xml:space="preserve">ik </w:t>
            </w:r>
            <w:r w:rsidR="00747261" w:rsidRPr="001A4B94">
              <w:rPr>
                <w:rFonts w:eastAsiaTheme="minorHAnsi"/>
                <w:sz w:val="18"/>
                <w:szCs w:val="18"/>
                <w:lang w:val="tr-TR"/>
              </w:rPr>
              <w:t xml:space="preserve">MIGA </w:t>
            </w:r>
            <w:r w:rsidRPr="001A4B94">
              <w:rPr>
                <w:rFonts w:eastAsiaTheme="minorHAnsi"/>
                <w:sz w:val="18"/>
                <w:szCs w:val="18"/>
                <w:lang w:val="tr-TR"/>
              </w:rPr>
              <w:t xml:space="preserve">garantisi </w:t>
            </w:r>
            <w:r w:rsidR="00747261" w:rsidRPr="001A4B94">
              <w:rPr>
                <w:rFonts w:eastAsiaTheme="minorHAnsi"/>
                <w:sz w:val="18"/>
                <w:szCs w:val="18"/>
                <w:lang w:val="tr-TR"/>
              </w:rPr>
              <w:t>(</w:t>
            </w:r>
            <w:r w:rsidRPr="001A4B94">
              <w:rPr>
                <w:rFonts w:eastAsiaTheme="minorHAnsi"/>
                <w:sz w:val="18"/>
                <w:szCs w:val="18"/>
                <w:lang w:val="tr-TR"/>
              </w:rPr>
              <w:t>2015 MY</w:t>
            </w:r>
            <w:r w:rsidR="00747261" w:rsidRPr="001A4B94">
              <w:rPr>
                <w:rFonts w:eastAsiaTheme="minorHAnsi"/>
                <w:sz w:val="18"/>
                <w:szCs w:val="18"/>
                <w:lang w:val="tr-TR"/>
              </w:rPr>
              <w:t xml:space="preserve">) </w:t>
            </w:r>
          </w:p>
          <w:p w14:paraId="7B30FD4E" w14:textId="3371057F" w:rsidR="00747261" w:rsidRPr="001A4B94" w:rsidRDefault="00BC666E" w:rsidP="00747261">
            <w:pPr>
              <w:rPr>
                <w:rFonts w:eastAsiaTheme="minorEastAsia"/>
                <w:b/>
                <w:sz w:val="18"/>
                <w:szCs w:val="18"/>
                <w:lang w:val="tr-TR" w:eastAsia="ja-JP"/>
              </w:rPr>
            </w:pPr>
            <w:r w:rsidRPr="001A4B94">
              <w:rPr>
                <w:rFonts w:eastAsiaTheme="minorEastAsia"/>
                <w:b/>
                <w:sz w:val="18"/>
                <w:szCs w:val="18"/>
                <w:lang w:val="tr-TR" w:eastAsia="ja-JP"/>
              </w:rPr>
              <w:t>Bilgi</w:t>
            </w:r>
            <w:r w:rsidR="00747261" w:rsidRPr="001A4B94">
              <w:rPr>
                <w:rFonts w:eastAsiaTheme="minorEastAsia"/>
                <w:b/>
                <w:sz w:val="18"/>
                <w:szCs w:val="18"/>
                <w:lang w:val="tr-TR" w:eastAsia="ja-JP"/>
              </w:rPr>
              <w:t>:</w:t>
            </w:r>
          </w:p>
          <w:p w14:paraId="217286F5" w14:textId="339943CC" w:rsidR="00747261" w:rsidRPr="001A4B94" w:rsidRDefault="00BC666E"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Beşeri ve Fiziksel Sermaye Hakkında Ülke Ekonomik Memorandumu </w:t>
            </w:r>
            <w:r w:rsidR="00747261" w:rsidRPr="001A4B94">
              <w:rPr>
                <w:rFonts w:eastAsiaTheme="minorHAnsi"/>
                <w:sz w:val="18"/>
                <w:szCs w:val="18"/>
                <w:lang w:val="tr-TR"/>
              </w:rPr>
              <w:t>(</w:t>
            </w:r>
            <w:r w:rsidRPr="001A4B94">
              <w:rPr>
                <w:rFonts w:eastAsiaTheme="minorHAnsi"/>
                <w:sz w:val="18"/>
                <w:szCs w:val="18"/>
                <w:lang w:val="tr-TR"/>
              </w:rPr>
              <w:t>Yatırımlar</w:t>
            </w:r>
            <w:r w:rsidR="00747261" w:rsidRPr="001A4B94">
              <w:rPr>
                <w:rFonts w:eastAsiaTheme="minorHAnsi"/>
                <w:sz w:val="18"/>
                <w:szCs w:val="18"/>
                <w:lang w:val="tr-TR"/>
              </w:rPr>
              <w:t>) (</w:t>
            </w:r>
            <w:r w:rsidRPr="001A4B94">
              <w:rPr>
                <w:rFonts w:eastAsiaTheme="minorHAnsi"/>
                <w:sz w:val="18"/>
                <w:szCs w:val="18"/>
                <w:lang w:val="tr-TR"/>
              </w:rPr>
              <w:t>2015 MY</w:t>
            </w:r>
            <w:r w:rsidR="00747261" w:rsidRPr="001A4B94">
              <w:rPr>
                <w:rFonts w:eastAsiaTheme="minorHAnsi"/>
                <w:sz w:val="18"/>
                <w:szCs w:val="18"/>
                <w:lang w:val="tr-TR"/>
              </w:rPr>
              <w:t>) P148205</w:t>
            </w:r>
          </w:p>
          <w:p w14:paraId="41B034F4" w14:textId="6A0F8B21" w:rsidR="00747261" w:rsidRPr="001A4B94" w:rsidRDefault="00BC666E" w:rsidP="00C24F8F">
            <w:pPr>
              <w:numPr>
                <w:ilvl w:val="0"/>
                <w:numId w:val="22"/>
              </w:numPr>
              <w:spacing w:after="160" w:line="259" w:lineRule="auto"/>
              <w:ind w:left="259"/>
              <w:contextualSpacing/>
              <w:rPr>
                <w:rFonts w:eastAsiaTheme="minorHAnsi"/>
                <w:sz w:val="18"/>
                <w:szCs w:val="18"/>
                <w:lang w:val="tr-TR"/>
              </w:rPr>
            </w:pPr>
            <w:r w:rsidRPr="001A4B94">
              <w:rPr>
                <w:rFonts w:eastAsiaTheme="minorHAnsi"/>
                <w:sz w:val="18"/>
                <w:szCs w:val="18"/>
                <w:lang w:val="tr-TR"/>
              </w:rPr>
              <w:t>Türkiye’nin Deneyimleri</w:t>
            </w:r>
            <w:r w:rsidR="00747261" w:rsidRPr="001A4B94">
              <w:rPr>
                <w:rFonts w:eastAsiaTheme="minorHAnsi"/>
                <w:sz w:val="18"/>
                <w:szCs w:val="18"/>
                <w:lang w:val="tr-TR"/>
              </w:rPr>
              <w:t xml:space="preserve">: </w:t>
            </w:r>
            <w:r w:rsidRPr="001A4B94">
              <w:rPr>
                <w:rFonts w:eastAsiaTheme="minorHAnsi"/>
                <w:sz w:val="18"/>
                <w:szCs w:val="18"/>
                <w:lang w:val="tr-TR"/>
              </w:rPr>
              <w:t>Entegrasyon</w:t>
            </w:r>
            <w:r w:rsidR="00747261" w:rsidRPr="001A4B94">
              <w:rPr>
                <w:rFonts w:eastAsiaTheme="minorHAnsi"/>
                <w:sz w:val="18"/>
                <w:szCs w:val="18"/>
                <w:lang w:val="tr-TR"/>
              </w:rPr>
              <w:t xml:space="preserve">, </w:t>
            </w:r>
            <w:r w:rsidRPr="001A4B94">
              <w:rPr>
                <w:rFonts w:eastAsiaTheme="minorHAnsi"/>
                <w:sz w:val="18"/>
                <w:szCs w:val="18"/>
                <w:lang w:val="tr-TR"/>
              </w:rPr>
              <w:t>Kapsama</w:t>
            </w:r>
            <w:r w:rsidR="00747261" w:rsidRPr="001A4B94">
              <w:rPr>
                <w:rFonts w:eastAsiaTheme="minorHAnsi"/>
                <w:sz w:val="18"/>
                <w:szCs w:val="18"/>
                <w:lang w:val="tr-TR"/>
              </w:rPr>
              <w:t xml:space="preserve">, </w:t>
            </w:r>
            <w:r w:rsidRPr="001A4B94">
              <w:rPr>
                <w:rFonts w:eastAsiaTheme="minorHAnsi"/>
                <w:sz w:val="18"/>
                <w:szCs w:val="18"/>
                <w:lang w:val="tr-TR"/>
              </w:rPr>
              <w:t xml:space="preserve">Kurumlar </w:t>
            </w:r>
            <w:r w:rsidR="00747261" w:rsidRPr="001A4B94">
              <w:rPr>
                <w:rFonts w:eastAsiaTheme="minorHAnsi"/>
                <w:sz w:val="18"/>
                <w:szCs w:val="18"/>
                <w:lang w:val="tr-TR"/>
              </w:rPr>
              <w:t>/</w:t>
            </w:r>
            <w:r w:rsidRPr="001A4B94">
              <w:rPr>
                <w:rFonts w:eastAsiaTheme="minorHAnsi"/>
                <w:sz w:val="18"/>
                <w:szCs w:val="18"/>
                <w:lang w:val="tr-TR"/>
              </w:rPr>
              <w:t xml:space="preserve"> Ülke Ekonomik Memorandumu </w:t>
            </w:r>
            <w:r w:rsidR="00747261" w:rsidRPr="001A4B94">
              <w:rPr>
                <w:rFonts w:eastAsiaTheme="minorHAnsi"/>
                <w:sz w:val="18"/>
                <w:szCs w:val="18"/>
                <w:lang w:val="tr-TR"/>
              </w:rPr>
              <w:t>(</w:t>
            </w:r>
            <w:r w:rsidRPr="001A4B94">
              <w:rPr>
                <w:rFonts w:eastAsiaTheme="minorHAnsi"/>
                <w:sz w:val="18"/>
                <w:szCs w:val="18"/>
                <w:lang w:val="tr-TR"/>
              </w:rPr>
              <w:t>2015 MY</w:t>
            </w:r>
            <w:r w:rsidR="00747261" w:rsidRPr="001A4B94">
              <w:rPr>
                <w:rFonts w:eastAsiaTheme="minorHAnsi"/>
                <w:sz w:val="18"/>
                <w:szCs w:val="18"/>
                <w:lang w:val="tr-TR"/>
              </w:rPr>
              <w:t>) (P133570)</w:t>
            </w:r>
          </w:p>
          <w:p w14:paraId="1FEC4737" w14:textId="67437089" w:rsidR="00747261" w:rsidRPr="001A4B94" w:rsidRDefault="00BC666E"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Kamu Mali İncelemesi </w:t>
            </w:r>
            <w:r w:rsidR="00747261" w:rsidRPr="001A4B94">
              <w:rPr>
                <w:rFonts w:eastAsiaTheme="minorHAnsi"/>
                <w:sz w:val="18"/>
                <w:szCs w:val="18"/>
                <w:lang w:val="tr-TR"/>
              </w:rPr>
              <w:t>(</w:t>
            </w:r>
            <w:r w:rsidRPr="001A4B94">
              <w:rPr>
                <w:rFonts w:eastAsiaTheme="minorHAnsi"/>
                <w:sz w:val="18"/>
                <w:szCs w:val="18"/>
                <w:lang w:val="tr-TR"/>
              </w:rPr>
              <w:t>2014 MY</w:t>
            </w:r>
            <w:r w:rsidR="00747261" w:rsidRPr="001A4B94">
              <w:rPr>
                <w:rFonts w:eastAsiaTheme="minorHAnsi"/>
                <w:sz w:val="18"/>
                <w:szCs w:val="18"/>
                <w:lang w:val="tr-TR"/>
              </w:rPr>
              <w:t>) P130699</w:t>
            </w:r>
          </w:p>
          <w:p w14:paraId="4674C2E6" w14:textId="0580F675" w:rsidR="00747261" w:rsidRPr="001A4B94" w:rsidRDefault="00BC666E"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Dış Ticaret konulu Ülke Ekonomik Memorandumu </w:t>
            </w:r>
            <w:r w:rsidR="00747261" w:rsidRPr="001A4B94">
              <w:rPr>
                <w:rFonts w:eastAsiaTheme="minorHAnsi"/>
                <w:sz w:val="18"/>
                <w:szCs w:val="18"/>
                <w:lang w:val="tr-TR"/>
              </w:rPr>
              <w:t>(</w:t>
            </w:r>
            <w:r w:rsidRPr="001A4B94">
              <w:rPr>
                <w:rFonts w:eastAsiaTheme="minorHAnsi"/>
                <w:sz w:val="18"/>
                <w:szCs w:val="18"/>
                <w:lang w:val="tr-TR"/>
              </w:rPr>
              <w:t>2014 MY</w:t>
            </w:r>
            <w:r w:rsidR="00747261" w:rsidRPr="001A4B94">
              <w:rPr>
                <w:rFonts w:eastAsiaTheme="minorHAnsi"/>
                <w:sz w:val="18"/>
                <w:szCs w:val="18"/>
                <w:lang w:val="tr-TR"/>
              </w:rPr>
              <w:t>) P129350</w:t>
            </w:r>
          </w:p>
          <w:p w14:paraId="0865DB0F" w14:textId="2DA4C45A" w:rsidR="00747261" w:rsidRPr="001A4B94" w:rsidRDefault="00BC666E"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G</w:t>
            </w:r>
            <w:r w:rsidR="00C071CC" w:rsidRPr="001A4B94">
              <w:rPr>
                <w:rFonts w:eastAsiaTheme="minorHAnsi"/>
                <w:sz w:val="18"/>
                <w:szCs w:val="18"/>
                <w:lang w:val="tr-TR"/>
              </w:rPr>
              <w:t>ü</w:t>
            </w:r>
            <w:r w:rsidRPr="001A4B94">
              <w:rPr>
                <w:rFonts w:eastAsiaTheme="minorHAnsi"/>
                <w:sz w:val="18"/>
                <w:szCs w:val="18"/>
                <w:lang w:val="tr-TR"/>
              </w:rPr>
              <w:t xml:space="preserve">mrük Birliği Değerlendirmesi </w:t>
            </w:r>
            <w:r w:rsidR="00747261" w:rsidRPr="001A4B94">
              <w:rPr>
                <w:rFonts w:eastAsiaTheme="minorHAnsi"/>
                <w:sz w:val="18"/>
                <w:szCs w:val="18"/>
                <w:lang w:val="tr-TR"/>
              </w:rPr>
              <w:t>(</w:t>
            </w:r>
            <w:r w:rsidRPr="001A4B94">
              <w:rPr>
                <w:rFonts w:eastAsiaTheme="minorHAnsi"/>
                <w:sz w:val="18"/>
                <w:szCs w:val="18"/>
                <w:lang w:val="tr-TR"/>
              </w:rPr>
              <w:t>2014 MY</w:t>
            </w:r>
            <w:r w:rsidR="00747261" w:rsidRPr="001A4B94">
              <w:rPr>
                <w:rFonts w:eastAsiaTheme="minorHAnsi"/>
                <w:sz w:val="18"/>
                <w:szCs w:val="18"/>
                <w:lang w:val="tr-TR"/>
              </w:rPr>
              <w:t xml:space="preserve">) P144290 </w:t>
            </w:r>
            <w:r w:rsidRPr="001A4B94">
              <w:rPr>
                <w:rFonts w:eastAsiaTheme="minorHAnsi"/>
                <w:sz w:val="18"/>
                <w:szCs w:val="18"/>
                <w:lang w:val="tr-TR"/>
              </w:rPr>
              <w:t>Vakıf Fonu Avrupa Komisyonu</w:t>
            </w:r>
            <w:r w:rsidR="00747261" w:rsidRPr="001A4B94">
              <w:rPr>
                <w:rFonts w:eastAsiaTheme="minorHAnsi"/>
                <w:sz w:val="18"/>
                <w:szCs w:val="18"/>
                <w:lang w:val="tr-TR"/>
              </w:rPr>
              <w:t>:</w:t>
            </w:r>
          </w:p>
          <w:p w14:paraId="46917856" w14:textId="3239FEEE" w:rsidR="00747261" w:rsidRPr="001A4B94" w:rsidRDefault="00C071CC"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TY – Düzenli Ekonomik Güncelleme </w:t>
            </w:r>
            <w:r w:rsidR="00747261" w:rsidRPr="001A4B94">
              <w:rPr>
                <w:rFonts w:eastAsiaTheme="minorHAnsi"/>
                <w:sz w:val="18"/>
                <w:szCs w:val="18"/>
                <w:lang w:val="tr-TR"/>
              </w:rPr>
              <w:t>(</w:t>
            </w:r>
            <w:r w:rsidRPr="001A4B94">
              <w:rPr>
                <w:rFonts w:eastAsiaTheme="minorHAnsi"/>
                <w:sz w:val="18"/>
                <w:szCs w:val="18"/>
                <w:lang w:val="tr-TR"/>
              </w:rPr>
              <w:t>2014 MY</w:t>
            </w:r>
            <w:r w:rsidR="00747261" w:rsidRPr="001A4B94">
              <w:rPr>
                <w:rFonts w:eastAsiaTheme="minorHAnsi"/>
                <w:sz w:val="18"/>
                <w:szCs w:val="18"/>
                <w:lang w:val="tr-TR"/>
              </w:rPr>
              <w:t>) P146343</w:t>
            </w:r>
          </w:p>
          <w:p w14:paraId="55C24352" w14:textId="6521433E" w:rsidR="00747261" w:rsidRPr="001A4B94" w:rsidRDefault="00C071CC" w:rsidP="00C24F8F">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FY – Finansal Okuryazarlık </w:t>
            </w:r>
            <w:r w:rsidR="00747261" w:rsidRPr="001A4B94">
              <w:rPr>
                <w:rFonts w:eastAsiaTheme="minorHAnsi"/>
                <w:sz w:val="18"/>
                <w:szCs w:val="18"/>
                <w:lang w:val="tr-TR"/>
              </w:rPr>
              <w:t>(</w:t>
            </w:r>
            <w:r w:rsidRPr="001A4B94">
              <w:rPr>
                <w:rFonts w:eastAsiaTheme="minorHAnsi"/>
                <w:sz w:val="18"/>
                <w:szCs w:val="18"/>
                <w:lang w:val="tr-TR"/>
              </w:rPr>
              <w:t>Tasarruflar ile ilgili Program Odaklı Ülke Ekonomik Memorandumunun devamı niteliğinde</w:t>
            </w:r>
            <w:r w:rsidR="00747261" w:rsidRPr="001A4B94">
              <w:rPr>
                <w:rFonts w:eastAsiaTheme="minorHAnsi"/>
                <w:sz w:val="18"/>
                <w:szCs w:val="18"/>
                <w:lang w:val="tr-TR"/>
              </w:rPr>
              <w:t>) (</w:t>
            </w:r>
            <w:r w:rsidRPr="001A4B94">
              <w:rPr>
                <w:rFonts w:eastAsiaTheme="minorHAnsi"/>
                <w:sz w:val="18"/>
                <w:szCs w:val="18"/>
                <w:lang w:val="tr-TR"/>
              </w:rPr>
              <w:t>2012 MY</w:t>
            </w:r>
            <w:r w:rsidR="00747261" w:rsidRPr="001A4B94">
              <w:rPr>
                <w:rFonts w:eastAsiaTheme="minorHAnsi"/>
                <w:sz w:val="18"/>
                <w:szCs w:val="18"/>
                <w:lang w:val="tr-TR"/>
              </w:rPr>
              <w:t>) P127354</w:t>
            </w:r>
          </w:p>
        </w:tc>
      </w:tr>
      <w:tr w:rsidR="00747261" w:rsidRPr="001A4B94" w14:paraId="6CF917EA" w14:textId="77777777" w:rsidTr="00747261">
        <w:trPr>
          <w:trHeight w:val="1088"/>
        </w:trPr>
        <w:tc>
          <w:tcPr>
            <w:tcW w:w="1214" w:type="pct"/>
          </w:tcPr>
          <w:p w14:paraId="70B4D346" w14:textId="73529E22" w:rsidR="00747261" w:rsidRPr="001A4B94" w:rsidRDefault="006F0204" w:rsidP="00747261">
            <w:pPr>
              <w:spacing w:after="160" w:line="259" w:lineRule="auto"/>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1: </w:t>
            </w:r>
            <w:r w:rsidR="00A83D11" w:rsidRPr="001A4B94">
              <w:rPr>
                <w:rFonts w:eastAsiaTheme="minorHAnsi"/>
                <w:sz w:val="18"/>
                <w:szCs w:val="18"/>
                <w:lang w:val="tr-TR" w:bidi="en-US"/>
              </w:rPr>
              <w:t>Yeni gönüllü emeklilik sistemine katılım</w:t>
            </w:r>
            <w:r w:rsidR="00747261" w:rsidRPr="001A4B94">
              <w:rPr>
                <w:rFonts w:eastAsiaTheme="minorHAnsi"/>
                <w:sz w:val="18"/>
                <w:szCs w:val="18"/>
                <w:lang w:val="tr-TR" w:bidi="en-US"/>
              </w:rPr>
              <w:t xml:space="preserve">. </w:t>
            </w:r>
          </w:p>
          <w:p w14:paraId="641A0CF4" w14:textId="00CC1B89" w:rsidR="00747261" w:rsidRPr="001A4B94" w:rsidRDefault="00A83D11" w:rsidP="00747261">
            <w:pPr>
              <w:rPr>
                <w:rFonts w:eastAsiaTheme="minorEastAsia"/>
                <w:sz w:val="18"/>
                <w:szCs w:val="18"/>
                <w:lang w:val="tr-TR" w:eastAsia="ja-JP"/>
              </w:rPr>
            </w:pPr>
            <w:r w:rsidRPr="001A4B94">
              <w:rPr>
                <w:rFonts w:eastAsiaTheme="minorEastAsia"/>
                <w:b/>
                <w:sz w:val="18"/>
                <w:szCs w:val="18"/>
                <w:lang w:val="tr-TR" w:eastAsia="ja-JP"/>
              </w:rPr>
              <w:t>Başlangıç Durumu</w:t>
            </w:r>
            <w:r w:rsidR="00747261" w:rsidRPr="001A4B94">
              <w:rPr>
                <w:rFonts w:eastAsiaTheme="minorEastAsia"/>
                <w:b/>
                <w:sz w:val="18"/>
                <w:szCs w:val="18"/>
                <w:lang w:val="tr-TR" w:eastAsia="ja-JP"/>
              </w:rPr>
              <w:t>:</w:t>
            </w:r>
            <w:r w:rsidR="00747261" w:rsidRPr="001A4B94">
              <w:rPr>
                <w:rFonts w:eastAsiaTheme="minorEastAsia"/>
                <w:sz w:val="18"/>
                <w:szCs w:val="18"/>
                <w:lang w:val="tr-TR" w:eastAsia="ja-JP"/>
              </w:rPr>
              <w:t xml:space="preserve"> </w:t>
            </w:r>
            <w:r w:rsidRPr="001A4B94">
              <w:rPr>
                <w:rFonts w:eastAsiaTheme="minorEastAsia"/>
                <w:sz w:val="18"/>
                <w:szCs w:val="18"/>
                <w:lang w:val="tr-TR" w:eastAsia="ja-JP"/>
              </w:rPr>
              <w:t xml:space="preserve">2012 itibariyle </w:t>
            </w:r>
            <w:r w:rsidR="00747261" w:rsidRPr="001A4B94">
              <w:rPr>
                <w:rFonts w:eastAsiaTheme="minorEastAsia"/>
                <w:sz w:val="18"/>
                <w:szCs w:val="18"/>
                <w:lang w:val="tr-TR" w:eastAsia="ja-JP"/>
              </w:rPr>
              <w:t>3</w:t>
            </w:r>
            <w:r w:rsidRPr="001A4B94">
              <w:rPr>
                <w:rFonts w:eastAsiaTheme="minorEastAsia"/>
                <w:sz w:val="18"/>
                <w:szCs w:val="18"/>
                <w:lang w:val="tr-TR" w:eastAsia="ja-JP"/>
              </w:rPr>
              <w:t>,</w:t>
            </w:r>
            <w:r w:rsidR="00747261" w:rsidRPr="001A4B94">
              <w:rPr>
                <w:rFonts w:eastAsiaTheme="minorEastAsia"/>
                <w:sz w:val="18"/>
                <w:szCs w:val="18"/>
                <w:lang w:val="tr-TR" w:eastAsia="ja-JP"/>
              </w:rPr>
              <w:t xml:space="preserve">1 </w:t>
            </w:r>
            <w:r w:rsidRPr="001A4B94">
              <w:rPr>
                <w:rFonts w:eastAsiaTheme="minorEastAsia"/>
                <w:sz w:val="18"/>
                <w:szCs w:val="18"/>
                <w:lang w:val="tr-TR" w:eastAsia="ja-JP"/>
              </w:rPr>
              <w:t>milyon katılımcı</w:t>
            </w:r>
            <w:r w:rsidR="00747261" w:rsidRPr="001A4B94">
              <w:rPr>
                <w:rFonts w:eastAsiaTheme="minorEastAsia"/>
                <w:sz w:val="18"/>
                <w:szCs w:val="18"/>
                <w:lang w:val="tr-TR" w:eastAsia="ja-JP"/>
              </w:rPr>
              <w:t xml:space="preserve">. </w:t>
            </w:r>
          </w:p>
          <w:p w14:paraId="566FD577" w14:textId="174994F9" w:rsidR="00747261" w:rsidRPr="001A4B94" w:rsidRDefault="00A83D11" w:rsidP="00747261">
            <w:pPr>
              <w:rPr>
                <w:rFonts w:eastAsiaTheme="minorEastAsia"/>
                <w:sz w:val="18"/>
                <w:szCs w:val="18"/>
                <w:lang w:val="tr-TR" w:eastAsia="ja-JP"/>
              </w:rPr>
            </w:pPr>
            <w:r w:rsidRPr="001A4B94">
              <w:rPr>
                <w:rFonts w:eastAsiaTheme="minorEastAsia"/>
                <w:b/>
                <w:sz w:val="18"/>
                <w:szCs w:val="18"/>
                <w:lang w:val="tr-TR" w:eastAsia="ja-JP"/>
              </w:rPr>
              <w:t>Hedef</w:t>
            </w:r>
            <w:r w:rsidR="00747261" w:rsidRPr="001A4B94">
              <w:rPr>
                <w:rFonts w:eastAsiaTheme="minorEastAsia"/>
                <w:b/>
                <w:sz w:val="18"/>
                <w:szCs w:val="18"/>
                <w:lang w:val="tr-TR" w:eastAsia="ja-JP"/>
              </w:rPr>
              <w:t xml:space="preserve">: </w:t>
            </w:r>
            <w:r w:rsidRPr="001A4B94">
              <w:rPr>
                <w:rFonts w:eastAsiaTheme="minorEastAsia"/>
                <w:sz w:val="18"/>
                <w:szCs w:val="18"/>
                <w:lang w:val="tr-TR" w:eastAsia="ja-JP"/>
              </w:rPr>
              <w:t>Spesifik bir hedef belirlenmedi</w:t>
            </w:r>
            <w:r w:rsidR="00747261" w:rsidRPr="001A4B94">
              <w:rPr>
                <w:rFonts w:eastAsiaTheme="minorEastAsia"/>
                <w:sz w:val="18"/>
                <w:szCs w:val="18"/>
                <w:lang w:val="tr-TR" w:eastAsia="ja-JP"/>
              </w:rPr>
              <w:t>.</w:t>
            </w:r>
          </w:p>
          <w:p w14:paraId="1B5D147E" w14:textId="77777777" w:rsidR="00747261" w:rsidRPr="001A4B94" w:rsidRDefault="00747261" w:rsidP="00747261">
            <w:pPr>
              <w:ind w:left="162"/>
              <w:rPr>
                <w:rFonts w:eastAsiaTheme="minorEastAsia"/>
                <w:b/>
                <w:sz w:val="18"/>
                <w:szCs w:val="18"/>
                <w:lang w:val="tr-TR" w:eastAsia="ja-JP" w:bidi="en-US"/>
              </w:rPr>
            </w:pPr>
          </w:p>
        </w:tc>
        <w:tc>
          <w:tcPr>
            <w:tcW w:w="1286" w:type="pct"/>
          </w:tcPr>
          <w:p w14:paraId="5CE7EC94" w14:textId="4C480687" w:rsidR="00747261" w:rsidRPr="001A4B94" w:rsidRDefault="00A83D11" w:rsidP="00C91682">
            <w:pPr>
              <w:spacing w:after="160" w:line="259" w:lineRule="auto"/>
              <w:contextualSpacing/>
              <w:rPr>
                <w:rFonts w:eastAsiaTheme="minorHAnsi"/>
                <w:b/>
                <w:sz w:val="22"/>
                <w:szCs w:val="22"/>
                <w:lang w:val="tr-TR" w:bidi="en-US"/>
              </w:rPr>
            </w:pPr>
            <w:r w:rsidRPr="001A4B94">
              <w:rPr>
                <w:rFonts w:eastAsiaTheme="minorHAnsi"/>
                <w:b/>
                <w:sz w:val="18"/>
                <w:szCs w:val="18"/>
                <w:lang w:val="tr-TR" w:bidi="en-US"/>
              </w:rPr>
              <w:t>Karşılandı</w:t>
            </w:r>
            <w:r w:rsidR="00747261" w:rsidRPr="001A4B94">
              <w:rPr>
                <w:rFonts w:eastAsiaTheme="minorHAnsi"/>
                <w:sz w:val="18"/>
                <w:szCs w:val="18"/>
                <w:lang w:val="tr-TR" w:bidi="en-US"/>
              </w:rPr>
              <w:t xml:space="preserve">. </w:t>
            </w:r>
            <w:r w:rsidRPr="001A4B94">
              <w:rPr>
                <w:rFonts w:eastAsiaTheme="minorHAnsi"/>
                <w:sz w:val="18"/>
                <w:szCs w:val="18"/>
                <w:lang w:val="tr-TR"/>
              </w:rPr>
              <w:t>Katılım</w:t>
            </w:r>
            <w:r w:rsidR="00387355" w:rsidRPr="001A4B94">
              <w:rPr>
                <w:rFonts w:eastAsiaTheme="minorHAnsi"/>
                <w:sz w:val="18"/>
                <w:szCs w:val="18"/>
                <w:lang w:val="tr-TR"/>
              </w:rPr>
              <w:t>c</w:t>
            </w:r>
            <w:r w:rsidRPr="001A4B94">
              <w:rPr>
                <w:rFonts w:eastAsiaTheme="minorHAnsi"/>
                <w:sz w:val="18"/>
                <w:szCs w:val="18"/>
                <w:lang w:val="tr-TR"/>
              </w:rPr>
              <w:t>ı sayısı öne</w:t>
            </w:r>
            <w:r w:rsidR="00C071CC" w:rsidRPr="001A4B94">
              <w:rPr>
                <w:rFonts w:eastAsiaTheme="minorHAnsi"/>
                <w:sz w:val="18"/>
                <w:szCs w:val="18"/>
                <w:lang w:val="tr-TR"/>
              </w:rPr>
              <w:t>mli ölçü</w:t>
            </w:r>
            <w:r w:rsidRPr="001A4B94">
              <w:rPr>
                <w:rFonts w:eastAsiaTheme="minorHAnsi"/>
                <w:sz w:val="18"/>
                <w:szCs w:val="18"/>
                <w:lang w:val="tr-TR"/>
              </w:rPr>
              <w:t>de arttı ve 2014 sonu itibariyle 5,1 milyona ulaştı</w:t>
            </w:r>
            <w:r w:rsidR="00747261" w:rsidRPr="001A4B94">
              <w:rPr>
                <w:rFonts w:eastAsiaTheme="minorHAnsi"/>
                <w:sz w:val="18"/>
                <w:szCs w:val="18"/>
                <w:lang w:val="tr-TR"/>
              </w:rPr>
              <w:t xml:space="preserve">. </w:t>
            </w:r>
            <w:r w:rsidR="00C071CC" w:rsidRPr="001A4B94">
              <w:rPr>
                <w:rFonts w:eastAsiaTheme="minorHAnsi"/>
                <w:sz w:val="18"/>
                <w:szCs w:val="18"/>
                <w:lang w:val="tr-TR"/>
              </w:rPr>
              <w:t>Bu rakam Nisan 2016’da 6,2 milyo</w:t>
            </w:r>
            <w:r w:rsidRPr="001A4B94">
              <w:rPr>
                <w:rFonts w:eastAsiaTheme="minorHAnsi"/>
                <w:sz w:val="18"/>
                <w:szCs w:val="18"/>
                <w:lang w:val="tr-TR"/>
              </w:rPr>
              <w:t>na ulaştı</w:t>
            </w:r>
            <w:r w:rsidR="00747261" w:rsidRPr="001A4B94">
              <w:rPr>
                <w:rFonts w:eastAsiaTheme="minorHAnsi"/>
                <w:sz w:val="18"/>
                <w:szCs w:val="18"/>
                <w:lang w:val="tr-TR"/>
              </w:rPr>
              <w:t>.</w:t>
            </w:r>
            <w:r w:rsidR="00747261" w:rsidRPr="001A4B94">
              <w:rPr>
                <w:rFonts w:eastAsiaTheme="minorHAnsi"/>
                <w:b/>
                <w:sz w:val="18"/>
                <w:szCs w:val="18"/>
                <w:lang w:val="tr-TR"/>
              </w:rPr>
              <w:t xml:space="preserve"> </w:t>
            </w:r>
            <w:r w:rsidRPr="001A4B94">
              <w:rPr>
                <w:rFonts w:eastAsiaTheme="minorHAnsi"/>
                <w:sz w:val="18"/>
                <w:szCs w:val="18"/>
                <w:lang w:val="tr-TR"/>
              </w:rPr>
              <w:t xml:space="preserve">Hükümet ayrıca </w:t>
            </w:r>
            <w:r w:rsidR="008A552D" w:rsidRPr="001A4B94">
              <w:rPr>
                <w:rFonts w:eastAsiaTheme="minorHAnsi"/>
                <w:sz w:val="18"/>
                <w:szCs w:val="18"/>
                <w:lang w:val="tr-TR"/>
              </w:rPr>
              <w:t>y</w:t>
            </w:r>
            <w:r w:rsidR="00C91682" w:rsidRPr="001A4B94">
              <w:rPr>
                <w:rFonts w:eastAsiaTheme="minorHAnsi"/>
                <w:sz w:val="18"/>
                <w:szCs w:val="18"/>
                <w:lang w:val="tr-TR"/>
              </w:rPr>
              <w:t>eni özel sektör ç</w:t>
            </w:r>
            <w:r w:rsidR="00C071CC" w:rsidRPr="001A4B94">
              <w:rPr>
                <w:rFonts w:eastAsiaTheme="minorHAnsi"/>
                <w:sz w:val="18"/>
                <w:szCs w:val="18"/>
                <w:lang w:val="tr-TR"/>
              </w:rPr>
              <w:t>alışanları için gönüllü emeklik sistemin</w:t>
            </w:r>
            <w:r w:rsidR="00C91682" w:rsidRPr="001A4B94">
              <w:rPr>
                <w:rFonts w:eastAsiaTheme="minorHAnsi"/>
                <w:sz w:val="18"/>
                <w:szCs w:val="18"/>
                <w:lang w:val="tr-TR"/>
              </w:rPr>
              <w:t>i göreve başladıktan sonraki ilk iki ay için zorunlu hale getirdi</w:t>
            </w:r>
            <w:r w:rsidR="00747261" w:rsidRPr="001A4B94">
              <w:rPr>
                <w:rFonts w:eastAsiaTheme="minorHAnsi"/>
                <w:sz w:val="18"/>
                <w:szCs w:val="18"/>
                <w:lang w:val="tr-TR"/>
              </w:rPr>
              <w:t xml:space="preserve">. </w:t>
            </w:r>
            <w:r w:rsidR="00C91682" w:rsidRPr="001A4B94">
              <w:rPr>
                <w:rFonts w:eastAsiaTheme="minorHAnsi"/>
                <w:sz w:val="18"/>
                <w:szCs w:val="18"/>
                <w:lang w:val="tr-TR"/>
              </w:rPr>
              <w:t>İkinci ay sonunda ça</w:t>
            </w:r>
            <w:r w:rsidR="00C071CC" w:rsidRPr="001A4B94">
              <w:rPr>
                <w:rFonts w:eastAsiaTheme="minorHAnsi"/>
                <w:sz w:val="18"/>
                <w:szCs w:val="18"/>
                <w:lang w:val="tr-TR"/>
              </w:rPr>
              <w:t>lışan sistemden çıkabilmektedir</w:t>
            </w:r>
            <w:r w:rsidR="00747261" w:rsidRPr="001A4B94">
              <w:rPr>
                <w:rFonts w:eastAsiaTheme="minorHAnsi"/>
                <w:sz w:val="18"/>
                <w:szCs w:val="18"/>
                <w:lang w:val="tr-TR"/>
              </w:rPr>
              <w:t>.</w:t>
            </w:r>
          </w:p>
        </w:tc>
        <w:tc>
          <w:tcPr>
            <w:tcW w:w="2500" w:type="pct"/>
            <w:vMerge/>
          </w:tcPr>
          <w:p w14:paraId="486BDC8E" w14:textId="77777777" w:rsidR="00747261" w:rsidRPr="001A4B94" w:rsidRDefault="00747261" w:rsidP="00747261">
            <w:pPr>
              <w:rPr>
                <w:rFonts w:eastAsiaTheme="minorEastAsia"/>
                <w:b/>
                <w:sz w:val="18"/>
                <w:szCs w:val="18"/>
                <w:lang w:val="tr-TR" w:eastAsia="ja-JP"/>
              </w:rPr>
            </w:pPr>
          </w:p>
        </w:tc>
      </w:tr>
      <w:tr w:rsidR="00747261" w:rsidRPr="001A4B94" w14:paraId="40DC59FB" w14:textId="77777777" w:rsidTr="00747261">
        <w:trPr>
          <w:trHeight w:val="2465"/>
        </w:trPr>
        <w:tc>
          <w:tcPr>
            <w:tcW w:w="1214" w:type="pct"/>
          </w:tcPr>
          <w:p w14:paraId="2B174E2A" w14:textId="33AFD9AB" w:rsidR="00747261" w:rsidRPr="001A4B94" w:rsidRDefault="00A83D11" w:rsidP="00747261">
            <w:pPr>
              <w:spacing w:after="160" w:line="259" w:lineRule="auto"/>
              <w:contextualSpacing/>
              <w:rPr>
                <w:rFonts w:eastAsiaTheme="minorHAnsi"/>
                <w:sz w:val="18"/>
                <w:szCs w:val="18"/>
                <w:lang w:val="tr-TR"/>
              </w:rPr>
            </w:pPr>
            <w:r w:rsidRPr="001A4B94">
              <w:rPr>
                <w:rFonts w:eastAsiaTheme="minorHAnsi"/>
                <w:b/>
                <w:i/>
                <w:sz w:val="18"/>
                <w:szCs w:val="18"/>
                <w:lang w:val="tr-TR"/>
              </w:rPr>
              <w:t>Sonuç</w:t>
            </w:r>
            <w:r w:rsidR="00747261" w:rsidRPr="001A4B94">
              <w:rPr>
                <w:rFonts w:eastAsiaTheme="minorHAnsi"/>
                <w:b/>
                <w:i/>
                <w:sz w:val="18"/>
                <w:szCs w:val="18"/>
                <w:lang w:val="tr-TR"/>
              </w:rPr>
              <w:t xml:space="preserve"> 2:</w:t>
            </w:r>
            <w:r w:rsidR="00747261" w:rsidRPr="001A4B94">
              <w:rPr>
                <w:rFonts w:eastAsiaTheme="minorHAnsi"/>
                <w:sz w:val="18"/>
                <w:szCs w:val="18"/>
                <w:lang w:val="tr-TR"/>
              </w:rPr>
              <w:t xml:space="preserve"> </w:t>
            </w:r>
            <w:r w:rsidRPr="001A4B94">
              <w:rPr>
                <w:rFonts w:eastAsiaTheme="minorHAnsi"/>
                <w:sz w:val="18"/>
                <w:szCs w:val="18"/>
                <w:lang w:val="tr-TR"/>
              </w:rPr>
              <w:t>Yeni gelir vergisi kanunu</w:t>
            </w:r>
            <w:r w:rsidR="00C91682" w:rsidRPr="001A4B94">
              <w:rPr>
                <w:rFonts w:eastAsiaTheme="minorHAnsi"/>
                <w:sz w:val="18"/>
                <w:szCs w:val="18"/>
                <w:lang w:val="tr-TR"/>
              </w:rPr>
              <w:t xml:space="preserve"> ile </w:t>
            </w:r>
            <w:r w:rsidRPr="001A4B94">
              <w:rPr>
                <w:rFonts w:eastAsiaTheme="minorHAnsi"/>
                <w:sz w:val="18"/>
                <w:szCs w:val="18"/>
                <w:lang w:val="tr-TR"/>
              </w:rPr>
              <w:t xml:space="preserve">gelir </w:t>
            </w:r>
            <w:r w:rsidR="00C91682" w:rsidRPr="001A4B94">
              <w:rPr>
                <w:rFonts w:eastAsiaTheme="minorHAnsi"/>
                <w:sz w:val="18"/>
                <w:szCs w:val="18"/>
                <w:lang w:val="tr-TR"/>
              </w:rPr>
              <w:t>v</w:t>
            </w:r>
            <w:r w:rsidRPr="001A4B94">
              <w:rPr>
                <w:rFonts w:eastAsiaTheme="minorHAnsi"/>
                <w:sz w:val="18"/>
                <w:szCs w:val="18"/>
                <w:lang w:val="tr-TR"/>
              </w:rPr>
              <w:t xml:space="preserve">ergisi beyan eden </w:t>
            </w:r>
            <w:r w:rsidR="00C071CC" w:rsidRPr="001A4B94">
              <w:rPr>
                <w:rFonts w:eastAsiaTheme="minorHAnsi"/>
                <w:sz w:val="18"/>
                <w:szCs w:val="18"/>
                <w:lang w:val="tr-TR"/>
              </w:rPr>
              <w:t>mükellef</w:t>
            </w:r>
            <w:r w:rsidRPr="001A4B94">
              <w:rPr>
                <w:rFonts w:eastAsiaTheme="minorHAnsi"/>
                <w:sz w:val="18"/>
                <w:szCs w:val="18"/>
                <w:lang w:val="tr-TR"/>
              </w:rPr>
              <w:t xml:space="preserve"> sayısında artı</w:t>
            </w:r>
            <w:r w:rsidR="00C91682" w:rsidRPr="001A4B94">
              <w:rPr>
                <w:rFonts w:eastAsiaTheme="minorHAnsi"/>
                <w:sz w:val="18"/>
                <w:szCs w:val="18"/>
                <w:lang w:val="tr-TR"/>
              </w:rPr>
              <w:t>ş</w:t>
            </w:r>
            <w:r w:rsidRPr="001A4B94">
              <w:rPr>
                <w:rFonts w:eastAsiaTheme="minorHAnsi"/>
                <w:sz w:val="18"/>
                <w:szCs w:val="18"/>
                <w:lang w:val="tr-TR"/>
              </w:rPr>
              <w:t xml:space="preserve"> sağlaması</w:t>
            </w:r>
            <w:r w:rsidR="00747261" w:rsidRPr="001A4B94">
              <w:rPr>
                <w:rFonts w:eastAsiaTheme="minorHAnsi"/>
                <w:sz w:val="18"/>
                <w:szCs w:val="18"/>
                <w:lang w:val="tr-TR"/>
              </w:rPr>
              <w:t xml:space="preserve">. </w:t>
            </w:r>
          </w:p>
          <w:p w14:paraId="381E794D" w14:textId="1BF23DBC" w:rsidR="00747261" w:rsidRPr="001A4B94" w:rsidRDefault="00A83D11" w:rsidP="00747261">
            <w:pPr>
              <w:rPr>
                <w:rFonts w:eastAsiaTheme="minorEastAsia"/>
                <w:sz w:val="18"/>
                <w:szCs w:val="18"/>
                <w:lang w:val="tr-TR" w:eastAsia="ja-JP"/>
              </w:rPr>
            </w:pPr>
            <w:r w:rsidRPr="001A4B94">
              <w:rPr>
                <w:rFonts w:eastAsiaTheme="minorEastAsia"/>
                <w:b/>
                <w:sz w:val="18"/>
                <w:szCs w:val="18"/>
                <w:lang w:val="tr-TR" w:eastAsia="ja-JP"/>
              </w:rPr>
              <w:t>Başlangıç Durumu</w:t>
            </w:r>
            <w:r w:rsidR="00747261" w:rsidRPr="001A4B94">
              <w:rPr>
                <w:rFonts w:eastAsiaTheme="minorEastAsia"/>
                <w:b/>
                <w:sz w:val="18"/>
                <w:szCs w:val="18"/>
                <w:lang w:val="tr-TR" w:eastAsia="ja-JP"/>
              </w:rPr>
              <w:t>:</w:t>
            </w:r>
            <w:r w:rsidR="00747261" w:rsidRPr="001A4B94">
              <w:rPr>
                <w:rFonts w:eastAsiaTheme="minorEastAsia"/>
                <w:sz w:val="18"/>
                <w:szCs w:val="18"/>
                <w:lang w:val="tr-TR" w:eastAsia="ja-JP"/>
              </w:rPr>
              <w:t xml:space="preserve"> </w:t>
            </w:r>
            <w:r w:rsidRPr="001A4B94">
              <w:rPr>
                <w:rFonts w:eastAsiaTheme="minorEastAsia"/>
                <w:sz w:val="18"/>
                <w:szCs w:val="18"/>
                <w:lang w:val="tr-TR" w:eastAsia="ja-JP"/>
              </w:rPr>
              <w:t xml:space="preserve">2012 yılında </w:t>
            </w:r>
            <w:r w:rsidR="00747261" w:rsidRPr="001A4B94">
              <w:rPr>
                <w:rFonts w:eastAsiaTheme="minorEastAsia"/>
                <w:sz w:val="18"/>
                <w:szCs w:val="18"/>
                <w:lang w:val="tr-TR" w:eastAsia="ja-JP"/>
              </w:rPr>
              <w:t>523</w:t>
            </w:r>
            <w:r w:rsidRPr="001A4B94">
              <w:rPr>
                <w:rFonts w:eastAsiaTheme="minorEastAsia"/>
                <w:sz w:val="18"/>
                <w:szCs w:val="18"/>
                <w:lang w:val="tr-TR" w:eastAsia="ja-JP"/>
              </w:rPr>
              <w:t>.</w:t>
            </w:r>
            <w:r w:rsidR="00747261" w:rsidRPr="001A4B94">
              <w:rPr>
                <w:rFonts w:eastAsiaTheme="minorEastAsia"/>
                <w:sz w:val="18"/>
                <w:szCs w:val="18"/>
                <w:lang w:val="tr-TR" w:eastAsia="ja-JP"/>
              </w:rPr>
              <w:t>982</w:t>
            </w:r>
            <w:r w:rsidRPr="001A4B94">
              <w:rPr>
                <w:rFonts w:eastAsiaTheme="minorEastAsia"/>
                <w:sz w:val="18"/>
                <w:szCs w:val="18"/>
                <w:lang w:val="tr-TR" w:eastAsia="ja-JP"/>
              </w:rPr>
              <w:t xml:space="preserve"> mükellef</w:t>
            </w:r>
            <w:r w:rsidR="00747261" w:rsidRPr="001A4B94">
              <w:rPr>
                <w:rFonts w:eastAsiaTheme="minorEastAsia"/>
                <w:sz w:val="18"/>
                <w:szCs w:val="18"/>
                <w:lang w:val="tr-TR" w:eastAsia="ja-JP"/>
              </w:rPr>
              <w:t xml:space="preserve">. </w:t>
            </w:r>
          </w:p>
          <w:p w14:paraId="042042DD" w14:textId="1A68E166" w:rsidR="00747261" w:rsidRPr="001A4B94" w:rsidRDefault="00A83D11" w:rsidP="00A83D11">
            <w:pPr>
              <w:jc w:val="both"/>
              <w:rPr>
                <w:rFonts w:eastAsiaTheme="minorEastAsia"/>
                <w:sz w:val="18"/>
                <w:szCs w:val="18"/>
                <w:lang w:val="tr-TR" w:eastAsia="ja-JP"/>
              </w:rPr>
            </w:pPr>
            <w:r w:rsidRPr="001A4B94">
              <w:rPr>
                <w:rFonts w:eastAsiaTheme="minorEastAsia"/>
                <w:b/>
                <w:sz w:val="18"/>
                <w:szCs w:val="18"/>
                <w:lang w:val="tr-TR" w:eastAsia="ja-JP"/>
              </w:rPr>
              <w:t>Hedef</w:t>
            </w:r>
            <w:r w:rsidR="00747261" w:rsidRPr="001A4B94">
              <w:rPr>
                <w:rFonts w:eastAsiaTheme="minorEastAsia"/>
                <w:b/>
                <w:sz w:val="18"/>
                <w:szCs w:val="18"/>
                <w:lang w:val="tr-TR" w:eastAsia="ja-JP"/>
              </w:rPr>
              <w:t>:</w:t>
            </w:r>
            <w:r w:rsidRPr="001A4B94">
              <w:rPr>
                <w:rFonts w:eastAsiaTheme="minorEastAsia"/>
                <w:b/>
                <w:sz w:val="18"/>
                <w:szCs w:val="18"/>
                <w:lang w:val="tr-TR" w:eastAsia="ja-JP"/>
              </w:rPr>
              <w:t xml:space="preserve"> </w:t>
            </w:r>
            <w:r w:rsidRPr="001A4B94">
              <w:rPr>
                <w:rFonts w:eastAsiaTheme="minorEastAsia"/>
                <w:sz w:val="18"/>
                <w:szCs w:val="18"/>
                <w:lang w:val="tr-TR" w:eastAsia="ja-JP"/>
              </w:rPr>
              <w:t>2014 itibariyle yüzde 10 artış</w:t>
            </w:r>
            <w:r w:rsidRPr="001A4B94">
              <w:rPr>
                <w:rFonts w:eastAsiaTheme="minorEastAsia"/>
                <w:b/>
                <w:sz w:val="18"/>
                <w:szCs w:val="18"/>
                <w:lang w:val="tr-TR" w:eastAsia="ja-JP"/>
              </w:rPr>
              <w:t xml:space="preserve"> </w:t>
            </w:r>
          </w:p>
          <w:p w14:paraId="64B1BB20" w14:textId="77777777" w:rsidR="00747261" w:rsidRPr="001A4B94" w:rsidRDefault="00747261" w:rsidP="00747261">
            <w:pPr>
              <w:ind w:left="162"/>
              <w:rPr>
                <w:rFonts w:eastAsiaTheme="minorEastAsia"/>
                <w:sz w:val="18"/>
                <w:szCs w:val="18"/>
                <w:lang w:val="tr-TR" w:eastAsia="ja-JP"/>
              </w:rPr>
            </w:pPr>
          </w:p>
          <w:p w14:paraId="1164A63A" w14:textId="77777777" w:rsidR="00747261" w:rsidRPr="001A4B94" w:rsidRDefault="00747261" w:rsidP="00747261">
            <w:pPr>
              <w:ind w:left="162"/>
              <w:rPr>
                <w:rFonts w:eastAsiaTheme="minorEastAsia"/>
                <w:b/>
                <w:sz w:val="18"/>
                <w:szCs w:val="18"/>
                <w:lang w:val="tr-TR" w:eastAsia="ja-JP" w:bidi="en-US"/>
              </w:rPr>
            </w:pPr>
          </w:p>
        </w:tc>
        <w:tc>
          <w:tcPr>
            <w:tcW w:w="1286" w:type="pct"/>
          </w:tcPr>
          <w:p w14:paraId="5D49AC40" w14:textId="5D9979E8" w:rsidR="00747261" w:rsidRPr="001A4B94" w:rsidRDefault="00747261" w:rsidP="00747261">
            <w:pPr>
              <w:ind w:left="-89"/>
              <w:rPr>
                <w:rFonts w:eastAsiaTheme="minorEastAsia"/>
                <w:b/>
                <w:sz w:val="18"/>
                <w:szCs w:val="18"/>
                <w:lang w:val="tr-TR" w:eastAsia="ja-JP" w:bidi="en-US"/>
              </w:rPr>
            </w:pPr>
            <w:r w:rsidRPr="001A4B94">
              <w:rPr>
                <w:rFonts w:eastAsiaTheme="minorEastAsia"/>
                <w:b/>
                <w:sz w:val="18"/>
                <w:szCs w:val="18"/>
                <w:lang w:val="tr-TR" w:eastAsia="ja-JP"/>
              </w:rPr>
              <w:t xml:space="preserve"> </w:t>
            </w:r>
            <w:r w:rsidR="00C91682" w:rsidRPr="001A4B94">
              <w:rPr>
                <w:rFonts w:eastAsiaTheme="minorEastAsia"/>
                <w:b/>
                <w:sz w:val="18"/>
                <w:szCs w:val="18"/>
                <w:lang w:val="tr-TR" w:eastAsia="ja-JP"/>
              </w:rPr>
              <w:t>Karşılanmadı</w:t>
            </w:r>
            <w:r w:rsidRPr="001A4B94">
              <w:rPr>
                <w:rFonts w:eastAsiaTheme="minorEastAsia"/>
                <w:b/>
                <w:sz w:val="18"/>
                <w:szCs w:val="18"/>
                <w:lang w:val="tr-TR" w:eastAsia="ja-JP"/>
              </w:rPr>
              <w:t xml:space="preserve">. </w:t>
            </w:r>
            <w:r w:rsidR="00C91682" w:rsidRPr="001A4B94">
              <w:rPr>
                <w:rFonts w:eastAsiaTheme="minorEastAsia"/>
                <w:sz w:val="18"/>
                <w:szCs w:val="18"/>
                <w:lang w:val="tr-TR" w:eastAsia="ja-JP" w:bidi="en-US"/>
              </w:rPr>
              <w:t>Yeni Gelir Vergisi Kanunu henüz onaylanmadı</w:t>
            </w:r>
            <w:r w:rsidRPr="001A4B94">
              <w:rPr>
                <w:rFonts w:eastAsiaTheme="minorEastAsia"/>
                <w:sz w:val="18"/>
                <w:szCs w:val="18"/>
                <w:lang w:val="tr-TR" w:eastAsia="ja-JP" w:bidi="en-US"/>
              </w:rPr>
              <w:t xml:space="preserve">. </w:t>
            </w:r>
            <w:r w:rsidR="00C91682" w:rsidRPr="001A4B94">
              <w:rPr>
                <w:rFonts w:eastAsiaTheme="minorEastAsia"/>
                <w:sz w:val="18"/>
                <w:szCs w:val="18"/>
                <w:lang w:val="tr-TR" w:eastAsia="ja-JP" w:bidi="en-US"/>
              </w:rPr>
              <w:t>Dolayısıyla</w:t>
            </w:r>
            <w:r w:rsidRPr="001A4B94">
              <w:rPr>
                <w:rFonts w:eastAsiaTheme="minorEastAsia"/>
                <w:sz w:val="18"/>
                <w:szCs w:val="18"/>
                <w:lang w:val="tr-TR" w:eastAsia="ja-JP" w:bidi="en-US"/>
              </w:rPr>
              <w:t xml:space="preserve">, </w:t>
            </w:r>
            <w:r w:rsidR="00C071CC" w:rsidRPr="001A4B94">
              <w:rPr>
                <w:rFonts w:eastAsiaTheme="minorEastAsia"/>
                <w:sz w:val="18"/>
                <w:szCs w:val="18"/>
                <w:lang w:val="tr-TR" w:eastAsia="ja-JP" w:bidi="en-US"/>
              </w:rPr>
              <w:t>2016 sonu itibariyle v</w:t>
            </w:r>
            <w:r w:rsidR="00C91682" w:rsidRPr="001A4B94">
              <w:rPr>
                <w:rFonts w:eastAsiaTheme="minorEastAsia"/>
                <w:sz w:val="18"/>
                <w:szCs w:val="18"/>
                <w:lang w:val="tr-TR" w:eastAsia="ja-JP" w:bidi="en-US"/>
              </w:rPr>
              <w:t>ergi mükellefi sayısında önemli bir artı</w:t>
            </w:r>
            <w:r w:rsidR="00F536D2" w:rsidRPr="001A4B94">
              <w:rPr>
                <w:rFonts w:eastAsiaTheme="minorEastAsia"/>
                <w:sz w:val="18"/>
                <w:szCs w:val="18"/>
                <w:lang w:val="tr-TR" w:eastAsia="ja-JP" w:bidi="en-US"/>
              </w:rPr>
              <w:t>ş</w:t>
            </w:r>
            <w:r w:rsidR="00C91682" w:rsidRPr="001A4B94">
              <w:rPr>
                <w:rFonts w:eastAsiaTheme="minorEastAsia"/>
                <w:sz w:val="18"/>
                <w:szCs w:val="18"/>
                <w:lang w:val="tr-TR" w:eastAsia="ja-JP" w:bidi="en-US"/>
              </w:rPr>
              <w:t xml:space="preserve"> olmamıştır </w:t>
            </w:r>
          </w:p>
        </w:tc>
        <w:tc>
          <w:tcPr>
            <w:tcW w:w="2500" w:type="pct"/>
            <w:vMerge/>
          </w:tcPr>
          <w:p w14:paraId="6E620164" w14:textId="77777777" w:rsidR="00747261" w:rsidRPr="001A4B94" w:rsidRDefault="00747261" w:rsidP="00747261">
            <w:pPr>
              <w:rPr>
                <w:rFonts w:eastAsiaTheme="minorEastAsia"/>
                <w:b/>
                <w:sz w:val="18"/>
                <w:szCs w:val="18"/>
                <w:lang w:val="tr-TR" w:eastAsia="ja-JP"/>
              </w:rPr>
            </w:pPr>
          </w:p>
        </w:tc>
      </w:tr>
    </w:tbl>
    <w:p w14:paraId="6074C760" w14:textId="77777777" w:rsidR="00747261" w:rsidRPr="001A4B94" w:rsidRDefault="00747261" w:rsidP="00747261">
      <w:pPr>
        <w:spacing w:after="160" w:line="259" w:lineRule="auto"/>
        <w:rPr>
          <w:rFonts w:asciiTheme="minorHAnsi" w:eastAsiaTheme="minorHAnsi" w:hAnsiTheme="minorHAnsi" w:cstheme="minorBidi"/>
          <w:sz w:val="18"/>
          <w:szCs w:val="18"/>
          <w:lang w:val="tr-TR"/>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3331"/>
        <w:gridCol w:w="6480"/>
      </w:tblGrid>
      <w:tr w:rsidR="00747261" w:rsidRPr="001A4B94" w14:paraId="6D95865C" w14:textId="77777777" w:rsidTr="00201B62">
        <w:trPr>
          <w:trHeight w:val="188"/>
        </w:trPr>
        <w:tc>
          <w:tcPr>
            <w:tcW w:w="5000" w:type="pct"/>
            <w:gridSpan w:val="3"/>
            <w:shd w:val="clear" w:color="auto" w:fill="D9D9D9" w:themeFill="background1" w:themeFillShade="D9"/>
          </w:tcPr>
          <w:p w14:paraId="7B119BDE" w14:textId="7166815B" w:rsidR="00747261" w:rsidRPr="001A4B94" w:rsidRDefault="00747261" w:rsidP="00747261">
            <w:pPr>
              <w:rPr>
                <w:rFonts w:eastAsiaTheme="minorEastAsia"/>
                <w:b/>
                <w:sz w:val="18"/>
                <w:szCs w:val="18"/>
                <w:lang w:val="tr-TR" w:eastAsia="ja-JP"/>
              </w:rPr>
            </w:pPr>
            <w:r w:rsidRPr="001A4B94">
              <w:rPr>
                <w:rFonts w:eastAsiaTheme="minorEastAsia"/>
                <w:sz w:val="18"/>
                <w:szCs w:val="18"/>
                <w:lang w:val="tr-TR" w:eastAsia="ja-JP"/>
              </w:rPr>
              <w:br w:type="page"/>
            </w:r>
            <w:r w:rsidR="00C071CC" w:rsidRPr="001A4B94">
              <w:rPr>
                <w:rFonts w:eastAsiaTheme="minorEastAsia"/>
                <w:b/>
                <w:sz w:val="18"/>
                <w:szCs w:val="18"/>
                <w:lang w:val="tr-TR" w:eastAsia="ja-JP"/>
              </w:rPr>
              <w:t xml:space="preserve">Tematik Alan </w:t>
            </w:r>
            <w:r w:rsidRPr="001A4B94">
              <w:rPr>
                <w:rFonts w:eastAsiaTheme="minorEastAsia"/>
                <w:b/>
                <w:sz w:val="18"/>
                <w:szCs w:val="18"/>
                <w:lang w:val="tr-TR" w:eastAsia="ja-JP"/>
              </w:rPr>
              <w:t xml:space="preserve">2:  </w:t>
            </w:r>
            <w:r w:rsidR="00C071CC" w:rsidRPr="001A4B94">
              <w:rPr>
                <w:rFonts w:eastAsiaTheme="minorEastAsia"/>
                <w:b/>
                <w:sz w:val="18"/>
                <w:szCs w:val="18"/>
                <w:lang w:val="tr-TR" w:eastAsia="ja-JP"/>
              </w:rPr>
              <w:t xml:space="preserve">Yatırım ve iş ortamının iyileştirilmesi; finansmana erişimin derinleştirilmesi ve </w:t>
            </w:r>
            <w:r w:rsidR="004451A5" w:rsidRPr="001A4B94">
              <w:rPr>
                <w:rFonts w:eastAsiaTheme="minorEastAsia"/>
                <w:b/>
                <w:sz w:val="18"/>
                <w:szCs w:val="18"/>
                <w:lang w:val="tr-TR" w:eastAsia="ja-JP"/>
              </w:rPr>
              <w:t>yaygınlaştırılması</w:t>
            </w:r>
            <w:r w:rsidRPr="001A4B94">
              <w:rPr>
                <w:rFonts w:eastAsiaTheme="minorEastAsia"/>
                <w:b/>
                <w:sz w:val="18"/>
                <w:szCs w:val="18"/>
                <w:lang w:val="tr-TR" w:eastAsia="ja-JP"/>
              </w:rPr>
              <w:t xml:space="preserve">; </w:t>
            </w:r>
            <w:r w:rsidR="008E396E" w:rsidRPr="001A4B94">
              <w:rPr>
                <w:rFonts w:eastAsiaTheme="minorEastAsia"/>
                <w:b/>
                <w:sz w:val="18"/>
                <w:szCs w:val="18"/>
                <w:lang w:val="tr-TR" w:eastAsia="ja-JP"/>
              </w:rPr>
              <w:t>istihdamın arttırılması</w:t>
            </w:r>
            <w:r w:rsidRPr="001A4B94">
              <w:rPr>
                <w:rFonts w:eastAsiaTheme="minorEastAsia"/>
                <w:b/>
                <w:sz w:val="18"/>
                <w:szCs w:val="18"/>
                <w:lang w:val="tr-TR" w:eastAsia="ja-JP"/>
              </w:rPr>
              <w:t xml:space="preserve">.  </w:t>
            </w:r>
            <w:r w:rsidRPr="001A4B94">
              <w:rPr>
                <w:rFonts w:eastAsiaTheme="minorEastAsia"/>
                <w:b/>
                <w:color w:val="FF0000"/>
                <w:sz w:val="18"/>
                <w:szCs w:val="18"/>
                <w:lang w:val="tr-TR" w:eastAsia="ja-JP"/>
              </w:rPr>
              <w:t xml:space="preserve">--- </w:t>
            </w:r>
            <w:r w:rsidR="008E396E" w:rsidRPr="001A4B94">
              <w:rPr>
                <w:rFonts w:eastAsiaTheme="minorEastAsia"/>
                <w:b/>
                <w:color w:val="FF0000"/>
                <w:sz w:val="18"/>
                <w:szCs w:val="18"/>
                <w:lang w:val="tr-TR" w:eastAsia="ja-JP"/>
              </w:rPr>
              <w:t>Kısmen başarıldı</w:t>
            </w:r>
          </w:p>
        </w:tc>
      </w:tr>
      <w:tr w:rsidR="00100E2B" w:rsidRPr="001A4B94" w14:paraId="49B1FACA" w14:textId="77777777" w:rsidTr="00201B62">
        <w:trPr>
          <w:trHeight w:val="440"/>
        </w:trPr>
        <w:tc>
          <w:tcPr>
            <w:tcW w:w="1286" w:type="pct"/>
            <w:shd w:val="clear" w:color="auto" w:fill="auto"/>
          </w:tcPr>
          <w:p w14:paraId="1C507B39" w14:textId="0C458B87" w:rsidR="00100E2B" w:rsidRPr="001A4B94" w:rsidRDefault="00100E2B" w:rsidP="00100E2B">
            <w:pPr>
              <w:spacing w:after="160" w:line="259" w:lineRule="auto"/>
              <w:rPr>
                <w:rFonts w:eastAsiaTheme="minorHAnsi"/>
                <w:sz w:val="18"/>
                <w:szCs w:val="18"/>
                <w:lang w:val="tr-TR"/>
              </w:rPr>
            </w:pPr>
            <w:r w:rsidRPr="001A4B94">
              <w:rPr>
                <w:rFonts w:eastAsiaTheme="minorHAnsi"/>
                <w:b/>
                <w:sz w:val="18"/>
                <w:szCs w:val="18"/>
                <w:lang w:val="tr-TR" w:bidi="en-US"/>
              </w:rPr>
              <w:t xml:space="preserve">DBG Sonuç Göstergeleri </w:t>
            </w:r>
          </w:p>
        </w:tc>
        <w:tc>
          <w:tcPr>
            <w:tcW w:w="1261" w:type="pct"/>
            <w:shd w:val="clear" w:color="auto" w:fill="auto"/>
          </w:tcPr>
          <w:p w14:paraId="569400AA" w14:textId="0AEEBE9C" w:rsidR="00100E2B" w:rsidRPr="001A4B94" w:rsidRDefault="00100E2B" w:rsidP="00100E2B">
            <w:pPr>
              <w:rPr>
                <w:rFonts w:eastAsia="Calibri"/>
                <w:b/>
                <w:sz w:val="18"/>
                <w:szCs w:val="18"/>
                <w:lang w:val="tr-TR"/>
              </w:rPr>
            </w:pPr>
            <w:r w:rsidRPr="001A4B94">
              <w:rPr>
                <w:rFonts w:eastAsiaTheme="minorHAnsi"/>
                <w:b/>
                <w:sz w:val="18"/>
                <w:szCs w:val="18"/>
                <w:lang w:val="tr-TR" w:bidi="en-US"/>
              </w:rPr>
              <w:t>Bugüne Kadar Kaydedilen İlerleme:</w:t>
            </w:r>
          </w:p>
        </w:tc>
        <w:tc>
          <w:tcPr>
            <w:tcW w:w="2451" w:type="pct"/>
            <w:vMerge w:val="restart"/>
            <w:shd w:val="clear" w:color="auto" w:fill="auto"/>
          </w:tcPr>
          <w:p w14:paraId="06EA5420" w14:textId="7FD6077F" w:rsidR="00100E2B" w:rsidRPr="001A4B94" w:rsidRDefault="00100E2B" w:rsidP="00100E2B">
            <w:pPr>
              <w:rPr>
                <w:rFonts w:eastAsiaTheme="minorEastAsia"/>
                <w:b/>
                <w:sz w:val="18"/>
                <w:szCs w:val="18"/>
                <w:lang w:val="tr-TR" w:eastAsia="ja-JP"/>
              </w:rPr>
            </w:pPr>
            <w:r w:rsidRPr="001A4B94">
              <w:rPr>
                <w:rFonts w:eastAsiaTheme="minorEastAsia"/>
                <w:sz w:val="18"/>
                <w:szCs w:val="18"/>
                <w:lang w:val="tr-TR" w:eastAsia="ja-JP"/>
              </w:rPr>
              <w:t xml:space="preserve"> </w:t>
            </w:r>
            <w:r w:rsidRPr="001A4B94">
              <w:rPr>
                <w:rFonts w:eastAsiaTheme="minorEastAsia"/>
                <w:b/>
                <w:sz w:val="18"/>
                <w:szCs w:val="18"/>
                <w:lang w:val="tr-TR" w:eastAsia="ja-JP"/>
              </w:rPr>
              <w:t xml:space="preserve">IBRD </w:t>
            </w:r>
            <w:r w:rsidR="00264FF4" w:rsidRPr="001A4B94">
              <w:rPr>
                <w:rFonts w:eastAsiaTheme="minorEastAsia"/>
                <w:b/>
                <w:sz w:val="18"/>
                <w:szCs w:val="18"/>
                <w:lang w:val="tr-TR" w:eastAsia="ja-JP"/>
              </w:rPr>
              <w:t>Finansmanı</w:t>
            </w:r>
            <w:r w:rsidRPr="001A4B94">
              <w:rPr>
                <w:rFonts w:eastAsiaTheme="minorEastAsia"/>
                <w:b/>
                <w:sz w:val="18"/>
                <w:szCs w:val="18"/>
                <w:lang w:val="tr-TR" w:eastAsia="ja-JP"/>
              </w:rPr>
              <w:t>:</w:t>
            </w:r>
          </w:p>
          <w:p w14:paraId="66AA0559" w14:textId="2B365183" w:rsidR="00100E2B" w:rsidRPr="001A4B94" w:rsidRDefault="00264FF4"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Halkbank’a M-KOBİ Kredisi </w:t>
            </w:r>
            <w:r w:rsidR="00100E2B" w:rsidRPr="001A4B94">
              <w:rPr>
                <w:rFonts w:eastAsia="Calibri"/>
                <w:sz w:val="18"/>
                <w:szCs w:val="18"/>
                <w:lang w:val="tr-TR"/>
              </w:rPr>
              <w:t>(</w:t>
            </w:r>
            <w:r w:rsidRPr="001A4B94">
              <w:rPr>
                <w:rFonts w:eastAsia="Calibri"/>
                <w:sz w:val="18"/>
                <w:szCs w:val="18"/>
                <w:lang w:val="tr-TR"/>
              </w:rPr>
              <w:t>2016 MY</w:t>
            </w:r>
            <w:r w:rsidR="00100E2B" w:rsidRPr="001A4B94">
              <w:rPr>
                <w:rFonts w:eastAsia="Calibri"/>
                <w:sz w:val="18"/>
                <w:szCs w:val="18"/>
                <w:lang w:val="tr-TR"/>
              </w:rPr>
              <w:t>)</w:t>
            </w:r>
          </w:p>
          <w:p w14:paraId="239C0A3D" w14:textId="794D467D"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DPL – </w:t>
            </w:r>
            <w:r w:rsidR="00264FF4" w:rsidRPr="001A4B94">
              <w:rPr>
                <w:rFonts w:eastAsiaTheme="minorHAnsi"/>
                <w:sz w:val="18"/>
                <w:szCs w:val="18"/>
                <w:lang w:val="tr-TR"/>
              </w:rPr>
              <w:t>Paylaşılan Büyümenin Sürdürülmesi I (2015 MY) P146322</w:t>
            </w:r>
          </w:p>
          <w:p w14:paraId="34419702" w14:textId="11E95BD5" w:rsidR="00100E2B" w:rsidRPr="001A4B94" w:rsidRDefault="00DD7E57"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Yenilikçi </w:t>
            </w:r>
            <w:r w:rsidR="00BB4426" w:rsidRPr="001A4B94">
              <w:rPr>
                <w:rFonts w:eastAsia="Calibri"/>
                <w:sz w:val="18"/>
                <w:szCs w:val="18"/>
                <w:lang w:val="tr-TR"/>
              </w:rPr>
              <w:t>Finansmana</w:t>
            </w:r>
            <w:r w:rsidRPr="001A4B94">
              <w:rPr>
                <w:rFonts w:eastAsia="Calibri"/>
                <w:sz w:val="18"/>
                <w:szCs w:val="18"/>
                <w:lang w:val="tr-TR"/>
              </w:rPr>
              <w:t xml:space="preserve"> </w:t>
            </w:r>
            <w:r w:rsidR="00BB4426" w:rsidRPr="001A4B94">
              <w:rPr>
                <w:rFonts w:eastAsia="Calibri"/>
                <w:sz w:val="18"/>
                <w:szCs w:val="18"/>
                <w:lang w:val="tr-TR"/>
              </w:rPr>
              <w:t>Erişim</w:t>
            </w:r>
            <w:r w:rsidRPr="001A4B94">
              <w:rPr>
                <w:rFonts w:eastAsia="Calibri"/>
                <w:sz w:val="18"/>
                <w:szCs w:val="18"/>
                <w:lang w:val="tr-TR"/>
              </w:rPr>
              <w:t xml:space="preserve"> Projesi </w:t>
            </w:r>
            <w:r w:rsidR="00100E2B" w:rsidRPr="001A4B94">
              <w:rPr>
                <w:rFonts w:eastAsia="Calibri"/>
                <w:sz w:val="18"/>
                <w:szCs w:val="18"/>
                <w:lang w:val="tr-TR"/>
              </w:rPr>
              <w:t>(</w:t>
            </w:r>
            <w:r w:rsidRPr="001A4B94">
              <w:rPr>
                <w:rFonts w:eastAsia="Calibri"/>
                <w:sz w:val="18"/>
                <w:szCs w:val="18"/>
                <w:lang w:val="tr-TR"/>
              </w:rPr>
              <w:t>2015 MY</w:t>
            </w:r>
            <w:r w:rsidR="00100E2B" w:rsidRPr="001A4B94">
              <w:rPr>
                <w:rFonts w:eastAsia="Calibri"/>
                <w:sz w:val="18"/>
                <w:szCs w:val="18"/>
                <w:lang w:val="tr-TR"/>
              </w:rPr>
              <w:t xml:space="preserve">) P147183 </w:t>
            </w:r>
            <w:r w:rsidRPr="001A4B94">
              <w:rPr>
                <w:rFonts w:eastAsia="Calibri"/>
                <w:sz w:val="18"/>
                <w:szCs w:val="18"/>
                <w:lang w:val="tr-TR"/>
              </w:rPr>
              <w:t xml:space="preserve">ve </w:t>
            </w:r>
            <w:r w:rsidR="00100E2B" w:rsidRPr="001A4B94">
              <w:rPr>
                <w:rFonts w:eastAsia="Calibri"/>
                <w:sz w:val="18"/>
                <w:szCs w:val="18"/>
                <w:lang w:val="tr-TR"/>
              </w:rPr>
              <w:t>TF015830</w:t>
            </w:r>
          </w:p>
          <w:p w14:paraId="534B0131" w14:textId="66FCAE81" w:rsidR="00100E2B" w:rsidRPr="001A4B94" w:rsidRDefault="00DD7E57" w:rsidP="00100E2B">
            <w:pPr>
              <w:numPr>
                <w:ilvl w:val="0"/>
                <w:numId w:val="22"/>
              </w:numPr>
              <w:spacing w:after="160" w:line="259" w:lineRule="auto"/>
              <w:ind w:left="187" w:hanging="187"/>
              <w:contextualSpacing/>
              <w:rPr>
                <w:rFonts w:eastAsia="Calibri"/>
                <w:sz w:val="18"/>
                <w:szCs w:val="18"/>
                <w:lang w:val="tr-TR"/>
              </w:rPr>
            </w:pPr>
            <w:r w:rsidRPr="001A4B94">
              <w:rPr>
                <w:rFonts w:eastAsiaTheme="minorHAnsi"/>
                <w:sz w:val="18"/>
                <w:szCs w:val="18"/>
                <w:lang w:val="tr-TR"/>
              </w:rPr>
              <w:t xml:space="preserve">Rekabetçilik ve Tasarruflar </w:t>
            </w:r>
            <w:r w:rsidR="00100E2B" w:rsidRPr="001A4B94">
              <w:rPr>
                <w:rFonts w:eastAsia="Calibri"/>
                <w:sz w:val="18"/>
                <w:szCs w:val="18"/>
                <w:lang w:val="tr-TR"/>
              </w:rPr>
              <w:t>DPL (CSDPL) (</w:t>
            </w:r>
            <w:r w:rsidRPr="001A4B94">
              <w:rPr>
                <w:rFonts w:eastAsia="Calibri"/>
                <w:sz w:val="18"/>
                <w:szCs w:val="18"/>
                <w:lang w:val="tr-TR"/>
              </w:rPr>
              <w:t>2013 MY</w:t>
            </w:r>
            <w:r w:rsidR="00100E2B" w:rsidRPr="001A4B94">
              <w:rPr>
                <w:rFonts w:eastAsia="Calibri"/>
                <w:sz w:val="18"/>
                <w:szCs w:val="18"/>
                <w:lang w:val="tr-TR"/>
              </w:rPr>
              <w:t>) P127787</w:t>
            </w:r>
          </w:p>
          <w:p w14:paraId="7F7989FE" w14:textId="52F4DA37" w:rsidR="00100E2B" w:rsidRPr="001A4B94" w:rsidRDefault="00DD7E57"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KOBİ’ler için Finansmana Erişim Projesi III </w:t>
            </w:r>
            <w:r w:rsidR="00100E2B" w:rsidRPr="001A4B94">
              <w:rPr>
                <w:rFonts w:eastAsia="Calibri"/>
                <w:sz w:val="18"/>
                <w:szCs w:val="18"/>
                <w:lang w:val="tr-TR"/>
              </w:rPr>
              <w:t>(</w:t>
            </w:r>
            <w:r w:rsidRPr="001A4B94">
              <w:rPr>
                <w:rFonts w:eastAsia="Calibri"/>
                <w:sz w:val="18"/>
                <w:szCs w:val="18"/>
                <w:lang w:val="tr-TR"/>
              </w:rPr>
              <w:t>2013 MY</w:t>
            </w:r>
            <w:r w:rsidR="00100E2B" w:rsidRPr="001A4B94">
              <w:rPr>
                <w:rFonts w:eastAsia="Calibri"/>
                <w:sz w:val="18"/>
                <w:szCs w:val="18"/>
                <w:lang w:val="tr-TR"/>
              </w:rPr>
              <w:t>) P130864</w:t>
            </w:r>
          </w:p>
          <w:p w14:paraId="74AFC344" w14:textId="532A6F9C" w:rsidR="00100E2B" w:rsidRPr="001A4B94" w:rsidRDefault="00DD7E57"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KOBİ’ler için Finansmana Erişim Projesi II </w:t>
            </w:r>
            <w:r w:rsidR="00100E2B" w:rsidRPr="001A4B94">
              <w:rPr>
                <w:rFonts w:eastAsia="Calibri"/>
                <w:sz w:val="18"/>
                <w:szCs w:val="18"/>
                <w:lang w:val="tr-TR"/>
              </w:rPr>
              <w:t>(</w:t>
            </w:r>
            <w:r w:rsidRPr="001A4B94">
              <w:rPr>
                <w:rFonts w:eastAsia="Calibri"/>
                <w:sz w:val="18"/>
                <w:szCs w:val="18"/>
                <w:lang w:val="tr-TR"/>
              </w:rPr>
              <w:t>2010 MY</w:t>
            </w:r>
            <w:r w:rsidR="00100E2B" w:rsidRPr="001A4B94">
              <w:rPr>
                <w:rFonts w:eastAsia="Calibri"/>
                <w:sz w:val="18"/>
                <w:szCs w:val="18"/>
                <w:lang w:val="tr-TR"/>
              </w:rPr>
              <w:t>) P118308</w:t>
            </w:r>
          </w:p>
          <w:p w14:paraId="15E2FA6C" w14:textId="674F7F41" w:rsidR="00100E2B" w:rsidRPr="001A4B94" w:rsidRDefault="00DD7E57"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KOBİ’ler için Finansmana Erişim Projesi  I (2006 MY) </w:t>
            </w:r>
          </w:p>
          <w:p w14:paraId="3FADB84F" w14:textId="06B4F1DE" w:rsidR="00100E2B" w:rsidRPr="001A4B94" w:rsidRDefault="00DD7E57"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Dördüncü İhracat </w:t>
            </w:r>
            <w:r w:rsidR="00BB4426" w:rsidRPr="001A4B94">
              <w:rPr>
                <w:rFonts w:eastAsia="Calibri"/>
                <w:sz w:val="18"/>
                <w:szCs w:val="18"/>
                <w:lang w:val="tr-TR"/>
              </w:rPr>
              <w:t>Finansmanı</w:t>
            </w:r>
            <w:r w:rsidRPr="001A4B94">
              <w:rPr>
                <w:rFonts w:eastAsia="Calibri"/>
                <w:sz w:val="18"/>
                <w:szCs w:val="18"/>
                <w:lang w:val="tr-TR"/>
              </w:rPr>
              <w:t xml:space="preserve"> Aracılık Kredisi </w:t>
            </w:r>
            <w:r w:rsidR="00100E2B" w:rsidRPr="001A4B94">
              <w:rPr>
                <w:rFonts w:eastAsia="Calibri"/>
                <w:sz w:val="18"/>
                <w:szCs w:val="18"/>
                <w:lang w:val="tr-TR"/>
              </w:rPr>
              <w:t>(EFIL IV) (</w:t>
            </w:r>
            <w:r w:rsidRPr="001A4B94">
              <w:rPr>
                <w:rFonts w:eastAsia="Calibri"/>
                <w:sz w:val="18"/>
                <w:szCs w:val="18"/>
                <w:lang w:val="tr-TR"/>
              </w:rPr>
              <w:t>2008 MY</w:t>
            </w:r>
            <w:r w:rsidR="00100E2B" w:rsidRPr="001A4B94">
              <w:rPr>
                <w:rFonts w:eastAsia="Calibri"/>
                <w:sz w:val="18"/>
                <w:szCs w:val="18"/>
                <w:lang w:val="tr-TR"/>
              </w:rPr>
              <w:t>) P096858</w:t>
            </w:r>
          </w:p>
          <w:p w14:paraId="229FA887" w14:textId="77777777" w:rsidR="00100E2B" w:rsidRPr="001A4B94" w:rsidRDefault="00100E2B" w:rsidP="00100E2B">
            <w:pPr>
              <w:contextualSpacing/>
              <w:rPr>
                <w:rFonts w:eastAsia="Calibri"/>
                <w:sz w:val="18"/>
                <w:szCs w:val="18"/>
                <w:lang w:val="tr-TR"/>
              </w:rPr>
            </w:pPr>
          </w:p>
          <w:p w14:paraId="6210FCE3" w14:textId="77777777" w:rsidR="00100E2B" w:rsidRPr="001A4B94" w:rsidRDefault="00100E2B" w:rsidP="00100E2B">
            <w:pPr>
              <w:contextualSpacing/>
              <w:rPr>
                <w:rFonts w:eastAsia="Calibri"/>
                <w:sz w:val="18"/>
                <w:szCs w:val="18"/>
                <w:lang w:val="tr-TR"/>
              </w:rPr>
            </w:pPr>
          </w:p>
          <w:p w14:paraId="40C272FF" w14:textId="77777777" w:rsidR="00100E2B" w:rsidRPr="001A4B94" w:rsidRDefault="00100E2B" w:rsidP="00100E2B">
            <w:pPr>
              <w:contextualSpacing/>
              <w:rPr>
                <w:rFonts w:eastAsia="Calibri"/>
                <w:sz w:val="18"/>
                <w:szCs w:val="18"/>
                <w:lang w:val="tr-TR"/>
              </w:rPr>
            </w:pPr>
          </w:p>
          <w:p w14:paraId="7EC27501" w14:textId="77777777" w:rsidR="00100E2B" w:rsidRPr="001A4B94" w:rsidRDefault="00100E2B" w:rsidP="00100E2B">
            <w:pPr>
              <w:contextualSpacing/>
              <w:rPr>
                <w:rFonts w:eastAsia="Calibri"/>
                <w:sz w:val="18"/>
                <w:szCs w:val="18"/>
                <w:lang w:val="tr-TR"/>
              </w:rPr>
            </w:pPr>
          </w:p>
          <w:p w14:paraId="050F9570" w14:textId="5B32CA84" w:rsidR="00100E2B" w:rsidRPr="001A4B94" w:rsidRDefault="00100E2B" w:rsidP="00100E2B">
            <w:pPr>
              <w:rPr>
                <w:rFonts w:eastAsiaTheme="minorEastAsia"/>
                <w:b/>
                <w:sz w:val="18"/>
                <w:szCs w:val="18"/>
                <w:lang w:val="tr-TR" w:eastAsia="ja-JP"/>
              </w:rPr>
            </w:pPr>
            <w:r w:rsidRPr="001A4B94">
              <w:rPr>
                <w:rFonts w:eastAsiaTheme="minorEastAsia"/>
                <w:b/>
                <w:sz w:val="18"/>
                <w:szCs w:val="18"/>
                <w:lang w:val="tr-TR" w:eastAsia="ja-JP"/>
              </w:rPr>
              <w:t xml:space="preserve">IFC </w:t>
            </w:r>
            <w:r w:rsidR="00A40352" w:rsidRPr="001A4B94">
              <w:rPr>
                <w:rFonts w:eastAsiaTheme="minorEastAsia"/>
                <w:b/>
                <w:sz w:val="18"/>
                <w:szCs w:val="18"/>
                <w:lang w:val="tr-TR" w:eastAsia="ja-JP"/>
              </w:rPr>
              <w:t>ve</w:t>
            </w:r>
            <w:r w:rsidRPr="001A4B94">
              <w:rPr>
                <w:rFonts w:eastAsiaTheme="minorEastAsia"/>
                <w:b/>
                <w:sz w:val="18"/>
                <w:szCs w:val="18"/>
                <w:lang w:val="tr-TR" w:eastAsia="ja-JP"/>
              </w:rPr>
              <w:t xml:space="preserve"> MIGA </w:t>
            </w:r>
            <w:r w:rsidR="00A40352" w:rsidRPr="001A4B94">
              <w:rPr>
                <w:rFonts w:eastAsiaTheme="minorEastAsia"/>
                <w:b/>
                <w:sz w:val="18"/>
                <w:szCs w:val="18"/>
                <w:lang w:val="tr-TR" w:eastAsia="ja-JP"/>
              </w:rPr>
              <w:t>Finansmanı</w:t>
            </w:r>
            <w:r w:rsidRPr="001A4B94">
              <w:rPr>
                <w:rFonts w:eastAsiaTheme="minorEastAsia"/>
                <w:b/>
                <w:sz w:val="18"/>
                <w:szCs w:val="18"/>
                <w:lang w:val="tr-TR" w:eastAsia="ja-JP"/>
              </w:rPr>
              <w:t>:</w:t>
            </w:r>
          </w:p>
          <w:p w14:paraId="41E496B8" w14:textId="7489880F" w:rsidR="00100E2B" w:rsidRPr="001A4B94" w:rsidRDefault="00A40352" w:rsidP="00100E2B">
            <w:pPr>
              <w:numPr>
                <w:ilvl w:val="0"/>
                <w:numId w:val="22"/>
              </w:numPr>
              <w:spacing w:after="160" w:line="259" w:lineRule="auto"/>
              <w:ind w:left="216"/>
              <w:contextualSpacing/>
              <w:rPr>
                <w:rFonts w:eastAsia="Calibri"/>
                <w:sz w:val="18"/>
                <w:szCs w:val="18"/>
                <w:lang w:val="tr-TR"/>
              </w:rPr>
            </w:pPr>
            <w:r w:rsidRPr="001A4B94">
              <w:rPr>
                <w:rFonts w:eastAsia="Calibri"/>
                <w:sz w:val="18"/>
                <w:szCs w:val="18"/>
                <w:lang w:val="tr-TR"/>
              </w:rPr>
              <w:t xml:space="preserve">Reel sektördeki </w:t>
            </w:r>
            <w:r w:rsidR="00100E2B" w:rsidRPr="001A4B94">
              <w:rPr>
                <w:rFonts w:eastAsia="Calibri"/>
                <w:sz w:val="18"/>
                <w:szCs w:val="18"/>
                <w:lang w:val="tr-TR"/>
              </w:rPr>
              <w:t xml:space="preserve">IFC </w:t>
            </w:r>
            <w:r w:rsidRPr="001A4B94">
              <w:rPr>
                <w:rFonts w:eastAsia="Calibri"/>
                <w:sz w:val="18"/>
                <w:szCs w:val="18"/>
                <w:lang w:val="tr-TR"/>
              </w:rPr>
              <w:t xml:space="preserve">yatırımları </w:t>
            </w:r>
          </w:p>
          <w:p w14:paraId="7976F10C" w14:textId="249255F8" w:rsidR="00100E2B" w:rsidRPr="001A4B94" w:rsidRDefault="00100E2B" w:rsidP="00100E2B">
            <w:pPr>
              <w:numPr>
                <w:ilvl w:val="0"/>
                <w:numId w:val="22"/>
              </w:numPr>
              <w:spacing w:after="160" w:line="259" w:lineRule="auto"/>
              <w:ind w:left="216"/>
              <w:contextualSpacing/>
              <w:rPr>
                <w:rFonts w:eastAsia="Calibri"/>
                <w:sz w:val="18"/>
                <w:szCs w:val="18"/>
                <w:lang w:val="tr-TR"/>
              </w:rPr>
            </w:pPr>
            <w:r w:rsidRPr="001A4B94">
              <w:rPr>
                <w:rFonts w:eastAsia="Calibri"/>
                <w:sz w:val="18"/>
                <w:szCs w:val="18"/>
                <w:lang w:val="tr-TR"/>
              </w:rPr>
              <w:t>IFC</w:t>
            </w:r>
            <w:r w:rsidR="00D36CCE" w:rsidRPr="001A4B94">
              <w:rPr>
                <w:rFonts w:eastAsia="Calibri"/>
                <w:sz w:val="18"/>
                <w:szCs w:val="18"/>
                <w:lang w:val="tr-TR"/>
              </w:rPr>
              <w:t xml:space="preserve"> </w:t>
            </w:r>
            <w:r w:rsidR="00A40352" w:rsidRPr="001A4B94">
              <w:rPr>
                <w:rFonts w:eastAsia="Calibri"/>
                <w:sz w:val="18"/>
                <w:szCs w:val="18"/>
                <w:lang w:val="tr-TR"/>
              </w:rPr>
              <w:t xml:space="preserve">Türk bankacılık sektöründe derinliği ve rekabeti arttırmak için seküritizasyon </w:t>
            </w:r>
            <w:r w:rsidR="00D36CCE" w:rsidRPr="001A4B94">
              <w:rPr>
                <w:rFonts w:eastAsia="Calibri"/>
                <w:sz w:val="18"/>
                <w:szCs w:val="18"/>
                <w:lang w:val="tr-TR"/>
              </w:rPr>
              <w:t>yapılarını kullanmıştır</w:t>
            </w:r>
            <w:r w:rsidRPr="001A4B94">
              <w:rPr>
                <w:rFonts w:eastAsia="Calibri"/>
                <w:sz w:val="18"/>
                <w:szCs w:val="18"/>
                <w:lang w:val="tr-TR"/>
              </w:rPr>
              <w:t xml:space="preserve">: </w:t>
            </w:r>
            <w:r w:rsidR="00D36CCE" w:rsidRPr="001A4B94">
              <w:rPr>
                <w:rFonts w:eastAsia="Calibri"/>
                <w:sz w:val="18"/>
                <w:szCs w:val="18"/>
                <w:lang w:val="tr-TR"/>
              </w:rPr>
              <w:t xml:space="preserve">Birkaç Türk bankasının uzun vadeli yapılandırılmış ürünlerine yatırım yapmıştır </w:t>
            </w:r>
            <w:r w:rsidRPr="001A4B94">
              <w:rPr>
                <w:rFonts w:eastAsia="Calibri"/>
                <w:sz w:val="18"/>
                <w:szCs w:val="18"/>
                <w:lang w:val="tr-TR"/>
              </w:rPr>
              <w:t>(</w:t>
            </w:r>
            <w:r w:rsidR="00080CF5" w:rsidRPr="001A4B94">
              <w:rPr>
                <w:rFonts w:eastAsia="Calibri"/>
                <w:sz w:val="18"/>
                <w:szCs w:val="18"/>
                <w:lang w:val="tr-TR"/>
              </w:rPr>
              <w:t>teminatlı</w:t>
            </w:r>
            <w:r w:rsidR="00D36CCE" w:rsidRPr="001A4B94">
              <w:rPr>
                <w:rFonts w:eastAsia="Calibri"/>
                <w:sz w:val="18"/>
                <w:szCs w:val="18"/>
                <w:lang w:val="tr-TR"/>
              </w:rPr>
              <w:t xml:space="preserve"> tahviller</w:t>
            </w:r>
            <w:r w:rsidRPr="001A4B94">
              <w:rPr>
                <w:rFonts w:eastAsia="Calibri"/>
                <w:sz w:val="18"/>
                <w:szCs w:val="18"/>
                <w:lang w:val="tr-TR"/>
              </w:rPr>
              <w:t xml:space="preserve">, </w:t>
            </w:r>
            <w:r w:rsidR="00D36CCE" w:rsidRPr="001A4B94">
              <w:rPr>
                <w:rFonts w:eastAsia="Calibri"/>
                <w:sz w:val="18"/>
                <w:szCs w:val="18"/>
                <w:lang w:val="tr-TR"/>
              </w:rPr>
              <w:t>yeşil tahviller</w:t>
            </w:r>
            <w:r w:rsidRPr="001A4B94">
              <w:rPr>
                <w:rFonts w:eastAsia="Calibri"/>
                <w:sz w:val="18"/>
                <w:szCs w:val="18"/>
                <w:lang w:val="tr-TR"/>
              </w:rPr>
              <w:t xml:space="preserve">, DPR </w:t>
            </w:r>
            <w:r w:rsidR="00D36CCE" w:rsidRPr="001A4B94">
              <w:rPr>
                <w:rFonts w:eastAsia="Calibri"/>
                <w:sz w:val="18"/>
                <w:szCs w:val="18"/>
                <w:lang w:val="tr-TR"/>
              </w:rPr>
              <w:t>seküritizasyonları</w:t>
            </w:r>
            <w:r w:rsidRPr="001A4B94">
              <w:rPr>
                <w:rFonts w:eastAsia="Calibri"/>
                <w:sz w:val="18"/>
                <w:szCs w:val="18"/>
                <w:lang w:val="tr-TR"/>
              </w:rPr>
              <w:t xml:space="preserve">). IFC </w:t>
            </w:r>
            <w:r w:rsidR="00D36CCE" w:rsidRPr="001A4B94">
              <w:rPr>
                <w:rFonts w:eastAsia="Calibri"/>
                <w:sz w:val="18"/>
                <w:szCs w:val="18"/>
                <w:lang w:val="tr-TR"/>
              </w:rPr>
              <w:t xml:space="preserve">aynı zamanda Türkiye’nin imalat ve altyapı sektörlerinden müşterilerinin </w:t>
            </w:r>
            <w:r w:rsidRPr="001A4B94">
              <w:rPr>
                <w:rFonts w:eastAsia="Calibri"/>
                <w:sz w:val="18"/>
                <w:szCs w:val="18"/>
                <w:lang w:val="tr-TR"/>
              </w:rPr>
              <w:t xml:space="preserve">Eurobond </w:t>
            </w:r>
            <w:r w:rsidR="00D36CCE" w:rsidRPr="001A4B94">
              <w:rPr>
                <w:rFonts w:eastAsia="Calibri"/>
                <w:sz w:val="18"/>
                <w:szCs w:val="18"/>
                <w:lang w:val="tr-TR"/>
              </w:rPr>
              <w:t>ihraçlarını desteklemiştir</w:t>
            </w:r>
            <w:r w:rsidRPr="001A4B94">
              <w:rPr>
                <w:rFonts w:eastAsia="Calibri"/>
                <w:sz w:val="18"/>
                <w:szCs w:val="18"/>
                <w:lang w:val="tr-TR"/>
              </w:rPr>
              <w:t xml:space="preserve">. </w:t>
            </w:r>
          </w:p>
          <w:p w14:paraId="630A6240" w14:textId="25C92430" w:rsidR="00100E2B" w:rsidRPr="001A4B94" w:rsidRDefault="00100E2B" w:rsidP="00100E2B">
            <w:pPr>
              <w:numPr>
                <w:ilvl w:val="0"/>
                <w:numId w:val="22"/>
              </w:numPr>
              <w:spacing w:after="160" w:line="259" w:lineRule="auto"/>
              <w:ind w:left="216"/>
              <w:contextualSpacing/>
              <w:rPr>
                <w:rFonts w:eastAsia="Calibri"/>
                <w:sz w:val="18"/>
                <w:szCs w:val="18"/>
                <w:lang w:val="tr-TR"/>
              </w:rPr>
            </w:pPr>
            <w:r w:rsidRPr="001A4B94">
              <w:rPr>
                <w:rFonts w:eastAsia="Calibri"/>
                <w:sz w:val="18"/>
                <w:szCs w:val="18"/>
                <w:lang w:val="tr-TR"/>
              </w:rPr>
              <w:t>IFC</w:t>
            </w:r>
            <w:r w:rsidR="00D36CCE" w:rsidRPr="001A4B94">
              <w:rPr>
                <w:rFonts w:eastAsia="Calibri"/>
                <w:sz w:val="18"/>
                <w:szCs w:val="18"/>
                <w:lang w:val="tr-TR"/>
              </w:rPr>
              <w:t xml:space="preserve">’nin, kadın girişimciler, M-KOBİ’ler ve daha yoksul bölgeler gibi ekonominin daha az hizmet alan kesimlerine ikraz edilmek üzere bankacılık sektörüne sağladığı uzun vadeli finansman </w:t>
            </w:r>
          </w:p>
          <w:p w14:paraId="20682C0F" w14:textId="6D5464A6" w:rsidR="00100E2B" w:rsidRPr="001A4B94" w:rsidRDefault="00100E2B" w:rsidP="00100E2B">
            <w:pPr>
              <w:numPr>
                <w:ilvl w:val="0"/>
                <w:numId w:val="22"/>
              </w:numPr>
              <w:spacing w:after="160" w:line="259" w:lineRule="auto"/>
              <w:ind w:left="216"/>
              <w:contextualSpacing/>
              <w:rPr>
                <w:rFonts w:eastAsia="Calibri"/>
                <w:sz w:val="18"/>
                <w:szCs w:val="18"/>
                <w:lang w:val="tr-TR"/>
              </w:rPr>
            </w:pPr>
            <w:r w:rsidRPr="001A4B94">
              <w:rPr>
                <w:rFonts w:eastAsia="Calibri"/>
                <w:sz w:val="18"/>
                <w:szCs w:val="18"/>
                <w:lang w:val="tr-TR"/>
              </w:rPr>
              <w:t xml:space="preserve">IFC </w:t>
            </w:r>
            <w:r w:rsidR="00080CF5" w:rsidRPr="001A4B94">
              <w:rPr>
                <w:rFonts w:eastAsia="Calibri"/>
                <w:sz w:val="18"/>
                <w:szCs w:val="18"/>
                <w:lang w:val="tr-TR"/>
              </w:rPr>
              <w:t xml:space="preserve">kısa vadeli ticaret finansmanı </w:t>
            </w:r>
          </w:p>
          <w:p w14:paraId="576F0A1F" w14:textId="66A85BE2"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MIGA </w:t>
            </w:r>
            <w:r w:rsidR="00080CF5" w:rsidRPr="001A4B94">
              <w:rPr>
                <w:rFonts w:eastAsia="Calibri"/>
                <w:sz w:val="18"/>
                <w:szCs w:val="18"/>
                <w:lang w:val="tr-TR"/>
              </w:rPr>
              <w:t xml:space="preserve">- Orfin Finansman A.Ş. için sağlanan garanti </w:t>
            </w:r>
            <w:r w:rsidRPr="001A4B94">
              <w:rPr>
                <w:rFonts w:eastAsia="Calibri"/>
                <w:sz w:val="18"/>
                <w:szCs w:val="18"/>
                <w:lang w:val="tr-TR"/>
              </w:rPr>
              <w:t>(</w:t>
            </w:r>
            <w:r w:rsidR="00080CF5" w:rsidRPr="001A4B94">
              <w:rPr>
                <w:rFonts w:eastAsia="Calibri"/>
                <w:sz w:val="18"/>
                <w:szCs w:val="18"/>
                <w:lang w:val="tr-TR"/>
              </w:rPr>
              <w:t>2015 MY</w:t>
            </w:r>
            <w:r w:rsidRPr="001A4B94">
              <w:rPr>
                <w:rFonts w:eastAsia="Calibri"/>
                <w:sz w:val="18"/>
                <w:szCs w:val="18"/>
                <w:lang w:val="tr-TR"/>
              </w:rPr>
              <w:t>)</w:t>
            </w:r>
          </w:p>
          <w:p w14:paraId="59E43CD3" w14:textId="5404F134" w:rsidR="00100E2B" w:rsidRPr="001A4B94" w:rsidRDefault="00080CF5" w:rsidP="00100E2B">
            <w:pPr>
              <w:rPr>
                <w:rFonts w:eastAsiaTheme="minorEastAsia"/>
                <w:b/>
                <w:sz w:val="18"/>
                <w:szCs w:val="18"/>
                <w:lang w:val="tr-TR" w:eastAsia="ja-JP"/>
              </w:rPr>
            </w:pPr>
            <w:r w:rsidRPr="001A4B94">
              <w:rPr>
                <w:rFonts w:eastAsiaTheme="minorEastAsia"/>
                <w:b/>
                <w:sz w:val="18"/>
                <w:szCs w:val="18"/>
                <w:lang w:val="tr-TR" w:eastAsia="ja-JP"/>
              </w:rPr>
              <w:t>Bilgi</w:t>
            </w:r>
            <w:r w:rsidR="00100E2B" w:rsidRPr="001A4B94">
              <w:rPr>
                <w:rFonts w:eastAsiaTheme="minorEastAsia"/>
                <w:b/>
                <w:sz w:val="18"/>
                <w:szCs w:val="18"/>
                <w:lang w:val="tr-TR" w:eastAsia="ja-JP"/>
              </w:rPr>
              <w:t>:</w:t>
            </w:r>
          </w:p>
          <w:p w14:paraId="23FE4445" w14:textId="69F00799" w:rsidR="00100E2B" w:rsidRPr="001A4B94" w:rsidRDefault="00080CF5"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Tasarruflar ve Finansal Sektörün Çeşitlendirilmesi </w:t>
            </w:r>
            <w:r w:rsidR="00100E2B" w:rsidRPr="001A4B94">
              <w:rPr>
                <w:rFonts w:eastAsia="Calibri"/>
                <w:sz w:val="18"/>
                <w:szCs w:val="18"/>
                <w:lang w:val="tr-TR"/>
              </w:rPr>
              <w:t>(P159281)</w:t>
            </w:r>
          </w:p>
          <w:p w14:paraId="6C8DC7D5" w14:textId="2606D4DD" w:rsidR="00100E2B" w:rsidRPr="001A4B94" w:rsidRDefault="00080CF5"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Vakıf Fonu</w:t>
            </w:r>
            <w:r w:rsidR="00100E2B" w:rsidRPr="001A4B94">
              <w:rPr>
                <w:rFonts w:eastAsia="Calibri"/>
                <w:sz w:val="18"/>
                <w:szCs w:val="18"/>
                <w:lang w:val="tr-TR"/>
              </w:rPr>
              <w:t xml:space="preserve">: </w:t>
            </w:r>
            <w:r w:rsidRPr="001A4B94">
              <w:rPr>
                <w:rFonts w:eastAsia="Calibri"/>
                <w:sz w:val="18"/>
                <w:szCs w:val="18"/>
                <w:lang w:val="tr-TR"/>
              </w:rPr>
              <w:t xml:space="preserve">Ödeme Gücü Denetlemesinin Güçlendirilmesi </w:t>
            </w:r>
            <w:r w:rsidR="00100E2B" w:rsidRPr="001A4B94">
              <w:rPr>
                <w:rFonts w:eastAsia="Calibri"/>
                <w:sz w:val="18"/>
                <w:szCs w:val="18"/>
                <w:lang w:val="tr-TR"/>
              </w:rPr>
              <w:t>(</w:t>
            </w:r>
            <w:r w:rsidRPr="001A4B94">
              <w:rPr>
                <w:rFonts w:eastAsia="Calibri"/>
                <w:sz w:val="18"/>
                <w:szCs w:val="18"/>
                <w:lang w:val="tr-TR"/>
              </w:rPr>
              <w:t>2014 MY</w:t>
            </w:r>
            <w:r w:rsidR="00100E2B" w:rsidRPr="001A4B94">
              <w:rPr>
                <w:rFonts w:eastAsia="Calibri"/>
                <w:sz w:val="18"/>
                <w:szCs w:val="18"/>
                <w:lang w:val="tr-TR"/>
              </w:rPr>
              <w:t>) (P131766)</w:t>
            </w:r>
          </w:p>
          <w:p w14:paraId="16381C22" w14:textId="61751C19" w:rsidR="00100E2B" w:rsidRPr="001A4B94" w:rsidRDefault="00080CF5" w:rsidP="00100E2B">
            <w:pPr>
              <w:numPr>
                <w:ilvl w:val="0"/>
                <w:numId w:val="22"/>
              </w:numPr>
              <w:spacing w:after="160" w:line="259" w:lineRule="auto"/>
              <w:ind w:left="187" w:hanging="187"/>
              <w:contextualSpacing/>
              <w:rPr>
                <w:rFonts w:eastAsia="Calibri"/>
                <w:sz w:val="18"/>
                <w:szCs w:val="18"/>
                <w:lang w:val="tr-TR"/>
              </w:rPr>
            </w:pPr>
            <w:r w:rsidRPr="001A4B94">
              <w:rPr>
                <w:rFonts w:eastAsiaTheme="minorHAnsi"/>
                <w:sz w:val="18"/>
                <w:szCs w:val="18"/>
                <w:lang w:val="tr-TR"/>
              </w:rPr>
              <w:t>Beşeri ve Fiziksel Sermaye Hakkında Ülke Ekonomik Memorandumu (Yatırımlar) (2015 MY) P148205</w:t>
            </w:r>
          </w:p>
          <w:p w14:paraId="019C119B" w14:textId="78C6F8E6" w:rsidR="00100E2B" w:rsidRPr="001A4B94" w:rsidRDefault="00100E2B" w:rsidP="00100E2B">
            <w:pPr>
              <w:numPr>
                <w:ilvl w:val="0"/>
                <w:numId w:val="22"/>
              </w:numPr>
              <w:spacing w:after="160" w:line="259" w:lineRule="auto"/>
              <w:ind w:left="187" w:hanging="187"/>
              <w:contextualSpacing/>
              <w:rPr>
                <w:rFonts w:eastAsiaTheme="minorHAnsi"/>
                <w:sz w:val="18"/>
                <w:szCs w:val="18"/>
                <w:lang w:val="tr-TR"/>
              </w:rPr>
            </w:pPr>
            <w:r w:rsidRPr="001A4B94">
              <w:rPr>
                <w:rFonts w:eastAsia="Calibri"/>
                <w:sz w:val="18"/>
                <w:szCs w:val="18"/>
                <w:lang w:val="tr-TR"/>
              </w:rPr>
              <w:t>E</w:t>
            </w:r>
            <w:r w:rsidR="00080CF5" w:rsidRPr="001A4B94">
              <w:rPr>
                <w:rFonts w:eastAsia="Calibri"/>
                <w:sz w:val="18"/>
                <w:szCs w:val="18"/>
                <w:lang w:val="tr-TR"/>
              </w:rPr>
              <w:t xml:space="preserve">konomik ve Sektörel Çalışma (ESW) </w:t>
            </w:r>
            <w:r w:rsidR="00080CF5" w:rsidRPr="001A4B94">
              <w:rPr>
                <w:rFonts w:eastAsiaTheme="minorHAnsi"/>
                <w:sz w:val="18"/>
                <w:szCs w:val="18"/>
                <w:lang w:val="tr-TR"/>
              </w:rPr>
              <w:t xml:space="preserve">Türkiye’nin Deneyimleri: Entegrasyon, Kapsama, Kurumlar / Ülke Ekonomik Memorandumu </w:t>
            </w:r>
            <w:r w:rsidRPr="001A4B94">
              <w:rPr>
                <w:rFonts w:eastAsia="Calibri"/>
                <w:sz w:val="18"/>
                <w:szCs w:val="18"/>
                <w:lang w:val="tr-TR"/>
              </w:rPr>
              <w:t>(</w:t>
            </w:r>
            <w:r w:rsidR="00080CF5" w:rsidRPr="001A4B94">
              <w:rPr>
                <w:rFonts w:eastAsia="Calibri"/>
                <w:sz w:val="18"/>
                <w:szCs w:val="18"/>
                <w:lang w:val="tr-TR"/>
              </w:rPr>
              <w:t>2015 MY</w:t>
            </w:r>
            <w:r w:rsidRPr="001A4B94">
              <w:rPr>
                <w:rFonts w:eastAsia="Calibri"/>
                <w:sz w:val="18"/>
                <w:szCs w:val="18"/>
                <w:lang w:val="tr-TR"/>
              </w:rPr>
              <w:t xml:space="preserve">) </w:t>
            </w:r>
            <w:r w:rsidRPr="001A4B94">
              <w:rPr>
                <w:rFonts w:eastAsiaTheme="minorHAnsi"/>
                <w:sz w:val="18"/>
                <w:szCs w:val="18"/>
                <w:lang w:val="tr-TR"/>
              </w:rPr>
              <w:t>P133570</w:t>
            </w:r>
          </w:p>
          <w:p w14:paraId="5B5C2533" w14:textId="6C7F2881"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T</w:t>
            </w:r>
            <w:r w:rsidR="00080CF5" w:rsidRPr="001A4B94">
              <w:rPr>
                <w:rFonts w:eastAsia="Calibri"/>
                <w:sz w:val="18"/>
                <w:szCs w:val="18"/>
                <w:lang w:val="tr-TR"/>
              </w:rPr>
              <w:t>Y</w:t>
            </w:r>
            <w:r w:rsidRPr="001A4B94">
              <w:rPr>
                <w:rFonts w:eastAsia="Calibri"/>
                <w:sz w:val="18"/>
                <w:szCs w:val="18"/>
                <w:lang w:val="tr-TR"/>
              </w:rPr>
              <w:t xml:space="preserve"> </w:t>
            </w:r>
            <w:r w:rsidR="00FC0427" w:rsidRPr="001A4B94">
              <w:rPr>
                <w:rFonts w:eastAsia="Calibri"/>
                <w:sz w:val="18"/>
                <w:szCs w:val="18"/>
                <w:lang w:val="tr-TR"/>
              </w:rPr>
              <w:t xml:space="preserve">Özel Sektörün Geliştirilmesi </w:t>
            </w:r>
            <w:r w:rsidRPr="001A4B94">
              <w:rPr>
                <w:rFonts w:eastAsia="Calibri"/>
                <w:sz w:val="18"/>
                <w:szCs w:val="18"/>
                <w:lang w:val="tr-TR"/>
              </w:rPr>
              <w:t>(</w:t>
            </w:r>
            <w:r w:rsidR="00FC0427" w:rsidRPr="001A4B94">
              <w:rPr>
                <w:rFonts w:eastAsia="Calibri"/>
                <w:sz w:val="18"/>
                <w:szCs w:val="18"/>
                <w:lang w:val="tr-TR"/>
              </w:rPr>
              <w:t>2015 MY</w:t>
            </w:r>
            <w:r w:rsidRPr="001A4B94">
              <w:rPr>
                <w:rFonts w:eastAsia="Calibri"/>
                <w:sz w:val="18"/>
                <w:szCs w:val="18"/>
                <w:lang w:val="tr-TR"/>
              </w:rPr>
              <w:t>) P146494</w:t>
            </w:r>
          </w:p>
          <w:p w14:paraId="790BF0B7" w14:textId="4695D08C"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T</w:t>
            </w:r>
            <w:r w:rsidR="00FC0427" w:rsidRPr="001A4B94">
              <w:rPr>
                <w:rFonts w:eastAsia="Calibri"/>
                <w:sz w:val="18"/>
                <w:szCs w:val="18"/>
                <w:lang w:val="tr-TR"/>
              </w:rPr>
              <w:t>Y</w:t>
            </w:r>
            <w:r w:rsidRPr="001A4B94">
              <w:rPr>
                <w:rFonts w:eastAsia="Calibri"/>
                <w:sz w:val="18"/>
                <w:szCs w:val="18"/>
                <w:lang w:val="tr-TR"/>
              </w:rPr>
              <w:t xml:space="preserve"> </w:t>
            </w:r>
            <w:r w:rsidR="00FC0427" w:rsidRPr="001A4B94">
              <w:rPr>
                <w:rFonts w:eastAsia="Calibri"/>
                <w:sz w:val="18"/>
                <w:szCs w:val="18"/>
                <w:lang w:val="tr-TR"/>
              </w:rPr>
              <w:t xml:space="preserve">Finansal Tabana Yayma ve Derinleştirme </w:t>
            </w:r>
            <w:r w:rsidRPr="001A4B94">
              <w:rPr>
                <w:rFonts w:eastAsia="Calibri"/>
                <w:sz w:val="18"/>
                <w:szCs w:val="18"/>
                <w:lang w:val="tr-TR"/>
              </w:rPr>
              <w:t>(</w:t>
            </w:r>
            <w:r w:rsidR="00FC0427" w:rsidRPr="001A4B94">
              <w:rPr>
                <w:rFonts w:eastAsia="Calibri"/>
                <w:sz w:val="18"/>
                <w:szCs w:val="18"/>
                <w:lang w:val="tr-TR"/>
              </w:rPr>
              <w:t>2015 MY</w:t>
            </w:r>
            <w:r w:rsidRPr="001A4B94">
              <w:rPr>
                <w:rFonts w:eastAsia="Calibri"/>
                <w:sz w:val="18"/>
                <w:szCs w:val="18"/>
                <w:lang w:val="tr-TR"/>
              </w:rPr>
              <w:t>) P146626</w:t>
            </w:r>
          </w:p>
          <w:p w14:paraId="5A1E83F5" w14:textId="60B4EA05"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 xml:space="preserve">ESW </w:t>
            </w:r>
            <w:r w:rsidR="00FC0427" w:rsidRPr="001A4B94">
              <w:rPr>
                <w:rFonts w:eastAsia="Calibri"/>
                <w:sz w:val="18"/>
                <w:szCs w:val="18"/>
                <w:lang w:val="tr-TR"/>
              </w:rPr>
              <w:t xml:space="preserve">Rekabetçilik Reformu </w:t>
            </w:r>
            <w:r w:rsidRPr="001A4B94">
              <w:rPr>
                <w:rFonts w:eastAsia="Calibri"/>
                <w:sz w:val="18"/>
                <w:szCs w:val="18"/>
                <w:lang w:val="tr-TR"/>
              </w:rPr>
              <w:t>(</w:t>
            </w:r>
            <w:r w:rsidR="00FC0427" w:rsidRPr="001A4B94">
              <w:rPr>
                <w:rFonts w:eastAsia="Calibri"/>
                <w:sz w:val="18"/>
                <w:szCs w:val="18"/>
                <w:lang w:val="tr-TR"/>
              </w:rPr>
              <w:t>2014 MY</w:t>
            </w:r>
            <w:r w:rsidRPr="001A4B94">
              <w:rPr>
                <w:rFonts w:eastAsia="Calibri"/>
                <w:sz w:val="18"/>
                <w:szCs w:val="18"/>
                <w:lang w:val="tr-TR"/>
              </w:rPr>
              <w:t>) P127856</w:t>
            </w:r>
          </w:p>
          <w:p w14:paraId="5FB921FF" w14:textId="6E76FCD2"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T</w:t>
            </w:r>
            <w:r w:rsidR="00FC0427" w:rsidRPr="001A4B94">
              <w:rPr>
                <w:rFonts w:eastAsia="Calibri"/>
                <w:sz w:val="18"/>
                <w:szCs w:val="18"/>
                <w:lang w:val="tr-TR"/>
              </w:rPr>
              <w:t>Y</w:t>
            </w:r>
            <w:r w:rsidRPr="001A4B94">
              <w:rPr>
                <w:rFonts w:eastAsia="Calibri"/>
                <w:sz w:val="18"/>
                <w:szCs w:val="18"/>
                <w:lang w:val="tr-TR"/>
              </w:rPr>
              <w:t xml:space="preserve"> </w:t>
            </w:r>
            <w:r w:rsidR="00FC0427" w:rsidRPr="001A4B94">
              <w:rPr>
                <w:rFonts w:eastAsia="Calibri"/>
                <w:sz w:val="18"/>
                <w:szCs w:val="18"/>
                <w:lang w:val="tr-TR"/>
              </w:rPr>
              <w:t xml:space="preserve">Finansal Sektörün Geliştirilmesi </w:t>
            </w:r>
            <w:r w:rsidRPr="001A4B94">
              <w:rPr>
                <w:rFonts w:eastAsia="Calibri"/>
                <w:sz w:val="18"/>
                <w:szCs w:val="18"/>
                <w:lang w:val="tr-TR"/>
              </w:rPr>
              <w:t>II (</w:t>
            </w:r>
            <w:r w:rsidR="00FC0427" w:rsidRPr="001A4B94">
              <w:rPr>
                <w:rFonts w:eastAsia="Calibri"/>
                <w:sz w:val="18"/>
                <w:szCs w:val="18"/>
                <w:lang w:val="tr-TR"/>
              </w:rPr>
              <w:t>2014 MY</w:t>
            </w:r>
            <w:r w:rsidRPr="001A4B94">
              <w:rPr>
                <w:rFonts w:eastAsia="Calibri"/>
                <w:sz w:val="18"/>
                <w:szCs w:val="18"/>
                <w:lang w:val="tr-TR"/>
              </w:rPr>
              <w:t>) P132968</w:t>
            </w:r>
          </w:p>
          <w:p w14:paraId="5C5A253A" w14:textId="36D435DF"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T</w:t>
            </w:r>
            <w:r w:rsidR="00FC0427" w:rsidRPr="001A4B94">
              <w:rPr>
                <w:rFonts w:eastAsia="Calibri"/>
                <w:sz w:val="18"/>
                <w:szCs w:val="18"/>
                <w:lang w:val="tr-TR"/>
              </w:rPr>
              <w:t>Y</w:t>
            </w:r>
            <w:r w:rsidRPr="001A4B94">
              <w:rPr>
                <w:rFonts w:eastAsia="Calibri"/>
                <w:sz w:val="18"/>
                <w:szCs w:val="18"/>
                <w:lang w:val="tr-TR"/>
              </w:rPr>
              <w:t xml:space="preserve"> </w:t>
            </w:r>
            <w:r w:rsidR="00FC0427" w:rsidRPr="001A4B94">
              <w:rPr>
                <w:rFonts w:eastAsia="Calibri"/>
                <w:sz w:val="18"/>
                <w:szCs w:val="18"/>
                <w:lang w:val="tr-TR"/>
              </w:rPr>
              <w:t>Kamu</w:t>
            </w:r>
            <w:r w:rsidRPr="001A4B94">
              <w:rPr>
                <w:rFonts w:eastAsia="Calibri"/>
                <w:sz w:val="18"/>
                <w:szCs w:val="18"/>
                <w:lang w:val="tr-TR"/>
              </w:rPr>
              <w:t>-</w:t>
            </w:r>
            <w:r w:rsidR="00FC0427" w:rsidRPr="001A4B94">
              <w:rPr>
                <w:rFonts w:eastAsia="Calibri"/>
                <w:sz w:val="18"/>
                <w:szCs w:val="18"/>
                <w:lang w:val="tr-TR"/>
              </w:rPr>
              <w:t xml:space="preserve">Özel Sektör İşbirliği </w:t>
            </w:r>
            <w:r w:rsidRPr="001A4B94">
              <w:rPr>
                <w:rFonts w:eastAsia="Calibri"/>
                <w:sz w:val="18"/>
                <w:szCs w:val="18"/>
                <w:lang w:val="tr-TR"/>
              </w:rPr>
              <w:t>(</w:t>
            </w:r>
            <w:r w:rsidR="00FC0427" w:rsidRPr="001A4B94">
              <w:rPr>
                <w:rFonts w:eastAsia="Calibri"/>
                <w:sz w:val="18"/>
                <w:szCs w:val="18"/>
                <w:lang w:val="tr-TR"/>
              </w:rPr>
              <w:t>2014 MY</w:t>
            </w:r>
            <w:r w:rsidRPr="001A4B94">
              <w:rPr>
                <w:rFonts w:eastAsia="Calibri"/>
                <w:sz w:val="18"/>
                <w:szCs w:val="18"/>
                <w:lang w:val="tr-TR"/>
              </w:rPr>
              <w:t xml:space="preserve">) P145352 </w:t>
            </w:r>
            <w:r w:rsidR="00FC0427" w:rsidRPr="001A4B94">
              <w:rPr>
                <w:rFonts w:eastAsia="Calibri"/>
                <w:sz w:val="18"/>
                <w:szCs w:val="18"/>
                <w:lang w:val="tr-TR"/>
              </w:rPr>
              <w:t xml:space="preserve">ve </w:t>
            </w:r>
            <w:r w:rsidRPr="001A4B94">
              <w:rPr>
                <w:rFonts w:eastAsia="Calibri"/>
                <w:sz w:val="18"/>
                <w:szCs w:val="18"/>
                <w:lang w:val="tr-TR"/>
              </w:rPr>
              <w:t xml:space="preserve">P148135 </w:t>
            </w:r>
            <w:r w:rsidR="00FC0427" w:rsidRPr="001A4B94">
              <w:rPr>
                <w:rFonts w:eastAsia="Calibri"/>
                <w:sz w:val="18"/>
                <w:szCs w:val="18"/>
                <w:lang w:val="tr-TR"/>
              </w:rPr>
              <w:t>ileriye dönük</w:t>
            </w:r>
            <w:r w:rsidRPr="001A4B94">
              <w:rPr>
                <w:rFonts w:eastAsia="Calibri"/>
                <w:sz w:val="18"/>
                <w:szCs w:val="18"/>
                <w:lang w:val="tr-TR"/>
              </w:rPr>
              <w:t>.</w:t>
            </w:r>
          </w:p>
          <w:p w14:paraId="09530A00" w14:textId="35EF3B6F"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ESW</w:t>
            </w:r>
            <w:r w:rsidR="00FC0427" w:rsidRPr="001A4B94">
              <w:rPr>
                <w:rFonts w:eastAsia="Calibri"/>
                <w:sz w:val="18"/>
                <w:szCs w:val="18"/>
                <w:lang w:val="tr-TR"/>
              </w:rPr>
              <w:t>:</w:t>
            </w:r>
            <w:r w:rsidRPr="001A4B94">
              <w:rPr>
                <w:rFonts w:eastAsia="Calibri"/>
                <w:sz w:val="18"/>
                <w:szCs w:val="18"/>
                <w:lang w:val="tr-TR"/>
              </w:rPr>
              <w:t xml:space="preserve"> </w:t>
            </w:r>
            <w:r w:rsidR="00FC0427" w:rsidRPr="001A4B94">
              <w:rPr>
                <w:rFonts w:eastAsia="Calibri"/>
                <w:sz w:val="18"/>
                <w:szCs w:val="18"/>
                <w:lang w:val="tr-TR"/>
              </w:rPr>
              <w:t>Değer Zinciri Ticareti</w:t>
            </w:r>
            <w:r w:rsidRPr="001A4B94">
              <w:rPr>
                <w:rFonts w:eastAsia="Calibri"/>
                <w:sz w:val="18"/>
                <w:szCs w:val="18"/>
                <w:lang w:val="tr-TR"/>
              </w:rPr>
              <w:t xml:space="preserve">, </w:t>
            </w:r>
            <w:r w:rsidR="00FC0427" w:rsidRPr="001A4B94">
              <w:rPr>
                <w:rFonts w:eastAsia="Calibri"/>
                <w:sz w:val="18"/>
                <w:szCs w:val="18"/>
                <w:lang w:val="tr-TR"/>
              </w:rPr>
              <w:t>Hizmetler ve Loji</w:t>
            </w:r>
            <w:r w:rsidR="00EE1095" w:rsidRPr="001A4B94">
              <w:rPr>
                <w:rFonts w:eastAsia="Calibri"/>
                <w:sz w:val="18"/>
                <w:szCs w:val="18"/>
                <w:lang w:val="tr-TR"/>
              </w:rPr>
              <w:t>s</w:t>
            </w:r>
            <w:r w:rsidR="00FC0427" w:rsidRPr="001A4B94">
              <w:rPr>
                <w:rFonts w:eastAsia="Calibri"/>
                <w:sz w:val="18"/>
                <w:szCs w:val="18"/>
                <w:lang w:val="tr-TR"/>
              </w:rPr>
              <w:t xml:space="preserve">tik </w:t>
            </w:r>
            <w:r w:rsidRPr="001A4B94">
              <w:rPr>
                <w:rFonts w:eastAsia="Calibri"/>
                <w:sz w:val="18"/>
                <w:szCs w:val="18"/>
                <w:lang w:val="tr-TR"/>
              </w:rPr>
              <w:t>(</w:t>
            </w:r>
            <w:r w:rsidR="00FC0427" w:rsidRPr="001A4B94">
              <w:rPr>
                <w:rFonts w:eastAsia="Calibri"/>
                <w:sz w:val="18"/>
                <w:szCs w:val="18"/>
                <w:lang w:val="tr-TR"/>
              </w:rPr>
              <w:t>program odaklı başlangıç 2015 MY</w:t>
            </w:r>
            <w:r w:rsidRPr="001A4B94">
              <w:rPr>
                <w:rFonts w:eastAsia="Calibri"/>
                <w:sz w:val="18"/>
                <w:szCs w:val="18"/>
                <w:lang w:val="tr-TR"/>
              </w:rPr>
              <w:t>)</w:t>
            </w:r>
          </w:p>
          <w:p w14:paraId="51B35301" w14:textId="760C11B7"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ESW</w:t>
            </w:r>
            <w:r w:rsidR="00FC0427" w:rsidRPr="001A4B94">
              <w:rPr>
                <w:rFonts w:eastAsia="Calibri"/>
                <w:sz w:val="18"/>
                <w:szCs w:val="18"/>
                <w:lang w:val="tr-TR"/>
              </w:rPr>
              <w:t xml:space="preserve">: Yenilikçilik ve İş Ortamı </w:t>
            </w:r>
            <w:r w:rsidRPr="001A4B94">
              <w:rPr>
                <w:rFonts w:eastAsia="Calibri"/>
                <w:sz w:val="18"/>
                <w:szCs w:val="18"/>
                <w:lang w:val="tr-TR"/>
              </w:rPr>
              <w:t>(</w:t>
            </w:r>
            <w:r w:rsidR="00FC0427" w:rsidRPr="001A4B94">
              <w:rPr>
                <w:rFonts w:eastAsia="Calibri"/>
                <w:sz w:val="18"/>
                <w:szCs w:val="18"/>
                <w:lang w:val="tr-TR"/>
              </w:rPr>
              <w:t>program odaklı başlangıç 2015 MY</w:t>
            </w:r>
            <w:r w:rsidRPr="001A4B94">
              <w:rPr>
                <w:rFonts w:eastAsia="Calibri"/>
                <w:sz w:val="18"/>
                <w:szCs w:val="18"/>
                <w:lang w:val="tr-TR"/>
              </w:rPr>
              <w:t>)</w:t>
            </w:r>
          </w:p>
          <w:p w14:paraId="67841F42" w14:textId="1C08195A" w:rsidR="00100E2B" w:rsidRPr="001A4B94" w:rsidRDefault="00FC0427"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Vakıf Fonu</w:t>
            </w:r>
            <w:r w:rsidR="00100E2B" w:rsidRPr="001A4B94">
              <w:rPr>
                <w:rFonts w:eastAsia="Calibri"/>
                <w:sz w:val="18"/>
                <w:szCs w:val="18"/>
                <w:lang w:val="tr-TR"/>
              </w:rPr>
              <w:t xml:space="preserve">: </w:t>
            </w:r>
            <w:r w:rsidRPr="001A4B94">
              <w:rPr>
                <w:rFonts w:eastAsia="Calibri"/>
                <w:sz w:val="18"/>
                <w:szCs w:val="18"/>
                <w:lang w:val="tr-TR"/>
              </w:rPr>
              <w:t xml:space="preserve">Ticaret Finansmanı </w:t>
            </w:r>
            <w:r w:rsidR="00100E2B" w:rsidRPr="001A4B94">
              <w:rPr>
                <w:rFonts w:eastAsia="Calibri"/>
                <w:sz w:val="18"/>
                <w:szCs w:val="18"/>
                <w:lang w:val="tr-TR"/>
              </w:rPr>
              <w:t>(PF015830)</w:t>
            </w:r>
          </w:p>
          <w:p w14:paraId="52B01545" w14:textId="16D30FCF" w:rsidR="00100E2B" w:rsidRPr="001A4B94" w:rsidRDefault="00EE1095"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O</w:t>
            </w:r>
            <w:r w:rsidR="00FC0427" w:rsidRPr="001A4B94">
              <w:rPr>
                <w:rFonts w:eastAsia="Calibri"/>
                <w:sz w:val="18"/>
                <w:szCs w:val="18"/>
                <w:lang w:val="tr-TR"/>
              </w:rPr>
              <w:t xml:space="preserve">rtak </w:t>
            </w:r>
            <w:r w:rsidR="00100E2B" w:rsidRPr="001A4B94">
              <w:rPr>
                <w:rFonts w:eastAsia="Calibri"/>
                <w:sz w:val="18"/>
                <w:szCs w:val="18"/>
                <w:lang w:val="tr-TR"/>
              </w:rPr>
              <w:t xml:space="preserve">MNA/ECA </w:t>
            </w:r>
            <w:r w:rsidRPr="001A4B94">
              <w:rPr>
                <w:rFonts w:eastAsia="Calibri"/>
                <w:sz w:val="18"/>
                <w:szCs w:val="18"/>
                <w:lang w:val="tr-TR"/>
              </w:rPr>
              <w:t xml:space="preserve">bölgeler arası bilgi paylaşım girişimi: </w:t>
            </w:r>
            <w:r w:rsidR="00100E2B" w:rsidRPr="001A4B94">
              <w:rPr>
                <w:rFonts w:eastAsia="Calibri"/>
                <w:sz w:val="18"/>
                <w:szCs w:val="18"/>
                <w:lang w:val="tr-TR"/>
              </w:rPr>
              <w:t>‘</w:t>
            </w:r>
            <w:r w:rsidRPr="001A4B94">
              <w:rPr>
                <w:rFonts w:eastAsia="Calibri"/>
                <w:sz w:val="18"/>
                <w:szCs w:val="18"/>
                <w:lang w:val="tr-TR"/>
              </w:rPr>
              <w:t>Teknoloji Edinimi, Yenilikçilik ve Girişimcilik Nasıl Yapılır?</w:t>
            </w:r>
            <w:r w:rsidR="00100E2B" w:rsidRPr="001A4B94">
              <w:rPr>
                <w:rFonts w:eastAsia="Calibri"/>
                <w:sz w:val="18"/>
                <w:szCs w:val="18"/>
                <w:lang w:val="tr-TR"/>
              </w:rPr>
              <w:t>’</w:t>
            </w:r>
          </w:p>
          <w:p w14:paraId="482CE04B" w14:textId="476EA0BB" w:rsidR="00100E2B" w:rsidRPr="001A4B94" w:rsidRDefault="00100E2B" w:rsidP="00100E2B">
            <w:pPr>
              <w:numPr>
                <w:ilvl w:val="0"/>
                <w:numId w:val="22"/>
              </w:numPr>
              <w:spacing w:after="160" w:line="259" w:lineRule="auto"/>
              <w:ind w:left="173" w:hanging="173"/>
              <w:contextualSpacing/>
              <w:rPr>
                <w:rFonts w:eastAsia="Calibri"/>
                <w:sz w:val="18"/>
                <w:szCs w:val="18"/>
                <w:lang w:val="tr-TR"/>
              </w:rPr>
            </w:pPr>
            <w:r w:rsidRPr="001A4B94">
              <w:rPr>
                <w:rFonts w:eastAsia="Calibri"/>
                <w:sz w:val="18"/>
                <w:szCs w:val="18"/>
                <w:lang w:val="tr-TR"/>
              </w:rPr>
              <w:t>Program</w:t>
            </w:r>
            <w:r w:rsidR="00EE1095" w:rsidRPr="001A4B94">
              <w:rPr>
                <w:rFonts w:eastAsia="Calibri"/>
                <w:sz w:val="18"/>
                <w:szCs w:val="18"/>
                <w:lang w:val="tr-TR"/>
              </w:rPr>
              <w:t xml:space="preserve"> Odaklı İstihdam Dizisi</w:t>
            </w:r>
            <w:r w:rsidRPr="001A4B94">
              <w:rPr>
                <w:rFonts w:eastAsia="Calibri"/>
                <w:sz w:val="18"/>
                <w:szCs w:val="18"/>
                <w:lang w:val="tr-TR"/>
              </w:rPr>
              <w:t>:</w:t>
            </w:r>
          </w:p>
          <w:p w14:paraId="7CA56A1F" w14:textId="17384045" w:rsidR="00100E2B" w:rsidRPr="001A4B94" w:rsidRDefault="00EE1095" w:rsidP="00100E2B">
            <w:pPr>
              <w:numPr>
                <w:ilvl w:val="0"/>
                <w:numId w:val="23"/>
              </w:numPr>
              <w:spacing w:after="160" w:line="259" w:lineRule="auto"/>
              <w:ind w:left="443" w:hanging="173"/>
              <w:contextualSpacing/>
              <w:rPr>
                <w:rFonts w:eastAsia="Calibri"/>
                <w:sz w:val="18"/>
                <w:szCs w:val="18"/>
                <w:lang w:val="tr-TR"/>
              </w:rPr>
            </w:pPr>
            <w:r w:rsidRPr="001A4B94">
              <w:rPr>
                <w:rFonts w:eastAsia="Calibri"/>
                <w:sz w:val="18"/>
                <w:szCs w:val="18"/>
                <w:lang w:val="tr-TR"/>
              </w:rPr>
              <w:t xml:space="preserve">Program Odaklı İstihdam </w:t>
            </w:r>
            <w:r w:rsidRPr="001A4B94">
              <w:rPr>
                <w:sz w:val="18"/>
                <w:szCs w:val="18"/>
                <w:lang w:val="tr-TR"/>
              </w:rPr>
              <w:t>Çalışması</w:t>
            </w:r>
            <w:r w:rsidR="00100E2B" w:rsidRPr="001A4B94">
              <w:rPr>
                <w:rFonts w:eastAsia="Calibri"/>
                <w:sz w:val="18"/>
                <w:szCs w:val="18"/>
                <w:lang w:val="tr-TR"/>
              </w:rPr>
              <w:t xml:space="preserve">: </w:t>
            </w:r>
            <w:r w:rsidRPr="001A4B94">
              <w:rPr>
                <w:sz w:val="18"/>
                <w:szCs w:val="18"/>
                <w:lang w:val="tr-TR"/>
              </w:rPr>
              <w:t xml:space="preserve">İş Döngüsü Yoluyla İşgücü Piyasalarının Yönetilmesi </w:t>
            </w:r>
            <w:r w:rsidR="00100E2B" w:rsidRPr="001A4B94">
              <w:rPr>
                <w:rFonts w:eastAsia="Calibri"/>
                <w:sz w:val="18"/>
                <w:szCs w:val="18"/>
                <w:lang w:val="tr-TR"/>
              </w:rPr>
              <w:t>(</w:t>
            </w:r>
            <w:r w:rsidRPr="001A4B94">
              <w:rPr>
                <w:rFonts w:eastAsia="Calibri"/>
                <w:sz w:val="18"/>
                <w:szCs w:val="18"/>
                <w:lang w:val="tr-TR"/>
              </w:rPr>
              <w:t>2012 MY</w:t>
            </w:r>
            <w:r w:rsidR="00100E2B" w:rsidRPr="001A4B94">
              <w:rPr>
                <w:rFonts w:eastAsia="Calibri"/>
                <w:sz w:val="18"/>
                <w:szCs w:val="18"/>
                <w:lang w:val="tr-TR"/>
              </w:rPr>
              <w:t>) P123771</w:t>
            </w:r>
          </w:p>
          <w:p w14:paraId="70E50F09" w14:textId="43D7512A" w:rsidR="00100E2B" w:rsidRPr="001A4B94" w:rsidRDefault="00EE1095" w:rsidP="00100E2B">
            <w:pPr>
              <w:numPr>
                <w:ilvl w:val="0"/>
                <w:numId w:val="23"/>
              </w:numPr>
              <w:spacing w:after="160" w:line="259" w:lineRule="auto"/>
              <w:ind w:left="443" w:hanging="173"/>
              <w:contextualSpacing/>
              <w:rPr>
                <w:rFonts w:eastAsia="Calibri"/>
                <w:sz w:val="18"/>
                <w:szCs w:val="18"/>
                <w:lang w:val="tr-TR"/>
              </w:rPr>
            </w:pPr>
            <w:r w:rsidRPr="001A4B94">
              <w:rPr>
                <w:sz w:val="18"/>
                <w:szCs w:val="18"/>
                <w:lang w:val="tr-TR"/>
              </w:rPr>
              <w:t>Program Odaklı İstihdam Çalışması: Beceri Seviyesi Düşük Gençlerin ve Kadınların Aktivasyonu</w:t>
            </w:r>
            <w:r w:rsidRPr="001A4B94">
              <w:rPr>
                <w:rFonts w:eastAsia="Calibri"/>
                <w:sz w:val="18"/>
                <w:szCs w:val="18"/>
                <w:lang w:val="tr-TR"/>
              </w:rPr>
              <w:t xml:space="preserve">  </w:t>
            </w:r>
            <w:r w:rsidR="00100E2B" w:rsidRPr="001A4B94">
              <w:rPr>
                <w:rFonts w:eastAsia="Calibri"/>
                <w:sz w:val="18"/>
                <w:szCs w:val="18"/>
                <w:lang w:val="tr-TR"/>
              </w:rPr>
              <w:t>(</w:t>
            </w:r>
            <w:r w:rsidRPr="001A4B94">
              <w:rPr>
                <w:rFonts w:eastAsia="Calibri"/>
                <w:sz w:val="18"/>
                <w:szCs w:val="18"/>
                <w:lang w:val="tr-TR"/>
              </w:rPr>
              <w:t>2014 MY</w:t>
            </w:r>
            <w:r w:rsidR="00100E2B" w:rsidRPr="001A4B94">
              <w:rPr>
                <w:rFonts w:eastAsia="Calibri"/>
                <w:sz w:val="18"/>
                <w:szCs w:val="18"/>
                <w:lang w:val="tr-TR"/>
              </w:rPr>
              <w:t>) P131099</w:t>
            </w:r>
          </w:p>
          <w:p w14:paraId="1E7EBC24" w14:textId="05366D31" w:rsidR="00100E2B" w:rsidRPr="001A4B94" w:rsidRDefault="00EE1095" w:rsidP="00100E2B">
            <w:pPr>
              <w:numPr>
                <w:ilvl w:val="0"/>
                <w:numId w:val="23"/>
              </w:numPr>
              <w:spacing w:after="160" w:line="259" w:lineRule="auto"/>
              <w:ind w:left="443" w:hanging="173"/>
              <w:contextualSpacing/>
              <w:rPr>
                <w:rFonts w:eastAsia="Calibri"/>
                <w:sz w:val="18"/>
                <w:szCs w:val="18"/>
                <w:lang w:val="tr-TR"/>
              </w:rPr>
            </w:pPr>
            <w:r w:rsidRPr="001A4B94">
              <w:rPr>
                <w:sz w:val="18"/>
                <w:szCs w:val="18"/>
                <w:lang w:val="tr-TR"/>
              </w:rPr>
              <w:t>Program Odaklı İstihdam Çalışması</w:t>
            </w:r>
            <w:r w:rsidR="00100E2B" w:rsidRPr="001A4B94">
              <w:rPr>
                <w:rFonts w:eastAsia="Calibri"/>
                <w:sz w:val="18"/>
                <w:szCs w:val="18"/>
                <w:lang w:val="tr-TR"/>
              </w:rPr>
              <w:t xml:space="preserve">: </w:t>
            </w:r>
            <w:r w:rsidRPr="001A4B94">
              <w:rPr>
                <w:rFonts w:eastAsia="Calibri"/>
                <w:sz w:val="18"/>
                <w:szCs w:val="18"/>
                <w:lang w:val="tr-TR"/>
              </w:rPr>
              <w:t xml:space="preserve">İyi İşler Yaratmak </w:t>
            </w:r>
            <w:r w:rsidR="00100E2B" w:rsidRPr="001A4B94">
              <w:rPr>
                <w:rFonts w:eastAsia="Calibri"/>
                <w:sz w:val="18"/>
                <w:szCs w:val="18"/>
                <w:lang w:val="tr-TR"/>
              </w:rPr>
              <w:t>(</w:t>
            </w:r>
            <w:r w:rsidRPr="001A4B94">
              <w:rPr>
                <w:rFonts w:eastAsia="Calibri"/>
                <w:sz w:val="18"/>
                <w:szCs w:val="18"/>
                <w:lang w:val="tr-TR"/>
              </w:rPr>
              <w:t>2015 MY</w:t>
            </w:r>
            <w:r w:rsidR="00100E2B" w:rsidRPr="001A4B94">
              <w:rPr>
                <w:rFonts w:eastAsia="Calibri"/>
                <w:sz w:val="18"/>
                <w:szCs w:val="18"/>
                <w:lang w:val="tr-TR"/>
              </w:rPr>
              <w:t>) P147432</w:t>
            </w:r>
          </w:p>
          <w:p w14:paraId="7F046BE5" w14:textId="05903352" w:rsidR="00100E2B" w:rsidRPr="001A4B94" w:rsidRDefault="00A55840"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lastRenderedPageBreak/>
              <w:t xml:space="preserve">İŞKUR’un Mesleki Eğitim Programlarının Etki Değerlendirmesi </w:t>
            </w:r>
            <w:r w:rsidR="00100E2B" w:rsidRPr="001A4B94">
              <w:rPr>
                <w:rFonts w:eastAsia="Calibri"/>
                <w:sz w:val="18"/>
                <w:szCs w:val="18"/>
                <w:lang w:val="tr-TR"/>
              </w:rPr>
              <w:t>(</w:t>
            </w:r>
            <w:r w:rsidRPr="001A4B94">
              <w:rPr>
                <w:rFonts w:eastAsia="Calibri"/>
                <w:sz w:val="18"/>
                <w:szCs w:val="18"/>
                <w:lang w:val="tr-TR"/>
              </w:rPr>
              <w:t>2014 MY</w:t>
            </w:r>
            <w:r w:rsidR="00100E2B" w:rsidRPr="001A4B94">
              <w:rPr>
                <w:rFonts w:eastAsia="Calibri"/>
                <w:sz w:val="18"/>
                <w:szCs w:val="18"/>
                <w:lang w:val="tr-TR"/>
              </w:rPr>
              <w:t>) P120514</w:t>
            </w:r>
          </w:p>
          <w:p w14:paraId="67AC2095" w14:textId="1C20D6AB"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T</w:t>
            </w:r>
            <w:r w:rsidR="00A55840" w:rsidRPr="001A4B94">
              <w:rPr>
                <w:rFonts w:eastAsia="Calibri"/>
                <w:sz w:val="18"/>
                <w:szCs w:val="18"/>
                <w:lang w:val="tr-TR"/>
              </w:rPr>
              <w:t xml:space="preserve">Y: </w:t>
            </w:r>
            <w:r w:rsidRPr="001A4B94">
              <w:rPr>
                <w:rFonts w:eastAsia="Calibri"/>
                <w:sz w:val="18"/>
                <w:szCs w:val="18"/>
                <w:lang w:val="tr-TR"/>
              </w:rPr>
              <w:t>Program</w:t>
            </w:r>
            <w:r w:rsidR="00A55840" w:rsidRPr="001A4B94">
              <w:rPr>
                <w:rFonts w:eastAsia="Calibri"/>
                <w:sz w:val="18"/>
                <w:szCs w:val="18"/>
                <w:lang w:val="tr-TR"/>
              </w:rPr>
              <w:t xml:space="preserve"> Odaklı Beşeri Kalkınma </w:t>
            </w:r>
            <w:r w:rsidRPr="001A4B94">
              <w:rPr>
                <w:rFonts w:eastAsia="Calibri"/>
                <w:sz w:val="18"/>
                <w:szCs w:val="18"/>
                <w:lang w:val="tr-TR"/>
              </w:rPr>
              <w:t>(</w:t>
            </w:r>
            <w:r w:rsidR="00A55840" w:rsidRPr="001A4B94">
              <w:rPr>
                <w:rFonts w:eastAsia="Calibri"/>
                <w:sz w:val="18"/>
                <w:szCs w:val="18"/>
                <w:lang w:val="tr-TR"/>
              </w:rPr>
              <w:t>2013 MY</w:t>
            </w:r>
            <w:r w:rsidRPr="001A4B94">
              <w:rPr>
                <w:rFonts w:eastAsia="Calibri"/>
                <w:sz w:val="18"/>
                <w:szCs w:val="18"/>
                <w:lang w:val="tr-TR"/>
              </w:rPr>
              <w:t>)  P133668</w:t>
            </w:r>
          </w:p>
          <w:p w14:paraId="516ADFA6" w14:textId="69B546ED" w:rsidR="00100E2B" w:rsidRPr="001A4B94" w:rsidRDefault="00100E2B" w:rsidP="00100E2B">
            <w:pPr>
              <w:numPr>
                <w:ilvl w:val="0"/>
                <w:numId w:val="22"/>
              </w:numPr>
              <w:spacing w:after="160" w:line="259" w:lineRule="auto"/>
              <w:ind w:left="187" w:hanging="187"/>
              <w:contextualSpacing/>
              <w:rPr>
                <w:rFonts w:eastAsia="Calibri"/>
                <w:sz w:val="18"/>
                <w:szCs w:val="18"/>
                <w:lang w:val="tr-TR"/>
              </w:rPr>
            </w:pPr>
            <w:r w:rsidRPr="001A4B94">
              <w:rPr>
                <w:rFonts w:eastAsia="Calibri"/>
                <w:sz w:val="18"/>
                <w:szCs w:val="18"/>
                <w:lang w:val="tr-TR"/>
              </w:rPr>
              <w:t>T</w:t>
            </w:r>
            <w:r w:rsidR="00A55840" w:rsidRPr="001A4B94">
              <w:rPr>
                <w:rFonts w:eastAsia="Calibri"/>
                <w:sz w:val="18"/>
                <w:szCs w:val="18"/>
                <w:lang w:val="tr-TR"/>
              </w:rPr>
              <w:t>Y</w:t>
            </w:r>
            <w:r w:rsidR="00EF31DB" w:rsidRPr="001A4B94">
              <w:rPr>
                <w:rFonts w:eastAsia="Calibri"/>
                <w:sz w:val="18"/>
                <w:szCs w:val="18"/>
                <w:lang w:val="tr-TR"/>
              </w:rPr>
              <w:t>:</w:t>
            </w:r>
            <w:r w:rsidRPr="001A4B94">
              <w:rPr>
                <w:rFonts w:eastAsia="Calibri"/>
                <w:sz w:val="18"/>
                <w:szCs w:val="18"/>
                <w:lang w:val="tr-TR"/>
              </w:rPr>
              <w:t xml:space="preserve"> </w:t>
            </w:r>
            <w:r w:rsidR="00A55840" w:rsidRPr="001A4B94">
              <w:rPr>
                <w:rFonts w:eastAsia="Calibri"/>
                <w:sz w:val="18"/>
                <w:szCs w:val="18"/>
                <w:lang w:val="tr-TR"/>
              </w:rPr>
              <w:t xml:space="preserve">Program Odaklı Beşeri Kalkınma </w:t>
            </w:r>
            <w:r w:rsidRPr="001A4B94">
              <w:rPr>
                <w:rFonts w:eastAsia="Calibri"/>
                <w:sz w:val="18"/>
                <w:szCs w:val="18"/>
                <w:lang w:val="tr-TR"/>
              </w:rPr>
              <w:t>(</w:t>
            </w:r>
            <w:r w:rsidR="00A55840" w:rsidRPr="001A4B94">
              <w:rPr>
                <w:rFonts w:eastAsia="Calibri"/>
                <w:sz w:val="18"/>
                <w:szCs w:val="18"/>
                <w:lang w:val="tr-TR"/>
              </w:rPr>
              <w:t>2012 MY</w:t>
            </w:r>
            <w:r w:rsidRPr="001A4B94">
              <w:rPr>
                <w:rFonts w:eastAsia="Calibri"/>
                <w:sz w:val="18"/>
                <w:szCs w:val="18"/>
                <w:lang w:val="tr-TR"/>
              </w:rPr>
              <w:t>)  P 128493</w:t>
            </w:r>
          </w:p>
          <w:p w14:paraId="0C12D640" w14:textId="7C57D464" w:rsidR="00100E2B" w:rsidRPr="001A4B94" w:rsidRDefault="00A55840" w:rsidP="00100E2B">
            <w:pPr>
              <w:numPr>
                <w:ilvl w:val="0"/>
                <w:numId w:val="22"/>
              </w:numPr>
              <w:spacing w:after="160" w:line="259" w:lineRule="auto"/>
              <w:ind w:left="187" w:hanging="187"/>
              <w:contextualSpacing/>
              <w:rPr>
                <w:rFonts w:eastAsiaTheme="minorHAnsi"/>
                <w:sz w:val="18"/>
                <w:szCs w:val="18"/>
                <w:lang w:val="tr-TR"/>
              </w:rPr>
            </w:pPr>
            <w:r w:rsidRPr="001A4B94">
              <w:rPr>
                <w:rFonts w:eastAsia="Calibri"/>
                <w:sz w:val="18"/>
                <w:szCs w:val="18"/>
                <w:lang w:val="tr-TR"/>
              </w:rPr>
              <w:t xml:space="preserve">IFC’nin mesleki eğitime desteği </w:t>
            </w:r>
          </w:p>
        </w:tc>
      </w:tr>
      <w:tr w:rsidR="00747261" w:rsidRPr="001A4B94" w14:paraId="73D8A6F7" w14:textId="77777777" w:rsidTr="00201B62">
        <w:trPr>
          <w:trHeight w:val="720"/>
        </w:trPr>
        <w:tc>
          <w:tcPr>
            <w:tcW w:w="1286" w:type="pct"/>
            <w:shd w:val="clear" w:color="auto" w:fill="auto"/>
          </w:tcPr>
          <w:p w14:paraId="4BEEF14C" w14:textId="115D4F78" w:rsidR="00747261" w:rsidRPr="001A4B94" w:rsidRDefault="00100E2B" w:rsidP="00747261">
            <w:pPr>
              <w:spacing w:after="160" w:line="259" w:lineRule="auto"/>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1: </w:t>
            </w:r>
            <w:r w:rsidRPr="001A4B94">
              <w:rPr>
                <w:rFonts w:eastAsiaTheme="minorHAnsi"/>
                <w:sz w:val="18"/>
                <w:szCs w:val="18"/>
                <w:lang w:val="tr-TR" w:bidi="en-US"/>
              </w:rPr>
              <w:t>Yeni patent başvurularındaki artış</w:t>
            </w:r>
            <w:r w:rsidR="00747261" w:rsidRPr="001A4B94">
              <w:rPr>
                <w:rFonts w:eastAsiaTheme="minorHAnsi"/>
                <w:sz w:val="18"/>
                <w:szCs w:val="18"/>
                <w:lang w:val="tr-TR" w:bidi="en-US"/>
              </w:rPr>
              <w:t>.</w:t>
            </w:r>
          </w:p>
          <w:p w14:paraId="28ABC940" w14:textId="1D9A08C4" w:rsidR="00747261" w:rsidRPr="001A4B94" w:rsidRDefault="00100E2B" w:rsidP="00747261">
            <w:pPr>
              <w:spacing w:after="160" w:line="259" w:lineRule="auto"/>
              <w:rPr>
                <w:rFonts w:eastAsiaTheme="minorHAnsi"/>
                <w:sz w:val="18"/>
                <w:szCs w:val="18"/>
                <w:lang w:val="tr-TR" w:bidi="en-US"/>
              </w:rPr>
            </w:pPr>
            <w:r w:rsidRPr="001A4B94">
              <w:rPr>
                <w:rFonts w:eastAsiaTheme="minorEastAsia"/>
                <w:b/>
                <w:sz w:val="18"/>
                <w:szCs w:val="18"/>
                <w:lang w:val="tr-TR" w:eastAsia="ja-JP"/>
              </w:rPr>
              <w:t>Başlangıç Durumu</w:t>
            </w:r>
            <w:r w:rsidR="00747261" w:rsidRPr="001A4B94">
              <w:rPr>
                <w:rFonts w:eastAsiaTheme="minorHAnsi"/>
                <w:b/>
                <w:sz w:val="18"/>
                <w:szCs w:val="18"/>
                <w:lang w:val="tr-TR" w:bidi="en-US"/>
              </w:rPr>
              <w:t>:</w:t>
            </w:r>
            <w:r w:rsidRPr="001A4B94">
              <w:rPr>
                <w:rFonts w:eastAsiaTheme="minorHAnsi"/>
                <w:b/>
                <w:sz w:val="18"/>
                <w:szCs w:val="18"/>
                <w:lang w:val="tr-TR" w:bidi="en-US"/>
              </w:rPr>
              <w:t xml:space="preserve"> </w:t>
            </w:r>
            <w:r w:rsidRPr="001A4B94">
              <w:rPr>
                <w:rFonts w:eastAsiaTheme="minorHAnsi"/>
                <w:sz w:val="18"/>
                <w:szCs w:val="18"/>
                <w:lang w:val="tr-TR" w:bidi="en-US"/>
              </w:rPr>
              <w:t>2013 yılında</w:t>
            </w:r>
            <w:r w:rsidR="00747261" w:rsidRPr="001A4B94">
              <w:rPr>
                <w:rFonts w:eastAsiaTheme="minorHAnsi"/>
                <w:sz w:val="18"/>
                <w:szCs w:val="18"/>
                <w:lang w:val="tr-TR" w:bidi="en-US"/>
              </w:rPr>
              <w:t xml:space="preserve"> 5</w:t>
            </w:r>
            <w:r w:rsidRPr="001A4B94">
              <w:rPr>
                <w:rFonts w:eastAsiaTheme="minorHAnsi"/>
                <w:sz w:val="18"/>
                <w:szCs w:val="18"/>
                <w:lang w:val="tr-TR" w:bidi="en-US"/>
              </w:rPr>
              <w:t>.</w:t>
            </w:r>
            <w:r w:rsidR="00747261" w:rsidRPr="001A4B94">
              <w:rPr>
                <w:rFonts w:eastAsiaTheme="minorHAnsi"/>
                <w:sz w:val="18"/>
                <w:szCs w:val="18"/>
                <w:lang w:val="tr-TR" w:bidi="en-US"/>
              </w:rPr>
              <w:t xml:space="preserve">600. </w:t>
            </w:r>
          </w:p>
          <w:p w14:paraId="61547184" w14:textId="0BEAC0FA" w:rsidR="00747261" w:rsidRPr="001A4B94" w:rsidRDefault="00100E2B" w:rsidP="00747261">
            <w:pPr>
              <w:rPr>
                <w:rFonts w:eastAsiaTheme="minorEastAsia"/>
                <w:sz w:val="18"/>
                <w:szCs w:val="18"/>
                <w:lang w:val="tr-TR" w:eastAsia="ja-JP"/>
              </w:rPr>
            </w:pPr>
            <w:r w:rsidRPr="001A4B94">
              <w:rPr>
                <w:rFonts w:eastAsiaTheme="minorEastAsia"/>
                <w:b/>
                <w:sz w:val="18"/>
                <w:szCs w:val="18"/>
                <w:lang w:val="tr-TR" w:eastAsia="ja-JP"/>
              </w:rPr>
              <w:t>Hedef</w:t>
            </w:r>
            <w:r w:rsidR="00747261" w:rsidRPr="001A4B94">
              <w:rPr>
                <w:rFonts w:eastAsiaTheme="minorEastAsia"/>
                <w:b/>
                <w:sz w:val="18"/>
                <w:szCs w:val="18"/>
                <w:lang w:val="tr-TR" w:eastAsia="ja-JP"/>
              </w:rPr>
              <w:t xml:space="preserve">: </w:t>
            </w:r>
            <w:r w:rsidRPr="001A4B94">
              <w:rPr>
                <w:rFonts w:eastAsiaTheme="minorEastAsia"/>
                <w:sz w:val="18"/>
                <w:szCs w:val="18"/>
                <w:lang w:val="tr-TR" w:eastAsia="ja-JP"/>
              </w:rPr>
              <w:t>Spesifik bir hedef belirlenmedi</w:t>
            </w:r>
            <w:r w:rsidR="00747261" w:rsidRPr="001A4B94">
              <w:rPr>
                <w:rFonts w:eastAsiaTheme="minorEastAsia"/>
                <w:sz w:val="18"/>
                <w:szCs w:val="18"/>
                <w:lang w:val="tr-TR" w:eastAsia="ja-JP"/>
              </w:rPr>
              <w:t>.</w:t>
            </w:r>
          </w:p>
        </w:tc>
        <w:tc>
          <w:tcPr>
            <w:tcW w:w="1261" w:type="pct"/>
            <w:shd w:val="clear" w:color="auto" w:fill="auto"/>
          </w:tcPr>
          <w:p w14:paraId="7F93C9EA" w14:textId="4F5636EC" w:rsidR="00747261" w:rsidRPr="001A4B94" w:rsidRDefault="00100E2B" w:rsidP="00747261">
            <w:pPr>
              <w:spacing w:after="160" w:line="259" w:lineRule="auto"/>
              <w:rPr>
                <w:rFonts w:eastAsiaTheme="minorHAnsi"/>
                <w:sz w:val="18"/>
                <w:szCs w:val="18"/>
                <w:lang w:val="tr-TR"/>
              </w:rPr>
            </w:pPr>
            <w:r w:rsidRPr="001A4B94">
              <w:rPr>
                <w:rFonts w:eastAsiaTheme="minorEastAsia"/>
                <w:b/>
                <w:sz w:val="18"/>
                <w:szCs w:val="18"/>
                <w:lang w:val="tr-TR" w:eastAsia="ja-JP"/>
              </w:rPr>
              <w:t>Karşılanmadı</w:t>
            </w:r>
            <w:r w:rsidR="00747261" w:rsidRPr="001A4B94">
              <w:rPr>
                <w:rFonts w:eastAsiaTheme="minorHAnsi"/>
                <w:b/>
                <w:sz w:val="18"/>
                <w:szCs w:val="18"/>
                <w:lang w:val="tr-TR"/>
              </w:rPr>
              <w:t xml:space="preserve">. </w:t>
            </w:r>
            <w:r w:rsidRPr="001A4B94">
              <w:rPr>
                <w:rFonts w:eastAsiaTheme="minorHAnsi"/>
                <w:sz w:val="18"/>
                <w:szCs w:val="18"/>
                <w:lang w:val="tr-TR"/>
              </w:rPr>
              <w:t>Yeni Patent Kanununun kabulündeki gecikme sebebiyle hedef karşılanamadı</w:t>
            </w:r>
            <w:r w:rsidR="00747261" w:rsidRPr="001A4B94">
              <w:rPr>
                <w:rFonts w:eastAsiaTheme="minorHAnsi"/>
                <w:sz w:val="18"/>
                <w:szCs w:val="18"/>
                <w:lang w:val="tr-TR"/>
              </w:rPr>
              <w:t xml:space="preserve">. </w:t>
            </w:r>
            <w:r w:rsidRPr="001A4B94">
              <w:rPr>
                <w:rFonts w:eastAsiaTheme="minorHAnsi"/>
                <w:sz w:val="18"/>
                <w:szCs w:val="18"/>
                <w:lang w:val="tr-TR"/>
              </w:rPr>
              <w:t>Verilen başlangıç seviyesine göre hedefler belirlenmedi</w:t>
            </w:r>
            <w:r w:rsidR="00747261" w:rsidRPr="001A4B94">
              <w:rPr>
                <w:rFonts w:eastAsiaTheme="minorHAnsi"/>
                <w:sz w:val="18"/>
                <w:szCs w:val="18"/>
                <w:lang w:val="tr-TR"/>
              </w:rPr>
              <w:t xml:space="preserve">; </w:t>
            </w:r>
            <w:r w:rsidRPr="001A4B94">
              <w:rPr>
                <w:rFonts w:eastAsiaTheme="minorHAnsi"/>
                <w:sz w:val="18"/>
                <w:szCs w:val="18"/>
                <w:lang w:val="tr-TR"/>
              </w:rPr>
              <w:t xml:space="preserve">ancak 2016 MY sonu itibariyle sadece 5.512 patent başvurusu yapıldı (2013 yılındaki başlangıç seviyesi </w:t>
            </w:r>
            <w:r w:rsidR="00747261" w:rsidRPr="001A4B94">
              <w:rPr>
                <w:rFonts w:eastAsiaTheme="minorHAnsi"/>
                <w:sz w:val="18"/>
                <w:szCs w:val="18"/>
                <w:lang w:val="tr-TR"/>
              </w:rPr>
              <w:t>5</w:t>
            </w:r>
            <w:r w:rsidRPr="001A4B94">
              <w:rPr>
                <w:rFonts w:eastAsiaTheme="minorHAnsi"/>
                <w:sz w:val="18"/>
                <w:szCs w:val="18"/>
                <w:lang w:val="tr-TR"/>
              </w:rPr>
              <w:t>.</w:t>
            </w:r>
            <w:r w:rsidR="00747261" w:rsidRPr="001A4B94">
              <w:rPr>
                <w:rFonts w:eastAsiaTheme="minorHAnsi"/>
                <w:sz w:val="18"/>
                <w:szCs w:val="18"/>
                <w:lang w:val="tr-TR"/>
              </w:rPr>
              <w:t>600</w:t>
            </w:r>
            <w:r w:rsidRPr="001A4B94">
              <w:rPr>
                <w:rFonts w:eastAsiaTheme="minorHAnsi"/>
                <w:sz w:val="18"/>
                <w:szCs w:val="18"/>
                <w:lang w:val="tr-TR"/>
              </w:rPr>
              <w:t xml:space="preserve"> idi</w:t>
            </w:r>
            <w:r w:rsidR="00747261" w:rsidRPr="001A4B94">
              <w:rPr>
                <w:rFonts w:eastAsiaTheme="minorHAnsi"/>
                <w:sz w:val="18"/>
                <w:szCs w:val="18"/>
                <w:lang w:val="tr-TR"/>
              </w:rPr>
              <w:t>).</w:t>
            </w:r>
          </w:p>
          <w:p w14:paraId="63B6049A" w14:textId="06382061" w:rsidR="00747261" w:rsidRPr="001A4B94" w:rsidRDefault="00BB4426" w:rsidP="00747261">
            <w:pPr>
              <w:spacing w:after="160" w:line="259" w:lineRule="auto"/>
              <w:rPr>
                <w:rFonts w:eastAsiaTheme="minorHAnsi"/>
                <w:b/>
                <w:sz w:val="22"/>
                <w:szCs w:val="22"/>
                <w:lang w:val="tr-TR" w:bidi="en-US"/>
              </w:rPr>
            </w:pPr>
            <w:r w:rsidRPr="001A4B94">
              <w:rPr>
                <w:rFonts w:eastAsiaTheme="minorHAnsi"/>
                <w:b/>
                <w:sz w:val="18"/>
                <w:szCs w:val="18"/>
                <w:lang w:val="tr-TR"/>
              </w:rPr>
              <w:t>Gerçekleşme</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 xml:space="preserve">2015 yılında </w:t>
            </w:r>
            <w:r w:rsidR="00747261" w:rsidRPr="001A4B94">
              <w:rPr>
                <w:rFonts w:eastAsiaTheme="minorHAnsi"/>
                <w:sz w:val="18"/>
                <w:szCs w:val="18"/>
                <w:lang w:val="tr-TR" w:bidi="en-US"/>
              </w:rPr>
              <w:t>5</w:t>
            </w:r>
            <w:r w:rsidRPr="001A4B94">
              <w:rPr>
                <w:rFonts w:eastAsiaTheme="minorHAnsi"/>
                <w:sz w:val="18"/>
                <w:szCs w:val="18"/>
                <w:lang w:val="tr-TR" w:bidi="en-US"/>
              </w:rPr>
              <w:t>.</w:t>
            </w:r>
            <w:r w:rsidR="00747261" w:rsidRPr="001A4B94">
              <w:rPr>
                <w:rFonts w:eastAsiaTheme="minorHAnsi"/>
                <w:sz w:val="18"/>
                <w:szCs w:val="18"/>
                <w:lang w:val="tr-TR" w:bidi="en-US"/>
              </w:rPr>
              <w:t>512. (</w:t>
            </w:r>
            <w:r w:rsidRPr="001A4B94">
              <w:rPr>
                <w:rFonts w:eastAsiaTheme="minorHAnsi"/>
                <w:sz w:val="18"/>
                <w:szCs w:val="18"/>
                <w:lang w:val="tr-TR" w:bidi="en-US"/>
              </w:rPr>
              <w:t>Kaynak</w:t>
            </w:r>
            <w:r w:rsidR="00747261" w:rsidRPr="001A4B94">
              <w:rPr>
                <w:rFonts w:eastAsiaTheme="minorHAnsi"/>
                <w:sz w:val="18"/>
                <w:szCs w:val="18"/>
                <w:lang w:val="tr-TR" w:bidi="en-US"/>
              </w:rPr>
              <w:t xml:space="preserve">: TPE)  </w:t>
            </w:r>
          </w:p>
        </w:tc>
        <w:tc>
          <w:tcPr>
            <w:tcW w:w="2451" w:type="pct"/>
            <w:vMerge/>
            <w:shd w:val="clear" w:color="auto" w:fill="auto"/>
          </w:tcPr>
          <w:p w14:paraId="58DB65AE" w14:textId="77777777" w:rsidR="00747261" w:rsidRPr="001A4B94" w:rsidRDefault="00747261" w:rsidP="00747261">
            <w:pPr>
              <w:rPr>
                <w:rFonts w:eastAsiaTheme="minorEastAsia"/>
                <w:sz w:val="18"/>
                <w:szCs w:val="18"/>
                <w:lang w:val="tr-TR" w:eastAsia="ja-JP"/>
              </w:rPr>
            </w:pPr>
          </w:p>
        </w:tc>
      </w:tr>
      <w:tr w:rsidR="00747261" w:rsidRPr="001A4B94" w14:paraId="6269B4B2" w14:textId="77777777" w:rsidTr="00201B62">
        <w:trPr>
          <w:trHeight w:val="1890"/>
        </w:trPr>
        <w:tc>
          <w:tcPr>
            <w:tcW w:w="1286" w:type="pct"/>
            <w:shd w:val="clear" w:color="auto" w:fill="auto"/>
          </w:tcPr>
          <w:p w14:paraId="598A3B01" w14:textId="15BEB6B5" w:rsidR="00747261" w:rsidRPr="001A4B94" w:rsidRDefault="00831DB3"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2:</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Bütünleşik şirket düzenleme sistemi </w:t>
            </w:r>
            <w:r w:rsidR="00747261" w:rsidRPr="001A4B94">
              <w:rPr>
                <w:rFonts w:eastAsiaTheme="minorHAnsi"/>
                <w:sz w:val="18"/>
                <w:szCs w:val="18"/>
                <w:lang w:val="tr-TR" w:bidi="en-US"/>
              </w:rPr>
              <w:t xml:space="preserve">(MERSIS) </w:t>
            </w:r>
            <w:r w:rsidRPr="001A4B94">
              <w:rPr>
                <w:rFonts w:eastAsiaTheme="minorHAnsi"/>
                <w:sz w:val="18"/>
                <w:szCs w:val="18"/>
                <w:lang w:val="tr-TR" w:bidi="en-US"/>
              </w:rPr>
              <w:t>uygulamasının tüm şirketlerin Türkiye genelindeki [238] sicile girilmesini sağlaması</w:t>
            </w:r>
            <w:r w:rsidR="00747261" w:rsidRPr="001A4B94">
              <w:rPr>
                <w:rFonts w:eastAsiaTheme="minorHAnsi"/>
                <w:sz w:val="18"/>
                <w:szCs w:val="18"/>
                <w:lang w:val="tr-TR" w:bidi="en-US"/>
              </w:rPr>
              <w:t xml:space="preserve">. </w:t>
            </w:r>
          </w:p>
          <w:p w14:paraId="27067726" w14:textId="77777777" w:rsidR="00747261" w:rsidRPr="001A4B94" w:rsidRDefault="00747261" w:rsidP="00747261">
            <w:pPr>
              <w:spacing w:after="160" w:line="259" w:lineRule="auto"/>
              <w:contextualSpacing/>
              <w:rPr>
                <w:rFonts w:eastAsiaTheme="minorHAnsi"/>
                <w:b/>
                <w:sz w:val="18"/>
                <w:szCs w:val="18"/>
                <w:lang w:val="tr-TR" w:bidi="en-US"/>
              </w:rPr>
            </w:pPr>
          </w:p>
          <w:p w14:paraId="3E15A1DB" w14:textId="50F2BC31" w:rsidR="00747261" w:rsidRPr="001A4B94" w:rsidRDefault="00831DB3"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bidi="en-US"/>
              </w:rPr>
              <w:t>Başlangıç Durumu</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2012 yılında </w:t>
            </w:r>
            <w:r w:rsidR="00747261" w:rsidRPr="001A4B94">
              <w:rPr>
                <w:rFonts w:eastAsiaTheme="minorHAnsi"/>
                <w:sz w:val="18"/>
                <w:szCs w:val="18"/>
                <w:lang w:val="tr-TR" w:bidi="en-US"/>
              </w:rPr>
              <w:t xml:space="preserve">204 </w:t>
            </w:r>
            <w:r w:rsidRPr="001A4B94">
              <w:rPr>
                <w:rFonts w:eastAsiaTheme="minorHAnsi"/>
                <w:sz w:val="18"/>
                <w:szCs w:val="18"/>
                <w:lang w:val="tr-TR" w:bidi="en-US"/>
              </w:rPr>
              <w:t>şirket tescil edildi</w:t>
            </w:r>
            <w:r w:rsidR="00747261" w:rsidRPr="001A4B94">
              <w:rPr>
                <w:rFonts w:eastAsiaTheme="minorHAnsi"/>
                <w:sz w:val="18"/>
                <w:szCs w:val="18"/>
                <w:lang w:val="tr-TR" w:bidi="en-US"/>
              </w:rPr>
              <w:t>.</w:t>
            </w:r>
          </w:p>
          <w:p w14:paraId="5EEF191C" w14:textId="5914B68D" w:rsidR="00747261" w:rsidRPr="001A4B94" w:rsidRDefault="00831DB3" w:rsidP="00747261">
            <w:pPr>
              <w:spacing w:after="160" w:line="259" w:lineRule="auto"/>
              <w:contextualSpacing/>
              <w:rPr>
                <w:rFonts w:eastAsiaTheme="minorHAnsi"/>
                <w:b/>
                <w:i/>
                <w:sz w:val="18"/>
                <w:szCs w:val="18"/>
                <w:lang w:val="tr-TR" w:bidi="en-US"/>
              </w:rPr>
            </w:pPr>
            <w:r w:rsidRPr="001A4B94">
              <w:rPr>
                <w:rFonts w:eastAsiaTheme="minorHAnsi"/>
                <w:b/>
                <w:sz w:val="18"/>
                <w:szCs w:val="18"/>
                <w:lang w:val="tr-TR" w:bidi="en-US"/>
              </w:rPr>
              <w:t>Hedef</w:t>
            </w:r>
            <w:r w:rsidR="00747261" w:rsidRPr="001A4B94">
              <w:rPr>
                <w:rFonts w:eastAsiaTheme="minorHAnsi"/>
                <w:b/>
                <w:sz w:val="18"/>
                <w:szCs w:val="18"/>
                <w:lang w:val="tr-TR" w:bidi="en-US"/>
              </w:rPr>
              <w:t xml:space="preserve">: </w:t>
            </w:r>
            <w:r w:rsidRPr="001A4B94">
              <w:rPr>
                <w:rFonts w:eastAsiaTheme="minorEastAsia"/>
                <w:sz w:val="18"/>
                <w:szCs w:val="18"/>
                <w:lang w:val="tr-TR" w:eastAsia="ja-JP"/>
              </w:rPr>
              <w:t>Spesifik bir hedef belirlenmedi</w:t>
            </w:r>
            <w:r w:rsidR="00747261" w:rsidRPr="001A4B94">
              <w:rPr>
                <w:rFonts w:eastAsiaTheme="minorHAnsi"/>
                <w:sz w:val="18"/>
                <w:szCs w:val="18"/>
                <w:lang w:val="tr-TR" w:bidi="en-US"/>
              </w:rPr>
              <w:t>.</w:t>
            </w:r>
          </w:p>
        </w:tc>
        <w:tc>
          <w:tcPr>
            <w:tcW w:w="1261" w:type="pct"/>
            <w:shd w:val="clear" w:color="auto" w:fill="auto"/>
          </w:tcPr>
          <w:p w14:paraId="15A33D1D" w14:textId="20814291" w:rsidR="00747261" w:rsidRPr="001A4B94" w:rsidRDefault="00451BE7" w:rsidP="00747261">
            <w:pPr>
              <w:spacing w:after="160" w:line="259" w:lineRule="auto"/>
              <w:rPr>
                <w:rFonts w:eastAsia="Calibri"/>
                <w:b/>
                <w:sz w:val="18"/>
                <w:szCs w:val="18"/>
                <w:lang w:val="tr-TR"/>
              </w:rPr>
            </w:pPr>
            <w:r w:rsidRPr="001A4B94">
              <w:rPr>
                <w:rFonts w:eastAsiaTheme="minorHAnsi"/>
                <w:b/>
                <w:sz w:val="18"/>
                <w:szCs w:val="18"/>
                <w:lang w:val="tr-TR"/>
              </w:rPr>
              <w:t>Doğrulanamadı</w:t>
            </w:r>
            <w:r w:rsidR="00747261" w:rsidRPr="001A4B94">
              <w:rPr>
                <w:rFonts w:eastAsiaTheme="minorHAnsi"/>
                <w:b/>
                <w:sz w:val="18"/>
                <w:szCs w:val="18"/>
                <w:lang w:val="tr-TR"/>
              </w:rPr>
              <w:t xml:space="preserve">. </w:t>
            </w:r>
            <w:r w:rsidRPr="001A4B94">
              <w:rPr>
                <w:rFonts w:eastAsia="Calibri"/>
                <w:sz w:val="18"/>
                <w:szCs w:val="18"/>
                <w:lang w:val="tr-TR"/>
              </w:rPr>
              <w:t>Bilgi mevcut değil</w:t>
            </w:r>
            <w:r w:rsidR="00747261" w:rsidRPr="001A4B94">
              <w:rPr>
                <w:rFonts w:eastAsia="Calibri"/>
                <w:sz w:val="18"/>
                <w:szCs w:val="18"/>
                <w:lang w:val="tr-TR"/>
              </w:rPr>
              <w:t xml:space="preserve">. </w:t>
            </w:r>
            <w:r w:rsidRPr="001A4B94">
              <w:rPr>
                <w:rFonts w:eastAsia="Calibri"/>
                <w:sz w:val="18"/>
                <w:szCs w:val="18"/>
                <w:lang w:val="tr-TR"/>
              </w:rPr>
              <w:t>Hükümet verileri açık bir şek</w:t>
            </w:r>
            <w:r w:rsidR="007F73E1" w:rsidRPr="001A4B94">
              <w:rPr>
                <w:rFonts w:eastAsia="Calibri"/>
                <w:sz w:val="18"/>
                <w:szCs w:val="18"/>
                <w:lang w:val="tr-TR"/>
              </w:rPr>
              <w:t>i</w:t>
            </w:r>
            <w:r w:rsidRPr="001A4B94">
              <w:rPr>
                <w:rFonts w:eastAsia="Calibri"/>
                <w:sz w:val="18"/>
                <w:szCs w:val="18"/>
                <w:lang w:val="tr-TR"/>
              </w:rPr>
              <w:t>lde yayınlamıyor</w:t>
            </w:r>
            <w:r w:rsidR="00747261" w:rsidRPr="001A4B94">
              <w:rPr>
                <w:rFonts w:eastAsia="Calibri"/>
                <w:sz w:val="18"/>
                <w:szCs w:val="18"/>
                <w:lang w:val="tr-TR"/>
              </w:rPr>
              <w:t>.</w:t>
            </w:r>
          </w:p>
          <w:p w14:paraId="326C3144" w14:textId="77777777" w:rsidR="00747261" w:rsidRPr="001A4B94" w:rsidRDefault="00747261" w:rsidP="00747261">
            <w:pPr>
              <w:spacing w:after="160" w:line="259" w:lineRule="auto"/>
              <w:rPr>
                <w:rFonts w:eastAsiaTheme="minorHAnsi"/>
                <w:b/>
                <w:sz w:val="18"/>
                <w:szCs w:val="18"/>
                <w:lang w:val="tr-TR"/>
              </w:rPr>
            </w:pPr>
          </w:p>
        </w:tc>
        <w:tc>
          <w:tcPr>
            <w:tcW w:w="2451" w:type="pct"/>
            <w:vMerge/>
            <w:shd w:val="clear" w:color="auto" w:fill="auto"/>
          </w:tcPr>
          <w:p w14:paraId="7BAACC3A" w14:textId="77777777" w:rsidR="00747261" w:rsidRPr="001A4B94" w:rsidRDefault="00747261" w:rsidP="00747261">
            <w:pPr>
              <w:rPr>
                <w:rFonts w:eastAsiaTheme="minorEastAsia"/>
                <w:sz w:val="18"/>
                <w:szCs w:val="18"/>
                <w:lang w:val="tr-TR" w:eastAsia="ja-JP"/>
              </w:rPr>
            </w:pPr>
          </w:p>
        </w:tc>
      </w:tr>
      <w:tr w:rsidR="00747261" w:rsidRPr="001A4B94" w14:paraId="3B4064BD" w14:textId="77777777" w:rsidTr="00201B62">
        <w:trPr>
          <w:trHeight w:val="1142"/>
        </w:trPr>
        <w:tc>
          <w:tcPr>
            <w:tcW w:w="1286" w:type="pct"/>
            <w:shd w:val="clear" w:color="auto" w:fill="auto"/>
          </w:tcPr>
          <w:p w14:paraId="0C45F299" w14:textId="372E633A" w:rsidR="00747261" w:rsidRPr="001A4B94" w:rsidRDefault="00831DB3" w:rsidP="00747261">
            <w:pPr>
              <w:spacing w:after="160" w:line="259" w:lineRule="auto"/>
              <w:contextualSpacing/>
              <w:rPr>
                <w:rFonts w:eastAsiaTheme="minorHAnsi"/>
                <w:sz w:val="18"/>
                <w:szCs w:val="18"/>
                <w:lang w:val="tr-TR"/>
              </w:rPr>
            </w:pPr>
            <w:r w:rsidRPr="001A4B94">
              <w:rPr>
                <w:rFonts w:eastAsiaTheme="minorHAnsi"/>
                <w:b/>
                <w:i/>
                <w:sz w:val="18"/>
                <w:szCs w:val="18"/>
                <w:lang w:val="tr-TR"/>
              </w:rPr>
              <w:t>Sonuç</w:t>
            </w:r>
            <w:r w:rsidR="00747261" w:rsidRPr="001A4B94">
              <w:rPr>
                <w:rFonts w:eastAsiaTheme="minorHAnsi"/>
                <w:b/>
                <w:i/>
                <w:sz w:val="18"/>
                <w:szCs w:val="18"/>
                <w:lang w:val="tr-TR"/>
              </w:rPr>
              <w:t xml:space="preserve"> 3:</w:t>
            </w:r>
            <w:r w:rsidR="00747261" w:rsidRPr="001A4B94">
              <w:rPr>
                <w:rFonts w:eastAsiaTheme="minorHAnsi"/>
                <w:sz w:val="18"/>
                <w:szCs w:val="18"/>
                <w:lang w:val="tr-TR"/>
              </w:rPr>
              <w:t xml:space="preserve"> </w:t>
            </w:r>
            <w:r w:rsidR="00FA28A7" w:rsidRPr="001A4B94">
              <w:rPr>
                <w:rFonts w:eastAsiaTheme="minorHAnsi"/>
                <w:sz w:val="18"/>
                <w:szCs w:val="18"/>
                <w:lang w:val="tr-TR"/>
              </w:rPr>
              <w:t>IBRD finansmanından yararlanan şirketlerin ihracat artışının sektör ihracat artışına göre oranının sıfırdan büyük olması</w:t>
            </w:r>
            <w:r w:rsidR="00747261" w:rsidRPr="001A4B94">
              <w:rPr>
                <w:rFonts w:eastAsiaTheme="minorHAnsi"/>
                <w:sz w:val="18"/>
                <w:szCs w:val="18"/>
                <w:lang w:val="tr-TR"/>
              </w:rPr>
              <w:t xml:space="preserve">. </w:t>
            </w:r>
          </w:p>
          <w:p w14:paraId="72789A91" w14:textId="56D887B7" w:rsidR="00747261" w:rsidRPr="001A4B94" w:rsidRDefault="00FA28A7"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rPr>
              <w:t>Hedef</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 xml:space="preserve">Sektör ortalamasından büyük olması </w:t>
            </w:r>
          </w:p>
        </w:tc>
        <w:tc>
          <w:tcPr>
            <w:tcW w:w="1261" w:type="pct"/>
            <w:shd w:val="clear" w:color="auto" w:fill="auto"/>
          </w:tcPr>
          <w:p w14:paraId="17CE955A" w14:textId="61E6D105" w:rsidR="00747261" w:rsidRPr="001A4B94" w:rsidRDefault="00451BE7" w:rsidP="00747261">
            <w:pPr>
              <w:spacing w:after="160" w:line="259" w:lineRule="auto"/>
              <w:rPr>
                <w:rFonts w:eastAsiaTheme="minorHAnsi"/>
                <w:sz w:val="18"/>
                <w:szCs w:val="18"/>
                <w:lang w:val="tr-TR"/>
              </w:rPr>
            </w:pPr>
            <w:r w:rsidRPr="001A4B94">
              <w:rPr>
                <w:rFonts w:eastAsia="Calibri"/>
                <w:b/>
                <w:sz w:val="18"/>
                <w:szCs w:val="18"/>
                <w:lang w:val="tr-TR"/>
              </w:rPr>
              <w:t>Karşılandı</w:t>
            </w:r>
            <w:r w:rsidR="00747261" w:rsidRPr="001A4B94">
              <w:rPr>
                <w:rFonts w:eastAsia="Calibri"/>
                <w:b/>
                <w:sz w:val="18"/>
                <w:szCs w:val="18"/>
                <w:lang w:val="tr-TR"/>
              </w:rPr>
              <w:t xml:space="preserve">. </w:t>
            </w:r>
            <w:r w:rsidR="007C60D1" w:rsidRPr="001A4B94">
              <w:rPr>
                <w:rFonts w:eastAsiaTheme="minorHAnsi"/>
                <w:sz w:val="18"/>
                <w:szCs w:val="18"/>
                <w:lang w:val="tr-TR"/>
              </w:rPr>
              <w:t>EFIL IV projesinin kapanışı itibariyle, 2015 yılında s</w:t>
            </w:r>
            <w:r w:rsidR="007C60D1" w:rsidRPr="001A4B94">
              <w:rPr>
                <w:rFonts w:eastAsia="Calibri"/>
                <w:sz w:val="18"/>
                <w:szCs w:val="18"/>
                <w:lang w:val="tr-TR"/>
              </w:rPr>
              <w:t>ektör ihracat artışına (medyan)</w:t>
            </w:r>
            <w:r w:rsidR="007C60D1" w:rsidRPr="001A4B94">
              <w:rPr>
                <w:rFonts w:eastAsia="Calibri"/>
                <w:b/>
                <w:sz w:val="18"/>
                <w:szCs w:val="18"/>
                <w:lang w:val="tr-TR"/>
              </w:rPr>
              <w:t xml:space="preserve"> </w:t>
            </w:r>
            <w:r w:rsidR="007C60D1" w:rsidRPr="001A4B94">
              <w:rPr>
                <w:rFonts w:eastAsia="Calibri"/>
                <w:sz w:val="18"/>
                <w:szCs w:val="18"/>
                <w:lang w:val="tr-TR"/>
              </w:rPr>
              <w:t>göre k</w:t>
            </w:r>
            <w:r w:rsidRPr="001A4B94">
              <w:rPr>
                <w:rFonts w:eastAsia="Calibri"/>
                <w:sz w:val="18"/>
                <w:szCs w:val="18"/>
                <w:lang w:val="tr-TR"/>
              </w:rPr>
              <w:t>atılımcı şirketl</w:t>
            </w:r>
            <w:r w:rsidR="007C60D1" w:rsidRPr="001A4B94">
              <w:rPr>
                <w:rFonts w:eastAsia="Calibri"/>
                <w:sz w:val="18"/>
                <w:szCs w:val="18"/>
                <w:lang w:val="tr-TR"/>
              </w:rPr>
              <w:t>e</w:t>
            </w:r>
            <w:r w:rsidRPr="001A4B94">
              <w:rPr>
                <w:rFonts w:eastAsia="Calibri"/>
                <w:sz w:val="18"/>
                <w:szCs w:val="18"/>
                <w:lang w:val="tr-TR"/>
              </w:rPr>
              <w:t>r</w:t>
            </w:r>
            <w:r w:rsidR="007C60D1" w:rsidRPr="001A4B94">
              <w:rPr>
                <w:rFonts w:eastAsia="Calibri"/>
                <w:sz w:val="18"/>
                <w:szCs w:val="18"/>
                <w:lang w:val="tr-TR"/>
              </w:rPr>
              <w:t>i</w:t>
            </w:r>
            <w:r w:rsidRPr="001A4B94">
              <w:rPr>
                <w:rFonts w:eastAsia="Calibri"/>
                <w:sz w:val="18"/>
                <w:szCs w:val="18"/>
                <w:lang w:val="tr-TR"/>
              </w:rPr>
              <w:t>n ihracat artış</w:t>
            </w:r>
            <w:r w:rsidR="007C60D1" w:rsidRPr="001A4B94">
              <w:rPr>
                <w:rFonts w:eastAsia="Calibri"/>
                <w:sz w:val="18"/>
                <w:szCs w:val="18"/>
                <w:lang w:val="tr-TR"/>
              </w:rPr>
              <w:t xml:space="preserve"> oranı 5,96 olmuşt</w:t>
            </w:r>
            <w:r w:rsidR="007F73E1" w:rsidRPr="001A4B94">
              <w:rPr>
                <w:rFonts w:eastAsia="Calibri"/>
                <w:sz w:val="18"/>
                <w:szCs w:val="18"/>
                <w:lang w:val="tr-TR"/>
              </w:rPr>
              <w:t>u</w:t>
            </w:r>
            <w:r w:rsidR="007C60D1" w:rsidRPr="001A4B94">
              <w:rPr>
                <w:rFonts w:eastAsia="Calibri"/>
                <w:sz w:val="18"/>
                <w:szCs w:val="18"/>
                <w:lang w:val="tr-TR"/>
              </w:rPr>
              <w:t xml:space="preserve">r.  </w:t>
            </w:r>
          </w:p>
        </w:tc>
        <w:tc>
          <w:tcPr>
            <w:tcW w:w="2451" w:type="pct"/>
            <w:vMerge/>
            <w:shd w:val="clear" w:color="auto" w:fill="auto"/>
          </w:tcPr>
          <w:p w14:paraId="6B446E17" w14:textId="77777777" w:rsidR="00747261" w:rsidRPr="001A4B94" w:rsidRDefault="00747261" w:rsidP="00747261">
            <w:pPr>
              <w:rPr>
                <w:rFonts w:eastAsiaTheme="minorEastAsia"/>
                <w:sz w:val="18"/>
                <w:szCs w:val="18"/>
                <w:lang w:val="tr-TR" w:eastAsia="ja-JP"/>
              </w:rPr>
            </w:pPr>
          </w:p>
        </w:tc>
      </w:tr>
      <w:tr w:rsidR="00747261" w:rsidRPr="001A4B94" w14:paraId="78987129" w14:textId="77777777" w:rsidTr="00201B62">
        <w:trPr>
          <w:trHeight w:val="870"/>
        </w:trPr>
        <w:tc>
          <w:tcPr>
            <w:tcW w:w="1286" w:type="pct"/>
            <w:shd w:val="clear" w:color="auto" w:fill="auto"/>
          </w:tcPr>
          <w:p w14:paraId="30656E38" w14:textId="0C682423" w:rsidR="00747261" w:rsidRPr="001A4B94" w:rsidRDefault="00FA28A7" w:rsidP="00747261">
            <w:pPr>
              <w:spacing w:after="160" w:line="259" w:lineRule="auto"/>
              <w:contextualSpacing/>
              <w:rPr>
                <w:rFonts w:eastAsiaTheme="minorHAnsi"/>
                <w:sz w:val="18"/>
                <w:szCs w:val="18"/>
                <w:lang w:val="tr-TR"/>
              </w:rPr>
            </w:pPr>
            <w:r w:rsidRPr="001A4B94">
              <w:rPr>
                <w:rFonts w:eastAsiaTheme="minorHAnsi"/>
                <w:b/>
                <w:i/>
                <w:sz w:val="18"/>
                <w:szCs w:val="18"/>
                <w:lang w:val="tr-TR"/>
              </w:rPr>
              <w:t xml:space="preserve">Sonuç </w:t>
            </w:r>
            <w:r w:rsidR="00747261" w:rsidRPr="001A4B94">
              <w:rPr>
                <w:rFonts w:eastAsiaTheme="minorHAnsi"/>
                <w:b/>
                <w:i/>
                <w:sz w:val="18"/>
                <w:szCs w:val="18"/>
                <w:lang w:val="tr-TR"/>
              </w:rPr>
              <w:t>4:</w:t>
            </w:r>
            <w:r w:rsidR="00747261" w:rsidRPr="001A4B94">
              <w:rPr>
                <w:rFonts w:eastAsiaTheme="minorHAnsi"/>
                <w:sz w:val="18"/>
                <w:szCs w:val="18"/>
                <w:lang w:val="tr-TR"/>
              </w:rPr>
              <w:t xml:space="preserve"> </w:t>
            </w:r>
            <w:r w:rsidRPr="001A4B94">
              <w:rPr>
                <w:rFonts w:eastAsiaTheme="minorHAnsi"/>
                <w:sz w:val="18"/>
                <w:szCs w:val="18"/>
                <w:lang w:val="tr-TR"/>
              </w:rPr>
              <w:t>IBRD finansmanından yararlanan şirketlerin  satışlarındaki  artış oranının enflasyona göre düzeltildiğinde sıfırdan büyük olması</w:t>
            </w:r>
            <w:r w:rsidR="00747261" w:rsidRPr="001A4B94">
              <w:rPr>
                <w:rFonts w:eastAsiaTheme="minorHAnsi"/>
                <w:sz w:val="18"/>
                <w:szCs w:val="18"/>
                <w:lang w:val="tr-TR"/>
              </w:rPr>
              <w:t xml:space="preserve">. </w:t>
            </w:r>
          </w:p>
          <w:p w14:paraId="3E421FBA" w14:textId="7FE0DC3C" w:rsidR="00747261" w:rsidRPr="001A4B94" w:rsidRDefault="00FA28A7" w:rsidP="00747261">
            <w:pPr>
              <w:spacing w:after="160" w:line="259" w:lineRule="auto"/>
              <w:contextualSpacing/>
              <w:rPr>
                <w:rFonts w:eastAsiaTheme="minorHAnsi"/>
                <w:b/>
                <w:i/>
                <w:sz w:val="18"/>
                <w:szCs w:val="18"/>
                <w:lang w:val="tr-TR"/>
              </w:rPr>
            </w:pPr>
            <w:r w:rsidRPr="001A4B94">
              <w:rPr>
                <w:rFonts w:eastAsiaTheme="minorHAnsi"/>
                <w:b/>
                <w:sz w:val="18"/>
                <w:szCs w:val="18"/>
                <w:lang w:val="tr-TR"/>
              </w:rPr>
              <w:t>Hedef</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Sektör ortalamasından büyük olması</w:t>
            </w:r>
          </w:p>
        </w:tc>
        <w:tc>
          <w:tcPr>
            <w:tcW w:w="1261" w:type="pct"/>
            <w:shd w:val="clear" w:color="auto" w:fill="auto"/>
          </w:tcPr>
          <w:p w14:paraId="09C8040E" w14:textId="63E6A0AE" w:rsidR="00747261" w:rsidRPr="001A4B94" w:rsidRDefault="007C60D1" w:rsidP="00747261">
            <w:pPr>
              <w:spacing w:after="160" w:line="259" w:lineRule="auto"/>
              <w:rPr>
                <w:rFonts w:eastAsia="Calibri"/>
                <w:b/>
                <w:sz w:val="18"/>
                <w:szCs w:val="18"/>
                <w:lang w:val="tr-TR"/>
              </w:rPr>
            </w:pPr>
            <w:r w:rsidRPr="001A4B94">
              <w:rPr>
                <w:rFonts w:eastAsia="Calibri"/>
                <w:b/>
                <w:sz w:val="18"/>
                <w:szCs w:val="18"/>
                <w:lang w:val="tr-TR"/>
              </w:rPr>
              <w:t>Karşılandı</w:t>
            </w:r>
            <w:r w:rsidR="00747261" w:rsidRPr="001A4B94">
              <w:rPr>
                <w:rFonts w:eastAsiaTheme="minorHAnsi"/>
                <w:b/>
                <w:sz w:val="18"/>
                <w:szCs w:val="18"/>
                <w:lang w:val="tr-TR"/>
              </w:rPr>
              <w:t xml:space="preserve">. </w:t>
            </w:r>
            <w:r w:rsidR="00F536D2" w:rsidRPr="001A4B94">
              <w:rPr>
                <w:rFonts w:eastAsiaTheme="minorHAnsi"/>
                <w:sz w:val="18"/>
                <w:szCs w:val="18"/>
                <w:lang w:val="tr-TR"/>
              </w:rPr>
              <w:t>O</w:t>
            </w:r>
            <w:r w:rsidRPr="001A4B94">
              <w:rPr>
                <w:rFonts w:eastAsiaTheme="minorHAnsi"/>
                <w:sz w:val="18"/>
                <w:szCs w:val="18"/>
                <w:lang w:val="tr-TR"/>
              </w:rPr>
              <w:t>rtalama olarak, IBRD’nin KOBİ II kredi hatlarında</w:t>
            </w:r>
            <w:r w:rsidR="007F73E1" w:rsidRPr="001A4B94">
              <w:rPr>
                <w:rFonts w:eastAsiaTheme="minorHAnsi"/>
                <w:sz w:val="18"/>
                <w:szCs w:val="18"/>
                <w:lang w:val="tr-TR"/>
              </w:rPr>
              <w:t>n</w:t>
            </w:r>
            <w:r w:rsidRPr="001A4B94">
              <w:rPr>
                <w:rFonts w:eastAsiaTheme="minorHAnsi"/>
                <w:sz w:val="18"/>
                <w:szCs w:val="18"/>
                <w:lang w:val="tr-TR"/>
              </w:rPr>
              <w:t xml:space="preserve"> yararlanan KOBİ’lerin satış gelirleri yüzde 41,5 arttı </w:t>
            </w:r>
          </w:p>
        </w:tc>
        <w:tc>
          <w:tcPr>
            <w:tcW w:w="2451" w:type="pct"/>
            <w:vMerge/>
            <w:shd w:val="clear" w:color="auto" w:fill="auto"/>
          </w:tcPr>
          <w:p w14:paraId="59504CA0" w14:textId="77777777" w:rsidR="00747261" w:rsidRPr="001A4B94" w:rsidRDefault="00747261" w:rsidP="00747261">
            <w:pPr>
              <w:rPr>
                <w:rFonts w:eastAsiaTheme="minorEastAsia"/>
                <w:sz w:val="18"/>
                <w:szCs w:val="18"/>
                <w:lang w:val="tr-TR" w:eastAsia="ja-JP"/>
              </w:rPr>
            </w:pPr>
          </w:p>
        </w:tc>
      </w:tr>
      <w:tr w:rsidR="00747261" w:rsidRPr="001A4B94" w14:paraId="5293CF95" w14:textId="77777777" w:rsidTr="00201B62">
        <w:trPr>
          <w:trHeight w:val="1545"/>
        </w:trPr>
        <w:tc>
          <w:tcPr>
            <w:tcW w:w="1286" w:type="pct"/>
            <w:shd w:val="clear" w:color="auto" w:fill="auto"/>
          </w:tcPr>
          <w:p w14:paraId="0B3A2656" w14:textId="5978C999" w:rsidR="00747261" w:rsidRPr="001A4B94" w:rsidRDefault="00FA28A7" w:rsidP="00201B62">
            <w:pPr>
              <w:spacing w:after="160" w:line="259" w:lineRule="auto"/>
              <w:ind w:right="-74"/>
              <w:contextualSpacing/>
              <w:rPr>
                <w:rFonts w:eastAsiaTheme="minorHAnsi"/>
                <w:sz w:val="18"/>
                <w:szCs w:val="18"/>
                <w:lang w:val="tr-TR"/>
              </w:rPr>
            </w:pPr>
            <w:r w:rsidRPr="001A4B94">
              <w:rPr>
                <w:rFonts w:eastAsiaTheme="minorHAnsi"/>
                <w:b/>
                <w:i/>
                <w:sz w:val="18"/>
                <w:szCs w:val="18"/>
                <w:lang w:val="tr-TR"/>
              </w:rPr>
              <w:t>Sonuç</w:t>
            </w:r>
            <w:r w:rsidR="00747261" w:rsidRPr="001A4B94">
              <w:rPr>
                <w:rFonts w:eastAsiaTheme="minorHAnsi"/>
                <w:b/>
                <w:i/>
                <w:sz w:val="18"/>
                <w:szCs w:val="18"/>
                <w:lang w:val="tr-TR"/>
              </w:rPr>
              <w:t xml:space="preserve"> 5:</w:t>
            </w:r>
            <w:r w:rsidR="00747261" w:rsidRPr="001A4B94">
              <w:rPr>
                <w:rFonts w:eastAsiaTheme="minorHAnsi"/>
                <w:sz w:val="18"/>
                <w:szCs w:val="18"/>
                <w:lang w:val="tr-TR"/>
              </w:rPr>
              <w:t xml:space="preserve"> </w:t>
            </w:r>
            <w:r w:rsidRPr="001A4B94">
              <w:rPr>
                <w:rFonts w:eastAsiaTheme="minorHAnsi"/>
                <w:sz w:val="18"/>
                <w:szCs w:val="18"/>
                <w:lang w:val="tr-TR"/>
              </w:rPr>
              <w:t>IBRD finansmanından yararlanan finansal kuruluşlar için, gayrısafi takibe düşen kredilerin oranının bankacılık sektörü ortalam</w:t>
            </w:r>
            <w:r w:rsidR="00201B62" w:rsidRPr="001A4B94">
              <w:rPr>
                <w:rFonts w:eastAsiaTheme="minorHAnsi"/>
                <w:sz w:val="18"/>
                <w:szCs w:val="18"/>
                <w:lang w:val="tr-TR"/>
              </w:rPr>
              <w:t>a</w:t>
            </w:r>
            <w:r w:rsidRPr="001A4B94">
              <w:rPr>
                <w:rFonts w:eastAsiaTheme="minorHAnsi"/>
                <w:sz w:val="18"/>
                <w:szCs w:val="18"/>
                <w:lang w:val="tr-TR"/>
              </w:rPr>
              <w:t xml:space="preserve">sını geçmemesi </w:t>
            </w:r>
            <w:r w:rsidR="00747261" w:rsidRPr="001A4B94">
              <w:rPr>
                <w:rFonts w:eastAsiaTheme="minorHAnsi"/>
                <w:sz w:val="18"/>
                <w:szCs w:val="18"/>
                <w:lang w:val="tr-TR"/>
              </w:rPr>
              <w:t>(</w:t>
            </w:r>
            <w:r w:rsidR="00201B62" w:rsidRPr="001A4B94">
              <w:rPr>
                <w:rFonts w:eastAsiaTheme="minorHAnsi"/>
                <w:sz w:val="18"/>
                <w:szCs w:val="18"/>
                <w:lang w:val="tr-TR"/>
              </w:rPr>
              <w:t xml:space="preserve">2011 sonu itibariyle yüzde </w:t>
            </w:r>
            <w:r w:rsidR="00747261" w:rsidRPr="001A4B94">
              <w:rPr>
                <w:rFonts w:eastAsiaTheme="minorHAnsi"/>
                <w:sz w:val="18"/>
                <w:szCs w:val="18"/>
                <w:lang w:val="tr-TR"/>
              </w:rPr>
              <w:t>2</w:t>
            </w:r>
            <w:r w:rsidR="00201B62" w:rsidRPr="001A4B94">
              <w:rPr>
                <w:rFonts w:eastAsiaTheme="minorHAnsi"/>
                <w:sz w:val="18"/>
                <w:szCs w:val="18"/>
                <w:lang w:val="tr-TR"/>
              </w:rPr>
              <w:t>,</w:t>
            </w:r>
            <w:r w:rsidR="00747261" w:rsidRPr="001A4B94">
              <w:rPr>
                <w:rFonts w:eastAsiaTheme="minorHAnsi"/>
                <w:sz w:val="18"/>
                <w:szCs w:val="18"/>
                <w:lang w:val="tr-TR"/>
              </w:rPr>
              <w:t xml:space="preserve">7, </w:t>
            </w:r>
            <w:r w:rsidR="00201B62" w:rsidRPr="001A4B94">
              <w:rPr>
                <w:rFonts w:eastAsiaTheme="minorHAnsi"/>
                <w:sz w:val="18"/>
                <w:szCs w:val="18"/>
                <w:lang w:val="tr-TR"/>
              </w:rPr>
              <w:t>BDDK</w:t>
            </w:r>
            <w:r w:rsidR="00747261" w:rsidRPr="001A4B94">
              <w:rPr>
                <w:rFonts w:eastAsiaTheme="minorHAnsi"/>
                <w:sz w:val="18"/>
                <w:szCs w:val="18"/>
                <w:lang w:val="tr-TR"/>
              </w:rPr>
              <w:t xml:space="preserve">). </w:t>
            </w:r>
          </w:p>
          <w:p w14:paraId="50DD6F35" w14:textId="0386CD3F" w:rsidR="00747261" w:rsidRPr="001A4B94" w:rsidRDefault="00201B62" w:rsidP="00201B62">
            <w:pPr>
              <w:spacing w:after="160" w:line="259" w:lineRule="auto"/>
              <w:ind w:right="-74"/>
              <w:contextualSpacing/>
              <w:rPr>
                <w:rFonts w:eastAsiaTheme="minorHAnsi"/>
                <w:b/>
                <w:i/>
                <w:sz w:val="18"/>
                <w:szCs w:val="18"/>
                <w:lang w:val="tr-TR"/>
              </w:rPr>
            </w:pPr>
            <w:r w:rsidRPr="001A4B94">
              <w:rPr>
                <w:rFonts w:eastAsiaTheme="minorHAnsi"/>
                <w:b/>
                <w:sz w:val="18"/>
                <w:szCs w:val="18"/>
                <w:lang w:val="tr-TR"/>
              </w:rPr>
              <w:t>Hedef</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Sektör ortalamasından düşük olması</w:t>
            </w:r>
          </w:p>
        </w:tc>
        <w:tc>
          <w:tcPr>
            <w:tcW w:w="1261" w:type="pct"/>
            <w:shd w:val="clear" w:color="auto" w:fill="auto"/>
          </w:tcPr>
          <w:p w14:paraId="5A002669" w14:textId="2040A460" w:rsidR="00747261" w:rsidRPr="001A4B94" w:rsidRDefault="00500D56" w:rsidP="00747261">
            <w:pPr>
              <w:spacing w:after="160" w:line="259" w:lineRule="auto"/>
              <w:rPr>
                <w:rFonts w:eastAsiaTheme="minorHAnsi"/>
                <w:b/>
                <w:sz w:val="18"/>
                <w:szCs w:val="18"/>
                <w:lang w:val="tr-TR"/>
              </w:rPr>
            </w:pPr>
            <w:r w:rsidRPr="001A4B94">
              <w:rPr>
                <w:rFonts w:eastAsia="Calibri"/>
                <w:b/>
                <w:sz w:val="18"/>
                <w:szCs w:val="18"/>
                <w:lang w:val="tr-TR"/>
              </w:rPr>
              <w:t>Kısmen karşılandı</w:t>
            </w:r>
            <w:r w:rsidR="00747261" w:rsidRPr="001A4B94">
              <w:rPr>
                <w:rFonts w:eastAsia="Calibri"/>
                <w:b/>
                <w:sz w:val="18"/>
                <w:szCs w:val="18"/>
                <w:lang w:val="tr-TR"/>
              </w:rPr>
              <w:t xml:space="preserve">. </w:t>
            </w:r>
            <w:r w:rsidR="00A40352" w:rsidRPr="001A4B94">
              <w:rPr>
                <w:rFonts w:eastAsia="Calibri"/>
                <w:sz w:val="18"/>
                <w:szCs w:val="18"/>
                <w:lang w:val="tr-TR"/>
              </w:rPr>
              <w:t>6 finansal kuruluştan 3’ü sektörün ortalama takibe düşen kredi oranından düşük orana sahip olmuştur</w:t>
            </w:r>
            <w:r w:rsidR="00747261" w:rsidRPr="001A4B94">
              <w:rPr>
                <w:rFonts w:eastAsia="Calibri"/>
                <w:sz w:val="18"/>
                <w:szCs w:val="18"/>
                <w:lang w:val="tr-TR"/>
              </w:rPr>
              <w:t xml:space="preserve">. </w:t>
            </w:r>
            <w:r w:rsidR="00747261" w:rsidRPr="001A4B94">
              <w:rPr>
                <w:rFonts w:eastAsia="Calibri"/>
                <w:b/>
                <w:sz w:val="18"/>
                <w:szCs w:val="18"/>
                <w:lang w:val="tr-TR"/>
              </w:rPr>
              <w:t xml:space="preserve"> </w:t>
            </w:r>
            <w:r w:rsidR="00747261" w:rsidRPr="001A4B94">
              <w:rPr>
                <w:rFonts w:eastAsiaTheme="minorHAnsi"/>
                <w:sz w:val="18"/>
                <w:szCs w:val="18"/>
                <w:lang w:val="tr-TR"/>
              </w:rPr>
              <w:t xml:space="preserve">Ziraat, TSKB </w:t>
            </w:r>
            <w:r w:rsidR="00A40352" w:rsidRPr="001A4B94">
              <w:rPr>
                <w:rFonts w:eastAsiaTheme="minorHAnsi"/>
                <w:sz w:val="18"/>
                <w:szCs w:val="18"/>
                <w:lang w:val="tr-TR"/>
              </w:rPr>
              <w:t xml:space="preserve">ve </w:t>
            </w:r>
            <w:r w:rsidR="00747261" w:rsidRPr="001A4B94">
              <w:rPr>
                <w:rFonts w:eastAsiaTheme="minorHAnsi"/>
                <w:sz w:val="18"/>
                <w:szCs w:val="18"/>
                <w:lang w:val="tr-TR"/>
              </w:rPr>
              <w:t>Exim</w:t>
            </w:r>
            <w:r w:rsidR="00A40352" w:rsidRPr="001A4B94">
              <w:rPr>
                <w:rFonts w:eastAsiaTheme="minorHAnsi"/>
                <w:sz w:val="18"/>
                <w:szCs w:val="18"/>
                <w:lang w:val="tr-TR"/>
              </w:rPr>
              <w:t xml:space="preserve">bank tutarlı bir şekilde sektör </w:t>
            </w:r>
            <w:r w:rsidR="00747261" w:rsidRPr="001A4B94">
              <w:rPr>
                <w:rFonts w:eastAsiaTheme="minorHAnsi"/>
                <w:sz w:val="18"/>
                <w:szCs w:val="18"/>
                <w:lang w:val="tr-TR"/>
              </w:rPr>
              <w:t xml:space="preserve"> </w:t>
            </w:r>
            <w:r w:rsidR="00A40352" w:rsidRPr="001A4B94">
              <w:rPr>
                <w:rFonts w:eastAsiaTheme="minorHAnsi"/>
                <w:sz w:val="18"/>
                <w:szCs w:val="18"/>
                <w:lang w:val="tr-TR"/>
              </w:rPr>
              <w:t xml:space="preserve">ortalamasından düşük oranlar kaydederken, </w:t>
            </w:r>
            <w:r w:rsidR="00747261" w:rsidRPr="001A4B94">
              <w:rPr>
                <w:rFonts w:eastAsiaTheme="minorHAnsi"/>
                <w:sz w:val="18"/>
                <w:szCs w:val="18"/>
                <w:lang w:val="tr-TR"/>
              </w:rPr>
              <w:t>Halk, Vak</w:t>
            </w:r>
            <w:r w:rsidR="00A40352" w:rsidRPr="001A4B94">
              <w:rPr>
                <w:rFonts w:eastAsiaTheme="minorHAnsi"/>
                <w:sz w:val="18"/>
                <w:szCs w:val="18"/>
                <w:lang w:val="tr-TR"/>
              </w:rPr>
              <w:t>ı</w:t>
            </w:r>
            <w:r w:rsidR="00747261" w:rsidRPr="001A4B94">
              <w:rPr>
                <w:rFonts w:eastAsiaTheme="minorHAnsi"/>
                <w:sz w:val="18"/>
                <w:szCs w:val="18"/>
                <w:lang w:val="tr-TR"/>
              </w:rPr>
              <w:t xml:space="preserve">f </w:t>
            </w:r>
            <w:r w:rsidR="00A40352" w:rsidRPr="001A4B94">
              <w:rPr>
                <w:rFonts w:eastAsiaTheme="minorHAnsi"/>
                <w:sz w:val="18"/>
                <w:szCs w:val="18"/>
                <w:lang w:val="tr-TR"/>
              </w:rPr>
              <w:t xml:space="preserve">ve </w:t>
            </w:r>
            <w:r w:rsidR="00747261" w:rsidRPr="001A4B94">
              <w:rPr>
                <w:rFonts w:eastAsiaTheme="minorHAnsi"/>
                <w:sz w:val="18"/>
                <w:szCs w:val="18"/>
                <w:lang w:val="tr-TR"/>
              </w:rPr>
              <w:t xml:space="preserve">TKB </w:t>
            </w:r>
            <w:r w:rsidR="00A40352" w:rsidRPr="001A4B94">
              <w:rPr>
                <w:rFonts w:eastAsiaTheme="minorHAnsi"/>
                <w:sz w:val="18"/>
                <w:szCs w:val="18"/>
                <w:lang w:val="tr-TR"/>
              </w:rPr>
              <w:t>sektör ortalamasının üzerinde kalmıştır</w:t>
            </w:r>
            <w:r w:rsidR="00747261" w:rsidRPr="001A4B94">
              <w:rPr>
                <w:rFonts w:eastAsiaTheme="minorHAnsi"/>
                <w:sz w:val="18"/>
                <w:szCs w:val="18"/>
                <w:lang w:val="tr-TR"/>
              </w:rPr>
              <w:t xml:space="preserve">. </w:t>
            </w:r>
          </w:p>
        </w:tc>
        <w:tc>
          <w:tcPr>
            <w:tcW w:w="2451" w:type="pct"/>
            <w:vMerge/>
            <w:shd w:val="clear" w:color="auto" w:fill="auto"/>
          </w:tcPr>
          <w:p w14:paraId="52CE6209" w14:textId="77777777" w:rsidR="00747261" w:rsidRPr="001A4B94" w:rsidRDefault="00747261" w:rsidP="00747261">
            <w:pPr>
              <w:rPr>
                <w:rFonts w:eastAsiaTheme="minorEastAsia"/>
                <w:sz w:val="18"/>
                <w:szCs w:val="18"/>
                <w:lang w:val="tr-TR" w:eastAsia="ja-JP"/>
              </w:rPr>
            </w:pPr>
          </w:p>
        </w:tc>
      </w:tr>
      <w:tr w:rsidR="00747261" w:rsidRPr="001A4B94" w14:paraId="2EC0C9BC" w14:textId="77777777" w:rsidTr="00201B62">
        <w:trPr>
          <w:trHeight w:val="1097"/>
        </w:trPr>
        <w:tc>
          <w:tcPr>
            <w:tcW w:w="1286" w:type="pct"/>
            <w:shd w:val="clear" w:color="auto" w:fill="auto"/>
          </w:tcPr>
          <w:p w14:paraId="0B8F5894" w14:textId="5FDCC1FB" w:rsidR="00747261" w:rsidRPr="001A4B94" w:rsidRDefault="00201B62"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6:</w:t>
            </w:r>
            <w:r w:rsidR="00747261" w:rsidRPr="001A4B94">
              <w:rPr>
                <w:rFonts w:eastAsiaTheme="minorHAnsi"/>
                <w:sz w:val="18"/>
                <w:szCs w:val="18"/>
                <w:lang w:val="tr-TR" w:bidi="en-US"/>
              </w:rPr>
              <w:t xml:space="preserve"> IFC </w:t>
            </w:r>
            <w:r w:rsidRPr="001A4B94">
              <w:rPr>
                <w:rFonts w:eastAsiaTheme="minorHAnsi"/>
                <w:sz w:val="18"/>
                <w:szCs w:val="18"/>
                <w:lang w:val="tr-TR" w:bidi="en-US"/>
              </w:rPr>
              <w:t>yerel finansal aracılar yoluyla yaklaşık 100.000 KOBİ müşterisi ve 120.000 çiftçi için finansmanın harekete geçirileceğini tahmin ediyor</w:t>
            </w:r>
            <w:r w:rsidR="00747261" w:rsidRPr="001A4B94">
              <w:rPr>
                <w:rFonts w:eastAsiaTheme="minorHAnsi"/>
                <w:sz w:val="18"/>
                <w:szCs w:val="18"/>
                <w:lang w:val="tr-TR" w:bidi="en-US"/>
              </w:rPr>
              <w:t xml:space="preserve">. </w:t>
            </w:r>
          </w:p>
        </w:tc>
        <w:tc>
          <w:tcPr>
            <w:tcW w:w="1261" w:type="pct"/>
            <w:shd w:val="clear" w:color="auto" w:fill="auto"/>
          </w:tcPr>
          <w:p w14:paraId="1545EA41" w14:textId="12BA6E88" w:rsidR="00747261" w:rsidRPr="001A4B94" w:rsidRDefault="00451BE7" w:rsidP="00747261">
            <w:pPr>
              <w:spacing w:after="160" w:line="259" w:lineRule="auto"/>
              <w:rPr>
                <w:rFonts w:eastAsia="Calibri"/>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Pr="001A4B94">
              <w:rPr>
                <w:rFonts w:eastAsia="Calibri"/>
                <w:sz w:val="18"/>
                <w:szCs w:val="18"/>
                <w:lang w:val="tr-TR"/>
              </w:rPr>
              <w:t xml:space="preserve">Toplamda yaklaşık </w:t>
            </w:r>
            <w:r w:rsidR="00747261" w:rsidRPr="001A4B94">
              <w:rPr>
                <w:rFonts w:eastAsia="Calibri"/>
                <w:sz w:val="18"/>
                <w:szCs w:val="18"/>
                <w:lang w:val="tr-TR"/>
              </w:rPr>
              <w:t>759</w:t>
            </w:r>
            <w:r w:rsidRPr="001A4B94">
              <w:rPr>
                <w:rFonts w:eastAsia="Calibri"/>
                <w:sz w:val="18"/>
                <w:szCs w:val="18"/>
                <w:lang w:val="tr-TR"/>
              </w:rPr>
              <w:t>.</w:t>
            </w:r>
            <w:r w:rsidR="00747261" w:rsidRPr="001A4B94">
              <w:rPr>
                <w:rFonts w:eastAsia="Calibri"/>
                <w:sz w:val="18"/>
                <w:szCs w:val="18"/>
                <w:lang w:val="tr-TR"/>
              </w:rPr>
              <w:t xml:space="preserve">000 </w:t>
            </w:r>
            <w:r w:rsidRPr="001A4B94">
              <w:rPr>
                <w:rFonts w:eastAsia="Calibri"/>
                <w:sz w:val="18"/>
                <w:szCs w:val="18"/>
                <w:lang w:val="tr-TR"/>
              </w:rPr>
              <w:t xml:space="preserve">KOBİ’ye ve </w:t>
            </w:r>
            <w:r w:rsidR="00747261" w:rsidRPr="001A4B94">
              <w:rPr>
                <w:rFonts w:eastAsia="Calibri"/>
                <w:sz w:val="18"/>
                <w:szCs w:val="18"/>
                <w:lang w:val="tr-TR"/>
              </w:rPr>
              <w:t>112</w:t>
            </w:r>
            <w:r w:rsidRPr="001A4B94">
              <w:rPr>
                <w:rFonts w:eastAsia="Calibri"/>
                <w:sz w:val="18"/>
                <w:szCs w:val="18"/>
                <w:lang w:val="tr-TR"/>
              </w:rPr>
              <w:t>.</w:t>
            </w:r>
            <w:r w:rsidR="00747261" w:rsidRPr="001A4B94">
              <w:rPr>
                <w:rFonts w:eastAsia="Calibri"/>
                <w:sz w:val="18"/>
                <w:szCs w:val="18"/>
                <w:lang w:val="tr-TR"/>
              </w:rPr>
              <w:t xml:space="preserve">182 </w:t>
            </w:r>
            <w:r w:rsidRPr="001A4B94">
              <w:rPr>
                <w:rFonts w:eastAsia="Calibri"/>
                <w:sz w:val="18"/>
                <w:szCs w:val="18"/>
                <w:lang w:val="tr-TR"/>
              </w:rPr>
              <w:t>ilave çiftçiye ulaşıldı</w:t>
            </w:r>
            <w:r w:rsidR="00747261" w:rsidRPr="001A4B94">
              <w:rPr>
                <w:rFonts w:eastAsia="Calibri"/>
                <w:sz w:val="18"/>
                <w:szCs w:val="18"/>
                <w:lang w:val="tr-TR"/>
              </w:rPr>
              <w:t xml:space="preserve">. </w:t>
            </w:r>
            <w:r w:rsidRPr="001A4B94">
              <w:rPr>
                <w:rFonts w:eastAsia="Calibri"/>
                <w:sz w:val="18"/>
                <w:szCs w:val="18"/>
                <w:lang w:val="tr-TR"/>
              </w:rPr>
              <w:t xml:space="preserve">Bu göstergeler IFC’nin yatırım portföyü aracıları yoluyla hesaplandı </w:t>
            </w:r>
          </w:p>
        </w:tc>
        <w:tc>
          <w:tcPr>
            <w:tcW w:w="2451" w:type="pct"/>
            <w:vMerge/>
            <w:shd w:val="clear" w:color="auto" w:fill="auto"/>
          </w:tcPr>
          <w:p w14:paraId="363873D7" w14:textId="77777777" w:rsidR="00747261" w:rsidRPr="001A4B94" w:rsidRDefault="00747261" w:rsidP="00747261">
            <w:pPr>
              <w:rPr>
                <w:rFonts w:eastAsiaTheme="minorEastAsia"/>
                <w:sz w:val="18"/>
                <w:szCs w:val="18"/>
                <w:lang w:val="tr-TR" w:eastAsia="ja-JP"/>
              </w:rPr>
            </w:pPr>
          </w:p>
        </w:tc>
      </w:tr>
      <w:tr w:rsidR="00747261" w:rsidRPr="001A4B94" w14:paraId="61327886" w14:textId="77777777" w:rsidTr="00201B62">
        <w:trPr>
          <w:trHeight w:val="1140"/>
        </w:trPr>
        <w:tc>
          <w:tcPr>
            <w:tcW w:w="1286" w:type="pct"/>
            <w:shd w:val="clear" w:color="auto" w:fill="auto"/>
          </w:tcPr>
          <w:p w14:paraId="350807D7" w14:textId="3761E809" w:rsidR="00747261" w:rsidRPr="001A4B94" w:rsidRDefault="00201B62"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7:</w:t>
            </w:r>
            <w:r w:rsidR="00747261" w:rsidRPr="001A4B94">
              <w:rPr>
                <w:rFonts w:eastAsiaTheme="minorHAnsi"/>
                <w:sz w:val="18"/>
                <w:szCs w:val="18"/>
                <w:lang w:val="tr-TR" w:bidi="en-US"/>
              </w:rPr>
              <w:t xml:space="preserve"> </w:t>
            </w:r>
            <w:r w:rsidRPr="001A4B94">
              <w:rPr>
                <w:rFonts w:eastAsiaTheme="minorHAnsi"/>
                <w:sz w:val="18"/>
                <w:szCs w:val="18"/>
                <w:lang w:val="tr-TR" w:bidi="en-US"/>
              </w:rPr>
              <w:t>Şirket tahvilleri ihracında artış</w:t>
            </w:r>
            <w:r w:rsidR="00747261" w:rsidRPr="001A4B94">
              <w:rPr>
                <w:rFonts w:eastAsiaTheme="minorHAnsi"/>
                <w:sz w:val="18"/>
                <w:szCs w:val="18"/>
                <w:lang w:val="tr-TR" w:bidi="en-US"/>
              </w:rPr>
              <w:t xml:space="preserve">. </w:t>
            </w:r>
          </w:p>
          <w:p w14:paraId="10219515" w14:textId="0A6011A0" w:rsidR="00747261" w:rsidRPr="001A4B94" w:rsidRDefault="00201B62"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bidi="en-US"/>
              </w:rPr>
              <w:t>Başlangıç Durumu</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50</w:t>
            </w:r>
            <w:r w:rsidRPr="001A4B94">
              <w:rPr>
                <w:rFonts w:eastAsiaTheme="minorHAnsi"/>
                <w:sz w:val="18"/>
                <w:szCs w:val="18"/>
                <w:lang w:val="tr-TR" w:bidi="en-US"/>
              </w:rPr>
              <w:t>,</w:t>
            </w:r>
            <w:r w:rsidR="00747261" w:rsidRPr="001A4B94">
              <w:rPr>
                <w:rFonts w:eastAsiaTheme="minorHAnsi"/>
                <w:sz w:val="18"/>
                <w:szCs w:val="18"/>
                <w:lang w:val="tr-TR" w:bidi="en-US"/>
              </w:rPr>
              <w:t xml:space="preserve">3 </w:t>
            </w:r>
            <w:r w:rsidRPr="001A4B94">
              <w:rPr>
                <w:rFonts w:eastAsiaTheme="minorHAnsi"/>
                <w:sz w:val="18"/>
                <w:szCs w:val="18"/>
                <w:lang w:val="tr-TR" w:bidi="en-US"/>
              </w:rPr>
              <w:t xml:space="preserve">milyar TL </w:t>
            </w:r>
            <w:r w:rsidR="00747261" w:rsidRPr="001A4B94">
              <w:rPr>
                <w:rFonts w:eastAsiaTheme="minorHAnsi"/>
                <w:sz w:val="18"/>
                <w:szCs w:val="18"/>
                <w:lang w:val="tr-TR" w:bidi="en-US"/>
              </w:rPr>
              <w:t xml:space="preserve">(2013). </w:t>
            </w:r>
          </w:p>
          <w:p w14:paraId="7360EF2A" w14:textId="3F207992" w:rsidR="00747261" w:rsidRPr="001A4B94" w:rsidRDefault="00201B62" w:rsidP="00747261">
            <w:pPr>
              <w:spacing w:after="160" w:line="259" w:lineRule="auto"/>
              <w:contextualSpacing/>
              <w:rPr>
                <w:rFonts w:eastAsiaTheme="minorHAnsi"/>
                <w:b/>
                <w:i/>
                <w:sz w:val="18"/>
                <w:szCs w:val="18"/>
                <w:lang w:val="tr-TR" w:bidi="en-US"/>
              </w:rPr>
            </w:pPr>
            <w:r w:rsidRPr="001A4B94">
              <w:rPr>
                <w:rFonts w:eastAsiaTheme="minorHAnsi"/>
                <w:b/>
                <w:sz w:val="18"/>
                <w:szCs w:val="18"/>
                <w:lang w:val="tr-TR" w:bidi="en-US"/>
              </w:rPr>
              <w:t xml:space="preserve">Hedef </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50 </w:t>
            </w:r>
            <w:r w:rsidRPr="001A4B94">
              <w:rPr>
                <w:rFonts w:eastAsiaTheme="minorHAnsi"/>
                <w:sz w:val="18"/>
                <w:szCs w:val="18"/>
                <w:lang w:val="tr-TR" w:bidi="en-US"/>
              </w:rPr>
              <w:t xml:space="preserve">milyar </w:t>
            </w:r>
            <w:r w:rsidR="00747261" w:rsidRPr="001A4B94">
              <w:rPr>
                <w:rFonts w:eastAsiaTheme="minorHAnsi"/>
                <w:sz w:val="18"/>
                <w:szCs w:val="18"/>
                <w:lang w:val="tr-TR" w:bidi="en-US"/>
              </w:rPr>
              <w:t xml:space="preserve">(2015).  </w:t>
            </w:r>
          </w:p>
        </w:tc>
        <w:tc>
          <w:tcPr>
            <w:tcW w:w="1261" w:type="pct"/>
            <w:shd w:val="clear" w:color="auto" w:fill="auto"/>
          </w:tcPr>
          <w:p w14:paraId="68C4025C" w14:textId="78EC1591" w:rsidR="00747261" w:rsidRPr="001A4B94" w:rsidRDefault="00451BE7" w:rsidP="00747261">
            <w:pPr>
              <w:spacing w:after="160" w:line="259" w:lineRule="auto"/>
              <w:rPr>
                <w:rFonts w:eastAsiaTheme="minorHAnsi"/>
                <w:b/>
                <w:sz w:val="18"/>
                <w:szCs w:val="18"/>
                <w:lang w:val="tr-TR"/>
              </w:rPr>
            </w:pPr>
            <w:r w:rsidRPr="001A4B94">
              <w:rPr>
                <w:rFonts w:eastAsia="Calibri"/>
                <w:b/>
                <w:sz w:val="18"/>
                <w:szCs w:val="18"/>
                <w:lang w:val="tr-TR"/>
              </w:rPr>
              <w:t>Karşılanmadı</w:t>
            </w:r>
            <w:r w:rsidR="00747261" w:rsidRPr="001A4B94">
              <w:rPr>
                <w:rFonts w:eastAsia="Calibri"/>
                <w:b/>
                <w:sz w:val="18"/>
                <w:szCs w:val="18"/>
                <w:lang w:val="tr-TR"/>
              </w:rPr>
              <w:t xml:space="preserve">. </w:t>
            </w:r>
            <w:r w:rsidRPr="001A4B94">
              <w:rPr>
                <w:rFonts w:eastAsia="Calibri"/>
                <w:sz w:val="18"/>
                <w:szCs w:val="18"/>
                <w:lang w:val="tr-TR"/>
              </w:rPr>
              <w:t>Piyasalardaki iç ve dış kaynaklı belirsizlikler sebebiyle,</w:t>
            </w:r>
            <w:r w:rsidRPr="001A4B94">
              <w:rPr>
                <w:rFonts w:eastAsia="Calibri"/>
                <w:b/>
                <w:sz w:val="18"/>
                <w:szCs w:val="18"/>
                <w:lang w:val="tr-TR"/>
              </w:rPr>
              <w:t xml:space="preserve"> </w:t>
            </w:r>
            <w:r w:rsidRPr="001A4B94">
              <w:rPr>
                <w:rFonts w:eastAsiaTheme="minorHAnsi"/>
                <w:sz w:val="18"/>
                <w:szCs w:val="18"/>
                <w:lang w:val="tr-TR" w:bidi="en-US"/>
              </w:rPr>
              <w:t>ihraçlar son iki yılda önemli ölçüde düştü</w:t>
            </w:r>
            <w:r w:rsidR="00747261" w:rsidRPr="001A4B94">
              <w:rPr>
                <w:rFonts w:eastAsiaTheme="minorHAnsi"/>
                <w:sz w:val="18"/>
                <w:szCs w:val="18"/>
                <w:lang w:val="tr-TR" w:bidi="en-US"/>
              </w:rPr>
              <w:t xml:space="preserve">. 44 </w:t>
            </w:r>
            <w:r w:rsidRPr="001A4B94">
              <w:rPr>
                <w:rFonts w:eastAsiaTheme="minorHAnsi"/>
                <w:sz w:val="18"/>
                <w:szCs w:val="18"/>
                <w:lang w:val="tr-TR" w:bidi="en-US"/>
              </w:rPr>
              <w:t xml:space="preserve">milyar TL </w:t>
            </w:r>
            <w:r w:rsidR="00747261" w:rsidRPr="001A4B94">
              <w:rPr>
                <w:rFonts w:eastAsiaTheme="minorHAnsi"/>
                <w:sz w:val="18"/>
                <w:szCs w:val="18"/>
                <w:lang w:val="tr-TR" w:bidi="en-US"/>
              </w:rPr>
              <w:t>(2014), 44</w:t>
            </w:r>
            <w:r w:rsidRPr="001A4B94">
              <w:rPr>
                <w:rFonts w:eastAsiaTheme="minorHAnsi"/>
                <w:sz w:val="18"/>
                <w:szCs w:val="18"/>
                <w:lang w:val="tr-TR" w:bidi="en-US"/>
              </w:rPr>
              <w:t>,</w:t>
            </w:r>
            <w:r w:rsidR="00747261" w:rsidRPr="001A4B94">
              <w:rPr>
                <w:rFonts w:eastAsiaTheme="minorHAnsi"/>
                <w:sz w:val="18"/>
                <w:szCs w:val="18"/>
                <w:lang w:val="tr-TR" w:bidi="en-US"/>
              </w:rPr>
              <w:t xml:space="preserve">5 </w:t>
            </w:r>
            <w:r w:rsidRPr="001A4B94">
              <w:rPr>
                <w:rFonts w:eastAsiaTheme="minorHAnsi"/>
                <w:sz w:val="18"/>
                <w:szCs w:val="18"/>
                <w:lang w:val="tr-TR" w:bidi="en-US"/>
              </w:rPr>
              <w:t xml:space="preserve">milyar TL </w:t>
            </w:r>
            <w:r w:rsidR="00747261" w:rsidRPr="001A4B94">
              <w:rPr>
                <w:rFonts w:eastAsiaTheme="minorHAnsi"/>
                <w:sz w:val="18"/>
                <w:szCs w:val="18"/>
                <w:lang w:val="tr-TR" w:bidi="en-US"/>
              </w:rPr>
              <w:t>(2015)</w:t>
            </w:r>
          </w:p>
        </w:tc>
        <w:tc>
          <w:tcPr>
            <w:tcW w:w="2451" w:type="pct"/>
            <w:vMerge/>
            <w:shd w:val="clear" w:color="auto" w:fill="auto"/>
          </w:tcPr>
          <w:p w14:paraId="429B7709" w14:textId="77777777" w:rsidR="00747261" w:rsidRPr="001A4B94" w:rsidRDefault="00747261" w:rsidP="00747261">
            <w:pPr>
              <w:rPr>
                <w:rFonts w:eastAsiaTheme="minorEastAsia"/>
                <w:sz w:val="18"/>
                <w:szCs w:val="18"/>
                <w:lang w:val="tr-TR" w:eastAsia="ja-JP"/>
              </w:rPr>
            </w:pPr>
          </w:p>
        </w:tc>
      </w:tr>
      <w:tr w:rsidR="00747261" w:rsidRPr="001A4B94" w14:paraId="6A502835" w14:textId="77777777" w:rsidTr="00201B62">
        <w:trPr>
          <w:trHeight w:val="1340"/>
        </w:trPr>
        <w:tc>
          <w:tcPr>
            <w:tcW w:w="1286" w:type="pct"/>
            <w:shd w:val="clear" w:color="auto" w:fill="auto"/>
          </w:tcPr>
          <w:p w14:paraId="684687DE" w14:textId="6AB58875" w:rsidR="00747261" w:rsidRPr="001A4B94" w:rsidRDefault="00CD04CC"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bidi="en-US"/>
              </w:rPr>
              <w:lastRenderedPageBreak/>
              <w:t>Sonuç</w:t>
            </w:r>
            <w:r w:rsidR="00747261" w:rsidRPr="001A4B94">
              <w:rPr>
                <w:rFonts w:eastAsiaTheme="minorHAnsi"/>
                <w:b/>
                <w:i/>
                <w:sz w:val="18"/>
                <w:szCs w:val="18"/>
                <w:lang w:val="tr-TR" w:bidi="en-US"/>
              </w:rPr>
              <w:t xml:space="preserve"> 8:</w:t>
            </w:r>
            <w:r w:rsidR="00747261" w:rsidRPr="001A4B94">
              <w:rPr>
                <w:rFonts w:eastAsiaTheme="minorHAnsi"/>
                <w:sz w:val="18"/>
                <w:szCs w:val="18"/>
                <w:lang w:val="tr-TR" w:bidi="en-US"/>
              </w:rPr>
              <w:t xml:space="preserve"> </w:t>
            </w:r>
            <w:r w:rsidR="00834B0C" w:rsidRPr="001A4B94">
              <w:rPr>
                <w:rFonts w:eastAsiaTheme="minorHAnsi"/>
                <w:sz w:val="18"/>
                <w:szCs w:val="18"/>
                <w:lang w:val="tr-TR" w:bidi="en-US"/>
              </w:rPr>
              <w:t>Önceki yıl bir finansal kuruluşta tas</w:t>
            </w:r>
            <w:r w:rsidR="00A55840" w:rsidRPr="001A4B94">
              <w:rPr>
                <w:rFonts w:eastAsiaTheme="minorHAnsi"/>
                <w:sz w:val="18"/>
                <w:szCs w:val="18"/>
                <w:lang w:val="tr-TR" w:bidi="en-US"/>
              </w:rPr>
              <w:t>a</w:t>
            </w:r>
            <w:r w:rsidR="00834B0C" w:rsidRPr="001A4B94">
              <w:rPr>
                <w:rFonts w:eastAsiaTheme="minorHAnsi"/>
                <w:sz w:val="18"/>
                <w:szCs w:val="18"/>
                <w:lang w:val="tr-TR" w:bidi="en-US"/>
              </w:rPr>
              <w:t>rrufu bu</w:t>
            </w:r>
            <w:r w:rsidR="00A55840" w:rsidRPr="001A4B94">
              <w:rPr>
                <w:rFonts w:eastAsiaTheme="minorHAnsi"/>
                <w:sz w:val="18"/>
                <w:szCs w:val="18"/>
                <w:lang w:val="tr-TR" w:bidi="en-US"/>
              </w:rPr>
              <w:t>l</w:t>
            </w:r>
            <w:r w:rsidR="00834B0C" w:rsidRPr="001A4B94">
              <w:rPr>
                <w:rFonts w:eastAsiaTheme="minorHAnsi"/>
                <w:sz w:val="18"/>
                <w:szCs w:val="18"/>
                <w:lang w:val="tr-TR" w:bidi="en-US"/>
              </w:rPr>
              <w:t>unan kadınl</w:t>
            </w:r>
            <w:r w:rsidR="00A55840" w:rsidRPr="001A4B94">
              <w:rPr>
                <w:rFonts w:eastAsiaTheme="minorHAnsi"/>
                <w:sz w:val="18"/>
                <w:szCs w:val="18"/>
                <w:lang w:val="tr-TR" w:bidi="en-US"/>
              </w:rPr>
              <w:t>a</w:t>
            </w:r>
            <w:r w:rsidR="00834B0C" w:rsidRPr="001A4B94">
              <w:rPr>
                <w:rFonts w:eastAsiaTheme="minorHAnsi"/>
                <w:sz w:val="18"/>
                <w:szCs w:val="18"/>
                <w:lang w:val="tr-TR" w:bidi="en-US"/>
              </w:rPr>
              <w:t>rın yüzdesi</w:t>
            </w:r>
            <w:r w:rsidR="00747261" w:rsidRPr="001A4B94">
              <w:rPr>
                <w:rFonts w:eastAsiaTheme="minorHAnsi"/>
                <w:sz w:val="18"/>
                <w:szCs w:val="18"/>
                <w:lang w:val="tr-TR" w:bidi="en-US"/>
              </w:rPr>
              <w:t>, (</w:t>
            </w:r>
            <w:r w:rsidR="00834B0C" w:rsidRPr="001A4B94">
              <w:rPr>
                <w:rFonts w:eastAsiaTheme="minorHAnsi"/>
                <w:sz w:val="18"/>
                <w:szCs w:val="18"/>
                <w:lang w:val="tr-TR" w:bidi="en-US"/>
              </w:rPr>
              <w:t>15+ yaş kadınların %’si</w:t>
            </w:r>
            <w:r w:rsidR="00747261" w:rsidRPr="001A4B94">
              <w:rPr>
                <w:rFonts w:eastAsiaTheme="minorHAnsi"/>
                <w:sz w:val="18"/>
                <w:szCs w:val="18"/>
                <w:lang w:val="tr-TR" w:bidi="en-US"/>
              </w:rPr>
              <w:t>)</w:t>
            </w:r>
          </w:p>
          <w:p w14:paraId="74D72BA8" w14:textId="22D303B1" w:rsidR="00747261" w:rsidRPr="001A4B94" w:rsidRDefault="00834B0C"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bidi="en-US"/>
              </w:rPr>
              <w:t xml:space="preserve">Başlangıç Durumu: </w:t>
            </w:r>
            <w:r w:rsidRPr="001A4B94">
              <w:rPr>
                <w:rFonts w:eastAsiaTheme="minorHAnsi"/>
                <w:sz w:val="18"/>
                <w:szCs w:val="18"/>
                <w:lang w:val="tr-TR" w:bidi="en-US"/>
              </w:rPr>
              <w:t>%</w:t>
            </w:r>
            <w:r w:rsidR="00747261" w:rsidRPr="001A4B94">
              <w:rPr>
                <w:rFonts w:eastAsiaTheme="minorHAnsi"/>
                <w:sz w:val="18"/>
                <w:szCs w:val="18"/>
                <w:lang w:val="tr-TR" w:bidi="en-US"/>
              </w:rPr>
              <w:t>2 (Findex 2011)</w:t>
            </w:r>
          </w:p>
          <w:p w14:paraId="7DB2CE54" w14:textId="2D9A1A6C" w:rsidR="00747261" w:rsidRPr="001A4B94" w:rsidRDefault="00834B0C" w:rsidP="00747261">
            <w:pPr>
              <w:spacing w:after="160" w:line="259" w:lineRule="auto"/>
              <w:contextualSpacing/>
              <w:rPr>
                <w:rFonts w:eastAsiaTheme="minorHAnsi"/>
                <w:b/>
                <w:i/>
                <w:sz w:val="18"/>
                <w:szCs w:val="18"/>
                <w:lang w:val="tr-TR" w:bidi="en-US"/>
              </w:rPr>
            </w:pPr>
            <w:r w:rsidRPr="001A4B94">
              <w:rPr>
                <w:rFonts w:eastAsiaTheme="minorHAnsi"/>
                <w:b/>
                <w:sz w:val="18"/>
                <w:szCs w:val="18"/>
                <w:lang w:val="tr-TR" w:bidi="en-US"/>
              </w:rPr>
              <w:t>Hedef</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w:t>
            </w:r>
            <w:r w:rsidRPr="001A4B94">
              <w:rPr>
                <w:rFonts w:eastAsiaTheme="minorHAnsi"/>
                <w:sz w:val="18"/>
                <w:szCs w:val="18"/>
                <w:lang w:val="tr-TR" w:bidi="en-US"/>
              </w:rPr>
              <w:t>%</w:t>
            </w:r>
            <w:r w:rsidR="00747261" w:rsidRPr="001A4B94">
              <w:rPr>
                <w:rFonts w:eastAsiaTheme="minorHAnsi"/>
                <w:sz w:val="18"/>
                <w:szCs w:val="18"/>
                <w:lang w:val="tr-TR" w:bidi="en-US"/>
              </w:rPr>
              <w:t>3</w:t>
            </w:r>
            <w:r w:rsidRPr="001A4B94">
              <w:rPr>
                <w:rFonts w:eastAsiaTheme="minorHAnsi"/>
                <w:sz w:val="18"/>
                <w:szCs w:val="18"/>
                <w:lang w:val="tr-TR" w:bidi="en-US"/>
              </w:rPr>
              <w:t>,</w:t>
            </w:r>
            <w:r w:rsidR="00747261" w:rsidRPr="001A4B94">
              <w:rPr>
                <w:rFonts w:eastAsiaTheme="minorHAnsi"/>
                <w:sz w:val="18"/>
                <w:szCs w:val="18"/>
                <w:lang w:val="tr-TR" w:bidi="en-US"/>
              </w:rPr>
              <w:t>3 (Findex 2015)</w:t>
            </w:r>
          </w:p>
        </w:tc>
        <w:tc>
          <w:tcPr>
            <w:tcW w:w="1261" w:type="pct"/>
            <w:shd w:val="clear" w:color="auto" w:fill="auto"/>
          </w:tcPr>
          <w:p w14:paraId="4FA267EC" w14:textId="4B07ED02" w:rsidR="00747261" w:rsidRPr="001A4B94" w:rsidRDefault="00532EB8" w:rsidP="00747261">
            <w:pPr>
              <w:spacing w:after="160" w:line="259" w:lineRule="auto"/>
              <w:rPr>
                <w:rFonts w:eastAsia="Calibri"/>
                <w:b/>
                <w:sz w:val="18"/>
                <w:szCs w:val="18"/>
                <w:lang w:val="tr-TR"/>
              </w:rPr>
            </w:pPr>
            <w:r w:rsidRPr="001A4B94">
              <w:rPr>
                <w:rFonts w:eastAsia="Calibri"/>
                <w:b/>
                <w:sz w:val="18"/>
                <w:szCs w:val="18"/>
                <w:lang w:val="tr-TR"/>
              </w:rPr>
              <w:t>Karşılandı</w:t>
            </w:r>
            <w:r w:rsidR="00747261" w:rsidRPr="001A4B94">
              <w:rPr>
                <w:rFonts w:eastAsia="Calibri"/>
                <w:b/>
                <w:sz w:val="18"/>
                <w:szCs w:val="18"/>
                <w:lang w:val="tr-TR"/>
              </w:rPr>
              <w:t xml:space="preserve">. </w:t>
            </w:r>
            <w:r w:rsidRPr="001A4B94">
              <w:rPr>
                <w:rFonts w:eastAsia="Calibri"/>
                <w:b/>
                <w:sz w:val="18"/>
                <w:szCs w:val="18"/>
                <w:lang w:val="tr-TR"/>
              </w:rPr>
              <w:t>%</w:t>
            </w:r>
            <w:r w:rsidR="00747261" w:rsidRPr="001A4B94">
              <w:rPr>
                <w:rFonts w:eastAsiaTheme="minorHAnsi"/>
                <w:sz w:val="18"/>
                <w:szCs w:val="18"/>
                <w:lang w:val="tr-TR" w:bidi="en-US"/>
              </w:rPr>
              <w:t>5</w:t>
            </w:r>
            <w:r w:rsidRPr="001A4B94">
              <w:rPr>
                <w:rFonts w:eastAsiaTheme="minorHAnsi"/>
                <w:sz w:val="18"/>
                <w:szCs w:val="18"/>
                <w:lang w:val="tr-TR" w:bidi="en-US"/>
              </w:rPr>
              <w:t>,</w:t>
            </w:r>
            <w:r w:rsidR="00747261" w:rsidRPr="001A4B94">
              <w:rPr>
                <w:rFonts w:eastAsiaTheme="minorHAnsi"/>
                <w:sz w:val="18"/>
                <w:szCs w:val="18"/>
                <w:lang w:val="tr-TR" w:bidi="en-US"/>
              </w:rPr>
              <w:t>5  (Findex 2014</w:t>
            </w:r>
            <w:r w:rsidRPr="001A4B94">
              <w:rPr>
                <w:rFonts w:eastAsiaTheme="minorHAnsi"/>
                <w:sz w:val="18"/>
                <w:szCs w:val="18"/>
                <w:lang w:val="tr-TR" w:bidi="en-US"/>
              </w:rPr>
              <w:t>, Eylül 2015’te ya</w:t>
            </w:r>
            <w:r w:rsidR="00A55840" w:rsidRPr="001A4B94">
              <w:rPr>
                <w:rFonts w:eastAsiaTheme="minorHAnsi"/>
                <w:sz w:val="18"/>
                <w:szCs w:val="18"/>
                <w:lang w:val="tr-TR" w:bidi="en-US"/>
              </w:rPr>
              <w:t>y</w:t>
            </w:r>
            <w:r w:rsidRPr="001A4B94">
              <w:rPr>
                <w:rFonts w:eastAsiaTheme="minorHAnsi"/>
                <w:sz w:val="18"/>
                <w:szCs w:val="18"/>
                <w:lang w:val="tr-TR" w:bidi="en-US"/>
              </w:rPr>
              <w:t>ınlandı</w:t>
            </w:r>
            <w:r w:rsidR="00747261" w:rsidRPr="001A4B94">
              <w:rPr>
                <w:rFonts w:eastAsiaTheme="minorHAnsi"/>
                <w:sz w:val="18"/>
                <w:szCs w:val="18"/>
                <w:lang w:val="tr-TR" w:bidi="en-US"/>
              </w:rPr>
              <w:t xml:space="preserve">. Findex </w:t>
            </w:r>
            <w:r w:rsidRPr="001A4B94">
              <w:rPr>
                <w:rFonts w:eastAsiaTheme="minorHAnsi"/>
                <w:sz w:val="18"/>
                <w:szCs w:val="18"/>
                <w:lang w:val="tr-TR" w:bidi="en-US"/>
              </w:rPr>
              <w:t xml:space="preserve">küresel bir ankettir </w:t>
            </w:r>
            <w:r w:rsidR="00747261" w:rsidRPr="001A4B94">
              <w:rPr>
                <w:rFonts w:eastAsiaTheme="minorHAnsi"/>
                <w:sz w:val="18"/>
                <w:szCs w:val="18"/>
                <w:lang w:val="tr-TR" w:bidi="en-US"/>
              </w:rPr>
              <w:t xml:space="preserve">is </w:t>
            </w:r>
            <w:r w:rsidR="00A55840" w:rsidRPr="001A4B94">
              <w:rPr>
                <w:rFonts w:eastAsiaTheme="minorHAnsi"/>
                <w:sz w:val="18"/>
                <w:szCs w:val="18"/>
                <w:lang w:val="tr-TR" w:bidi="en-US"/>
              </w:rPr>
              <w:t>ve yıllık olarak değil, 3-4 yılda bir uygulanmaktadır</w:t>
            </w:r>
            <w:r w:rsidR="00747261" w:rsidRPr="001A4B94">
              <w:rPr>
                <w:rFonts w:eastAsiaTheme="minorHAnsi"/>
                <w:sz w:val="18"/>
                <w:szCs w:val="18"/>
                <w:lang w:val="tr-TR" w:bidi="en-US"/>
              </w:rPr>
              <w:t>).</w:t>
            </w:r>
          </w:p>
        </w:tc>
        <w:tc>
          <w:tcPr>
            <w:tcW w:w="2451" w:type="pct"/>
            <w:vMerge/>
            <w:shd w:val="clear" w:color="auto" w:fill="auto"/>
          </w:tcPr>
          <w:p w14:paraId="2479A8DF" w14:textId="77777777" w:rsidR="00747261" w:rsidRPr="001A4B94" w:rsidRDefault="00747261" w:rsidP="00747261">
            <w:pPr>
              <w:rPr>
                <w:rFonts w:eastAsiaTheme="minorEastAsia"/>
                <w:sz w:val="18"/>
                <w:szCs w:val="18"/>
                <w:lang w:val="tr-TR" w:eastAsia="ja-JP"/>
              </w:rPr>
            </w:pPr>
          </w:p>
        </w:tc>
      </w:tr>
      <w:tr w:rsidR="00747261" w:rsidRPr="001A4B94" w14:paraId="504C71E4" w14:textId="77777777" w:rsidTr="00201B62">
        <w:trPr>
          <w:trHeight w:val="1755"/>
        </w:trPr>
        <w:tc>
          <w:tcPr>
            <w:tcW w:w="1286" w:type="pct"/>
            <w:shd w:val="clear" w:color="auto" w:fill="auto"/>
          </w:tcPr>
          <w:p w14:paraId="2023781C" w14:textId="7F24928A" w:rsidR="00747261" w:rsidRPr="001A4B94" w:rsidRDefault="00834B0C" w:rsidP="00747261">
            <w:pPr>
              <w:spacing w:after="160" w:line="259" w:lineRule="auto"/>
              <w:contextualSpacing/>
              <w:rPr>
                <w:rFonts w:eastAsiaTheme="minorHAnsi"/>
                <w:sz w:val="18"/>
                <w:szCs w:val="18"/>
                <w:lang w:val="tr-TR"/>
              </w:rPr>
            </w:pPr>
            <w:r w:rsidRPr="001A4B94">
              <w:rPr>
                <w:rFonts w:eastAsiaTheme="minorHAnsi"/>
                <w:b/>
                <w:i/>
                <w:sz w:val="18"/>
                <w:szCs w:val="18"/>
                <w:lang w:val="tr-TR" w:bidi="en-US"/>
              </w:rPr>
              <w:t xml:space="preserve">Sonuç </w:t>
            </w:r>
            <w:r w:rsidR="00747261" w:rsidRPr="001A4B94">
              <w:rPr>
                <w:rFonts w:eastAsiaTheme="minorHAnsi"/>
                <w:b/>
                <w:i/>
                <w:sz w:val="18"/>
                <w:szCs w:val="18"/>
                <w:lang w:val="tr-TR" w:bidi="en-US"/>
              </w:rPr>
              <w:t>9:</w:t>
            </w:r>
            <w:r w:rsidR="00747261" w:rsidRPr="001A4B94">
              <w:rPr>
                <w:rFonts w:eastAsiaTheme="minorHAnsi"/>
                <w:sz w:val="22"/>
                <w:szCs w:val="22"/>
                <w:lang w:val="tr-TR" w:bidi="en-US"/>
              </w:rPr>
              <w:t xml:space="preserve"> </w:t>
            </w:r>
            <w:r w:rsidRPr="001A4B94">
              <w:rPr>
                <w:rFonts w:eastAsiaTheme="minorHAnsi"/>
                <w:sz w:val="18"/>
                <w:szCs w:val="18"/>
                <w:lang w:val="tr-TR"/>
              </w:rPr>
              <w:t>IFC’nin</w:t>
            </w:r>
            <w:r w:rsidR="00532EB8" w:rsidRPr="001A4B94">
              <w:rPr>
                <w:rFonts w:eastAsiaTheme="minorHAnsi"/>
                <w:sz w:val="18"/>
                <w:szCs w:val="18"/>
                <w:lang w:val="tr-TR"/>
              </w:rPr>
              <w:t xml:space="preserve"> reel sektör portföyündeki şirketl</w:t>
            </w:r>
            <w:r w:rsidR="00A55840" w:rsidRPr="001A4B94">
              <w:rPr>
                <w:rFonts w:eastAsiaTheme="minorHAnsi"/>
                <w:sz w:val="18"/>
                <w:szCs w:val="18"/>
                <w:lang w:val="tr-TR"/>
              </w:rPr>
              <w:t>e</w:t>
            </w:r>
            <w:r w:rsidR="00532EB8" w:rsidRPr="001A4B94">
              <w:rPr>
                <w:rFonts w:eastAsiaTheme="minorHAnsi"/>
                <w:sz w:val="18"/>
                <w:szCs w:val="18"/>
                <w:lang w:val="tr-TR"/>
              </w:rPr>
              <w:t>rin yaklaşık 70.000 ilave iş yaratması</w:t>
            </w:r>
            <w:r w:rsidR="00747261" w:rsidRPr="001A4B94">
              <w:rPr>
                <w:rFonts w:eastAsiaTheme="minorHAnsi"/>
                <w:sz w:val="18"/>
                <w:szCs w:val="18"/>
                <w:lang w:val="tr-TR"/>
              </w:rPr>
              <w:t xml:space="preserve">. </w:t>
            </w:r>
          </w:p>
          <w:p w14:paraId="0BC39182" w14:textId="77777777" w:rsidR="00747261" w:rsidRPr="001A4B94" w:rsidRDefault="00747261" w:rsidP="00747261">
            <w:pPr>
              <w:spacing w:after="160" w:line="259" w:lineRule="auto"/>
              <w:rPr>
                <w:rFonts w:eastAsiaTheme="minorHAnsi"/>
                <w:sz w:val="18"/>
                <w:szCs w:val="18"/>
                <w:lang w:val="tr-TR" w:bidi="en-US"/>
              </w:rPr>
            </w:pPr>
          </w:p>
        </w:tc>
        <w:tc>
          <w:tcPr>
            <w:tcW w:w="1261" w:type="pct"/>
            <w:shd w:val="clear" w:color="auto" w:fill="auto"/>
          </w:tcPr>
          <w:p w14:paraId="68B1D8B4" w14:textId="0EB38AAA" w:rsidR="00747261" w:rsidRPr="001A4B94" w:rsidRDefault="00532EB8"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bidi="en-US"/>
              </w:rPr>
              <w:t>Büyük ölçüde karşılandı</w:t>
            </w:r>
            <w:r w:rsidR="00747261" w:rsidRPr="001A4B94">
              <w:rPr>
                <w:rFonts w:eastAsiaTheme="minorHAnsi"/>
                <w:b/>
                <w:sz w:val="18"/>
                <w:szCs w:val="18"/>
                <w:lang w:val="tr-TR" w:bidi="en-US"/>
              </w:rPr>
              <w:t xml:space="preserve">. </w:t>
            </w:r>
            <w:r w:rsidR="00747261" w:rsidRPr="001A4B94">
              <w:rPr>
                <w:rFonts w:eastAsiaTheme="minorHAnsi"/>
                <w:sz w:val="18"/>
                <w:szCs w:val="18"/>
                <w:lang w:val="tr-TR" w:bidi="en-US"/>
              </w:rPr>
              <w:t>66</w:t>
            </w:r>
            <w:r w:rsidRPr="001A4B94">
              <w:rPr>
                <w:rFonts w:eastAsiaTheme="minorHAnsi"/>
                <w:sz w:val="18"/>
                <w:szCs w:val="18"/>
                <w:lang w:val="tr-TR" w:bidi="en-US"/>
              </w:rPr>
              <w:t>.</w:t>
            </w:r>
            <w:r w:rsidR="00747261" w:rsidRPr="001A4B94">
              <w:rPr>
                <w:rFonts w:eastAsiaTheme="minorHAnsi"/>
                <w:sz w:val="18"/>
                <w:szCs w:val="18"/>
                <w:lang w:val="tr-TR" w:bidi="en-US"/>
              </w:rPr>
              <w:t xml:space="preserve">367 </w:t>
            </w:r>
            <w:r w:rsidRPr="001A4B94">
              <w:rPr>
                <w:rFonts w:eastAsiaTheme="minorHAnsi"/>
                <w:sz w:val="18"/>
                <w:szCs w:val="18"/>
                <w:lang w:val="tr-TR" w:bidi="en-US"/>
              </w:rPr>
              <w:t>ilave iş yaratıldı</w:t>
            </w:r>
            <w:r w:rsidR="00747261" w:rsidRPr="001A4B94">
              <w:rPr>
                <w:rFonts w:eastAsiaTheme="minorHAnsi"/>
                <w:sz w:val="18"/>
                <w:szCs w:val="18"/>
                <w:lang w:val="tr-TR" w:bidi="en-US"/>
              </w:rPr>
              <w:t>.</w:t>
            </w:r>
          </w:p>
          <w:p w14:paraId="09D35F3D" w14:textId="77777777" w:rsidR="00747261" w:rsidRPr="001A4B94" w:rsidRDefault="00747261" w:rsidP="00747261">
            <w:pPr>
              <w:spacing w:after="160" w:line="259" w:lineRule="auto"/>
              <w:contextualSpacing/>
              <w:rPr>
                <w:rFonts w:eastAsiaTheme="minorHAnsi"/>
                <w:sz w:val="18"/>
                <w:szCs w:val="18"/>
                <w:lang w:val="tr-TR" w:bidi="en-US"/>
              </w:rPr>
            </w:pPr>
          </w:p>
          <w:p w14:paraId="0CF96594" w14:textId="77777777" w:rsidR="00747261" w:rsidRPr="001A4B94" w:rsidRDefault="00747261" w:rsidP="00747261">
            <w:pPr>
              <w:spacing w:after="160" w:line="259" w:lineRule="auto"/>
              <w:rPr>
                <w:rFonts w:eastAsia="Calibri"/>
                <w:b/>
                <w:sz w:val="18"/>
                <w:szCs w:val="18"/>
                <w:lang w:val="tr-TR"/>
              </w:rPr>
            </w:pPr>
          </w:p>
        </w:tc>
        <w:tc>
          <w:tcPr>
            <w:tcW w:w="2451" w:type="pct"/>
            <w:vMerge/>
            <w:shd w:val="clear" w:color="auto" w:fill="auto"/>
          </w:tcPr>
          <w:p w14:paraId="56BA9E01" w14:textId="77777777" w:rsidR="00747261" w:rsidRPr="001A4B94" w:rsidRDefault="00747261" w:rsidP="00747261">
            <w:pPr>
              <w:rPr>
                <w:rFonts w:eastAsiaTheme="minorEastAsia"/>
                <w:sz w:val="18"/>
                <w:szCs w:val="18"/>
                <w:lang w:val="tr-TR" w:eastAsia="ja-JP"/>
              </w:rPr>
            </w:pPr>
          </w:p>
        </w:tc>
      </w:tr>
    </w:tbl>
    <w:p w14:paraId="1FBA1664" w14:textId="77777777" w:rsidR="00747261" w:rsidRPr="001A4B94" w:rsidRDefault="00747261" w:rsidP="00747261">
      <w:pPr>
        <w:spacing w:after="160" w:line="259" w:lineRule="auto"/>
        <w:rPr>
          <w:rFonts w:asciiTheme="minorHAnsi" w:eastAsiaTheme="minorHAnsi" w:hAnsiTheme="minorHAnsi" w:cstheme="minorBidi"/>
          <w:sz w:val="18"/>
          <w:szCs w:val="18"/>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31"/>
        <w:gridCol w:w="6475"/>
      </w:tblGrid>
      <w:tr w:rsidR="00747261" w:rsidRPr="001A4B94" w14:paraId="46E0BA3F" w14:textId="77777777" w:rsidTr="00747261">
        <w:trPr>
          <w:trHeight w:val="224"/>
        </w:trPr>
        <w:tc>
          <w:tcPr>
            <w:tcW w:w="5000" w:type="pct"/>
            <w:gridSpan w:val="3"/>
            <w:shd w:val="clear" w:color="auto" w:fill="D9D9D9" w:themeFill="background1" w:themeFillShade="D9"/>
          </w:tcPr>
          <w:p w14:paraId="40F9B6A5" w14:textId="2FE32D86" w:rsidR="00747261" w:rsidRPr="001A4B94" w:rsidRDefault="00A469B0" w:rsidP="00747261">
            <w:pPr>
              <w:rPr>
                <w:rFonts w:eastAsiaTheme="minorEastAsia"/>
                <w:sz w:val="18"/>
                <w:szCs w:val="18"/>
                <w:lang w:val="tr-TR" w:eastAsia="ja-JP"/>
              </w:rPr>
            </w:pPr>
            <w:r w:rsidRPr="001A4B94">
              <w:rPr>
                <w:rFonts w:eastAsiaTheme="minorEastAsia"/>
                <w:b/>
                <w:sz w:val="18"/>
                <w:szCs w:val="18"/>
                <w:lang w:val="tr-TR" w:eastAsia="ja-JP"/>
              </w:rPr>
              <w:t>Tematik Alan</w:t>
            </w:r>
            <w:r w:rsidR="00747261" w:rsidRPr="001A4B94">
              <w:rPr>
                <w:rFonts w:eastAsiaTheme="minorEastAsia"/>
                <w:b/>
                <w:sz w:val="18"/>
                <w:szCs w:val="18"/>
                <w:lang w:val="tr-TR" w:eastAsia="ja-JP"/>
              </w:rPr>
              <w:t xml:space="preserve"> 3: </w:t>
            </w:r>
            <w:r w:rsidR="007C541A" w:rsidRPr="001A4B94">
              <w:rPr>
                <w:rFonts w:eastAsiaTheme="minorEastAsia"/>
                <w:b/>
                <w:sz w:val="18"/>
                <w:szCs w:val="18"/>
                <w:lang w:val="tr-TR" w:eastAsia="ja-JP"/>
              </w:rPr>
              <w:t>Adil bir oyun alanı sağlamak için şeffaflığı arttırarak yönetişimin iyileştirilmesi</w:t>
            </w:r>
            <w:r w:rsidR="00747261" w:rsidRPr="001A4B94">
              <w:rPr>
                <w:rFonts w:eastAsiaTheme="minorEastAsia"/>
                <w:b/>
                <w:sz w:val="18"/>
                <w:szCs w:val="18"/>
                <w:lang w:val="tr-TR" w:eastAsia="ja-JP"/>
              </w:rPr>
              <w:t xml:space="preserve"> – </w:t>
            </w:r>
            <w:r w:rsidR="007C541A" w:rsidRPr="001A4B94">
              <w:rPr>
                <w:rFonts w:eastAsiaTheme="minorEastAsia"/>
                <w:b/>
                <w:color w:val="FF0000"/>
                <w:sz w:val="18"/>
                <w:szCs w:val="18"/>
                <w:lang w:val="tr-TR" w:eastAsia="ja-JP"/>
              </w:rPr>
              <w:t xml:space="preserve">Tamamen başarıldı </w:t>
            </w:r>
          </w:p>
        </w:tc>
      </w:tr>
      <w:tr w:rsidR="007C541A" w:rsidRPr="001A4B94" w14:paraId="74164F33" w14:textId="77777777" w:rsidTr="00747261">
        <w:trPr>
          <w:trHeight w:val="330"/>
        </w:trPr>
        <w:tc>
          <w:tcPr>
            <w:tcW w:w="1214" w:type="pct"/>
          </w:tcPr>
          <w:p w14:paraId="3655E8B7" w14:textId="4DC2A1B8" w:rsidR="007C541A" w:rsidRPr="001A4B94" w:rsidRDefault="007C541A" w:rsidP="007C541A">
            <w:pPr>
              <w:spacing w:after="160" w:line="259" w:lineRule="auto"/>
              <w:rPr>
                <w:rFonts w:eastAsiaTheme="minorHAnsi"/>
                <w:b/>
                <w:sz w:val="18"/>
                <w:szCs w:val="18"/>
                <w:lang w:val="tr-TR"/>
              </w:rPr>
            </w:pPr>
            <w:r w:rsidRPr="001A4B94">
              <w:rPr>
                <w:rFonts w:eastAsiaTheme="minorHAnsi"/>
                <w:b/>
                <w:sz w:val="18"/>
                <w:szCs w:val="18"/>
                <w:lang w:val="tr-TR" w:bidi="en-US"/>
              </w:rPr>
              <w:t xml:space="preserve">DBG Sonuç Göstergeleri </w:t>
            </w:r>
          </w:p>
        </w:tc>
        <w:tc>
          <w:tcPr>
            <w:tcW w:w="1286" w:type="pct"/>
          </w:tcPr>
          <w:p w14:paraId="18CD888D" w14:textId="563E13BD" w:rsidR="007C541A" w:rsidRPr="001A4B94" w:rsidRDefault="007C541A" w:rsidP="007C541A">
            <w:pPr>
              <w:rPr>
                <w:rFonts w:eastAsia="Arial Unicode MS"/>
                <w:sz w:val="18"/>
                <w:szCs w:val="18"/>
                <w:lang w:val="tr-TR"/>
              </w:rPr>
            </w:pPr>
            <w:r w:rsidRPr="001A4B94">
              <w:rPr>
                <w:rFonts w:eastAsiaTheme="minorHAnsi"/>
                <w:b/>
                <w:sz w:val="18"/>
                <w:szCs w:val="18"/>
                <w:lang w:val="tr-TR" w:bidi="en-US"/>
              </w:rPr>
              <w:t>Bugüne Kadar Kaydedilen İlerleme:</w:t>
            </w:r>
          </w:p>
        </w:tc>
        <w:tc>
          <w:tcPr>
            <w:tcW w:w="2500" w:type="pct"/>
            <w:vMerge w:val="restart"/>
          </w:tcPr>
          <w:p w14:paraId="1FFC5B6C" w14:textId="1BB5863F" w:rsidR="007C541A" w:rsidRPr="001A4B94" w:rsidRDefault="00D17A5E" w:rsidP="007C541A">
            <w:pPr>
              <w:rPr>
                <w:rFonts w:eastAsiaTheme="minorEastAsia"/>
                <w:b/>
                <w:sz w:val="18"/>
                <w:szCs w:val="18"/>
                <w:lang w:val="tr-TR" w:eastAsia="ja-JP"/>
              </w:rPr>
            </w:pPr>
            <w:r w:rsidRPr="001A4B94">
              <w:rPr>
                <w:rFonts w:eastAsiaTheme="minorEastAsia"/>
                <w:b/>
                <w:sz w:val="18"/>
                <w:szCs w:val="18"/>
                <w:lang w:val="tr-TR" w:eastAsia="ja-JP"/>
              </w:rPr>
              <w:t>Finansman</w:t>
            </w:r>
            <w:r w:rsidR="007C541A" w:rsidRPr="001A4B94">
              <w:rPr>
                <w:rFonts w:eastAsiaTheme="minorEastAsia"/>
                <w:b/>
                <w:sz w:val="18"/>
                <w:szCs w:val="18"/>
                <w:lang w:val="tr-TR" w:eastAsia="ja-JP"/>
              </w:rPr>
              <w:t>:</w:t>
            </w:r>
          </w:p>
          <w:p w14:paraId="2F4BFBAD" w14:textId="7A38B52D" w:rsidR="007C541A" w:rsidRPr="001A4B94" w:rsidRDefault="00D17A5E"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Calibri"/>
                <w:sz w:val="18"/>
                <w:szCs w:val="18"/>
                <w:lang w:val="tr-TR"/>
              </w:rPr>
              <w:t xml:space="preserve">DPL – </w:t>
            </w:r>
            <w:r w:rsidRPr="001A4B94">
              <w:rPr>
                <w:rFonts w:eastAsiaTheme="minorHAnsi"/>
                <w:sz w:val="18"/>
                <w:szCs w:val="18"/>
                <w:lang w:val="tr-TR"/>
              </w:rPr>
              <w:t>Paylaşılan Büyümenin Sürdürülmesi I (2015 MY) P146322</w:t>
            </w:r>
          </w:p>
          <w:p w14:paraId="1102F398" w14:textId="7D6A950F" w:rsidR="007C541A" w:rsidRPr="001A4B94" w:rsidRDefault="00D17A5E"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Vakıf Fonu </w:t>
            </w:r>
            <w:r w:rsidR="007C541A" w:rsidRPr="001A4B94">
              <w:rPr>
                <w:rFonts w:eastAsiaTheme="minorHAnsi"/>
                <w:sz w:val="18"/>
                <w:szCs w:val="18"/>
                <w:lang w:val="tr-TR" w:bidi="en-US"/>
              </w:rPr>
              <w:t>GPF (</w:t>
            </w:r>
            <w:r w:rsidRPr="001A4B94">
              <w:rPr>
                <w:rFonts w:eastAsiaTheme="minorHAnsi"/>
                <w:sz w:val="18"/>
                <w:szCs w:val="18"/>
                <w:lang w:val="tr-TR" w:bidi="en-US"/>
              </w:rPr>
              <w:t>Yönetişim Ortaklık Fonu</w:t>
            </w:r>
            <w:r w:rsidR="007C541A" w:rsidRPr="001A4B94">
              <w:rPr>
                <w:rFonts w:eastAsiaTheme="minorHAnsi"/>
                <w:sz w:val="18"/>
                <w:szCs w:val="18"/>
                <w:lang w:val="tr-TR" w:bidi="en-US"/>
              </w:rPr>
              <w:t xml:space="preserve">): </w:t>
            </w:r>
            <w:r w:rsidRPr="001A4B94">
              <w:rPr>
                <w:rFonts w:eastAsiaTheme="minorHAnsi"/>
                <w:sz w:val="18"/>
                <w:szCs w:val="18"/>
                <w:lang w:val="tr-TR" w:bidi="en-US"/>
              </w:rPr>
              <w:t xml:space="preserve">TBMM için Kapasite </w:t>
            </w:r>
            <w:r w:rsidR="00445969" w:rsidRPr="001A4B94">
              <w:rPr>
                <w:rFonts w:eastAsiaTheme="minorHAnsi"/>
                <w:sz w:val="18"/>
                <w:szCs w:val="18"/>
                <w:lang w:val="tr-TR" w:bidi="en-US"/>
              </w:rPr>
              <w:t>Oluşturma</w:t>
            </w:r>
            <w:r w:rsidRPr="001A4B94">
              <w:rPr>
                <w:rFonts w:eastAsiaTheme="minorHAnsi"/>
                <w:sz w:val="18"/>
                <w:szCs w:val="18"/>
                <w:lang w:val="tr-TR" w:bidi="en-US"/>
              </w:rPr>
              <w:t xml:space="preserve"> </w:t>
            </w:r>
            <w:r w:rsidR="007C541A" w:rsidRPr="001A4B94">
              <w:rPr>
                <w:rFonts w:eastAsiaTheme="minorHAnsi"/>
                <w:sz w:val="18"/>
                <w:szCs w:val="18"/>
                <w:lang w:val="tr-TR" w:bidi="en-US"/>
              </w:rPr>
              <w:t>(</w:t>
            </w:r>
            <w:r w:rsidRPr="001A4B94">
              <w:rPr>
                <w:rFonts w:eastAsiaTheme="minorHAnsi"/>
                <w:sz w:val="18"/>
                <w:szCs w:val="18"/>
                <w:lang w:val="tr-TR" w:bidi="en-US"/>
              </w:rPr>
              <w:t>2009 MY – 2014 MY</w:t>
            </w:r>
            <w:r w:rsidR="007C541A" w:rsidRPr="001A4B94">
              <w:rPr>
                <w:rFonts w:eastAsiaTheme="minorHAnsi"/>
                <w:sz w:val="18"/>
                <w:szCs w:val="18"/>
                <w:lang w:val="tr-TR" w:bidi="en-US"/>
              </w:rPr>
              <w:t>) P131181</w:t>
            </w:r>
          </w:p>
          <w:p w14:paraId="3947B63B" w14:textId="71F9433F" w:rsidR="007C541A" w:rsidRPr="001A4B94" w:rsidRDefault="00D17A5E"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Vakıf Fonu </w:t>
            </w:r>
            <w:r w:rsidR="007C541A" w:rsidRPr="001A4B94">
              <w:rPr>
                <w:rFonts w:eastAsiaTheme="minorHAnsi"/>
                <w:sz w:val="18"/>
                <w:szCs w:val="18"/>
                <w:lang w:val="tr-TR" w:bidi="en-US"/>
              </w:rPr>
              <w:t>IDF (</w:t>
            </w:r>
            <w:r w:rsidRPr="001A4B94">
              <w:rPr>
                <w:rFonts w:eastAsiaTheme="minorHAnsi"/>
                <w:sz w:val="18"/>
                <w:szCs w:val="18"/>
                <w:lang w:val="tr-TR" w:bidi="en-US"/>
              </w:rPr>
              <w:t>Kurumsal Gelişim Fonu</w:t>
            </w:r>
            <w:r w:rsidR="007C541A" w:rsidRPr="001A4B94">
              <w:rPr>
                <w:rFonts w:eastAsiaTheme="minorHAnsi"/>
                <w:sz w:val="18"/>
                <w:szCs w:val="18"/>
                <w:lang w:val="tr-TR" w:bidi="en-US"/>
              </w:rPr>
              <w:t xml:space="preserve">): </w:t>
            </w:r>
            <w:r w:rsidR="002A613F" w:rsidRPr="001A4B94">
              <w:rPr>
                <w:rFonts w:eastAsiaTheme="minorHAnsi"/>
                <w:sz w:val="18"/>
                <w:szCs w:val="18"/>
                <w:lang w:val="tr-TR" w:bidi="en-US"/>
              </w:rPr>
              <w:t xml:space="preserve">Kamu İç Denetim Fonksiyonunun Güçlendirilmesi </w:t>
            </w:r>
            <w:r w:rsidR="007C541A" w:rsidRPr="001A4B94">
              <w:rPr>
                <w:rFonts w:eastAsiaTheme="minorHAnsi"/>
                <w:sz w:val="18"/>
                <w:szCs w:val="18"/>
                <w:lang w:val="tr-TR" w:bidi="en-US"/>
              </w:rPr>
              <w:t>(P128662)</w:t>
            </w:r>
          </w:p>
          <w:p w14:paraId="0F26CF20" w14:textId="1DDF26E7" w:rsidR="007C541A" w:rsidRPr="001A4B94" w:rsidRDefault="002A613F"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Vakıf Fonu </w:t>
            </w:r>
            <w:r w:rsidR="007C541A" w:rsidRPr="001A4B94">
              <w:rPr>
                <w:rFonts w:eastAsiaTheme="minorHAnsi"/>
                <w:sz w:val="18"/>
                <w:szCs w:val="18"/>
                <w:lang w:val="tr-TR" w:bidi="en-US"/>
              </w:rPr>
              <w:t>SAFE (</w:t>
            </w:r>
            <w:r w:rsidRPr="001A4B94">
              <w:rPr>
                <w:rFonts w:eastAsiaTheme="minorHAnsi"/>
                <w:sz w:val="18"/>
                <w:szCs w:val="18"/>
                <w:lang w:val="tr-TR" w:bidi="en-US"/>
              </w:rPr>
              <w:t>Hesap Verebilirliğin ve Mali Ortamın Güçlendirilmesi</w:t>
            </w:r>
            <w:r w:rsidR="007C541A" w:rsidRPr="001A4B94">
              <w:rPr>
                <w:rFonts w:eastAsiaTheme="minorHAnsi"/>
                <w:sz w:val="18"/>
                <w:szCs w:val="18"/>
                <w:lang w:val="tr-TR" w:bidi="en-US"/>
              </w:rPr>
              <w:t xml:space="preserve">): </w:t>
            </w:r>
            <w:r w:rsidRPr="001A4B94">
              <w:rPr>
                <w:rFonts w:eastAsiaTheme="minorHAnsi"/>
                <w:sz w:val="18"/>
                <w:szCs w:val="18"/>
                <w:lang w:val="tr-TR" w:bidi="en-US"/>
              </w:rPr>
              <w:t>Sayıştay</w:t>
            </w:r>
            <w:r w:rsidR="00445969" w:rsidRPr="001A4B94">
              <w:rPr>
                <w:rFonts w:eastAsiaTheme="minorHAnsi"/>
                <w:sz w:val="18"/>
                <w:szCs w:val="18"/>
                <w:lang w:val="tr-TR" w:bidi="en-US"/>
              </w:rPr>
              <w:t>’</w:t>
            </w:r>
            <w:r w:rsidRPr="001A4B94">
              <w:rPr>
                <w:rFonts w:eastAsiaTheme="minorHAnsi"/>
                <w:sz w:val="18"/>
                <w:szCs w:val="18"/>
                <w:lang w:val="tr-TR" w:bidi="en-US"/>
              </w:rPr>
              <w:t xml:space="preserve">ın Üst Denetim Fonksiyonunun Geliştirilmesi </w:t>
            </w:r>
            <w:r w:rsidR="007C541A" w:rsidRPr="001A4B94">
              <w:rPr>
                <w:rFonts w:eastAsiaTheme="minorHAnsi"/>
                <w:sz w:val="18"/>
                <w:szCs w:val="18"/>
                <w:lang w:val="tr-TR" w:bidi="en-US"/>
              </w:rPr>
              <w:t>(</w:t>
            </w:r>
            <w:r w:rsidRPr="001A4B94">
              <w:rPr>
                <w:rFonts w:eastAsiaTheme="minorHAnsi"/>
                <w:sz w:val="18"/>
                <w:szCs w:val="18"/>
                <w:lang w:val="tr-TR" w:bidi="en-US"/>
              </w:rPr>
              <w:t>2014 MY</w:t>
            </w:r>
            <w:r w:rsidR="007C541A" w:rsidRPr="001A4B94">
              <w:rPr>
                <w:rFonts w:eastAsiaTheme="minorHAnsi"/>
                <w:sz w:val="18"/>
                <w:szCs w:val="18"/>
                <w:lang w:val="tr-TR" w:bidi="en-US"/>
              </w:rPr>
              <w:t xml:space="preserve">) P128598 </w:t>
            </w:r>
          </w:p>
          <w:p w14:paraId="5EE4C25C" w14:textId="4D787890" w:rsidR="007C541A" w:rsidRPr="001A4B94" w:rsidRDefault="002A613F" w:rsidP="007C541A">
            <w:pPr>
              <w:rPr>
                <w:rFonts w:eastAsiaTheme="minorEastAsia"/>
                <w:sz w:val="18"/>
                <w:szCs w:val="18"/>
                <w:lang w:val="tr-TR" w:eastAsia="ja-JP"/>
              </w:rPr>
            </w:pPr>
            <w:r w:rsidRPr="001A4B94">
              <w:rPr>
                <w:rFonts w:eastAsiaTheme="minorEastAsia"/>
                <w:b/>
                <w:sz w:val="18"/>
                <w:szCs w:val="18"/>
                <w:lang w:val="tr-TR" w:eastAsia="ja-JP"/>
              </w:rPr>
              <w:t>Bilgi</w:t>
            </w:r>
            <w:r w:rsidR="007C541A" w:rsidRPr="001A4B94">
              <w:rPr>
                <w:rFonts w:eastAsiaTheme="minorEastAsia"/>
                <w:sz w:val="18"/>
                <w:szCs w:val="18"/>
                <w:lang w:val="tr-TR" w:eastAsia="ja-JP"/>
              </w:rPr>
              <w:t>:</w:t>
            </w:r>
          </w:p>
          <w:p w14:paraId="0901250F" w14:textId="26252B54" w:rsidR="007C541A" w:rsidRPr="001A4B94" w:rsidRDefault="002A613F"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KİT’lerde Kurumsal Yönetişim TY </w:t>
            </w:r>
            <w:r w:rsidR="007C541A" w:rsidRPr="001A4B94">
              <w:rPr>
                <w:rFonts w:eastAsiaTheme="minorHAnsi"/>
                <w:sz w:val="18"/>
                <w:szCs w:val="18"/>
                <w:lang w:val="tr-TR" w:bidi="en-US"/>
              </w:rPr>
              <w:t>(P152468)</w:t>
            </w:r>
          </w:p>
          <w:p w14:paraId="0BF75791" w14:textId="7B1BBFB2" w:rsidR="007C541A" w:rsidRPr="001A4B94" w:rsidRDefault="007C541A"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ESW</w:t>
            </w:r>
            <w:r w:rsidR="002A613F" w:rsidRPr="001A4B94">
              <w:rPr>
                <w:rFonts w:eastAsiaTheme="minorHAnsi"/>
                <w:sz w:val="18"/>
                <w:szCs w:val="18"/>
                <w:lang w:val="tr-TR" w:bidi="en-US"/>
              </w:rPr>
              <w:t xml:space="preserve">: </w:t>
            </w:r>
            <w:r w:rsidRPr="001A4B94">
              <w:rPr>
                <w:rFonts w:eastAsiaTheme="minorHAnsi"/>
                <w:sz w:val="18"/>
                <w:szCs w:val="18"/>
                <w:lang w:val="tr-TR" w:bidi="en-US"/>
              </w:rPr>
              <w:t xml:space="preserve"> </w:t>
            </w:r>
            <w:r w:rsidR="002A613F" w:rsidRPr="001A4B94">
              <w:rPr>
                <w:rFonts w:eastAsiaTheme="minorHAnsi"/>
                <w:sz w:val="18"/>
                <w:szCs w:val="18"/>
                <w:lang w:val="tr-TR"/>
              </w:rPr>
              <w:t xml:space="preserve">Türkiye’nin Deneyimleri: Entegrasyon, Kapsama, Kurumlar / Ülke Ekonomik Memorandumu (2015 MY) (P133570) </w:t>
            </w:r>
          </w:p>
          <w:p w14:paraId="2AE7021C" w14:textId="37FF2C0B" w:rsidR="007C541A" w:rsidRPr="001A4B94" w:rsidRDefault="007C541A"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ESW</w:t>
            </w:r>
            <w:r w:rsidR="002A613F" w:rsidRPr="001A4B94">
              <w:rPr>
                <w:rFonts w:eastAsiaTheme="minorHAnsi"/>
                <w:sz w:val="18"/>
                <w:szCs w:val="18"/>
                <w:lang w:val="tr-TR" w:bidi="en-US"/>
              </w:rPr>
              <w:t>:</w:t>
            </w:r>
            <w:r w:rsidRPr="001A4B94">
              <w:rPr>
                <w:rFonts w:eastAsiaTheme="minorHAnsi"/>
                <w:sz w:val="18"/>
                <w:szCs w:val="18"/>
                <w:lang w:val="tr-TR" w:bidi="en-US"/>
              </w:rPr>
              <w:t xml:space="preserve"> </w:t>
            </w:r>
            <w:r w:rsidR="002A613F" w:rsidRPr="001A4B94">
              <w:rPr>
                <w:rFonts w:eastAsiaTheme="minorHAnsi"/>
                <w:sz w:val="18"/>
                <w:szCs w:val="18"/>
                <w:lang w:val="tr-TR" w:bidi="en-US"/>
              </w:rPr>
              <w:t xml:space="preserve">Ulaştırma </w:t>
            </w:r>
            <w:r w:rsidR="00DE4CD3" w:rsidRPr="001A4B94">
              <w:rPr>
                <w:rFonts w:eastAsiaTheme="minorHAnsi"/>
                <w:sz w:val="18"/>
                <w:szCs w:val="18"/>
                <w:lang w:val="tr-TR" w:bidi="en-US"/>
              </w:rPr>
              <w:t>S</w:t>
            </w:r>
            <w:r w:rsidR="002A613F" w:rsidRPr="001A4B94">
              <w:rPr>
                <w:rFonts w:eastAsiaTheme="minorHAnsi"/>
                <w:sz w:val="18"/>
                <w:szCs w:val="18"/>
                <w:lang w:val="tr-TR" w:bidi="en-US"/>
              </w:rPr>
              <w:t xml:space="preserve">ektörü Kamu Harcama İncelemesi </w:t>
            </w:r>
            <w:r w:rsidRPr="001A4B94">
              <w:rPr>
                <w:rFonts w:eastAsiaTheme="minorHAnsi"/>
                <w:sz w:val="18"/>
                <w:szCs w:val="18"/>
                <w:lang w:val="tr-TR" w:bidi="en-US"/>
              </w:rPr>
              <w:t>(</w:t>
            </w:r>
            <w:r w:rsidR="002A613F" w:rsidRPr="001A4B94">
              <w:rPr>
                <w:rFonts w:eastAsiaTheme="minorHAnsi"/>
                <w:sz w:val="18"/>
                <w:szCs w:val="18"/>
                <w:lang w:val="tr-TR" w:bidi="en-US"/>
              </w:rPr>
              <w:t>2012 MY</w:t>
            </w:r>
            <w:r w:rsidRPr="001A4B94">
              <w:rPr>
                <w:rFonts w:eastAsiaTheme="minorHAnsi"/>
                <w:sz w:val="18"/>
                <w:szCs w:val="18"/>
                <w:lang w:val="tr-TR" w:bidi="en-US"/>
              </w:rPr>
              <w:t>) P123074</w:t>
            </w:r>
          </w:p>
          <w:p w14:paraId="7B48BAFE" w14:textId="254D2163" w:rsidR="007C541A" w:rsidRPr="001A4B94" w:rsidRDefault="006775E2"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TY</w:t>
            </w:r>
            <w:r w:rsidR="007C541A" w:rsidRPr="001A4B94">
              <w:rPr>
                <w:rFonts w:eastAsiaTheme="minorHAnsi"/>
                <w:sz w:val="18"/>
                <w:szCs w:val="18"/>
                <w:lang w:val="tr-TR" w:bidi="en-US"/>
              </w:rPr>
              <w:t xml:space="preserve">: </w:t>
            </w:r>
            <w:r w:rsidRPr="001A4B94">
              <w:rPr>
                <w:rFonts w:eastAsiaTheme="minorHAnsi"/>
                <w:sz w:val="18"/>
                <w:szCs w:val="18"/>
                <w:lang w:val="tr-TR" w:bidi="en-US"/>
              </w:rPr>
              <w:t xml:space="preserve">Kamu Mali Yönetim ve Yönetişim </w:t>
            </w:r>
            <w:r w:rsidR="007C541A" w:rsidRPr="001A4B94">
              <w:rPr>
                <w:rFonts w:eastAsiaTheme="minorHAnsi"/>
                <w:sz w:val="18"/>
                <w:szCs w:val="18"/>
                <w:lang w:val="tr-TR" w:bidi="en-US"/>
              </w:rPr>
              <w:t>(</w:t>
            </w:r>
            <w:r w:rsidRPr="001A4B94">
              <w:rPr>
                <w:rFonts w:eastAsiaTheme="minorHAnsi"/>
                <w:sz w:val="18"/>
                <w:szCs w:val="18"/>
                <w:lang w:val="tr-TR" w:bidi="en-US"/>
              </w:rPr>
              <w:t>2014 MY</w:t>
            </w:r>
            <w:r w:rsidR="007C541A" w:rsidRPr="001A4B94">
              <w:rPr>
                <w:rFonts w:eastAsiaTheme="minorHAnsi"/>
                <w:sz w:val="18"/>
                <w:szCs w:val="18"/>
                <w:lang w:val="tr-TR" w:bidi="en-US"/>
              </w:rPr>
              <w:t>) P147805</w:t>
            </w:r>
          </w:p>
          <w:p w14:paraId="303AA5C6" w14:textId="527DD479" w:rsidR="007C541A" w:rsidRPr="001A4B94" w:rsidRDefault="007C541A"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T</w:t>
            </w:r>
            <w:r w:rsidR="003C3611" w:rsidRPr="001A4B94">
              <w:rPr>
                <w:rFonts w:eastAsiaTheme="minorHAnsi"/>
                <w:sz w:val="18"/>
                <w:szCs w:val="18"/>
                <w:lang w:val="tr-TR" w:bidi="en-US"/>
              </w:rPr>
              <w:t>Y</w:t>
            </w:r>
            <w:r w:rsidRPr="001A4B94">
              <w:rPr>
                <w:rFonts w:eastAsiaTheme="minorHAnsi"/>
                <w:sz w:val="18"/>
                <w:szCs w:val="18"/>
                <w:lang w:val="tr-TR" w:bidi="en-US"/>
              </w:rPr>
              <w:t xml:space="preserve"> </w:t>
            </w:r>
            <w:r w:rsidR="006775E2" w:rsidRPr="001A4B94">
              <w:rPr>
                <w:rFonts w:eastAsiaTheme="minorHAnsi"/>
                <w:sz w:val="18"/>
                <w:szCs w:val="18"/>
                <w:lang w:val="tr-TR" w:bidi="en-US"/>
              </w:rPr>
              <w:t xml:space="preserve">Program Odaklı Kamu Mali Yönetim </w:t>
            </w:r>
            <w:r w:rsidRPr="001A4B94">
              <w:rPr>
                <w:rFonts w:eastAsiaTheme="minorHAnsi"/>
                <w:sz w:val="18"/>
                <w:szCs w:val="18"/>
                <w:lang w:val="tr-TR" w:bidi="en-US"/>
              </w:rPr>
              <w:t xml:space="preserve">(PPFM) </w:t>
            </w:r>
            <w:r w:rsidR="006775E2" w:rsidRPr="001A4B94">
              <w:rPr>
                <w:rFonts w:eastAsiaTheme="minorHAnsi"/>
                <w:sz w:val="18"/>
                <w:szCs w:val="18"/>
                <w:lang w:val="tr-TR" w:bidi="en-US"/>
              </w:rPr>
              <w:t>Çalışması</w:t>
            </w:r>
            <w:r w:rsidRPr="001A4B94">
              <w:rPr>
                <w:rFonts w:eastAsiaTheme="minorHAnsi"/>
                <w:sz w:val="18"/>
                <w:szCs w:val="18"/>
                <w:lang w:val="tr-TR" w:bidi="en-US"/>
              </w:rPr>
              <w:t xml:space="preserve"> (</w:t>
            </w:r>
            <w:r w:rsidR="006775E2" w:rsidRPr="001A4B94">
              <w:rPr>
                <w:rFonts w:eastAsiaTheme="minorHAnsi"/>
                <w:sz w:val="18"/>
                <w:szCs w:val="18"/>
                <w:lang w:val="tr-TR" w:bidi="en-US"/>
              </w:rPr>
              <w:t>2013 MY</w:t>
            </w:r>
            <w:r w:rsidRPr="001A4B94">
              <w:rPr>
                <w:rFonts w:eastAsiaTheme="minorHAnsi"/>
                <w:sz w:val="18"/>
                <w:szCs w:val="18"/>
                <w:lang w:val="tr-TR" w:bidi="en-US"/>
              </w:rPr>
              <w:t xml:space="preserve">) P130537. </w:t>
            </w:r>
          </w:p>
          <w:p w14:paraId="54F66E60" w14:textId="371C4DD2" w:rsidR="007C541A" w:rsidRPr="001A4B94" w:rsidRDefault="007C541A"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T</w:t>
            </w:r>
            <w:r w:rsidR="003C3611" w:rsidRPr="001A4B94">
              <w:rPr>
                <w:rFonts w:eastAsiaTheme="minorHAnsi"/>
                <w:sz w:val="18"/>
                <w:szCs w:val="18"/>
                <w:lang w:val="tr-TR" w:bidi="en-US"/>
              </w:rPr>
              <w:t>Y</w:t>
            </w:r>
            <w:r w:rsidRPr="001A4B94">
              <w:rPr>
                <w:rFonts w:eastAsiaTheme="minorHAnsi"/>
                <w:sz w:val="18"/>
                <w:szCs w:val="18"/>
                <w:lang w:val="tr-TR" w:bidi="en-US"/>
              </w:rPr>
              <w:t xml:space="preserve">: </w:t>
            </w:r>
            <w:r w:rsidR="006775E2" w:rsidRPr="001A4B94">
              <w:rPr>
                <w:rFonts w:eastAsiaTheme="minorHAnsi"/>
                <w:sz w:val="18"/>
                <w:szCs w:val="18"/>
                <w:lang w:val="tr-TR" w:bidi="en-US"/>
              </w:rPr>
              <w:t xml:space="preserve">Program Odaklı Yönetişim </w:t>
            </w:r>
            <w:r w:rsidRPr="001A4B94">
              <w:rPr>
                <w:rFonts w:eastAsiaTheme="minorHAnsi"/>
                <w:sz w:val="18"/>
                <w:szCs w:val="18"/>
                <w:lang w:val="tr-TR" w:bidi="en-US"/>
              </w:rPr>
              <w:t>(</w:t>
            </w:r>
            <w:r w:rsidR="006775E2" w:rsidRPr="001A4B94">
              <w:rPr>
                <w:rFonts w:eastAsiaTheme="minorHAnsi"/>
                <w:sz w:val="18"/>
                <w:szCs w:val="18"/>
                <w:lang w:val="tr-TR" w:bidi="en-US"/>
              </w:rPr>
              <w:t>2015/16 MY</w:t>
            </w:r>
            <w:r w:rsidRPr="001A4B94">
              <w:rPr>
                <w:rFonts w:eastAsiaTheme="minorHAnsi"/>
                <w:sz w:val="18"/>
                <w:szCs w:val="18"/>
                <w:lang w:val="tr-TR" w:bidi="en-US"/>
              </w:rPr>
              <w:t>)</w:t>
            </w:r>
          </w:p>
          <w:p w14:paraId="0CF543BA" w14:textId="3569034F" w:rsidR="007C541A" w:rsidRPr="001A4B94" w:rsidRDefault="007C541A" w:rsidP="007C541A">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IFC </w:t>
            </w:r>
            <w:r w:rsidR="006775E2" w:rsidRPr="001A4B94">
              <w:rPr>
                <w:rFonts w:eastAsiaTheme="minorHAnsi"/>
                <w:sz w:val="18"/>
                <w:szCs w:val="18"/>
                <w:lang w:val="tr-TR" w:bidi="en-US"/>
              </w:rPr>
              <w:t xml:space="preserve">Kurumsal Yönetişim danışmanlık projesi </w:t>
            </w:r>
          </w:p>
          <w:p w14:paraId="3833EACC" w14:textId="5BB87F06" w:rsidR="007C541A" w:rsidRPr="001A4B94" w:rsidRDefault="0084131C" w:rsidP="007C541A">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bidi="en-US"/>
              </w:rPr>
              <w:t>IFC yatırımları yoluyla m</w:t>
            </w:r>
            <w:r w:rsidR="003C3611" w:rsidRPr="001A4B94">
              <w:rPr>
                <w:rFonts w:eastAsiaTheme="minorHAnsi"/>
                <w:sz w:val="18"/>
                <w:szCs w:val="18"/>
                <w:lang w:val="tr-TR" w:bidi="en-US"/>
              </w:rPr>
              <w:t>ü</w:t>
            </w:r>
            <w:r w:rsidRPr="001A4B94">
              <w:rPr>
                <w:rFonts w:eastAsiaTheme="minorHAnsi"/>
                <w:sz w:val="18"/>
                <w:szCs w:val="18"/>
                <w:lang w:val="tr-TR" w:bidi="en-US"/>
              </w:rPr>
              <w:t>şterilerine kurumsal yön</w:t>
            </w:r>
            <w:r w:rsidR="003C3611" w:rsidRPr="001A4B94">
              <w:rPr>
                <w:rFonts w:eastAsiaTheme="minorHAnsi"/>
                <w:sz w:val="18"/>
                <w:szCs w:val="18"/>
                <w:lang w:val="tr-TR" w:bidi="en-US"/>
              </w:rPr>
              <w:t>etişim danışmanlığı</w:t>
            </w:r>
            <w:r w:rsidRPr="001A4B94">
              <w:rPr>
                <w:rFonts w:eastAsiaTheme="minorHAnsi"/>
                <w:sz w:val="18"/>
                <w:szCs w:val="18"/>
                <w:lang w:val="tr-TR" w:bidi="en-US"/>
              </w:rPr>
              <w:t xml:space="preserve"> sağlamaya </w:t>
            </w:r>
            <w:r w:rsidR="003C3611" w:rsidRPr="001A4B94">
              <w:rPr>
                <w:rFonts w:eastAsiaTheme="minorHAnsi"/>
                <w:sz w:val="18"/>
                <w:szCs w:val="18"/>
                <w:lang w:val="tr-TR" w:bidi="en-US"/>
              </w:rPr>
              <w:t xml:space="preserve">devam edecektir </w:t>
            </w:r>
          </w:p>
          <w:p w14:paraId="3AC35EBD" w14:textId="69331B35" w:rsidR="007C541A" w:rsidRPr="001A4B94" w:rsidRDefault="007C541A" w:rsidP="007C541A">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w:t>
            </w:r>
            <w:r w:rsidR="003C3611" w:rsidRPr="001A4B94">
              <w:rPr>
                <w:rFonts w:eastAsiaTheme="minorHAnsi"/>
                <w:sz w:val="18"/>
                <w:szCs w:val="18"/>
                <w:lang w:val="tr-TR"/>
              </w:rPr>
              <w:t>Y</w:t>
            </w:r>
            <w:r w:rsidRPr="001A4B94">
              <w:rPr>
                <w:rFonts w:eastAsiaTheme="minorHAnsi"/>
                <w:sz w:val="18"/>
                <w:szCs w:val="18"/>
                <w:lang w:val="tr-TR"/>
              </w:rPr>
              <w:t xml:space="preserve"> </w:t>
            </w:r>
            <w:r w:rsidR="003C3611" w:rsidRPr="001A4B94">
              <w:rPr>
                <w:rFonts w:eastAsiaTheme="minorHAnsi"/>
                <w:sz w:val="18"/>
                <w:szCs w:val="18"/>
                <w:lang w:val="tr-TR"/>
              </w:rPr>
              <w:t xml:space="preserve">Adalet Sektörü Performansı </w:t>
            </w:r>
            <w:r w:rsidRPr="001A4B94">
              <w:rPr>
                <w:rFonts w:eastAsiaTheme="minorHAnsi"/>
                <w:sz w:val="18"/>
                <w:szCs w:val="18"/>
                <w:lang w:val="tr-TR"/>
              </w:rPr>
              <w:t>(</w:t>
            </w:r>
            <w:r w:rsidR="003C3611" w:rsidRPr="001A4B94">
              <w:rPr>
                <w:rFonts w:eastAsiaTheme="minorHAnsi"/>
                <w:sz w:val="18"/>
                <w:szCs w:val="18"/>
                <w:lang w:val="tr-TR"/>
              </w:rPr>
              <w:t>2014 MY</w:t>
            </w:r>
            <w:r w:rsidRPr="001A4B94">
              <w:rPr>
                <w:rFonts w:eastAsiaTheme="minorHAnsi"/>
                <w:sz w:val="18"/>
                <w:szCs w:val="18"/>
                <w:lang w:val="tr-TR"/>
              </w:rPr>
              <w:t>) P145480</w:t>
            </w:r>
          </w:p>
        </w:tc>
      </w:tr>
      <w:tr w:rsidR="00747261" w:rsidRPr="001A4B94" w14:paraId="3DAEF855" w14:textId="77777777" w:rsidTr="00747261">
        <w:trPr>
          <w:trHeight w:val="4265"/>
        </w:trPr>
        <w:tc>
          <w:tcPr>
            <w:tcW w:w="1214" w:type="pct"/>
            <w:tcBorders>
              <w:bottom w:val="single" w:sz="4" w:space="0" w:color="auto"/>
            </w:tcBorders>
          </w:tcPr>
          <w:p w14:paraId="16E94FDD" w14:textId="7EBA51A6" w:rsidR="00747261" w:rsidRPr="001A4B94" w:rsidRDefault="007C541A" w:rsidP="00747261">
            <w:pPr>
              <w:spacing w:after="160" w:line="259" w:lineRule="auto"/>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1:</w:t>
            </w:r>
            <w:r w:rsidR="00747261" w:rsidRPr="001A4B94">
              <w:rPr>
                <w:rFonts w:eastAsiaTheme="minorHAnsi"/>
                <w:sz w:val="18"/>
                <w:szCs w:val="18"/>
                <w:lang w:val="tr-TR" w:bidi="en-US"/>
              </w:rPr>
              <w:t xml:space="preserve"> </w:t>
            </w:r>
            <w:r w:rsidRPr="001A4B94">
              <w:rPr>
                <w:rFonts w:eastAsiaTheme="minorHAnsi"/>
                <w:sz w:val="18"/>
                <w:szCs w:val="18"/>
                <w:lang w:val="tr-TR" w:bidi="en-US"/>
              </w:rPr>
              <w:t>Bağımsız denetim yaptıran şirketl</w:t>
            </w:r>
            <w:r w:rsidR="00D17A5E" w:rsidRPr="001A4B94">
              <w:rPr>
                <w:rFonts w:eastAsiaTheme="minorHAnsi"/>
                <w:sz w:val="18"/>
                <w:szCs w:val="18"/>
                <w:lang w:val="tr-TR" w:bidi="en-US"/>
              </w:rPr>
              <w:t>e</w:t>
            </w:r>
            <w:r w:rsidRPr="001A4B94">
              <w:rPr>
                <w:rFonts w:eastAsiaTheme="minorHAnsi"/>
                <w:sz w:val="18"/>
                <w:szCs w:val="18"/>
                <w:lang w:val="tr-TR" w:bidi="en-US"/>
              </w:rPr>
              <w:t>rin sayısındaki artış</w:t>
            </w:r>
            <w:r w:rsidR="00747261" w:rsidRPr="001A4B94">
              <w:rPr>
                <w:rFonts w:eastAsiaTheme="minorHAnsi"/>
                <w:sz w:val="18"/>
                <w:szCs w:val="18"/>
                <w:lang w:val="tr-TR" w:bidi="en-US"/>
              </w:rPr>
              <w:t xml:space="preserve">: </w:t>
            </w:r>
          </w:p>
          <w:p w14:paraId="0FA9A056" w14:textId="6211FFF9" w:rsidR="00747261" w:rsidRPr="001A4B94" w:rsidRDefault="007C541A" w:rsidP="00747261">
            <w:pPr>
              <w:spacing w:after="160" w:line="259" w:lineRule="auto"/>
              <w:rPr>
                <w:rFonts w:eastAsiaTheme="minorHAnsi"/>
                <w:sz w:val="18"/>
                <w:szCs w:val="18"/>
                <w:lang w:val="tr-TR" w:bidi="en-US"/>
              </w:rPr>
            </w:pPr>
            <w:r w:rsidRPr="001A4B94">
              <w:rPr>
                <w:rFonts w:eastAsiaTheme="minorHAnsi"/>
                <w:b/>
                <w:sz w:val="18"/>
                <w:szCs w:val="18"/>
                <w:lang w:val="tr-TR" w:bidi="en-US"/>
              </w:rPr>
              <w:t>Başlangıç Durumu</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2013 yılında </w:t>
            </w:r>
            <w:r w:rsidR="00747261" w:rsidRPr="001A4B94">
              <w:rPr>
                <w:rFonts w:eastAsiaTheme="minorHAnsi"/>
                <w:sz w:val="18"/>
                <w:szCs w:val="18"/>
                <w:lang w:val="tr-TR" w:bidi="en-US"/>
              </w:rPr>
              <w:t>2</w:t>
            </w:r>
            <w:r w:rsidRPr="001A4B94">
              <w:rPr>
                <w:rFonts w:eastAsiaTheme="minorHAnsi"/>
                <w:sz w:val="18"/>
                <w:szCs w:val="18"/>
                <w:lang w:val="tr-TR" w:bidi="en-US"/>
              </w:rPr>
              <w:t>.</w:t>
            </w:r>
            <w:r w:rsidR="00747261" w:rsidRPr="001A4B94">
              <w:rPr>
                <w:rFonts w:eastAsiaTheme="minorHAnsi"/>
                <w:sz w:val="18"/>
                <w:szCs w:val="18"/>
                <w:lang w:val="tr-TR" w:bidi="en-US"/>
              </w:rPr>
              <w:t xml:space="preserve">500. </w:t>
            </w:r>
          </w:p>
          <w:p w14:paraId="7978CEEB" w14:textId="32B5FCCE" w:rsidR="00747261" w:rsidRPr="001A4B94" w:rsidRDefault="007C541A" w:rsidP="00747261">
            <w:pPr>
              <w:spacing w:after="160" w:line="259" w:lineRule="auto"/>
              <w:rPr>
                <w:rFonts w:eastAsiaTheme="minorHAnsi"/>
                <w:sz w:val="18"/>
                <w:szCs w:val="18"/>
                <w:lang w:val="tr-TR" w:bidi="en-US"/>
              </w:rPr>
            </w:pPr>
            <w:r w:rsidRPr="001A4B94">
              <w:rPr>
                <w:rFonts w:eastAsiaTheme="minorHAnsi"/>
                <w:b/>
                <w:sz w:val="18"/>
                <w:szCs w:val="18"/>
                <w:lang w:val="tr-TR" w:bidi="en-US"/>
              </w:rPr>
              <w:t>Hedef</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2015 yılında </w:t>
            </w:r>
            <w:r w:rsidR="00747261" w:rsidRPr="001A4B94">
              <w:rPr>
                <w:rFonts w:eastAsiaTheme="minorHAnsi"/>
                <w:sz w:val="18"/>
                <w:szCs w:val="18"/>
                <w:lang w:val="tr-TR" w:bidi="en-US"/>
              </w:rPr>
              <w:t>3</w:t>
            </w:r>
            <w:r w:rsidRPr="001A4B94">
              <w:rPr>
                <w:rFonts w:eastAsiaTheme="minorHAnsi"/>
                <w:sz w:val="18"/>
                <w:szCs w:val="18"/>
                <w:lang w:val="tr-TR" w:bidi="en-US"/>
              </w:rPr>
              <w:t>.</w:t>
            </w:r>
            <w:r w:rsidR="00747261" w:rsidRPr="001A4B94">
              <w:rPr>
                <w:rFonts w:eastAsiaTheme="minorHAnsi"/>
                <w:sz w:val="18"/>
                <w:szCs w:val="18"/>
                <w:lang w:val="tr-TR" w:bidi="en-US"/>
              </w:rPr>
              <w:t xml:space="preserve">500. </w:t>
            </w:r>
          </w:p>
          <w:p w14:paraId="2AA6F8BF" w14:textId="77777777" w:rsidR="00747261" w:rsidRPr="001A4B94" w:rsidRDefault="00747261" w:rsidP="00747261">
            <w:pPr>
              <w:spacing w:after="160" w:line="259" w:lineRule="auto"/>
              <w:rPr>
                <w:rFonts w:eastAsiaTheme="minorHAnsi"/>
                <w:sz w:val="18"/>
                <w:szCs w:val="18"/>
                <w:lang w:val="tr-TR" w:bidi="en-US"/>
              </w:rPr>
            </w:pPr>
          </w:p>
          <w:p w14:paraId="62A1761A" w14:textId="77777777" w:rsidR="00747261" w:rsidRPr="001A4B94" w:rsidRDefault="00747261" w:rsidP="00747261">
            <w:pPr>
              <w:spacing w:after="160" w:line="259" w:lineRule="auto"/>
              <w:rPr>
                <w:rFonts w:eastAsiaTheme="minorHAnsi"/>
                <w:b/>
                <w:sz w:val="18"/>
                <w:szCs w:val="18"/>
                <w:lang w:val="tr-TR" w:bidi="en-US"/>
              </w:rPr>
            </w:pPr>
          </w:p>
        </w:tc>
        <w:tc>
          <w:tcPr>
            <w:tcW w:w="1286" w:type="pct"/>
            <w:tcBorders>
              <w:bottom w:val="single" w:sz="4" w:space="0" w:color="auto"/>
            </w:tcBorders>
          </w:tcPr>
          <w:p w14:paraId="673C9E8E" w14:textId="21AF2687" w:rsidR="00747261" w:rsidRPr="001A4B94" w:rsidRDefault="007C541A" w:rsidP="00747261">
            <w:pPr>
              <w:spacing w:after="160" w:line="259" w:lineRule="auto"/>
              <w:contextualSpacing/>
              <w:rPr>
                <w:rFonts w:eastAsia="Arial Unicode MS"/>
                <w:b/>
                <w:sz w:val="18"/>
                <w:szCs w:val="18"/>
                <w:u w:val="single"/>
                <w:lang w:val="tr-TR"/>
              </w:rPr>
            </w:pPr>
            <w:r w:rsidRPr="001A4B94">
              <w:rPr>
                <w:rFonts w:eastAsiaTheme="minorHAnsi"/>
                <w:b/>
                <w:sz w:val="18"/>
                <w:szCs w:val="18"/>
                <w:lang w:val="tr-TR" w:bidi="en-US"/>
              </w:rPr>
              <w:t>Karşılandı</w:t>
            </w:r>
            <w:r w:rsidR="00747261" w:rsidRPr="001A4B94">
              <w:rPr>
                <w:rFonts w:eastAsiaTheme="minorHAnsi"/>
                <w:b/>
                <w:sz w:val="18"/>
                <w:szCs w:val="18"/>
                <w:lang w:val="tr-TR" w:bidi="en-US"/>
              </w:rPr>
              <w:t>.</w:t>
            </w:r>
            <w:r w:rsidRPr="001A4B94">
              <w:rPr>
                <w:rFonts w:eastAsiaTheme="minorHAnsi"/>
                <w:b/>
                <w:sz w:val="18"/>
                <w:szCs w:val="18"/>
                <w:lang w:val="tr-TR" w:bidi="en-US"/>
              </w:rPr>
              <w:t xml:space="preserve"> </w:t>
            </w:r>
            <w:r w:rsidRPr="001A4B94">
              <w:rPr>
                <w:rFonts w:eastAsiaTheme="minorHAnsi"/>
                <w:sz w:val="18"/>
                <w:szCs w:val="18"/>
                <w:lang w:val="tr-TR" w:bidi="en-US"/>
              </w:rPr>
              <w:t>19 Mart 2016 tarihli Resmi Gazetede yayınlanan Bakanlar Kurulu Kararı</w:t>
            </w:r>
            <w:r w:rsidRPr="001A4B94">
              <w:rPr>
                <w:rFonts w:eastAsiaTheme="minorHAnsi"/>
                <w:b/>
                <w:sz w:val="18"/>
                <w:szCs w:val="18"/>
                <w:lang w:val="tr-TR" w:bidi="en-US"/>
              </w:rPr>
              <w:t xml:space="preserve"> </w:t>
            </w:r>
            <w:r w:rsidR="00CA6B68" w:rsidRPr="001A4B94">
              <w:rPr>
                <w:rFonts w:eastAsiaTheme="minorHAnsi"/>
                <w:sz w:val="18"/>
                <w:szCs w:val="18"/>
                <w:lang w:val="tr-TR" w:bidi="en-US"/>
              </w:rPr>
              <w:t>şirketler için</w:t>
            </w:r>
            <w:r w:rsidR="00CA6B68" w:rsidRPr="001A4B94">
              <w:rPr>
                <w:rFonts w:eastAsiaTheme="minorHAnsi"/>
                <w:b/>
                <w:sz w:val="18"/>
                <w:szCs w:val="18"/>
                <w:lang w:val="tr-TR" w:bidi="en-US"/>
              </w:rPr>
              <w:t xml:space="preserve"> </w:t>
            </w:r>
            <w:r w:rsidR="00CA6B68" w:rsidRPr="001A4B94">
              <w:rPr>
                <w:rFonts w:eastAsiaTheme="minorHAnsi"/>
                <w:sz w:val="18"/>
                <w:szCs w:val="18"/>
                <w:lang w:val="tr-TR" w:bidi="en-US"/>
              </w:rPr>
              <w:t>denetim şartını belirleyen eşik değeri daha da düşürdü</w:t>
            </w:r>
            <w:r w:rsidR="00747261" w:rsidRPr="001A4B94">
              <w:rPr>
                <w:rFonts w:eastAsiaTheme="minorHAnsi"/>
                <w:sz w:val="18"/>
                <w:szCs w:val="18"/>
                <w:lang w:val="tr-TR" w:bidi="en-US"/>
              </w:rPr>
              <w:t xml:space="preserve">. </w:t>
            </w:r>
            <w:r w:rsidR="00CA6B68" w:rsidRPr="001A4B94">
              <w:rPr>
                <w:rFonts w:eastAsiaTheme="minorHAnsi"/>
                <w:sz w:val="18"/>
                <w:szCs w:val="18"/>
                <w:lang w:val="tr-TR" w:bidi="en-US"/>
              </w:rPr>
              <w:t>Ba</w:t>
            </w:r>
            <w:r w:rsidR="002151EC" w:rsidRPr="001A4B94">
              <w:rPr>
                <w:rFonts w:eastAsiaTheme="minorHAnsi"/>
                <w:sz w:val="18"/>
                <w:szCs w:val="18"/>
                <w:lang w:val="tr-TR" w:bidi="en-US"/>
              </w:rPr>
              <w:t>ğ</w:t>
            </w:r>
            <w:r w:rsidR="00CA6B68" w:rsidRPr="001A4B94">
              <w:rPr>
                <w:rFonts w:eastAsiaTheme="minorHAnsi"/>
                <w:sz w:val="18"/>
                <w:szCs w:val="18"/>
                <w:lang w:val="tr-TR" w:bidi="en-US"/>
              </w:rPr>
              <w:t xml:space="preserve">ımsız </w:t>
            </w:r>
            <w:r w:rsidR="00032555" w:rsidRPr="001A4B94">
              <w:rPr>
                <w:rFonts w:eastAsiaTheme="minorHAnsi"/>
                <w:sz w:val="18"/>
                <w:szCs w:val="18"/>
                <w:lang w:val="tr-TR" w:bidi="en-US"/>
              </w:rPr>
              <w:t>denetim yaptıran şirket sayısının 2016 sonu itibariyle 5.000’i aşam</w:t>
            </w:r>
            <w:r w:rsidR="00D17A5E" w:rsidRPr="001A4B94">
              <w:rPr>
                <w:rFonts w:eastAsiaTheme="minorHAnsi"/>
                <w:sz w:val="18"/>
                <w:szCs w:val="18"/>
                <w:lang w:val="tr-TR" w:bidi="en-US"/>
              </w:rPr>
              <w:t>a</w:t>
            </w:r>
            <w:r w:rsidR="00032555" w:rsidRPr="001A4B94">
              <w:rPr>
                <w:rFonts w:eastAsiaTheme="minorHAnsi"/>
                <w:sz w:val="18"/>
                <w:szCs w:val="18"/>
                <w:lang w:val="tr-TR" w:bidi="en-US"/>
              </w:rPr>
              <w:t>sı beklenmektedir</w:t>
            </w:r>
            <w:r w:rsidR="00747261" w:rsidRPr="001A4B94">
              <w:rPr>
                <w:rFonts w:eastAsiaTheme="minorHAnsi"/>
                <w:sz w:val="18"/>
                <w:szCs w:val="18"/>
                <w:lang w:val="tr-TR" w:bidi="en-US"/>
              </w:rPr>
              <w:t>.</w:t>
            </w:r>
          </w:p>
        </w:tc>
        <w:tc>
          <w:tcPr>
            <w:tcW w:w="2500" w:type="pct"/>
            <w:vMerge/>
            <w:tcBorders>
              <w:bottom w:val="single" w:sz="4" w:space="0" w:color="auto"/>
            </w:tcBorders>
          </w:tcPr>
          <w:p w14:paraId="1B9BA8FF" w14:textId="77777777" w:rsidR="00747261" w:rsidRPr="001A4B94" w:rsidRDefault="00747261" w:rsidP="00747261">
            <w:pPr>
              <w:rPr>
                <w:rFonts w:eastAsiaTheme="minorEastAsia"/>
                <w:b/>
                <w:sz w:val="18"/>
                <w:szCs w:val="18"/>
                <w:lang w:val="tr-TR" w:eastAsia="ja-JP"/>
              </w:rPr>
            </w:pPr>
          </w:p>
        </w:tc>
      </w:tr>
    </w:tbl>
    <w:p w14:paraId="7C79A978" w14:textId="2DABCCDA" w:rsidR="00747261" w:rsidRPr="001A4B94" w:rsidRDefault="00747261" w:rsidP="00747261">
      <w:pPr>
        <w:spacing w:after="160" w:line="259" w:lineRule="auto"/>
        <w:rPr>
          <w:rFonts w:asciiTheme="minorHAnsi" w:eastAsiaTheme="minorHAnsi" w:hAnsiTheme="minorHAnsi" w:cstheme="minorBidi"/>
          <w:sz w:val="18"/>
          <w:szCs w:val="18"/>
          <w:lang w:val="tr-TR"/>
        </w:rPr>
      </w:pPr>
    </w:p>
    <w:p w14:paraId="32DE8ADB" w14:textId="77777777" w:rsidR="00CD04CC" w:rsidRPr="001A4B94" w:rsidRDefault="00CD04CC" w:rsidP="00747261">
      <w:pPr>
        <w:spacing w:after="160" w:line="259" w:lineRule="auto"/>
        <w:rPr>
          <w:rFonts w:asciiTheme="minorHAnsi" w:eastAsiaTheme="minorHAnsi" w:hAnsiTheme="minorHAnsi" w:cstheme="minorBidi"/>
          <w:sz w:val="18"/>
          <w:szCs w:val="18"/>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31"/>
        <w:gridCol w:w="6475"/>
      </w:tblGrid>
      <w:tr w:rsidR="00747261" w:rsidRPr="001A4B94" w14:paraId="0FD77701" w14:textId="77777777" w:rsidTr="00747261">
        <w:tc>
          <w:tcPr>
            <w:tcW w:w="5000" w:type="pct"/>
            <w:gridSpan w:val="3"/>
            <w:tcBorders>
              <w:bottom w:val="single" w:sz="4" w:space="0" w:color="auto"/>
            </w:tcBorders>
            <w:shd w:val="clear" w:color="auto" w:fill="F2F2F2" w:themeFill="background1" w:themeFillShade="F2"/>
            <w:vAlign w:val="center"/>
          </w:tcPr>
          <w:p w14:paraId="62676391" w14:textId="4B0059B6" w:rsidR="00747261" w:rsidRPr="001A4B94" w:rsidRDefault="00850D25" w:rsidP="00747261">
            <w:pPr>
              <w:jc w:val="center"/>
              <w:rPr>
                <w:rFonts w:asciiTheme="minorHAnsi" w:eastAsiaTheme="minorEastAsia" w:hAnsiTheme="minorHAnsi" w:cstheme="minorBidi"/>
                <w:b/>
                <w:color w:val="FF0000"/>
                <w:sz w:val="18"/>
                <w:szCs w:val="18"/>
                <w:lang w:val="tr-TR" w:eastAsia="ja-JP"/>
              </w:rPr>
            </w:pPr>
            <w:r w:rsidRPr="001A4B94">
              <w:rPr>
                <w:rFonts w:asciiTheme="minorHAnsi" w:eastAsiaTheme="minorEastAsia" w:hAnsiTheme="minorHAnsi" w:cstheme="minorBidi"/>
                <w:b/>
                <w:sz w:val="18"/>
                <w:szCs w:val="18"/>
                <w:lang w:val="tr-TR" w:eastAsia="ja-JP"/>
              </w:rPr>
              <w:lastRenderedPageBreak/>
              <w:t>Eksen</w:t>
            </w:r>
            <w:r w:rsidR="00747261" w:rsidRPr="001A4B94">
              <w:rPr>
                <w:rFonts w:asciiTheme="minorHAnsi" w:eastAsiaTheme="minorEastAsia" w:hAnsiTheme="minorHAnsi" w:cstheme="minorBidi"/>
                <w:b/>
                <w:sz w:val="18"/>
                <w:szCs w:val="18"/>
                <w:lang w:val="tr-TR" w:eastAsia="ja-JP"/>
              </w:rPr>
              <w:t xml:space="preserve"> 2: </w:t>
            </w:r>
            <w:r w:rsidR="005E097C" w:rsidRPr="001A4B94">
              <w:rPr>
                <w:rFonts w:asciiTheme="minorHAnsi" w:eastAsiaTheme="minorEastAsia" w:hAnsiTheme="minorHAnsi" w:cstheme="minorBidi"/>
                <w:b/>
                <w:sz w:val="18"/>
                <w:szCs w:val="18"/>
                <w:lang w:val="tr-TR" w:eastAsia="ja-JP"/>
              </w:rPr>
              <w:t xml:space="preserve">Eşitliğin ve Kamu Hizmetlerinin İyileştirilmesi  </w:t>
            </w:r>
            <w:r w:rsidR="00747261" w:rsidRPr="001A4B94">
              <w:rPr>
                <w:rFonts w:asciiTheme="minorHAnsi" w:eastAsiaTheme="minorEastAsia" w:hAnsiTheme="minorHAnsi" w:cstheme="minorBidi"/>
                <w:b/>
                <w:sz w:val="18"/>
                <w:szCs w:val="18"/>
                <w:lang w:val="tr-TR" w:eastAsia="ja-JP"/>
              </w:rPr>
              <w:t xml:space="preserve">– </w:t>
            </w:r>
            <w:r w:rsidR="005E097C" w:rsidRPr="001A4B94">
              <w:rPr>
                <w:rFonts w:asciiTheme="minorHAnsi" w:eastAsiaTheme="minorEastAsia" w:hAnsiTheme="minorHAnsi" w:cstheme="minorBidi"/>
                <w:b/>
                <w:sz w:val="18"/>
                <w:szCs w:val="18"/>
                <w:lang w:val="tr-TR" w:eastAsia="ja-JP"/>
              </w:rPr>
              <w:t xml:space="preserve"> </w:t>
            </w:r>
            <w:r w:rsidR="005E097C" w:rsidRPr="001A4B94">
              <w:rPr>
                <w:rFonts w:asciiTheme="minorHAnsi" w:eastAsiaTheme="minorEastAsia" w:hAnsiTheme="minorHAnsi" w:cstheme="minorBidi"/>
                <w:b/>
                <w:color w:val="FF0000"/>
                <w:sz w:val="18"/>
                <w:szCs w:val="18"/>
                <w:lang w:val="tr-TR" w:eastAsia="ja-JP"/>
              </w:rPr>
              <w:t>Kısmen Başarıldı</w:t>
            </w:r>
          </w:p>
          <w:p w14:paraId="33639EFF" w14:textId="77777777" w:rsidR="00747261" w:rsidRPr="001A4B94" w:rsidRDefault="00747261" w:rsidP="00747261">
            <w:pPr>
              <w:jc w:val="center"/>
              <w:rPr>
                <w:rFonts w:asciiTheme="minorHAnsi" w:eastAsiaTheme="minorEastAsia" w:hAnsiTheme="minorHAnsi" w:cstheme="minorBidi"/>
                <w:b/>
                <w:sz w:val="18"/>
                <w:szCs w:val="18"/>
                <w:lang w:val="tr-TR" w:eastAsia="ja-JP"/>
              </w:rPr>
            </w:pPr>
          </w:p>
        </w:tc>
      </w:tr>
      <w:tr w:rsidR="00747261" w:rsidRPr="001A4B94" w14:paraId="236B89E6" w14:textId="77777777" w:rsidTr="00747261">
        <w:tc>
          <w:tcPr>
            <w:tcW w:w="5000" w:type="pct"/>
            <w:gridSpan w:val="3"/>
            <w:tcBorders>
              <w:bottom w:val="single" w:sz="4" w:space="0" w:color="auto"/>
            </w:tcBorders>
            <w:shd w:val="clear" w:color="auto" w:fill="D9D9D9" w:themeFill="background1" w:themeFillShade="D9"/>
          </w:tcPr>
          <w:p w14:paraId="57FD1716" w14:textId="71044800" w:rsidR="00747261" w:rsidRPr="001A4B94" w:rsidRDefault="005E097C" w:rsidP="00747261">
            <w:pPr>
              <w:spacing w:after="160" w:line="259" w:lineRule="auto"/>
              <w:rPr>
                <w:rFonts w:eastAsiaTheme="minorHAnsi"/>
                <w:b/>
                <w:sz w:val="18"/>
                <w:szCs w:val="18"/>
                <w:lang w:val="tr-TR" w:bidi="en-US"/>
              </w:rPr>
            </w:pPr>
            <w:r w:rsidRPr="001A4B94">
              <w:rPr>
                <w:rFonts w:eastAsiaTheme="minorHAnsi"/>
                <w:b/>
                <w:sz w:val="18"/>
                <w:szCs w:val="18"/>
                <w:lang w:val="tr-TR" w:bidi="en-US"/>
              </w:rPr>
              <w:t xml:space="preserve">Tematik Alan </w:t>
            </w:r>
            <w:r w:rsidR="00747261" w:rsidRPr="001A4B94">
              <w:rPr>
                <w:rFonts w:eastAsiaTheme="minorHAnsi"/>
                <w:b/>
                <w:sz w:val="18"/>
                <w:szCs w:val="18"/>
                <w:lang w:val="tr-TR" w:bidi="en-US"/>
              </w:rPr>
              <w:t xml:space="preserve">4: </w:t>
            </w:r>
            <w:r w:rsidRPr="001A4B94">
              <w:rPr>
                <w:rFonts w:eastAsiaTheme="minorHAnsi"/>
                <w:b/>
                <w:sz w:val="18"/>
                <w:szCs w:val="18"/>
                <w:lang w:val="tr-TR" w:bidi="en-US"/>
              </w:rPr>
              <w:t xml:space="preserve">Sosyal </w:t>
            </w:r>
            <w:r w:rsidR="003250C5" w:rsidRPr="001A4B94">
              <w:rPr>
                <w:rFonts w:eastAsiaTheme="minorHAnsi"/>
                <w:b/>
                <w:sz w:val="18"/>
                <w:szCs w:val="18"/>
                <w:lang w:val="tr-TR" w:bidi="en-US"/>
              </w:rPr>
              <w:t>hizmetlerin</w:t>
            </w:r>
            <w:r w:rsidRPr="001A4B94">
              <w:rPr>
                <w:rFonts w:eastAsiaTheme="minorHAnsi"/>
                <w:b/>
                <w:sz w:val="18"/>
                <w:szCs w:val="18"/>
                <w:lang w:val="tr-TR" w:bidi="en-US"/>
              </w:rPr>
              <w:t xml:space="preserve"> </w:t>
            </w:r>
            <w:r w:rsidR="003250C5" w:rsidRPr="001A4B94">
              <w:rPr>
                <w:rFonts w:eastAsiaTheme="minorHAnsi"/>
                <w:b/>
                <w:sz w:val="18"/>
                <w:szCs w:val="18"/>
                <w:lang w:val="tr-TR" w:bidi="en-US"/>
              </w:rPr>
              <w:t>kalitesinin</w:t>
            </w:r>
            <w:r w:rsidRPr="001A4B94">
              <w:rPr>
                <w:rFonts w:eastAsiaTheme="minorHAnsi"/>
                <w:b/>
                <w:sz w:val="18"/>
                <w:szCs w:val="18"/>
                <w:lang w:val="tr-TR" w:bidi="en-US"/>
              </w:rPr>
              <w:t xml:space="preserve"> ve eşitliğin geliştirilmesi</w:t>
            </w:r>
            <w:r w:rsidRPr="001A4B94">
              <w:rPr>
                <w:rFonts w:eastAsiaTheme="minorHAnsi"/>
                <w:sz w:val="18"/>
                <w:szCs w:val="18"/>
                <w:lang w:val="tr-TR" w:bidi="en-US"/>
              </w:rPr>
              <w:t xml:space="preserve"> </w:t>
            </w:r>
            <w:r w:rsidRPr="001A4B94">
              <w:rPr>
                <w:rFonts w:eastAsiaTheme="minorHAnsi"/>
                <w:b/>
                <w:sz w:val="18"/>
                <w:szCs w:val="18"/>
                <w:lang w:val="tr-TR" w:bidi="en-US"/>
              </w:rPr>
              <w:t>–</w:t>
            </w:r>
            <w:r w:rsidR="00747261" w:rsidRPr="001A4B94">
              <w:rPr>
                <w:rFonts w:eastAsiaTheme="minorHAnsi"/>
                <w:b/>
                <w:sz w:val="18"/>
                <w:szCs w:val="18"/>
                <w:lang w:val="tr-TR" w:bidi="en-US"/>
              </w:rPr>
              <w:t xml:space="preserve"> </w:t>
            </w:r>
            <w:r w:rsidRPr="001A4B94">
              <w:rPr>
                <w:rFonts w:eastAsiaTheme="minorHAnsi"/>
                <w:b/>
                <w:color w:val="FF0000"/>
                <w:sz w:val="18"/>
                <w:szCs w:val="18"/>
                <w:lang w:val="tr-TR" w:bidi="en-US"/>
              </w:rPr>
              <w:t xml:space="preserve">Tamamen </w:t>
            </w:r>
            <w:r w:rsidR="00747261" w:rsidRPr="001A4B94">
              <w:rPr>
                <w:rFonts w:eastAsiaTheme="minorHAnsi"/>
                <w:b/>
                <w:color w:val="FF0000"/>
                <w:sz w:val="18"/>
                <w:szCs w:val="18"/>
                <w:lang w:val="tr-TR" w:bidi="en-US"/>
              </w:rPr>
              <w:t xml:space="preserve"> </w:t>
            </w:r>
            <w:r w:rsidRPr="001A4B94">
              <w:rPr>
                <w:rFonts w:eastAsiaTheme="minorHAnsi"/>
                <w:b/>
                <w:color w:val="FF0000"/>
                <w:sz w:val="18"/>
                <w:szCs w:val="18"/>
                <w:lang w:val="tr-TR" w:bidi="en-US"/>
              </w:rPr>
              <w:t xml:space="preserve">Başarıldı </w:t>
            </w:r>
          </w:p>
        </w:tc>
      </w:tr>
      <w:tr w:rsidR="00937E88" w:rsidRPr="001A4B94" w14:paraId="4E518BDC" w14:textId="77777777" w:rsidTr="008D2CAA">
        <w:trPr>
          <w:trHeight w:val="375"/>
        </w:trPr>
        <w:tc>
          <w:tcPr>
            <w:tcW w:w="1214" w:type="pct"/>
            <w:shd w:val="clear" w:color="auto" w:fill="auto"/>
          </w:tcPr>
          <w:p w14:paraId="6F960D66" w14:textId="6ECFB6C7" w:rsidR="00937E88" w:rsidRPr="001A4B94" w:rsidRDefault="00937E88" w:rsidP="00937E88">
            <w:pPr>
              <w:spacing w:after="160" w:line="259" w:lineRule="auto"/>
              <w:rPr>
                <w:rFonts w:eastAsiaTheme="minorHAnsi"/>
                <w:b/>
                <w:sz w:val="22"/>
                <w:szCs w:val="22"/>
                <w:lang w:val="tr-TR"/>
              </w:rPr>
            </w:pPr>
            <w:r w:rsidRPr="001A4B94">
              <w:rPr>
                <w:rFonts w:eastAsiaTheme="minorHAnsi"/>
                <w:b/>
                <w:sz w:val="18"/>
                <w:szCs w:val="18"/>
                <w:lang w:val="tr-TR" w:bidi="en-US"/>
              </w:rPr>
              <w:t xml:space="preserve">DBG Sonuç Göstergeleri </w:t>
            </w:r>
          </w:p>
        </w:tc>
        <w:tc>
          <w:tcPr>
            <w:tcW w:w="1286" w:type="pct"/>
            <w:shd w:val="clear" w:color="auto" w:fill="auto"/>
          </w:tcPr>
          <w:p w14:paraId="6A8D01E1" w14:textId="79428A66" w:rsidR="00937E88" w:rsidRPr="001A4B94" w:rsidRDefault="00937E88" w:rsidP="00937E88">
            <w:pPr>
              <w:rPr>
                <w:rFonts w:eastAsia="Arial Unicode MS"/>
                <w:sz w:val="18"/>
                <w:szCs w:val="18"/>
                <w:lang w:val="tr-TR" w:bidi="en-US"/>
              </w:rPr>
            </w:pPr>
            <w:r w:rsidRPr="001A4B94">
              <w:rPr>
                <w:rFonts w:eastAsiaTheme="minorHAnsi"/>
                <w:b/>
                <w:sz w:val="18"/>
                <w:szCs w:val="18"/>
                <w:lang w:val="tr-TR" w:bidi="en-US"/>
              </w:rPr>
              <w:t>Bugüne Kadar Kaydedilen İlerleme:</w:t>
            </w:r>
          </w:p>
        </w:tc>
        <w:tc>
          <w:tcPr>
            <w:tcW w:w="2500" w:type="pct"/>
            <w:vMerge w:val="restart"/>
            <w:shd w:val="clear" w:color="auto" w:fill="auto"/>
          </w:tcPr>
          <w:p w14:paraId="3E8E1072" w14:textId="0B8E3AE8" w:rsidR="00937E88" w:rsidRPr="001A4B94" w:rsidRDefault="008D2CAA" w:rsidP="00937E88">
            <w:pPr>
              <w:rPr>
                <w:rFonts w:eastAsiaTheme="minorEastAsia"/>
                <w:b/>
                <w:sz w:val="18"/>
                <w:szCs w:val="18"/>
                <w:lang w:val="tr-TR" w:eastAsia="ja-JP"/>
              </w:rPr>
            </w:pPr>
            <w:r w:rsidRPr="001A4B94">
              <w:rPr>
                <w:rFonts w:eastAsiaTheme="minorEastAsia"/>
                <w:b/>
                <w:sz w:val="18"/>
                <w:szCs w:val="18"/>
                <w:lang w:val="tr-TR" w:eastAsia="ja-JP"/>
              </w:rPr>
              <w:t>Sağlık Finansma</w:t>
            </w:r>
            <w:r w:rsidR="0033142C" w:rsidRPr="001A4B94">
              <w:rPr>
                <w:rFonts w:eastAsiaTheme="minorEastAsia"/>
                <w:b/>
                <w:sz w:val="18"/>
                <w:szCs w:val="18"/>
                <w:lang w:val="tr-TR" w:eastAsia="ja-JP"/>
              </w:rPr>
              <w:t>n</w:t>
            </w:r>
            <w:r w:rsidRPr="001A4B94">
              <w:rPr>
                <w:rFonts w:eastAsiaTheme="minorEastAsia"/>
                <w:b/>
                <w:sz w:val="18"/>
                <w:szCs w:val="18"/>
                <w:lang w:val="tr-TR" w:eastAsia="ja-JP"/>
              </w:rPr>
              <w:t>ı</w:t>
            </w:r>
            <w:r w:rsidR="00937E88" w:rsidRPr="001A4B94">
              <w:rPr>
                <w:rFonts w:eastAsiaTheme="minorEastAsia"/>
                <w:b/>
                <w:sz w:val="18"/>
                <w:szCs w:val="18"/>
                <w:lang w:val="tr-TR" w:eastAsia="ja-JP"/>
              </w:rPr>
              <w:t>:</w:t>
            </w:r>
          </w:p>
          <w:p w14:paraId="6B19BAFB" w14:textId="0E20986C" w:rsidR="00937E88" w:rsidRPr="001A4B94" w:rsidRDefault="008D2CAA"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Sağlık Sisteminin Güçlendirilmesi ve Desteklenmesi </w:t>
            </w:r>
            <w:r w:rsidR="00937E88" w:rsidRPr="001A4B94">
              <w:rPr>
                <w:rFonts w:eastAsiaTheme="minorHAnsi"/>
                <w:sz w:val="18"/>
                <w:szCs w:val="18"/>
                <w:lang w:val="tr-TR" w:bidi="en-US"/>
              </w:rPr>
              <w:t>(</w:t>
            </w:r>
            <w:r w:rsidRPr="001A4B94">
              <w:rPr>
                <w:rFonts w:eastAsiaTheme="minorHAnsi"/>
                <w:sz w:val="18"/>
                <w:szCs w:val="18"/>
                <w:lang w:val="tr-TR" w:bidi="en-US"/>
              </w:rPr>
              <w:t>2016 MY</w:t>
            </w:r>
            <w:r w:rsidR="00937E88" w:rsidRPr="001A4B94">
              <w:rPr>
                <w:rFonts w:eastAsiaTheme="minorHAnsi"/>
                <w:sz w:val="18"/>
                <w:szCs w:val="18"/>
                <w:lang w:val="tr-TR" w:bidi="en-US"/>
              </w:rPr>
              <w:t>)</w:t>
            </w:r>
          </w:p>
          <w:p w14:paraId="552719A8" w14:textId="04EFC950" w:rsidR="00937E88" w:rsidRPr="001A4B94" w:rsidRDefault="008D2CAA"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Sağlık </w:t>
            </w:r>
            <w:r w:rsidR="0033142C" w:rsidRPr="001A4B94">
              <w:rPr>
                <w:rFonts w:eastAsiaTheme="minorHAnsi"/>
                <w:sz w:val="18"/>
                <w:szCs w:val="18"/>
                <w:lang w:val="tr-TR" w:bidi="en-US"/>
              </w:rPr>
              <w:t>Sisteminin Yeniden Yapılandırıl</w:t>
            </w:r>
            <w:r w:rsidRPr="001A4B94">
              <w:rPr>
                <w:rFonts w:eastAsiaTheme="minorHAnsi"/>
                <w:sz w:val="18"/>
                <w:szCs w:val="18"/>
                <w:lang w:val="tr-TR" w:bidi="en-US"/>
              </w:rPr>
              <w:t>m</w:t>
            </w:r>
            <w:r w:rsidR="0033142C" w:rsidRPr="001A4B94">
              <w:rPr>
                <w:rFonts w:eastAsiaTheme="minorHAnsi"/>
                <w:sz w:val="18"/>
                <w:szCs w:val="18"/>
                <w:lang w:val="tr-TR" w:bidi="en-US"/>
              </w:rPr>
              <w:t>a</w:t>
            </w:r>
            <w:r w:rsidRPr="001A4B94">
              <w:rPr>
                <w:rFonts w:eastAsiaTheme="minorHAnsi"/>
                <w:sz w:val="18"/>
                <w:szCs w:val="18"/>
                <w:lang w:val="tr-TR" w:bidi="en-US"/>
              </w:rPr>
              <w:t>sına Destek projesi. Eski adı: Sağlıkta Dönüşüm ve Sosyal Güvenlik Reformu Projesi</w:t>
            </w:r>
            <w:r w:rsidR="00937E88" w:rsidRPr="001A4B94">
              <w:rPr>
                <w:rFonts w:eastAsiaTheme="minorHAnsi"/>
                <w:sz w:val="18"/>
                <w:szCs w:val="18"/>
                <w:lang w:val="tr-TR" w:bidi="en-US"/>
              </w:rPr>
              <w:t xml:space="preserve"> APL 2 (</w:t>
            </w:r>
            <w:r w:rsidRPr="001A4B94">
              <w:rPr>
                <w:rFonts w:eastAsiaTheme="minorHAnsi"/>
                <w:sz w:val="18"/>
                <w:szCs w:val="18"/>
                <w:lang w:val="tr-TR" w:bidi="en-US"/>
              </w:rPr>
              <w:t>2009 MY</w:t>
            </w:r>
            <w:r w:rsidR="00937E88" w:rsidRPr="001A4B94">
              <w:rPr>
                <w:rFonts w:eastAsiaTheme="minorHAnsi"/>
                <w:sz w:val="18"/>
                <w:szCs w:val="18"/>
                <w:lang w:val="tr-TR" w:bidi="en-US"/>
              </w:rPr>
              <w:t>) P102172</w:t>
            </w:r>
          </w:p>
          <w:p w14:paraId="58102037" w14:textId="0C214C18" w:rsidR="00937E88" w:rsidRPr="001A4B94" w:rsidRDefault="00521A17"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Vakıf Fonu – Yönetişim ortaklık Fonu </w:t>
            </w:r>
            <w:r w:rsidR="00937E88" w:rsidRPr="001A4B94">
              <w:rPr>
                <w:rFonts w:eastAsiaTheme="minorHAnsi"/>
                <w:sz w:val="18"/>
                <w:szCs w:val="18"/>
                <w:lang w:val="tr-TR" w:bidi="en-US"/>
              </w:rPr>
              <w:t xml:space="preserve">(GPF): </w:t>
            </w:r>
            <w:r w:rsidRPr="001A4B94">
              <w:rPr>
                <w:rFonts w:eastAsiaTheme="minorHAnsi"/>
                <w:sz w:val="18"/>
                <w:szCs w:val="18"/>
                <w:lang w:val="tr-TR" w:bidi="en-US"/>
              </w:rPr>
              <w:t xml:space="preserve">Sağlıkta Dönüşüm ve Sosyal Güvenlik Reformu </w:t>
            </w:r>
            <w:r w:rsidR="00937E88" w:rsidRPr="001A4B94">
              <w:rPr>
                <w:rFonts w:eastAsiaTheme="minorHAnsi"/>
                <w:sz w:val="18"/>
                <w:szCs w:val="18"/>
                <w:lang w:val="tr-TR" w:bidi="en-US"/>
              </w:rPr>
              <w:t>(</w:t>
            </w:r>
            <w:r w:rsidRPr="001A4B94">
              <w:rPr>
                <w:rFonts w:eastAsiaTheme="minorHAnsi"/>
                <w:sz w:val="18"/>
                <w:szCs w:val="18"/>
                <w:lang w:val="tr-TR" w:bidi="en-US"/>
              </w:rPr>
              <w:t>2009 MY</w:t>
            </w:r>
            <w:r w:rsidR="00937E88" w:rsidRPr="001A4B94">
              <w:rPr>
                <w:rFonts w:eastAsiaTheme="minorHAnsi"/>
                <w:sz w:val="18"/>
                <w:szCs w:val="18"/>
                <w:lang w:val="tr-TR" w:bidi="en-US"/>
              </w:rPr>
              <w:t>)</w:t>
            </w:r>
          </w:p>
          <w:p w14:paraId="7DB0C42E" w14:textId="6CD3E4C9" w:rsidR="00937E88" w:rsidRPr="001A4B94" w:rsidRDefault="00937E8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Adana </w:t>
            </w:r>
            <w:r w:rsidR="00335D57" w:rsidRPr="001A4B94">
              <w:rPr>
                <w:rFonts w:eastAsiaTheme="minorHAnsi"/>
                <w:sz w:val="18"/>
                <w:szCs w:val="18"/>
                <w:lang w:val="tr-TR" w:bidi="en-US"/>
              </w:rPr>
              <w:t xml:space="preserve">Sağlık Projesi </w:t>
            </w:r>
            <w:r w:rsidRPr="001A4B94">
              <w:rPr>
                <w:rFonts w:eastAsiaTheme="minorHAnsi"/>
                <w:sz w:val="18"/>
                <w:szCs w:val="18"/>
                <w:lang w:val="tr-TR" w:bidi="en-US"/>
              </w:rPr>
              <w:t>(</w:t>
            </w:r>
            <w:r w:rsidR="00335D57" w:rsidRPr="001A4B94">
              <w:rPr>
                <w:rFonts w:eastAsiaTheme="minorHAnsi"/>
                <w:sz w:val="18"/>
                <w:szCs w:val="18"/>
                <w:lang w:val="tr-TR" w:bidi="en-US"/>
              </w:rPr>
              <w:t>2015 MY), IFC'nin ilke sağlık sektörü KÖİ projesi ve Türkiye için bir ilk</w:t>
            </w:r>
            <w:r w:rsidRPr="001A4B94">
              <w:rPr>
                <w:rFonts w:eastAsiaTheme="minorHAnsi"/>
                <w:sz w:val="18"/>
                <w:szCs w:val="18"/>
                <w:lang w:val="tr-TR" w:bidi="en-US"/>
              </w:rPr>
              <w:t>.</w:t>
            </w:r>
          </w:p>
          <w:p w14:paraId="01630FA0" w14:textId="3939E102" w:rsidR="00937E88" w:rsidRPr="001A4B94" w:rsidRDefault="00937E8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Etlik </w:t>
            </w:r>
            <w:r w:rsidR="00335D57" w:rsidRPr="001A4B94">
              <w:rPr>
                <w:rFonts w:eastAsiaTheme="minorHAnsi"/>
                <w:sz w:val="18"/>
                <w:szCs w:val="18"/>
                <w:lang w:val="tr-TR" w:bidi="en-US"/>
              </w:rPr>
              <w:t xml:space="preserve">Sağlık KÖİ ve </w:t>
            </w:r>
            <w:r w:rsidRPr="001A4B94">
              <w:rPr>
                <w:rFonts w:eastAsiaTheme="minorHAnsi"/>
                <w:sz w:val="18"/>
                <w:szCs w:val="18"/>
                <w:lang w:val="tr-TR" w:bidi="en-US"/>
              </w:rPr>
              <w:t xml:space="preserve">Kayseri </w:t>
            </w:r>
            <w:r w:rsidR="00335D57" w:rsidRPr="001A4B94">
              <w:rPr>
                <w:rFonts w:eastAsiaTheme="minorHAnsi"/>
                <w:sz w:val="18"/>
                <w:szCs w:val="18"/>
                <w:lang w:val="tr-TR" w:bidi="en-US"/>
              </w:rPr>
              <w:t xml:space="preserve">Sağlık KÖİ projeleri </w:t>
            </w:r>
            <w:r w:rsidRPr="001A4B94">
              <w:rPr>
                <w:rFonts w:eastAsiaTheme="minorHAnsi"/>
                <w:sz w:val="18"/>
                <w:szCs w:val="18"/>
                <w:lang w:val="tr-TR" w:bidi="en-US"/>
              </w:rPr>
              <w:t>(</w:t>
            </w:r>
            <w:r w:rsidR="00335D57" w:rsidRPr="001A4B94">
              <w:rPr>
                <w:rFonts w:eastAsiaTheme="minorHAnsi"/>
                <w:sz w:val="18"/>
                <w:szCs w:val="18"/>
                <w:lang w:val="tr-TR" w:bidi="en-US"/>
              </w:rPr>
              <w:t>2015 MY</w:t>
            </w:r>
            <w:r w:rsidRPr="001A4B94">
              <w:rPr>
                <w:rFonts w:eastAsiaTheme="minorHAnsi"/>
                <w:sz w:val="18"/>
                <w:szCs w:val="18"/>
                <w:lang w:val="tr-TR" w:bidi="en-US"/>
              </w:rPr>
              <w:t xml:space="preserve">, IFC) – </w:t>
            </w:r>
            <w:r w:rsidR="00335D57" w:rsidRPr="001A4B94">
              <w:rPr>
                <w:rFonts w:eastAsiaTheme="minorHAnsi"/>
                <w:sz w:val="18"/>
                <w:szCs w:val="18"/>
                <w:lang w:val="tr-TR" w:bidi="en-US"/>
              </w:rPr>
              <w:t>entegre sağlık kampüslerinin yapımına ilişkin KÖİ projeleri</w:t>
            </w:r>
            <w:r w:rsidRPr="001A4B94">
              <w:rPr>
                <w:rFonts w:eastAsiaTheme="minorHAnsi"/>
                <w:sz w:val="18"/>
                <w:szCs w:val="18"/>
                <w:lang w:val="tr-TR" w:bidi="en-US"/>
              </w:rPr>
              <w:t>.</w:t>
            </w:r>
          </w:p>
          <w:p w14:paraId="505B2ACA" w14:textId="63BE4350" w:rsidR="00937E88" w:rsidRPr="001A4B94" w:rsidRDefault="00335D57"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Adana Sağlık KÖİ Projesi için yapılan sermaye yatırımına yönelik </w:t>
            </w:r>
            <w:r w:rsidR="00937E88" w:rsidRPr="001A4B94">
              <w:rPr>
                <w:rFonts w:eastAsiaTheme="minorHAnsi"/>
                <w:sz w:val="18"/>
                <w:szCs w:val="18"/>
                <w:lang w:val="tr-TR" w:bidi="en-US"/>
              </w:rPr>
              <w:t xml:space="preserve">MIGA </w:t>
            </w:r>
            <w:r w:rsidRPr="001A4B94">
              <w:rPr>
                <w:rFonts w:eastAsiaTheme="minorHAnsi"/>
                <w:sz w:val="18"/>
                <w:szCs w:val="18"/>
                <w:lang w:val="tr-TR" w:bidi="en-US"/>
              </w:rPr>
              <w:t xml:space="preserve">garantisi </w:t>
            </w:r>
            <w:r w:rsidR="00937E88" w:rsidRPr="001A4B94">
              <w:rPr>
                <w:rFonts w:eastAsiaTheme="minorHAnsi"/>
                <w:sz w:val="18"/>
                <w:szCs w:val="18"/>
                <w:lang w:val="tr-TR" w:bidi="en-US"/>
              </w:rPr>
              <w:t>(</w:t>
            </w:r>
            <w:r w:rsidRPr="001A4B94">
              <w:rPr>
                <w:rFonts w:eastAsiaTheme="minorHAnsi"/>
                <w:sz w:val="18"/>
                <w:szCs w:val="18"/>
                <w:lang w:val="tr-TR" w:bidi="en-US"/>
              </w:rPr>
              <w:t>2015 MY</w:t>
            </w:r>
            <w:r w:rsidR="00937E88" w:rsidRPr="001A4B94">
              <w:rPr>
                <w:rFonts w:eastAsiaTheme="minorHAnsi"/>
                <w:sz w:val="18"/>
                <w:szCs w:val="18"/>
                <w:lang w:val="tr-TR" w:bidi="en-US"/>
              </w:rPr>
              <w:t>).</w:t>
            </w:r>
          </w:p>
          <w:p w14:paraId="54857407" w14:textId="79111B56" w:rsidR="00937E88" w:rsidRPr="001A4B94" w:rsidRDefault="00335D57"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Yozgat Sağlık KÖİ Projesi için yapılan sermaye yatırımına yönelik MIGA garantisi (2015 MY).</w:t>
            </w:r>
          </w:p>
          <w:p w14:paraId="1EC12462" w14:textId="023B4390" w:rsidR="00937E88" w:rsidRPr="001A4B94" w:rsidRDefault="00335D57" w:rsidP="00937E88">
            <w:pPr>
              <w:rPr>
                <w:rFonts w:eastAsiaTheme="minorEastAsia"/>
                <w:b/>
                <w:sz w:val="18"/>
                <w:szCs w:val="18"/>
                <w:lang w:val="tr-TR" w:eastAsia="ja-JP"/>
              </w:rPr>
            </w:pPr>
            <w:r w:rsidRPr="001A4B94">
              <w:rPr>
                <w:rFonts w:eastAsiaTheme="minorEastAsia"/>
                <w:b/>
                <w:sz w:val="18"/>
                <w:szCs w:val="18"/>
                <w:lang w:val="tr-TR" w:eastAsia="ja-JP"/>
              </w:rPr>
              <w:t>Sağlık Sektörü Bilgi Faaliyetleri</w:t>
            </w:r>
            <w:r w:rsidR="00937E88" w:rsidRPr="001A4B94">
              <w:rPr>
                <w:rFonts w:eastAsiaTheme="minorEastAsia"/>
                <w:b/>
                <w:sz w:val="18"/>
                <w:szCs w:val="18"/>
                <w:lang w:val="tr-TR" w:eastAsia="ja-JP"/>
              </w:rPr>
              <w:t>:</w:t>
            </w:r>
          </w:p>
          <w:p w14:paraId="729D9665" w14:textId="26B4A5A5" w:rsidR="00937E88" w:rsidRPr="001A4B94" w:rsidRDefault="00BA3B49"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Etki </w:t>
            </w:r>
            <w:r w:rsidR="0033142C" w:rsidRPr="001A4B94">
              <w:rPr>
                <w:rFonts w:eastAsiaTheme="minorHAnsi"/>
                <w:sz w:val="18"/>
                <w:szCs w:val="18"/>
                <w:lang w:val="tr-TR" w:bidi="en-US"/>
              </w:rPr>
              <w:t>Değerlendirmesi</w:t>
            </w:r>
            <w:r w:rsidRPr="001A4B94">
              <w:rPr>
                <w:rFonts w:eastAsiaTheme="minorHAnsi"/>
                <w:sz w:val="18"/>
                <w:szCs w:val="18"/>
                <w:lang w:val="tr-TR" w:bidi="en-US"/>
              </w:rPr>
              <w:t xml:space="preserve"> </w:t>
            </w:r>
            <w:r w:rsidR="00937E88" w:rsidRPr="001A4B94">
              <w:rPr>
                <w:rFonts w:eastAsiaTheme="minorHAnsi"/>
                <w:sz w:val="18"/>
                <w:szCs w:val="18"/>
                <w:lang w:val="tr-TR" w:bidi="en-US"/>
              </w:rPr>
              <w:t xml:space="preserve">HRBF </w:t>
            </w:r>
            <w:r w:rsidRPr="001A4B94">
              <w:rPr>
                <w:rFonts w:eastAsiaTheme="minorHAnsi"/>
                <w:sz w:val="18"/>
                <w:szCs w:val="18"/>
                <w:lang w:val="tr-TR" w:bidi="en-US"/>
              </w:rPr>
              <w:t xml:space="preserve">Hibesi </w:t>
            </w:r>
            <w:r w:rsidR="00937E88" w:rsidRPr="001A4B94">
              <w:rPr>
                <w:rFonts w:eastAsiaTheme="minorHAnsi"/>
                <w:sz w:val="18"/>
                <w:szCs w:val="18"/>
                <w:lang w:val="tr-TR" w:bidi="en-US"/>
              </w:rPr>
              <w:t>(</w:t>
            </w:r>
            <w:r w:rsidRPr="001A4B94">
              <w:rPr>
                <w:rFonts w:eastAsiaTheme="minorHAnsi"/>
                <w:sz w:val="18"/>
                <w:szCs w:val="18"/>
                <w:lang w:val="tr-TR" w:bidi="en-US"/>
              </w:rPr>
              <w:t>programlanan 2015 MY / 2016 MY</w:t>
            </w:r>
            <w:r w:rsidR="00937E88" w:rsidRPr="001A4B94">
              <w:rPr>
                <w:rFonts w:eastAsiaTheme="minorHAnsi"/>
                <w:sz w:val="18"/>
                <w:szCs w:val="18"/>
                <w:lang w:val="tr-TR" w:bidi="en-US"/>
              </w:rPr>
              <w:t>) P130373</w:t>
            </w:r>
          </w:p>
          <w:p w14:paraId="229F95E2" w14:textId="18C4CDD0" w:rsidR="00937E88" w:rsidRPr="001A4B94" w:rsidRDefault="00937E8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T</w:t>
            </w:r>
            <w:r w:rsidR="00BA3B49" w:rsidRPr="001A4B94">
              <w:rPr>
                <w:rFonts w:eastAsiaTheme="minorHAnsi"/>
                <w:sz w:val="18"/>
                <w:szCs w:val="18"/>
                <w:lang w:val="tr-TR" w:bidi="en-US"/>
              </w:rPr>
              <w:t>Y</w:t>
            </w:r>
            <w:r w:rsidR="00B869E2" w:rsidRPr="001A4B94">
              <w:rPr>
                <w:rFonts w:eastAsiaTheme="minorHAnsi"/>
                <w:sz w:val="18"/>
                <w:szCs w:val="18"/>
                <w:lang w:val="tr-TR" w:bidi="en-US"/>
              </w:rPr>
              <w:t>:</w:t>
            </w:r>
            <w:r w:rsidRPr="001A4B94">
              <w:rPr>
                <w:rFonts w:eastAsiaTheme="minorHAnsi"/>
                <w:sz w:val="18"/>
                <w:szCs w:val="18"/>
                <w:lang w:val="tr-TR" w:bidi="en-US"/>
              </w:rPr>
              <w:t xml:space="preserve"> </w:t>
            </w:r>
            <w:r w:rsidR="00B869E2" w:rsidRPr="001A4B94">
              <w:rPr>
                <w:rFonts w:eastAsiaTheme="minorHAnsi"/>
                <w:sz w:val="18"/>
                <w:szCs w:val="18"/>
                <w:lang w:val="tr-TR" w:bidi="en-US"/>
              </w:rPr>
              <w:t xml:space="preserve">İlaç </w:t>
            </w:r>
            <w:r w:rsidRPr="001A4B94">
              <w:rPr>
                <w:rFonts w:eastAsiaTheme="minorHAnsi"/>
                <w:sz w:val="18"/>
                <w:szCs w:val="18"/>
                <w:lang w:val="tr-TR" w:bidi="en-US"/>
              </w:rPr>
              <w:t>(</w:t>
            </w:r>
            <w:r w:rsidR="00B869E2" w:rsidRPr="001A4B94">
              <w:rPr>
                <w:rFonts w:eastAsiaTheme="minorHAnsi"/>
                <w:sz w:val="18"/>
                <w:szCs w:val="18"/>
                <w:lang w:val="tr-TR" w:bidi="en-US"/>
              </w:rPr>
              <w:t>2014 MY</w:t>
            </w:r>
            <w:r w:rsidRPr="001A4B94">
              <w:rPr>
                <w:rFonts w:eastAsiaTheme="minorHAnsi"/>
                <w:sz w:val="18"/>
                <w:szCs w:val="18"/>
                <w:lang w:val="tr-TR" w:bidi="en-US"/>
              </w:rPr>
              <w:t>) P133309</w:t>
            </w:r>
          </w:p>
          <w:p w14:paraId="5F45B5DF" w14:textId="6BDAF92A" w:rsidR="00937E88" w:rsidRPr="001A4B94" w:rsidRDefault="00B869E2"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TY:</w:t>
            </w:r>
            <w:r w:rsidR="00937E88" w:rsidRPr="001A4B94">
              <w:rPr>
                <w:rFonts w:eastAsiaTheme="minorHAnsi"/>
                <w:sz w:val="18"/>
                <w:szCs w:val="18"/>
                <w:lang w:val="tr-TR" w:bidi="en-US"/>
              </w:rPr>
              <w:t xml:space="preserve"> </w:t>
            </w:r>
            <w:r w:rsidR="0033142C" w:rsidRPr="001A4B94">
              <w:rPr>
                <w:rFonts w:eastAsiaTheme="minorHAnsi"/>
                <w:sz w:val="18"/>
                <w:szCs w:val="18"/>
                <w:lang w:val="tr-TR" w:bidi="en-US"/>
              </w:rPr>
              <w:t>Sağlık sektörü Reformundan Çıkarılan Derslerin Paylaşılmasına Destek (sağlık reformunun politik ekonomisi, hastane yeniden yapılandırmaları ve sağlık finansmanı hakkında politika notları dahil olmak üzere</w:t>
            </w:r>
            <w:r w:rsidR="00937E88" w:rsidRPr="001A4B94">
              <w:rPr>
                <w:rFonts w:eastAsiaTheme="minorHAnsi"/>
                <w:sz w:val="18"/>
                <w:szCs w:val="18"/>
                <w:lang w:val="tr-TR" w:bidi="en-US"/>
              </w:rPr>
              <w:t>. (</w:t>
            </w:r>
            <w:r w:rsidR="0033142C" w:rsidRPr="001A4B94">
              <w:rPr>
                <w:rFonts w:eastAsiaTheme="minorHAnsi"/>
                <w:sz w:val="18"/>
                <w:szCs w:val="18"/>
                <w:lang w:val="tr-TR" w:bidi="en-US"/>
              </w:rPr>
              <w:t>2014 MY</w:t>
            </w:r>
            <w:r w:rsidR="00937E88" w:rsidRPr="001A4B94">
              <w:rPr>
                <w:rFonts w:eastAsiaTheme="minorHAnsi"/>
                <w:sz w:val="18"/>
                <w:szCs w:val="18"/>
                <w:lang w:val="tr-TR" w:bidi="en-US"/>
              </w:rPr>
              <w:t xml:space="preserve">) P144940 </w:t>
            </w:r>
          </w:p>
          <w:p w14:paraId="105F23C0" w14:textId="0E099F35" w:rsidR="00937E88" w:rsidRPr="001A4B94" w:rsidRDefault="00937E8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ESW</w:t>
            </w:r>
            <w:r w:rsidR="0033142C" w:rsidRPr="001A4B94">
              <w:rPr>
                <w:rFonts w:eastAsiaTheme="minorHAnsi"/>
                <w:sz w:val="18"/>
                <w:szCs w:val="18"/>
                <w:lang w:val="tr-TR" w:bidi="en-US"/>
              </w:rPr>
              <w:t xml:space="preserve">: Aile Hekimliğinde Performansa Dayalı Sözleşme </w:t>
            </w:r>
            <w:r w:rsidRPr="001A4B94">
              <w:rPr>
                <w:rFonts w:eastAsiaTheme="minorHAnsi"/>
                <w:sz w:val="18"/>
                <w:szCs w:val="18"/>
                <w:lang w:val="tr-TR" w:bidi="en-US"/>
              </w:rPr>
              <w:t>(</w:t>
            </w:r>
            <w:r w:rsidR="00963FE3" w:rsidRPr="001A4B94">
              <w:rPr>
                <w:rFonts w:eastAsiaTheme="minorHAnsi"/>
                <w:sz w:val="18"/>
                <w:szCs w:val="18"/>
                <w:lang w:val="tr-TR" w:bidi="en-US"/>
              </w:rPr>
              <w:t>2013 MY</w:t>
            </w:r>
            <w:r w:rsidRPr="001A4B94">
              <w:rPr>
                <w:rFonts w:eastAsiaTheme="minorHAnsi"/>
                <w:sz w:val="18"/>
                <w:szCs w:val="18"/>
                <w:lang w:val="tr-TR" w:bidi="en-US"/>
              </w:rPr>
              <w:t>) P129248</w:t>
            </w:r>
          </w:p>
          <w:p w14:paraId="2CEB3A45" w14:textId="35B948EE" w:rsidR="00937E88" w:rsidRPr="001A4B94" w:rsidRDefault="00963FE3"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IFC’nin </w:t>
            </w:r>
            <w:r w:rsidR="00D32458" w:rsidRPr="001A4B94">
              <w:rPr>
                <w:rFonts w:eastAsiaTheme="minorHAnsi"/>
                <w:sz w:val="18"/>
                <w:szCs w:val="18"/>
                <w:lang w:val="tr-TR" w:bidi="en-US"/>
              </w:rPr>
              <w:t>kaliteli özel sağlık hizmetl</w:t>
            </w:r>
            <w:r w:rsidR="00BC09E8" w:rsidRPr="001A4B94">
              <w:rPr>
                <w:rFonts w:eastAsiaTheme="minorHAnsi"/>
                <w:sz w:val="18"/>
                <w:szCs w:val="18"/>
                <w:lang w:val="tr-TR" w:bidi="en-US"/>
              </w:rPr>
              <w:t>e</w:t>
            </w:r>
            <w:r w:rsidR="00D32458" w:rsidRPr="001A4B94">
              <w:rPr>
                <w:rFonts w:eastAsiaTheme="minorHAnsi"/>
                <w:sz w:val="18"/>
                <w:szCs w:val="18"/>
                <w:lang w:val="tr-TR" w:bidi="en-US"/>
              </w:rPr>
              <w:t xml:space="preserve">rine erişimi arttırmaya yönelik yatırımları </w:t>
            </w:r>
          </w:p>
          <w:p w14:paraId="57272169" w14:textId="08D41882" w:rsidR="00937E88" w:rsidRPr="001A4B94" w:rsidRDefault="00D32458" w:rsidP="00937E88">
            <w:pPr>
              <w:rPr>
                <w:rFonts w:eastAsiaTheme="minorEastAsia"/>
                <w:b/>
                <w:sz w:val="18"/>
                <w:szCs w:val="18"/>
                <w:lang w:val="tr-TR" w:eastAsia="ja-JP"/>
              </w:rPr>
            </w:pPr>
            <w:r w:rsidRPr="001A4B94">
              <w:rPr>
                <w:rFonts w:eastAsiaTheme="minorEastAsia"/>
                <w:b/>
                <w:sz w:val="18"/>
                <w:szCs w:val="18"/>
                <w:lang w:val="tr-TR" w:eastAsia="ja-JP"/>
              </w:rPr>
              <w:t>Eğitim Sektörü Bilgi Faaliyetleri</w:t>
            </w:r>
            <w:r w:rsidR="00937E88" w:rsidRPr="001A4B94">
              <w:rPr>
                <w:rFonts w:eastAsiaTheme="minorEastAsia"/>
                <w:b/>
                <w:sz w:val="18"/>
                <w:szCs w:val="18"/>
                <w:lang w:val="tr-TR" w:eastAsia="ja-JP"/>
              </w:rPr>
              <w:t>:</w:t>
            </w:r>
          </w:p>
          <w:p w14:paraId="1339A9C4" w14:textId="4775431F" w:rsidR="00937E88" w:rsidRPr="001A4B94" w:rsidRDefault="00D3245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Muhtemelen okul özerkliği ve finansmanı üzerine prog</w:t>
            </w:r>
            <w:r w:rsidR="00BC09E8" w:rsidRPr="001A4B94">
              <w:rPr>
                <w:rFonts w:eastAsiaTheme="minorHAnsi"/>
                <w:sz w:val="18"/>
                <w:szCs w:val="18"/>
                <w:lang w:val="tr-TR" w:bidi="en-US"/>
              </w:rPr>
              <w:t>r</w:t>
            </w:r>
            <w:r w:rsidRPr="001A4B94">
              <w:rPr>
                <w:rFonts w:eastAsiaTheme="minorHAnsi"/>
                <w:sz w:val="18"/>
                <w:szCs w:val="18"/>
                <w:lang w:val="tr-TR" w:bidi="en-US"/>
              </w:rPr>
              <w:t>am odaklı çal</w:t>
            </w:r>
            <w:r w:rsidR="00BC09E8" w:rsidRPr="001A4B94">
              <w:rPr>
                <w:rFonts w:eastAsiaTheme="minorHAnsi"/>
                <w:sz w:val="18"/>
                <w:szCs w:val="18"/>
                <w:lang w:val="tr-TR" w:bidi="en-US"/>
              </w:rPr>
              <w:t>ış</w:t>
            </w:r>
            <w:r w:rsidRPr="001A4B94">
              <w:rPr>
                <w:rFonts w:eastAsiaTheme="minorHAnsi"/>
                <w:sz w:val="18"/>
                <w:szCs w:val="18"/>
                <w:lang w:val="tr-TR" w:bidi="en-US"/>
              </w:rPr>
              <w:t>ma 2015-16 MY için planlanıyor</w:t>
            </w:r>
            <w:r w:rsidR="00937E88" w:rsidRPr="001A4B94">
              <w:rPr>
                <w:rFonts w:eastAsiaTheme="minorHAnsi"/>
                <w:sz w:val="18"/>
                <w:szCs w:val="18"/>
                <w:lang w:val="tr-TR" w:bidi="en-US"/>
              </w:rPr>
              <w:t xml:space="preserve">. </w:t>
            </w:r>
          </w:p>
          <w:p w14:paraId="263277E8" w14:textId="39CC5514" w:rsidR="00937E88" w:rsidRPr="001A4B94" w:rsidRDefault="00D3245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Eğitim Sonuçlarının iyileştirilmesi </w:t>
            </w:r>
            <w:r w:rsidR="00937E88" w:rsidRPr="001A4B94">
              <w:rPr>
                <w:rFonts w:eastAsiaTheme="minorHAnsi"/>
                <w:sz w:val="18"/>
                <w:szCs w:val="18"/>
                <w:lang w:val="tr-TR" w:bidi="en-US"/>
              </w:rPr>
              <w:t>(</w:t>
            </w:r>
            <w:r w:rsidRPr="001A4B94">
              <w:rPr>
                <w:rFonts w:eastAsiaTheme="minorHAnsi"/>
                <w:sz w:val="18"/>
                <w:szCs w:val="18"/>
                <w:lang w:val="tr-TR" w:bidi="en-US"/>
              </w:rPr>
              <w:t>2014 MY</w:t>
            </w:r>
            <w:r w:rsidR="00937E88" w:rsidRPr="001A4B94">
              <w:rPr>
                <w:rFonts w:eastAsiaTheme="minorHAnsi"/>
                <w:sz w:val="18"/>
                <w:szCs w:val="18"/>
                <w:lang w:val="tr-TR" w:bidi="en-US"/>
              </w:rPr>
              <w:t>) P132094</w:t>
            </w:r>
          </w:p>
          <w:p w14:paraId="792EBF7E" w14:textId="44B56E80" w:rsidR="00937E88" w:rsidRPr="001A4B94" w:rsidRDefault="00D3245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Türkiye’nin Okullarında Mükemmeliyetin Sağlanması </w:t>
            </w:r>
            <w:r w:rsidR="00937E88" w:rsidRPr="001A4B94">
              <w:rPr>
                <w:rFonts w:eastAsiaTheme="minorHAnsi"/>
                <w:sz w:val="18"/>
                <w:szCs w:val="18"/>
                <w:lang w:val="tr-TR" w:bidi="en-US"/>
              </w:rPr>
              <w:t>(</w:t>
            </w:r>
            <w:r w:rsidRPr="001A4B94">
              <w:rPr>
                <w:rFonts w:eastAsiaTheme="minorHAnsi"/>
                <w:sz w:val="18"/>
                <w:szCs w:val="18"/>
                <w:lang w:val="tr-TR" w:bidi="en-US"/>
              </w:rPr>
              <w:t>2013 MY</w:t>
            </w:r>
            <w:r w:rsidR="00937E88" w:rsidRPr="001A4B94">
              <w:rPr>
                <w:rFonts w:eastAsiaTheme="minorHAnsi"/>
                <w:sz w:val="18"/>
                <w:szCs w:val="18"/>
                <w:lang w:val="tr-TR" w:bidi="en-US"/>
              </w:rPr>
              <w:t>) P129423</w:t>
            </w:r>
          </w:p>
          <w:p w14:paraId="1175382B" w14:textId="6B5E5269" w:rsidR="00937E88" w:rsidRPr="001A4B94" w:rsidRDefault="00D32458" w:rsidP="00937E88">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Temel Eğitimde Kalitesi ve Eşitliğin Arttırılması </w:t>
            </w:r>
            <w:r w:rsidR="00937E88" w:rsidRPr="001A4B94">
              <w:rPr>
                <w:rFonts w:eastAsiaTheme="minorHAnsi"/>
                <w:sz w:val="18"/>
                <w:szCs w:val="18"/>
                <w:lang w:val="tr-TR" w:bidi="en-US"/>
              </w:rPr>
              <w:t>(</w:t>
            </w:r>
            <w:r w:rsidRPr="001A4B94">
              <w:rPr>
                <w:rFonts w:eastAsiaTheme="minorHAnsi"/>
                <w:sz w:val="18"/>
                <w:szCs w:val="18"/>
                <w:lang w:val="tr-TR" w:bidi="en-US"/>
              </w:rPr>
              <w:t xml:space="preserve">2012 MY) </w:t>
            </w:r>
            <w:r w:rsidR="00937E88" w:rsidRPr="001A4B94">
              <w:rPr>
                <w:rFonts w:eastAsiaTheme="minorHAnsi"/>
                <w:sz w:val="18"/>
                <w:szCs w:val="18"/>
                <w:lang w:val="tr-TR" w:bidi="en-US"/>
              </w:rPr>
              <w:t>P122445</w:t>
            </w:r>
          </w:p>
          <w:p w14:paraId="58F8729B" w14:textId="6D43DCF5" w:rsidR="00937E88" w:rsidRPr="001A4B94" w:rsidRDefault="00D32458" w:rsidP="00937E88">
            <w:pPr>
              <w:numPr>
                <w:ilvl w:val="0"/>
                <w:numId w:val="22"/>
              </w:numPr>
              <w:spacing w:after="160" w:line="259" w:lineRule="auto"/>
              <w:ind w:left="187" w:hanging="187"/>
              <w:contextualSpacing/>
              <w:rPr>
                <w:rFonts w:eastAsiaTheme="minorHAnsi"/>
                <w:b/>
                <w:sz w:val="18"/>
                <w:szCs w:val="18"/>
                <w:lang w:val="tr-TR"/>
              </w:rPr>
            </w:pPr>
            <w:r w:rsidRPr="001A4B94">
              <w:rPr>
                <w:rFonts w:eastAsiaTheme="minorHAnsi"/>
                <w:sz w:val="18"/>
                <w:szCs w:val="18"/>
                <w:lang w:val="tr-TR" w:bidi="en-US"/>
              </w:rPr>
              <w:t xml:space="preserve">Türkiye’de Okul Bazlı Yönetim </w:t>
            </w:r>
            <w:r w:rsidR="00937E88" w:rsidRPr="001A4B94">
              <w:rPr>
                <w:rFonts w:eastAsiaTheme="minorHAnsi"/>
                <w:sz w:val="18"/>
                <w:szCs w:val="18"/>
                <w:lang w:val="tr-TR" w:bidi="en-US"/>
              </w:rPr>
              <w:t>(</w:t>
            </w:r>
            <w:r w:rsidRPr="001A4B94">
              <w:rPr>
                <w:rFonts w:eastAsiaTheme="minorHAnsi"/>
                <w:sz w:val="18"/>
                <w:szCs w:val="18"/>
                <w:lang w:val="tr-TR" w:bidi="en-US"/>
              </w:rPr>
              <w:t>2015 MY</w:t>
            </w:r>
            <w:r w:rsidR="00937E88" w:rsidRPr="001A4B94">
              <w:rPr>
                <w:rFonts w:eastAsiaTheme="minorHAnsi"/>
                <w:sz w:val="18"/>
                <w:szCs w:val="18"/>
                <w:lang w:val="tr-TR" w:bidi="en-US"/>
              </w:rPr>
              <w:t>) P148207</w:t>
            </w:r>
          </w:p>
        </w:tc>
      </w:tr>
      <w:tr w:rsidR="00747261" w:rsidRPr="001A4B94" w14:paraId="7F578A3E" w14:textId="77777777" w:rsidTr="008D2CAA">
        <w:trPr>
          <w:trHeight w:val="990"/>
        </w:trPr>
        <w:tc>
          <w:tcPr>
            <w:tcW w:w="1214" w:type="pct"/>
            <w:shd w:val="clear" w:color="auto" w:fill="auto"/>
          </w:tcPr>
          <w:p w14:paraId="296F51D0" w14:textId="7918F660" w:rsidR="00747261" w:rsidRPr="001A4B94" w:rsidRDefault="00937E88" w:rsidP="00747261">
            <w:pPr>
              <w:spacing w:after="160" w:line="259" w:lineRule="auto"/>
              <w:contextualSpacing/>
              <w:rPr>
                <w:rFonts w:eastAsiaTheme="minorHAnsi"/>
                <w:b/>
                <w:sz w:val="18"/>
                <w:szCs w:val="18"/>
                <w:lang w:val="tr-TR" w:bidi="en-US"/>
              </w:rPr>
            </w:pPr>
            <w:r w:rsidRPr="001A4B94">
              <w:rPr>
                <w:rFonts w:eastAsiaTheme="minorHAnsi"/>
                <w:b/>
                <w:i/>
                <w:sz w:val="18"/>
                <w:szCs w:val="18"/>
                <w:lang w:val="tr-TR"/>
              </w:rPr>
              <w:t>Sonuç</w:t>
            </w:r>
            <w:r w:rsidR="00747261" w:rsidRPr="001A4B94">
              <w:rPr>
                <w:rFonts w:eastAsiaTheme="minorHAnsi"/>
                <w:b/>
                <w:i/>
                <w:sz w:val="18"/>
                <w:szCs w:val="18"/>
                <w:lang w:val="tr-TR"/>
              </w:rPr>
              <w:t xml:space="preserve"> 1:</w:t>
            </w:r>
            <w:r w:rsidR="00747261" w:rsidRPr="001A4B94">
              <w:rPr>
                <w:rFonts w:eastAsiaTheme="minorHAnsi"/>
                <w:sz w:val="18"/>
                <w:szCs w:val="18"/>
                <w:lang w:val="tr-TR"/>
              </w:rPr>
              <w:t xml:space="preserve"> </w:t>
            </w:r>
            <w:r w:rsidR="003250C5" w:rsidRPr="001A4B94">
              <w:rPr>
                <w:rFonts w:eastAsiaTheme="minorHAnsi"/>
                <w:sz w:val="18"/>
                <w:szCs w:val="18"/>
                <w:lang w:val="tr-TR"/>
              </w:rPr>
              <w:t>•</w:t>
            </w:r>
            <w:r w:rsidR="003250C5" w:rsidRPr="001A4B94">
              <w:rPr>
                <w:rFonts w:eastAsiaTheme="minorHAnsi"/>
                <w:sz w:val="18"/>
                <w:szCs w:val="18"/>
                <w:lang w:val="tr-TR"/>
              </w:rPr>
              <w:tab/>
              <w:t>Sağlık Bakanlığı’nın 2015 yılına kadar yeniden yapılandırılarak sadece sağlık sektöründe liderlik fonksiyonları üzerinde odaklanması</w:t>
            </w:r>
            <w:r w:rsidR="00747261" w:rsidRPr="001A4B94">
              <w:rPr>
                <w:rFonts w:eastAsiaTheme="minorHAnsi"/>
                <w:sz w:val="18"/>
                <w:szCs w:val="18"/>
                <w:lang w:val="tr-TR"/>
              </w:rPr>
              <w:t xml:space="preserve">. </w:t>
            </w:r>
          </w:p>
        </w:tc>
        <w:tc>
          <w:tcPr>
            <w:tcW w:w="1286" w:type="pct"/>
            <w:shd w:val="clear" w:color="auto" w:fill="auto"/>
          </w:tcPr>
          <w:p w14:paraId="2EA258B4" w14:textId="589B177F" w:rsidR="00747261" w:rsidRPr="001A4B94" w:rsidRDefault="003250C5" w:rsidP="00747261">
            <w:pPr>
              <w:spacing w:beforeAutospacing="1" w:afterAutospacing="1"/>
              <w:rPr>
                <w:rFonts w:eastAsiaTheme="minorHAnsi"/>
                <w:b/>
                <w:sz w:val="18"/>
                <w:szCs w:val="18"/>
                <w:lang w:val="tr-TR" w:bidi="en-US"/>
              </w:rPr>
            </w:pPr>
            <w:r w:rsidRPr="001A4B94">
              <w:rPr>
                <w:rFonts w:eastAsia="Arial Unicode MS"/>
                <w:b/>
                <w:sz w:val="18"/>
                <w:szCs w:val="18"/>
                <w:lang w:val="tr-TR" w:bidi="en-US"/>
              </w:rPr>
              <w:t>Karşılandı</w:t>
            </w:r>
            <w:r w:rsidR="00747261" w:rsidRPr="001A4B94">
              <w:rPr>
                <w:rFonts w:eastAsia="Arial Unicode MS"/>
                <w:b/>
                <w:sz w:val="18"/>
                <w:szCs w:val="18"/>
                <w:lang w:val="tr-TR" w:bidi="en-US"/>
              </w:rPr>
              <w:t xml:space="preserve">. </w:t>
            </w:r>
            <w:r w:rsidR="0043666E" w:rsidRPr="001A4B94">
              <w:rPr>
                <w:rFonts w:eastAsia="Arial Unicode MS"/>
                <w:sz w:val="18"/>
                <w:szCs w:val="18"/>
                <w:lang w:val="tr-TR" w:bidi="en-US"/>
              </w:rPr>
              <w:t>Kasım 2011’de çıkarılan</w:t>
            </w:r>
            <w:r w:rsidR="0043666E" w:rsidRPr="001A4B94">
              <w:rPr>
                <w:rFonts w:eastAsia="Arial Unicode MS"/>
                <w:b/>
                <w:sz w:val="18"/>
                <w:szCs w:val="18"/>
                <w:lang w:val="tr-TR" w:bidi="en-US"/>
              </w:rPr>
              <w:t xml:space="preserve"> </w:t>
            </w:r>
            <w:r w:rsidR="0043666E" w:rsidRPr="001A4B94">
              <w:rPr>
                <w:rFonts w:eastAsia="Arial Unicode MS"/>
                <w:sz w:val="18"/>
                <w:szCs w:val="18"/>
                <w:lang w:val="tr-TR" w:bidi="en-US"/>
              </w:rPr>
              <w:t>663 sayılı KHK ile</w:t>
            </w:r>
            <w:r w:rsidR="0043666E" w:rsidRPr="001A4B94">
              <w:rPr>
                <w:rFonts w:eastAsia="Arial Unicode MS"/>
                <w:b/>
                <w:sz w:val="18"/>
                <w:szCs w:val="18"/>
                <w:lang w:val="tr-TR" w:bidi="en-US"/>
              </w:rPr>
              <w:t xml:space="preserve"> </w:t>
            </w:r>
            <w:r w:rsidR="0043666E" w:rsidRPr="001A4B94">
              <w:rPr>
                <w:rFonts w:eastAsiaTheme="minorHAnsi"/>
                <w:sz w:val="18"/>
                <w:szCs w:val="18"/>
                <w:lang w:val="tr-TR"/>
              </w:rPr>
              <w:t xml:space="preserve">Sağlık Bakanlığı’nın yeniden teşkilatlandırılması </w:t>
            </w:r>
            <w:r w:rsidR="0043666E" w:rsidRPr="001A4B94">
              <w:rPr>
                <w:rFonts w:eastAsia="Arial Unicode MS"/>
                <w:sz w:val="18"/>
                <w:szCs w:val="18"/>
                <w:lang w:val="tr-TR" w:bidi="en-US"/>
              </w:rPr>
              <w:t>gerçekleştirilmiştir</w:t>
            </w:r>
            <w:r w:rsidR="00747261" w:rsidRPr="001A4B94">
              <w:rPr>
                <w:rFonts w:eastAsia="Arial Unicode MS"/>
                <w:sz w:val="18"/>
                <w:szCs w:val="18"/>
                <w:lang w:val="tr-TR" w:bidi="en-US"/>
              </w:rPr>
              <w:t xml:space="preserve">. </w:t>
            </w:r>
            <w:r w:rsidR="0043666E" w:rsidRPr="001A4B94">
              <w:rPr>
                <w:rFonts w:eastAsia="Arial Unicode MS"/>
                <w:sz w:val="18"/>
                <w:szCs w:val="18"/>
                <w:lang w:val="tr-TR" w:bidi="en-US"/>
              </w:rPr>
              <w:t xml:space="preserve">Kasım 2012’de ikincil mevzuat kabul edilmiştir. </w:t>
            </w:r>
          </w:p>
        </w:tc>
        <w:tc>
          <w:tcPr>
            <w:tcW w:w="2500" w:type="pct"/>
            <w:vMerge/>
            <w:shd w:val="clear" w:color="auto" w:fill="auto"/>
          </w:tcPr>
          <w:p w14:paraId="2531B773" w14:textId="77777777" w:rsidR="00747261" w:rsidRPr="001A4B94" w:rsidRDefault="00747261" w:rsidP="00747261">
            <w:pPr>
              <w:rPr>
                <w:rFonts w:eastAsiaTheme="minorEastAsia"/>
                <w:b/>
                <w:sz w:val="18"/>
                <w:szCs w:val="18"/>
                <w:lang w:val="tr-TR" w:eastAsia="ja-JP"/>
              </w:rPr>
            </w:pPr>
          </w:p>
        </w:tc>
      </w:tr>
      <w:tr w:rsidR="00747261" w:rsidRPr="001A4B94" w14:paraId="725CF86E" w14:textId="77777777" w:rsidTr="008D2CAA">
        <w:trPr>
          <w:trHeight w:val="1050"/>
        </w:trPr>
        <w:tc>
          <w:tcPr>
            <w:tcW w:w="1214" w:type="pct"/>
            <w:shd w:val="clear" w:color="auto" w:fill="auto"/>
          </w:tcPr>
          <w:p w14:paraId="5C5F7A10" w14:textId="232D0FFE" w:rsidR="00747261" w:rsidRPr="001A4B94" w:rsidRDefault="003250C5" w:rsidP="00747261">
            <w:pPr>
              <w:spacing w:after="160" w:line="259" w:lineRule="auto"/>
              <w:contextualSpacing/>
              <w:rPr>
                <w:rFonts w:eastAsiaTheme="minorHAnsi"/>
                <w:sz w:val="18"/>
                <w:szCs w:val="18"/>
                <w:lang w:val="tr-TR"/>
              </w:rPr>
            </w:pPr>
            <w:r w:rsidRPr="001A4B94">
              <w:rPr>
                <w:rFonts w:eastAsiaTheme="minorHAnsi"/>
                <w:b/>
                <w:i/>
                <w:sz w:val="18"/>
                <w:szCs w:val="18"/>
                <w:lang w:val="tr-TR"/>
              </w:rPr>
              <w:t xml:space="preserve">Sonuç </w:t>
            </w:r>
            <w:r w:rsidR="00747261" w:rsidRPr="001A4B94">
              <w:rPr>
                <w:rFonts w:eastAsiaTheme="minorHAnsi"/>
                <w:b/>
                <w:i/>
                <w:sz w:val="18"/>
                <w:szCs w:val="18"/>
                <w:lang w:val="tr-TR" w:bidi="en-US"/>
              </w:rPr>
              <w:t>2</w:t>
            </w:r>
            <w:r w:rsidR="00747261" w:rsidRPr="001A4B94">
              <w:rPr>
                <w:rFonts w:eastAsiaTheme="minorHAnsi"/>
                <w:sz w:val="18"/>
                <w:szCs w:val="18"/>
                <w:lang w:val="tr-TR"/>
              </w:rPr>
              <w:t>:</w:t>
            </w:r>
            <w:r w:rsidRPr="001A4B94">
              <w:rPr>
                <w:rFonts w:eastAsiaTheme="minorHAnsi"/>
                <w:sz w:val="18"/>
                <w:szCs w:val="18"/>
                <w:lang w:val="tr-TR"/>
              </w:rPr>
              <w:tab/>
              <w:t>Tüm kamu hastanelerinin kamu hastane birlikleri olarak teşkilatlandırılması ve global bütçeden performans sözleşmelerine göre ödeme yapılması</w:t>
            </w:r>
            <w:r w:rsidR="00747261" w:rsidRPr="001A4B94">
              <w:rPr>
                <w:rFonts w:eastAsiaTheme="minorHAnsi"/>
                <w:sz w:val="18"/>
                <w:szCs w:val="18"/>
                <w:lang w:val="tr-TR"/>
              </w:rPr>
              <w:t xml:space="preserve">. </w:t>
            </w:r>
          </w:p>
          <w:p w14:paraId="55DA964C" w14:textId="77777777" w:rsidR="00747261" w:rsidRPr="001A4B94" w:rsidRDefault="00747261" w:rsidP="00747261">
            <w:pPr>
              <w:spacing w:after="160" w:line="259" w:lineRule="auto"/>
              <w:contextualSpacing/>
              <w:rPr>
                <w:rFonts w:eastAsiaTheme="minorHAnsi"/>
                <w:b/>
                <w:i/>
                <w:sz w:val="18"/>
                <w:szCs w:val="18"/>
                <w:lang w:val="tr-TR"/>
              </w:rPr>
            </w:pPr>
          </w:p>
        </w:tc>
        <w:tc>
          <w:tcPr>
            <w:tcW w:w="1286" w:type="pct"/>
            <w:shd w:val="clear" w:color="auto" w:fill="auto"/>
          </w:tcPr>
          <w:p w14:paraId="3DC4BD52" w14:textId="1EE1FFE3" w:rsidR="00747261" w:rsidRPr="001A4B94" w:rsidRDefault="003250C5" w:rsidP="00747261">
            <w:pPr>
              <w:spacing w:beforeAutospacing="1" w:afterAutospacing="1"/>
              <w:rPr>
                <w:rFonts w:eastAsiaTheme="minorHAnsi"/>
                <w:b/>
                <w:sz w:val="18"/>
                <w:szCs w:val="18"/>
                <w:lang w:val="tr-TR" w:bidi="en-US"/>
              </w:rPr>
            </w:pPr>
            <w:r w:rsidRPr="001A4B94">
              <w:rPr>
                <w:rFonts w:eastAsia="Arial Unicode MS"/>
                <w:b/>
                <w:sz w:val="18"/>
                <w:szCs w:val="18"/>
                <w:lang w:val="tr-TR" w:bidi="en-US"/>
              </w:rPr>
              <w:t>Karşılandı</w:t>
            </w:r>
            <w:r w:rsidR="00747261" w:rsidRPr="001A4B94">
              <w:rPr>
                <w:rFonts w:eastAsia="Arial Unicode MS"/>
                <w:b/>
                <w:sz w:val="18"/>
                <w:szCs w:val="18"/>
                <w:lang w:val="tr-TR" w:bidi="en-US"/>
              </w:rPr>
              <w:t xml:space="preserve">. </w:t>
            </w:r>
            <w:r w:rsidR="0043666E" w:rsidRPr="001A4B94">
              <w:rPr>
                <w:rFonts w:eastAsia="Arial Unicode MS"/>
                <w:sz w:val="18"/>
                <w:szCs w:val="18"/>
                <w:lang w:val="tr-TR" w:bidi="en-US"/>
              </w:rPr>
              <w:t>Kasım 2011’de çıkarılan</w:t>
            </w:r>
            <w:r w:rsidR="0043666E" w:rsidRPr="001A4B94">
              <w:rPr>
                <w:rFonts w:eastAsia="Arial Unicode MS"/>
                <w:b/>
                <w:sz w:val="18"/>
                <w:szCs w:val="18"/>
                <w:lang w:val="tr-TR" w:bidi="en-US"/>
              </w:rPr>
              <w:t xml:space="preserve"> </w:t>
            </w:r>
            <w:r w:rsidR="0043666E" w:rsidRPr="001A4B94">
              <w:rPr>
                <w:rFonts w:eastAsia="Arial Unicode MS"/>
                <w:sz w:val="18"/>
                <w:szCs w:val="18"/>
                <w:lang w:val="tr-TR" w:bidi="en-US"/>
              </w:rPr>
              <w:t>663 sayılı KHK ile</w:t>
            </w:r>
            <w:r w:rsidR="0043666E" w:rsidRPr="001A4B94">
              <w:rPr>
                <w:rFonts w:eastAsia="Arial Unicode MS"/>
                <w:b/>
                <w:sz w:val="18"/>
                <w:szCs w:val="18"/>
                <w:lang w:val="tr-TR" w:bidi="en-US"/>
              </w:rPr>
              <w:t xml:space="preserve"> </w:t>
            </w:r>
            <w:r w:rsidR="0043666E" w:rsidRPr="001A4B94">
              <w:rPr>
                <w:rFonts w:eastAsiaTheme="minorHAnsi"/>
                <w:sz w:val="18"/>
                <w:szCs w:val="18"/>
                <w:lang w:val="tr-TR"/>
              </w:rPr>
              <w:t xml:space="preserve">Sağlık Bakanlığı’nın yeniden teşkilatlandırılması </w:t>
            </w:r>
            <w:r w:rsidR="0043666E" w:rsidRPr="001A4B94">
              <w:rPr>
                <w:rFonts w:eastAsia="Arial Unicode MS"/>
                <w:sz w:val="18"/>
                <w:szCs w:val="18"/>
                <w:lang w:val="tr-TR" w:bidi="en-US"/>
              </w:rPr>
              <w:t>gerçekleştirilmiştir. Kasım 2012’de ikincil mevzuat kabul edilmiştir.</w:t>
            </w:r>
          </w:p>
        </w:tc>
        <w:tc>
          <w:tcPr>
            <w:tcW w:w="2500" w:type="pct"/>
            <w:vMerge/>
            <w:shd w:val="clear" w:color="auto" w:fill="auto"/>
          </w:tcPr>
          <w:p w14:paraId="3F9FD937" w14:textId="77777777" w:rsidR="00747261" w:rsidRPr="001A4B94" w:rsidRDefault="00747261" w:rsidP="00747261">
            <w:pPr>
              <w:rPr>
                <w:rFonts w:eastAsiaTheme="minorEastAsia"/>
                <w:b/>
                <w:sz w:val="18"/>
                <w:szCs w:val="18"/>
                <w:lang w:val="tr-TR" w:eastAsia="ja-JP"/>
              </w:rPr>
            </w:pPr>
          </w:p>
        </w:tc>
      </w:tr>
      <w:tr w:rsidR="00747261" w:rsidRPr="001A4B94" w14:paraId="09090A39" w14:textId="77777777" w:rsidTr="008D2CAA">
        <w:trPr>
          <w:trHeight w:val="2168"/>
        </w:trPr>
        <w:tc>
          <w:tcPr>
            <w:tcW w:w="1214" w:type="pct"/>
            <w:shd w:val="clear" w:color="auto" w:fill="auto"/>
          </w:tcPr>
          <w:p w14:paraId="73B391EA" w14:textId="118B8140" w:rsidR="00747261" w:rsidRPr="001A4B94" w:rsidRDefault="003250C5"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rPr>
              <w:t xml:space="preserve">Sonuç </w:t>
            </w:r>
            <w:r w:rsidR="00747261" w:rsidRPr="001A4B94">
              <w:rPr>
                <w:rFonts w:eastAsiaTheme="minorHAnsi"/>
                <w:b/>
                <w:i/>
                <w:sz w:val="18"/>
                <w:szCs w:val="18"/>
                <w:lang w:val="tr-TR" w:bidi="en-US"/>
              </w:rPr>
              <w:t>3:</w:t>
            </w:r>
            <w:r w:rsidR="00747261" w:rsidRPr="001A4B94">
              <w:rPr>
                <w:rFonts w:eastAsiaTheme="minorHAnsi"/>
                <w:sz w:val="18"/>
                <w:szCs w:val="18"/>
                <w:lang w:val="tr-TR" w:bidi="en-US"/>
              </w:rPr>
              <w:t xml:space="preserve"> </w:t>
            </w:r>
            <w:r w:rsidRPr="001A4B94">
              <w:rPr>
                <w:rFonts w:eastAsiaTheme="minorHAnsi"/>
                <w:sz w:val="18"/>
                <w:szCs w:val="18"/>
                <w:lang w:val="tr-TR" w:bidi="en-US"/>
              </w:rPr>
              <w:t>20-69 yaş grubundaki kadınlar arasında rahim ağzı kanseri taramalarının arttırılması</w:t>
            </w:r>
            <w:r w:rsidR="00747261" w:rsidRPr="001A4B94">
              <w:rPr>
                <w:rFonts w:eastAsia="Calibri"/>
                <w:sz w:val="18"/>
                <w:szCs w:val="18"/>
                <w:lang w:val="tr-TR"/>
              </w:rPr>
              <w:t xml:space="preserve">. </w:t>
            </w:r>
          </w:p>
          <w:p w14:paraId="4AF1A4E2" w14:textId="77777777" w:rsidR="00747261" w:rsidRPr="001A4B94" w:rsidRDefault="00747261" w:rsidP="00747261">
            <w:pPr>
              <w:spacing w:after="160" w:line="259" w:lineRule="auto"/>
              <w:ind w:left="187"/>
              <w:contextualSpacing/>
              <w:rPr>
                <w:rFonts w:eastAsia="Calibri"/>
                <w:sz w:val="18"/>
                <w:szCs w:val="18"/>
                <w:lang w:val="tr-TR"/>
              </w:rPr>
            </w:pPr>
          </w:p>
          <w:p w14:paraId="334F5B14" w14:textId="4974D58A" w:rsidR="00747261" w:rsidRPr="001A4B94" w:rsidRDefault="003250C5" w:rsidP="00747261">
            <w:pPr>
              <w:spacing w:after="160" w:line="259" w:lineRule="auto"/>
              <w:contextualSpacing/>
              <w:rPr>
                <w:rFonts w:eastAsia="Calibri"/>
                <w:sz w:val="18"/>
                <w:szCs w:val="18"/>
                <w:lang w:val="tr-TR"/>
              </w:rPr>
            </w:pPr>
            <w:r w:rsidRPr="001A4B94">
              <w:rPr>
                <w:rFonts w:eastAsia="Calibri"/>
                <w:b/>
                <w:sz w:val="18"/>
                <w:szCs w:val="18"/>
                <w:lang w:val="tr-TR"/>
              </w:rPr>
              <w:t>Başlangıç Durumu</w:t>
            </w:r>
            <w:r w:rsidR="00747261" w:rsidRPr="001A4B94">
              <w:rPr>
                <w:rFonts w:eastAsia="Calibri"/>
                <w:b/>
                <w:sz w:val="18"/>
                <w:szCs w:val="18"/>
                <w:lang w:val="tr-TR"/>
              </w:rPr>
              <w:t>:</w:t>
            </w:r>
            <w:r w:rsidR="00747261" w:rsidRPr="001A4B94">
              <w:rPr>
                <w:rFonts w:eastAsia="Calibri"/>
                <w:sz w:val="18"/>
                <w:szCs w:val="18"/>
                <w:lang w:val="tr-TR"/>
              </w:rPr>
              <w:t xml:space="preserve"> </w:t>
            </w:r>
            <w:r w:rsidRPr="001A4B94">
              <w:rPr>
                <w:rFonts w:eastAsia="Calibri"/>
                <w:sz w:val="18"/>
                <w:szCs w:val="18"/>
                <w:lang w:val="tr-TR"/>
              </w:rPr>
              <w:t xml:space="preserve">2012 </w:t>
            </w:r>
            <w:r w:rsidR="008D2CAA" w:rsidRPr="001A4B94">
              <w:rPr>
                <w:rFonts w:eastAsia="Calibri"/>
                <w:sz w:val="18"/>
                <w:szCs w:val="18"/>
                <w:lang w:val="tr-TR"/>
              </w:rPr>
              <w:t>itibariyle</w:t>
            </w:r>
            <w:r w:rsidRPr="001A4B94">
              <w:rPr>
                <w:rFonts w:eastAsia="Calibri"/>
                <w:sz w:val="18"/>
                <w:szCs w:val="18"/>
                <w:lang w:val="tr-TR"/>
              </w:rPr>
              <w:t xml:space="preserve"> yüzde </w:t>
            </w:r>
            <w:r w:rsidR="00747261" w:rsidRPr="001A4B94">
              <w:rPr>
                <w:rFonts w:eastAsia="Calibri"/>
                <w:sz w:val="18"/>
                <w:szCs w:val="18"/>
                <w:lang w:val="tr-TR"/>
              </w:rPr>
              <w:t xml:space="preserve">19. </w:t>
            </w:r>
          </w:p>
          <w:p w14:paraId="0665D41A" w14:textId="57E94014" w:rsidR="00747261" w:rsidRPr="001A4B94" w:rsidRDefault="003250C5" w:rsidP="00747261">
            <w:pPr>
              <w:spacing w:after="160" w:line="259" w:lineRule="auto"/>
              <w:contextualSpacing/>
              <w:rPr>
                <w:rFonts w:eastAsiaTheme="minorHAnsi"/>
                <w:b/>
                <w:i/>
                <w:sz w:val="18"/>
                <w:szCs w:val="18"/>
                <w:lang w:val="tr-TR" w:bidi="en-US"/>
              </w:rPr>
            </w:pPr>
            <w:r w:rsidRPr="001A4B94">
              <w:rPr>
                <w:rFonts w:eastAsia="Calibri"/>
                <w:b/>
                <w:sz w:val="18"/>
                <w:szCs w:val="18"/>
                <w:lang w:val="tr-TR"/>
              </w:rPr>
              <w:t>Hedef</w:t>
            </w:r>
            <w:r w:rsidR="00747261" w:rsidRPr="001A4B94">
              <w:rPr>
                <w:rFonts w:eastAsia="Calibri"/>
                <w:b/>
                <w:sz w:val="18"/>
                <w:szCs w:val="18"/>
                <w:lang w:val="tr-TR"/>
              </w:rPr>
              <w:t>:</w:t>
            </w:r>
            <w:r w:rsidR="00747261" w:rsidRPr="001A4B94">
              <w:rPr>
                <w:rFonts w:eastAsia="Calibri"/>
                <w:sz w:val="18"/>
                <w:szCs w:val="18"/>
                <w:lang w:val="tr-TR"/>
              </w:rPr>
              <w:t xml:space="preserve"> </w:t>
            </w:r>
            <w:r w:rsidRPr="001A4B94">
              <w:rPr>
                <w:rFonts w:eastAsia="Calibri"/>
                <w:sz w:val="18"/>
                <w:szCs w:val="18"/>
                <w:lang w:val="tr-TR"/>
              </w:rPr>
              <w:t xml:space="preserve">2016’ya kadar yüzde 30 artış </w:t>
            </w:r>
          </w:p>
        </w:tc>
        <w:tc>
          <w:tcPr>
            <w:tcW w:w="1286" w:type="pct"/>
            <w:shd w:val="clear" w:color="auto" w:fill="auto"/>
          </w:tcPr>
          <w:p w14:paraId="0B86A804" w14:textId="4EEBEFF3" w:rsidR="00747261" w:rsidRPr="001A4B94" w:rsidRDefault="0043666E" w:rsidP="00747261">
            <w:pPr>
              <w:spacing w:beforeAutospacing="1" w:afterAutospacing="1"/>
              <w:rPr>
                <w:rFonts w:eastAsiaTheme="minorHAnsi"/>
                <w:b/>
                <w:sz w:val="18"/>
                <w:szCs w:val="18"/>
                <w:lang w:val="tr-TR" w:bidi="en-US"/>
              </w:rPr>
            </w:pPr>
            <w:r w:rsidRPr="001A4B94">
              <w:rPr>
                <w:rFonts w:eastAsia="Arial Unicode MS"/>
                <w:b/>
                <w:sz w:val="18"/>
                <w:szCs w:val="18"/>
                <w:lang w:val="tr-TR" w:bidi="en-US"/>
              </w:rPr>
              <w:t>Karşılandı</w:t>
            </w:r>
            <w:r w:rsidR="00747261" w:rsidRPr="001A4B94">
              <w:rPr>
                <w:rFonts w:eastAsiaTheme="minorHAnsi"/>
                <w:b/>
                <w:sz w:val="18"/>
                <w:szCs w:val="18"/>
                <w:lang w:val="tr-TR" w:bidi="en-US"/>
              </w:rPr>
              <w:t xml:space="preserve">. </w:t>
            </w:r>
            <w:r w:rsidRPr="001A4B94">
              <w:rPr>
                <w:rFonts w:eastAsiaTheme="minorHAnsi"/>
                <w:sz w:val="18"/>
                <w:szCs w:val="18"/>
                <w:lang w:val="tr-TR" w:bidi="en-US"/>
              </w:rPr>
              <w:t xml:space="preserve">Haziran </w:t>
            </w:r>
            <w:r w:rsidR="00747261" w:rsidRPr="001A4B94">
              <w:rPr>
                <w:rFonts w:eastAsiaTheme="minorHAnsi"/>
                <w:sz w:val="18"/>
                <w:szCs w:val="18"/>
                <w:lang w:val="tr-TR" w:bidi="en-US"/>
              </w:rPr>
              <w:t>2016</w:t>
            </w:r>
            <w:r w:rsidRPr="001A4B94">
              <w:rPr>
                <w:rFonts w:eastAsiaTheme="minorHAnsi"/>
                <w:sz w:val="18"/>
                <w:szCs w:val="18"/>
                <w:lang w:val="tr-TR" w:bidi="en-US"/>
              </w:rPr>
              <w:t xml:space="preserve"> </w:t>
            </w:r>
            <w:r w:rsidR="008D2CAA" w:rsidRPr="001A4B94">
              <w:rPr>
                <w:rFonts w:eastAsiaTheme="minorHAnsi"/>
                <w:sz w:val="18"/>
                <w:szCs w:val="18"/>
                <w:lang w:val="tr-TR" w:bidi="en-US"/>
              </w:rPr>
              <w:t>itibariyle</w:t>
            </w:r>
            <w:r w:rsidR="00747261" w:rsidRPr="001A4B94">
              <w:rPr>
                <w:rFonts w:eastAsiaTheme="minorHAnsi"/>
                <w:sz w:val="18"/>
                <w:szCs w:val="18"/>
                <w:lang w:val="tr-TR" w:bidi="en-US"/>
              </w:rPr>
              <w:t>,</w:t>
            </w:r>
            <w:r w:rsidR="00747261" w:rsidRPr="001A4B94">
              <w:rPr>
                <w:rFonts w:eastAsiaTheme="minorHAnsi"/>
                <w:b/>
                <w:sz w:val="18"/>
                <w:szCs w:val="18"/>
                <w:lang w:val="tr-TR" w:bidi="en-US"/>
              </w:rPr>
              <w:t xml:space="preserve"> </w:t>
            </w:r>
            <w:r w:rsidR="008D2CAA" w:rsidRPr="001A4B94">
              <w:rPr>
                <w:rFonts w:eastAsiaTheme="minorHAnsi"/>
                <w:sz w:val="18"/>
                <w:szCs w:val="18"/>
                <w:lang w:val="tr-TR" w:bidi="en-US"/>
              </w:rPr>
              <w:t>20-69 yaş kadınlar arasında rahim ağzı kanseri taramaları</w:t>
            </w:r>
            <w:r w:rsidR="008D2CAA" w:rsidRPr="001A4B94">
              <w:rPr>
                <w:rFonts w:eastAsiaTheme="minorHAnsi"/>
                <w:b/>
                <w:sz w:val="18"/>
                <w:szCs w:val="18"/>
                <w:lang w:val="tr-TR" w:bidi="en-US"/>
              </w:rPr>
              <w:t xml:space="preserve"> </w:t>
            </w:r>
            <w:r w:rsidR="008D2CAA" w:rsidRPr="001A4B94">
              <w:rPr>
                <w:rFonts w:eastAsiaTheme="minorHAnsi"/>
                <w:sz w:val="18"/>
                <w:szCs w:val="18"/>
                <w:lang w:val="tr-TR" w:bidi="en-US"/>
              </w:rPr>
              <w:t>2012 yılına göre yüzde 83,6 artmıştır</w:t>
            </w:r>
            <w:r w:rsidR="00747261" w:rsidRPr="001A4B94">
              <w:rPr>
                <w:rFonts w:eastAsiaTheme="minorHAnsi"/>
                <w:sz w:val="18"/>
                <w:szCs w:val="18"/>
                <w:lang w:val="tr-TR" w:bidi="en-US"/>
              </w:rPr>
              <w:t>.</w:t>
            </w:r>
          </w:p>
          <w:p w14:paraId="47E84844" w14:textId="2423DF04" w:rsidR="00747261" w:rsidRPr="001A4B94" w:rsidRDefault="0043666E" w:rsidP="00747261">
            <w:pPr>
              <w:spacing w:after="160" w:line="259" w:lineRule="auto"/>
              <w:contextualSpacing/>
              <w:rPr>
                <w:rFonts w:eastAsiaTheme="minorHAnsi"/>
                <w:sz w:val="22"/>
                <w:szCs w:val="22"/>
                <w:lang w:val="tr-TR" w:bidi="en-US"/>
              </w:rPr>
            </w:pPr>
            <w:r w:rsidRPr="001A4B94">
              <w:rPr>
                <w:rFonts w:eastAsia="Calibri"/>
                <w:b/>
                <w:sz w:val="18"/>
                <w:szCs w:val="18"/>
                <w:lang w:val="tr-TR"/>
              </w:rPr>
              <w:t>Gerçekleşme</w:t>
            </w:r>
            <w:r w:rsidR="00747261" w:rsidRPr="001A4B94">
              <w:rPr>
                <w:rFonts w:eastAsia="Calibri"/>
                <w:b/>
                <w:sz w:val="18"/>
                <w:szCs w:val="18"/>
                <w:lang w:val="tr-TR"/>
              </w:rPr>
              <w:t xml:space="preserve">: </w:t>
            </w:r>
            <w:r w:rsidR="008D2CAA" w:rsidRPr="001A4B94">
              <w:rPr>
                <w:rFonts w:eastAsia="Calibri"/>
                <w:b/>
                <w:sz w:val="18"/>
                <w:szCs w:val="18"/>
                <w:lang w:val="tr-TR"/>
              </w:rPr>
              <w:t>%</w:t>
            </w:r>
            <w:r w:rsidR="00747261" w:rsidRPr="001A4B94">
              <w:rPr>
                <w:rFonts w:eastAsia="Calibri"/>
                <w:sz w:val="18"/>
                <w:szCs w:val="18"/>
                <w:lang w:val="tr-TR"/>
              </w:rPr>
              <w:t>82</w:t>
            </w:r>
          </w:p>
        </w:tc>
        <w:tc>
          <w:tcPr>
            <w:tcW w:w="2500" w:type="pct"/>
            <w:vMerge/>
            <w:shd w:val="clear" w:color="auto" w:fill="auto"/>
          </w:tcPr>
          <w:p w14:paraId="352935FD" w14:textId="77777777" w:rsidR="00747261" w:rsidRPr="001A4B94" w:rsidRDefault="00747261" w:rsidP="00747261">
            <w:pPr>
              <w:rPr>
                <w:rFonts w:eastAsiaTheme="minorEastAsia"/>
                <w:b/>
                <w:sz w:val="18"/>
                <w:szCs w:val="18"/>
                <w:lang w:val="tr-TR" w:eastAsia="ja-JP"/>
              </w:rPr>
            </w:pPr>
          </w:p>
        </w:tc>
      </w:tr>
      <w:tr w:rsidR="00747261" w:rsidRPr="001A4B94" w14:paraId="53BF39A4" w14:textId="77777777" w:rsidTr="00747261">
        <w:tc>
          <w:tcPr>
            <w:tcW w:w="5000" w:type="pct"/>
            <w:gridSpan w:val="3"/>
            <w:tcBorders>
              <w:bottom w:val="single" w:sz="4" w:space="0" w:color="auto"/>
            </w:tcBorders>
            <w:shd w:val="clear" w:color="auto" w:fill="D9D9D9" w:themeFill="background1" w:themeFillShade="D9"/>
          </w:tcPr>
          <w:p w14:paraId="3AD9E1FB" w14:textId="1E26BD7C" w:rsidR="00747261" w:rsidRPr="001A4B94" w:rsidRDefault="00EA73BF" w:rsidP="00747261">
            <w:pPr>
              <w:rPr>
                <w:rFonts w:eastAsiaTheme="minorEastAsia"/>
                <w:sz w:val="18"/>
                <w:szCs w:val="18"/>
                <w:lang w:val="tr-TR" w:eastAsia="ja-JP"/>
              </w:rPr>
            </w:pPr>
            <w:r w:rsidRPr="001A4B94">
              <w:rPr>
                <w:rFonts w:eastAsiaTheme="minorEastAsia"/>
                <w:b/>
                <w:sz w:val="18"/>
                <w:szCs w:val="18"/>
                <w:lang w:val="tr-TR" w:eastAsia="ja-JP"/>
              </w:rPr>
              <w:t xml:space="preserve">Tematik Alan </w:t>
            </w:r>
            <w:r w:rsidR="00747261" w:rsidRPr="001A4B94">
              <w:rPr>
                <w:rFonts w:eastAsiaTheme="minorEastAsia"/>
                <w:b/>
                <w:sz w:val="18"/>
                <w:szCs w:val="18"/>
                <w:lang w:val="tr-TR" w:eastAsia="ja-JP"/>
              </w:rPr>
              <w:t xml:space="preserve">5: </w:t>
            </w:r>
            <w:r w:rsidRPr="001A4B94">
              <w:rPr>
                <w:rFonts w:eastAsiaTheme="minorEastAsia"/>
                <w:b/>
                <w:sz w:val="18"/>
                <w:szCs w:val="18"/>
                <w:lang w:val="tr-TR" w:eastAsia="ja-JP"/>
              </w:rPr>
              <w:t>Toplumsal cinsiyet eşitliği ve kapsayıcı işgücü piyasaları doğrultusunda ilerleme kaydedilmesi –</w:t>
            </w:r>
            <w:r w:rsidR="00747261" w:rsidRPr="001A4B94">
              <w:rPr>
                <w:rFonts w:eastAsiaTheme="minorEastAsia"/>
                <w:b/>
                <w:sz w:val="18"/>
                <w:szCs w:val="18"/>
                <w:lang w:val="tr-TR" w:eastAsia="ja-JP"/>
              </w:rPr>
              <w:t xml:space="preserve"> </w:t>
            </w:r>
            <w:r w:rsidRPr="001A4B94">
              <w:rPr>
                <w:rFonts w:eastAsiaTheme="minorEastAsia"/>
                <w:b/>
                <w:color w:val="FF0000"/>
                <w:sz w:val="18"/>
                <w:szCs w:val="18"/>
                <w:lang w:val="tr-TR" w:eastAsia="ja-JP"/>
              </w:rPr>
              <w:t xml:space="preserve">Kısmen Başarıldı </w:t>
            </w:r>
          </w:p>
        </w:tc>
      </w:tr>
      <w:tr w:rsidR="00EA73BF" w:rsidRPr="001A4B94" w14:paraId="60291801" w14:textId="77777777" w:rsidTr="00747261">
        <w:trPr>
          <w:trHeight w:val="218"/>
        </w:trPr>
        <w:tc>
          <w:tcPr>
            <w:tcW w:w="1214" w:type="pct"/>
            <w:shd w:val="clear" w:color="auto" w:fill="auto"/>
          </w:tcPr>
          <w:p w14:paraId="6A133226" w14:textId="06FDA19B" w:rsidR="00EA73BF" w:rsidRPr="001A4B94" w:rsidRDefault="00EA73BF" w:rsidP="00EA73BF">
            <w:pPr>
              <w:spacing w:after="160" w:line="259" w:lineRule="auto"/>
              <w:rPr>
                <w:rFonts w:eastAsiaTheme="minorHAnsi"/>
                <w:b/>
                <w:sz w:val="18"/>
                <w:szCs w:val="18"/>
                <w:lang w:val="tr-TR"/>
              </w:rPr>
            </w:pPr>
            <w:r w:rsidRPr="001A4B94">
              <w:rPr>
                <w:rFonts w:eastAsiaTheme="minorHAnsi"/>
                <w:b/>
                <w:sz w:val="18"/>
                <w:szCs w:val="18"/>
                <w:lang w:val="tr-TR" w:bidi="en-US"/>
              </w:rPr>
              <w:t xml:space="preserve">DBG Sonuç Göstergeleri </w:t>
            </w:r>
          </w:p>
        </w:tc>
        <w:tc>
          <w:tcPr>
            <w:tcW w:w="1286" w:type="pct"/>
            <w:shd w:val="clear" w:color="auto" w:fill="auto"/>
          </w:tcPr>
          <w:p w14:paraId="7D77D962" w14:textId="28553378" w:rsidR="00EA73BF" w:rsidRPr="001A4B94" w:rsidRDefault="00EA73BF" w:rsidP="00EA73BF">
            <w:pPr>
              <w:rPr>
                <w:rFonts w:eastAsia="Arial Unicode MS"/>
                <w:b/>
                <w:sz w:val="18"/>
                <w:szCs w:val="18"/>
                <w:lang w:val="tr-TR"/>
              </w:rPr>
            </w:pPr>
            <w:r w:rsidRPr="001A4B94">
              <w:rPr>
                <w:rFonts w:eastAsiaTheme="minorHAnsi"/>
                <w:b/>
                <w:sz w:val="18"/>
                <w:szCs w:val="18"/>
                <w:lang w:val="tr-TR" w:bidi="en-US"/>
              </w:rPr>
              <w:t>Bugüne Kadar Kaydedilen İlerleme:</w:t>
            </w:r>
          </w:p>
        </w:tc>
        <w:tc>
          <w:tcPr>
            <w:tcW w:w="2500" w:type="pct"/>
            <w:vMerge w:val="restart"/>
            <w:shd w:val="clear" w:color="auto" w:fill="auto"/>
          </w:tcPr>
          <w:p w14:paraId="79DB6EEC" w14:textId="15413DC5" w:rsidR="00EA73BF" w:rsidRPr="001A4B94" w:rsidRDefault="00EA73BF" w:rsidP="00EA73BF">
            <w:pPr>
              <w:rPr>
                <w:rFonts w:eastAsiaTheme="minorEastAsia"/>
                <w:b/>
                <w:sz w:val="18"/>
                <w:szCs w:val="18"/>
                <w:lang w:val="tr-TR" w:eastAsia="ja-JP"/>
              </w:rPr>
            </w:pPr>
            <w:r w:rsidRPr="001A4B94">
              <w:rPr>
                <w:rFonts w:eastAsiaTheme="minorEastAsia"/>
                <w:b/>
                <w:sz w:val="18"/>
                <w:szCs w:val="18"/>
                <w:lang w:val="tr-TR" w:eastAsia="ja-JP"/>
              </w:rPr>
              <w:t>Finan</w:t>
            </w:r>
            <w:r w:rsidR="00D216E2" w:rsidRPr="001A4B94">
              <w:rPr>
                <w:rFonts w:eastAsiaTheme="minorEastAsia"/>
                <w:b/>
                <w:sz w:val="18"/>
                <w:szCs w:val="18"/>
                <w:lang w:val="tr-TR" w:eastAsia="ja-JP"/>
              </w:rPr>
              <w:t>sman</w:t>
            </w:r>
            <w:r w:rsidRPr="001A4B94">
              <w:rPr>
                <w:rFonts w:eastAsiaTheme="minorEastAsia"/>
                <w:b/>
                <w:sz w:val="18"/>
                <w:szCs w:val="18"/>
                <w:lang w:val="tr-TR" w:eastAsia="ja-JP"/>
              </w:rPr>
              <w:t>:</w:t>
            </w:r>
          </w:p>
          <w:p w14:paraId="723B4A58" w14:textId="6CC78096" w:rsidR="00EA73BF" w:rsidRPr="001A4B94" w:rsidRDefault="00D216E2" w:rsidP="00EA73BF">
            <w:pPr>
              <w:numPr>
                <w:ilvl w:val="0"/>
                <w:numId w:val="22"/>
              </w:numPr>
              <w:spacing w:after="160" w:line="259" w:lineRule="auto"/>
              <w:ind w:left="187" w:hanging="187"/>
              <w:contextualSpacing/>
              <w:rPr>
                <w:rFonts w:eastAsiaTheme="minorHAnsi"/>
                <w:sz w:val="18"/>
                <w:szCs w:val="18"/>
                <w:lang w:val="tr-TR" w:bidi="en-US"/>
              </w:rPr>
            </w:pPr>
            <w:r w:rsidRPr="001A4B94">
              <w:rPr>
                <w:rFonts w:eastAsia="Calibri"/>
                <w:sz w:val="18"/>
                <w:szCs w:val="18"/>
                <w:lang w:val="tr-TR"/>
              </w:rPr>
              <w:t xml:space="preserve">DPL – </w:t>
            </w:r>
            <w:r w:rsidRPr="001A4B94">
              <w:rPr>
                <w:rFonts w:eastAsiaTheme="minorHAnsi"/>
                <w:sz w:val="18"/>
                <w:szCs w:val="18"/>
                <w:lang w:val="tr-TR"/>
              </w:rPr>
              <w:t xml:space="preserve">Paylaşılan Büyümenin Sürdürülmesi I (2015 MY) </w:t>
            </w:r>
          </w:p>
          <w:p w14:paraId="67A0007C" w14:textId="65554F99" w:rsidR="00EA73BF" w:rsidRPr="001A4B94" w:rsidRDefault="00D216E2" w:rsidP="00EA73BF">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 xml:space="preserve">Kadınların Ekonomik Fırsatlara Erişiminin Arttırılması </w:t>
            </w:r>
            <w:r w:rsidR="00EA73BF" w:rsidRPr="001A4B94">
              <w:rPr>
                <w:rFonts w:eastAsiaTheme="minorHAnsi"/>
                <w:sz w:val="18"/>
                <w:szCs w:val="18"/>
                <w:lang w:val="tr-TR" w:bidi="en-US"/>
              </w:rPr>
              <w:t xml:space="preserve">P146215; </w:t>
            </w:r>
            <w:r w:rsidRPr="001A4B94">
              <w:rPr>
                <w:rFonts w:eastAsiaTheme="minorHAnsi"/>
                <w:sz w:val="18"/>
                <w:szCs w:val="18"/>
                <w:lang w:val="tr-TR" w:bidi="en-US"/>
              </w:rPr>
              <w:t xml:space="preserve">Vakıf Fonu, </w:t>
            </w:r>
            <w:r w:rsidR="00EA73BF" w:rsidRPr="001A4B94">
              <w:rPr>
                <w:rFonts w:eastAsiaTheme="minorHAnsi"/>
                <w:sz w:val="18"/>
                <w:szCs w:val="18"/>
                <w:lang w:val="tr-TR" w:bidi="en-US"/>
              </w:rPr>
              <w:t>SIDA</w:t>
            </w:r>
          </w:p>
          <w:p w14:paraId="003F9242" w14:textId="4716FC78" w:rsidR="00EA73BF" w:rsidRPr="001A4B94" w:rsidRDefault="00EA73BF" w:rsidP="00EA73BF">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IFC</w:t>
            </w:r>
            <w:r w:rsidR="00D216E2" w:rsidRPr="001A4B94">
              <w:rPr>
                <w:rFonts w:eastAsiaTheme="minorHAnsi"/>
                <w:sz w:val="18"/>
                <w:szCs w:val="18"/>
                <w:lang w:val="tr-TR" w:bidi="en-US"/>
              </w:rPr>
              <w:t xml:space="preserve">’nin portföyündeki bankalar yoluyla kadınlara ait KOBİ’lere sağladığı destek </w:t>
            </w:r>
          </w:p>
          <w:p w14:paraId="21DA8F19" w14:textId="693247C2" w:rsidR="00EA73BF" w:rsidRPr="001A4B94" w:rsidRDefault="00D216E2" w:rsidP="00EA73BF">
            <w:pPr>
              <w:rPr>
                <w:rFonts w:eastAsiaTheme="minorEastAsia"/>
                <w:b/>
                <w:sz w:val="18"/>
                <w:szCs w:val="18"/>
                <w:lang w:val="tr-TR" w:eastAsia="ja-JP"/>
              </w:rPr>
            </w:pPr>
            <w:r w:rsidRPr="001A4B94">
              <w:rPr>
                <w:rFonts w:eastAsiaTheme="minorEastAsia"/>
                <w:b/>
                <w:sz w:val="18"/>
                <w:szCs w:val="18"/>
                <w:lang w:val="tr-TR" w:eastAsia="ja-JP"/>
              </w:rPr>
              <w:t>Bilgi Faaliyetleri</w:t>
            </w:r>
            <w:r w:rsidR="00EA73BF" w:rsidRPr="001A4B94">
              <w:rPr>
                <w:rFonts w:eastAsiaTheme="minorEastAsia"/>
                <w:b/>
                <w:sz w:val="18"/>
                <w:szCs w:val="18"/>
                <w:lang w:val="tr-TR" w:eastAsia="ja-JP"/>
              </w:rPr>
              <w:t>:</w:t>
            </w:r>
          </w:p>
          <w:p w14:paraId="58B0707F" w14:textId="6EC276F9" w:rsidR="00EA73BF" w:rsidRPr="001A4B94" w:rsidRDefault="0033762A" w:rsidP="00EA73BF">
            <w:pPr>
              <w:numPr>
                <w:ilvl w:val="0"/>
                <w:numId w:val="22"/>
              </w:numPr>
              <w:spacing w:after="160" w:line="259" w:lineRule="auto"/>
              <w:ind w:left="187" w:hanging="187"/>
              <w:contextualSpacing/>
              <w:rPr>
                <w:rFonts w:eastAsiaTheme="minorHAnsi"/>
                <w:sz w:val="18"/>
                <w:szCs w:val="18"/>
                <w:lang w:val="tr-TR" w:bidi="en-US"/>
              </w:rPr>
            </w:pPr>
            <w:r w:rsidRPr="001A4B94">
              <w:rPr>
                <w:sz w:val="18"/>
                <w:szCs w:val="18"/>
                <w:lang w:val="tr-TR"/>
              </w:rPr>
              <w:lastRenderedPageBreak/>
              <w:t>Program Odaklı İstihdam Çalışması: Beceri Seviyesi Düşük Gençlerin ve Kadınların Aktivasyonu</w:t>
            </w:r>
            <w:r w:rsidRPr="001A4B94">
              <w:rPr>
                <w:rFonts w:eastAsia="Calibri"/>
                <w:sz w:val="18"/>
                <w:szCs w:val="18"/>
                <w:lang w:val="tr-TR"/>
              </w:rPr>
              <w:t xml:space="preserve">  (2014 MY) </w:t>
            </w:r>
            <w:r w:rsidR="00EA73BF" w:rsidRPr="001A4B94">
              <w:rPr>
                <w:rFonts w:eastAsiaTheme="minorHAnsi"/>
                <w:sz w:val="18"/>
                <w:szCs w:val="18"/>
                <w:lang w:val="tr-TR" w:bidi="en-US"/>
              </w:rPr>
              <w:t xml:space="preserve"> P131099</w:t>
            </w:r>
          </w:p>
          <w:p w14:paraId="03D8AC21" w14:textId="1EE74D3F" w:rsidR="00EA73BF" w:rsidRPr="001A4B94" w:rsidRDefault="00EA73BF" w:rsidP="00EA73BF">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bidi="en-US"/>
              </w:rPr>
              <w:t>T</w:t>
            </w:r>
            <w:r w:rsidR="0033762A" w:rsidRPr="001A4B94">
              <w:rPr>
                <w:rFonts w:eastAsiaTheme="minorHAnsi"/>
                <w:sz w:val="18"/>
                <w:szCs w:val="18"/>
                <w:lang w:val="tr-TR" w:bidi="en-US"/>
              </w:rPr>
              <w:t>Y:</w:t>
            </w:r>
            <w:r w:rsidRPr="001A4B94">
              <w:rPr>
                <w:rFonts w:eastAsiaTheme="minorHAnsi"/>
                <w:sz w:val="18"/>
                <w:szCs w:val="18"/>
                <w:lang w:val="tr-TR" w:bidi="en-US"/>
              </w:rPr>
              <w:t xml:space="preserve"> </w:t>
            </w:r>
            <w:r w:rsidR="0033762A" w:rsidRPr="001A4B94">
              <w:rPr>
                <w:rFonts w:eastAsiaTheme="minorHAnsi"/>
                <w:sz w:val="18"/>
                <w:szCs w:val="18"/>
                <w:lang w:val="tr-TR" w:bidi="en-US"/>
              </w:rPr>
              <w:t xml:space="preserve">Özel Sektörde </w:t>
            </w:r>
            <w:r w:rsidR="0033762A" w:rsidRPr="001A4B94">
              <w:rPr>
                <w:rFonts w:eastAsiaTheme="minorHAnsi"/>
                <w:sz w:val="18"/>
                <w:szCs w:val="18"/>
                <w:lang w:val="tr-TR"/>
              </w:rPr>
              <w:t xml:space="preserve">Toplumsal Cinsiyet Eşitliği Sertifikalandırması </w:t>
            </w:r>
            <w:r w:rsidRPr="001A4B94">
              <w:rPr>
                <w:rFonts w:eastAsiaTheme="minorHAnsi"/>
                <w:sz w:val="18"/>
                <w:szCs w:val="18"/>
                <w:lang w:val="tr-TR" w:bidi="en-US"/>
              </w:rPr>
              <w:t>(</w:t>
            </w:r>
            <w:r w:rsidR="0033762A" w:rsidRPr="001A4B94">
              <w:rPr>
                <w:rFonts w:eastAsiaTheme="minorHAnsi"/>
                <w:sz w:val="18"/>
                <w:szCs w:val="18"/>
                <w:lang w:val="tr-TR" w:bidi="en-US"/>
              </w:rPr>
              <w:t xml:space="preserve">2012 MY </w:t>
            </w:r>
            <w:r w:rsidRPr="001A4B94">
              <w:rPr>
                <w:rFonts w:eastAsiaTheme="minorHAnsi"/>
                <w:sz w:val="18"/>
                <w:szCs w:val="18"/>
                <w:lang w:val="tr-TR" w:bidi="en-US"/>
              </w:rPr>
              <w:t xml:space="preserve">P129435 </w:t>
            </w:r>
            <w:r w:rsidR="0033762A" w:rsidRPr="001A4B94">
              <w:rPr>
                <w:rFonts w:eastAsiaTheme="minorHAnsi"/>
                <w:sz w:val="18"/>
                <w:szCs w:val="18"/>
                <w:lang w:val="tr-TR" w:bidi="en-US"/>
              </w:rPr>
              <w:t xml:space="preserve">ve 2013 MY </w:t>
            </w:r>
            <w:r w:rsidRPr="001A4B94">
              <w:rPr>
                <w:rFonts w:eastAsiaTheme="minorHAnsi"/>
                <w:sz w:val="18"/>
                <w:szCs w:val="18"/>
                <w:lang w:val="tr-TR" w:bidi="en-US"/>
              </w:rPr>
              <w:t>P133741)</w:t>
            </w:r>
          </w:p>
          <w:p w14:paraId="2A50285C" w14:textId="490F2074" w:rsidR="00EA73BF" w:rsidRPr="001A4B94" w:rsidRDefault="0033762A" w:rsidP="00EA73BF">
            <w:pPr>
              <w:numPr>
                <w:ilvl w:val="0"/>
                <w:numId w:val="22"/>
              </w:numPr>
              <w:spacing w:after="160" w:line="259" w:lineRule="auto"/>
              <w:ind w:left="187" w:hanging="187"/>
              <w:contextualSpacing/>
              <w:rPr>
                <w:rFonts w:eastAsiaTheme="minorHAnsi"/>
                <w:b/>
                <w:sz w:val="18"/>
                <w:szCs w:val="18"/>
                <w:lang w:val="tr-TR"/>
              </w:rPr>
            </w:pPr>
            <w:r w:rsidRPr="001A4B94">
              <w:rPr>
                <w:rFonts w:eastAsia="Calibri"/>
                <w:sz w:val="18"/>
                <w:szCs w:val="18"/>
                <w:lang w:val="tr-TR"/>
              </w:rPr>
              <w:t>İŞKUR’un Mesleki Eğitim Programlarının Etki Değerlendirmesi (2014 MY) P120514</w:t>
            </w:r>
          </w:p>
        </w:tc>
      </w:tr>
      <w:tr w:rsidR="00747261" w:rsidRPr="001A4B94" w14:paraId="50F8CA18" w14:textId="77777777" w:rsidTr="00747261">
        <w:trPr>
          <w:trHeight w:val="773"/>
        </w:trPr>
        <w:tc>
          <w:tcPr>
            <w:tcW w:w="1214" w:type="pct"/>
            <w:shd w:val="clear" w:color="auto" w:fill="auto"/>
          </w:tcPr>
          <w:p w14:paraId="238ABC40" w14:textId="5765D16C" w:rsidR="00747261" w:rsidRPr="001A4B94" w:rsidRDefault="00EA73BF" w:rsidP="00747261">
            <w:pPr>
              <w:spacing w:after="160" w:line="259" w:lineRule="auto"/>
              <w:contextualSpacing/>
              <w:rPr>
                <w:rFonts w:eastAsiaTheme="minorHAnsi"/>
                <w:sz w:val="18"/>
                <w:szCs w:val="18"/>
                <w:lang w:val="tr-TR"/>
              </w:rPr>
            </w:pPr>
            <w:r w:rsidRPr="001A4B94">
              <w:rPr>
                <w:rFonts w:eastAsiaTheme="minorHAnsi"/>
                <w:b/>
                <w:i/>
                <w:sz w:val="18"/>
                <w:szCs w:val="18"/>
                <w:lang w:val="tr-TR"/>
              </w:rPr>
              <w:t>Sonuç</w:t>
            </w:r>
            <w:r w:rsidR="00747261" w:rsidRPr="001A4B94">
              <w:rPr>
                <w:rFonts w:eastAsiaTheme="minorHAnsi"/>
                <w:b/>
                <w:i/>
                <w:sz w:val="18"/>
                <w:szCs w:val="18"/>
                <w:lang w:val="tr-TR"/>
              </w:rPr>
              <w:t xml:space="preserve"> 1:</w:t>
            </w:r>
            <w:r w:rsidR="00747261" w:rsidRPr="001A4B94">
              <w:rPr>
                <w:rFonts w:eastAsiaTheme="minorHAnsi"/>
                <w:sz w:val="18"/>
                <w:szCs w:val="18"/>
                <w:lang w:val="tr-TR"/>
              </w:rPr>
              <w:t xml:space="preserve"> </w:t>
            </w:r>
            <w:r w:rsidR="00503392" w:rsidRPr="001A4B94">
              <w:rPr>
                <w:rFonts w:eastAsiaTheme="minorHAnsi"/>
                <w:sz w:val="18"/>
                <w:szCs w:val="18"/>
                <w:lang w:val="tr-TR"/>
              </w:rPr>
              <w:t xml:space="preserve">2015 sonuna kadar en az 20 şirkete yeni </w:t>
            </w:r>
            <w:r w:rsidR="00D216E2" w:rsidRPr="001A4B94">
              <w:rPr>
                <w:rFonts w:eastAsiaTheme="minorHAnsi"/>
                <w:sz w:val="18"/>
                <w:szCs w:val="18"/>
                <w:lang w:val="tr-TR"/>
              </w:rPr>
              <w:t xml:space="preserve">Toplumsal </w:t>
            </w:r>
            <w:r w:rsidR="00503392" w:rsidRPr="001A4B94">
              <w:rPr>
                <w:rFonts w:eastAsiaTheme="minorHAnsi"/>
                <w:sz w:val="18"/>
                <w:szCs w:val="18"/>
                <w:lang w:val="tr-TR"/>
              </w:rPr>
              <w:t>Cinsiyet Eşitliği Sertifikası verilmesi</w:t>
            </w:r>
            <w:r w:rsidR="00747261" w:rsidRPr="001A4B94">
              <w:rPr>
                <w:rFonts w:eastAsiaTheme="minorHAnsi"/>
                <w:sz w:val="18"/>
                <w:szCs w:val="18"/>
                <w:lang w:val="tr-TR"/>
              </w:rPr>
              <w:t xml:space="preserve">. </w:t>
            </w:r>
          </w:p>
          <w:p w14:paraId="1C64AD95" w14:textId="17BB46E8" w:rsidR="00747261" w:rsidRPr="001A4B94" w:rsidRDefault="00D216E2" w:rsidP="00747261">
            <w:pPr>
              <w:spacing w:after="160" w:line="259" w:lineRule="auto"/>
              <w:contextualSpacing/>
              <w:rPr>
                <w:rFonts w:eastAsiaTheme="minorHAnsi"/>
                <w:b/>
                <w:sz w:val="18"/>
                <w:szCs w:val="18"/>
                <w:lang w:val="tr-TR" w:bidi="en-US"/>
              </w:rPr>
            </w:pPr>
            <w:r w:rsidRPr="001A4B94">
              <w:rPr>
                <w:rFonts w:eastAsia="Calibri"/>
                <w:b/>
                <w:sz w:val="18"/>
                <w:szCs w:val="18"/>
                <w:lang w:val="tr-TR"/>
              </w:rPr>
              <w:t>Başlangıç Durumu</w:t>
            </w:r>
            <w:r w:rsidR="00747261" w:rsidRPr="001A4B94">
              <w:rPr>
                <w:rFonts w:eastAsiaTheme="minorHAnsi"/>
                <w:b/>
                <w:sz w:val="18"/>
                <w:szCs w:val="18"/>
                <w:lang w:val="tr-TR"/>
              </w:rPr>
              <w:t>:</w:t>
            </w:r>
            <w:r w:rsidR="00747261" w:rsidRPr="001A4B94">
              <w:rPr>
                <w:rFonts w:eastAsiaTheme="minorHAnsi"/>
                <w:sz w:val="18"/>
                <w:szCs w:val="18"/>
                <w:lang w:val="tr-TR"/>
              </w:rPr>
              <w:t xml:space="preserve"> 2011</w:t>
            </w:r>
            <w:r w:rsidRPr="001A4B94">
              <w:rPr>
                <w:rFonts w:eastAsiaTheme="minorHAnsi"/>
                <w:sz w:val="18"/>
                <w:szCs w:val="18"/>
                <w:lang w:val="tr-TR"/>
              </w:rPr>
              <w:t xml:space="preserve"> itibariyle sıfır</w:t>
            </w:r>
            <w:r w:rsidR="00747261" w:rsidRPr="001A4B94">
              <w:rPr>
                <w:rFonts w:eastAsiaTheme="minorHAnsi"/>
                <w:sz w:val="18"/>
                <w:szCs w:val="18"/>
                <w:lang w:val="tr-TR"/>
              </w:rPr>
              <w:t>.</w:t>
            </w:r>
          </w:p>
        </w:tc>
        <w:tc>
          <w:tcPr>
            <w:tcW w:w="1286" w:type="pct"/>
            <w:shd w:val="clear" w:color="auto" w:fill="auto"/>
          </w:tcPr>
          <w:p w14:paraId="5D63E7CC" w14:textId="0256AC25" w:rsidR="00747261" w:rsidRPr="001A4B94" w:rsidRDefault="00D216E2" w:rsidP="00747261">
            <w:pPr>
              <w:spacing w:after="160" w:line="259" w:lineRule="auto"/>
              <w:contextualSpacing/>
              <w:rPr>
                <w:rFonts w:eastAsiaTheme="minorHAnsi"/>
                <w:b/>
                <w:sz w:val="18"/>
                <w:szCs w:val="18"/>
                <w:lang w:val="tr-TR"/>
              </w:rPr>
            </w:pPr>
            <w:r w:rsidRPr="001A4B94">
              <w:rPr>
                <w:rFonts w:eastAsiaTheme="minorHAnsi"/>
                <w:b/>
                <w:sz w:val="18"/>
                <w:szCs w:val="18"/>
                <w:lang w:val="tr-TR" w:bidi="en-US"/>
              </w:rPr>
              <w:t>Kısmen karşılandı</w:t>
            </w:r>
            <w:r w:rsidR="00747261" w:rsidRPr="001A4B94">
              <w:rPr>
                <w:rFonts w:eastAsiaTheme="minorHAnsi"/>
                <w:b/>
                <w:sz w:val="18"/>
                <w:szCs w:val="18"/>
                <w:lang w:val="tr-TR" w:bidi="en-US"/>
              </w:rPr>
              <w:t>.</w:t>
            </w:r>
            <w:r w:rsidR="00747261" w:rsidRPr="001A4B94">
              <w:rPr>
                <w:rFonts w:eastAsiaTheme="minorHAnsi"/>
                <w:b/>
                <w:sz w:val="18"/>
                <w:szCs w:val="18"/>
                <w:lang w:val="tr-TR"/>
              </w:rPr>
              <w:t xml:space="preserve"> </w:t>
            </w:r>
          </w:p>
          <w:p w14:paraId="5CC05F90" w14:textId="646C8522" w:rsidR="00747261" w:rsidRPr="001A4B94" w:rsidRDefault="00D216E2" w:rsidP="00747261">
            <w:pPr>
              <w:spacing w:after="160" w:line="259" w:lineRule="auto"/>
              <w:contextualSpacing/>
              <w:rPr>
                <w:rFonts w:eastAsiaTheme="minorHAnsi"/>
                <w:b/>
                <w:sz w:val="22"/>
                <w:szCs w:val="22"/>
                <w:lang w:val="tr-TR" w:bidi="en-US"/>
              </w:rPr>
            </w:pPr>
            <w:r w:rsidRPr="001A4B94">
              <w:rPr>
                <w:rFonts w:eastAsiaTheme="minorHAnsi"/>
                <w:sz w:val="18"/>
                <w:szCs w:val="18"/>
                <w:lang w:val="tr-TR"/>
              </w:rPr>
              <w:t>17 şirket Toplumsal Cinsiyet Eşitliği Sertifikası  aldı</w:t>
            </w:r>
            <w:r w:rsidR="00747261" w:rsidRPr="001A4B94">
              <w:rPr>
                <w:rFonts w:eastAsiaTheme="minorHAnsi"/>
                <w:sz w:val="18"/>
                <w:szCs w:val="18"/>
                <w:lang w:val="tr-TR"/>
              </w:rPr>
              <w:t xml:space="preserve">. </w:t>
            </w:r>
          </w:p>
        </w:tc>
        <w:tc>
          <w:tcPr>
            <w:tcW w:w="2500" w:type="pct"/>
            <w:vMerge/>
            <w:shd w:val="clear" w:color="auto" w:fill="auto"/>
          </w:tcPr>
          <w:p w14:paraId="5B1F0B13" w14:textId="77777777" w:rsidR="00747261" w:rsidRPr="001A4B94" w:rsidRDefault="00747261" w:rsidP="00747261">
            <w:pPr>
              <w:rPr>
                <w:rFonts w:eastAsiaTheme="minorEastAsia"/>
                <w:b/>
                <w:sz w:val="18"/>
                <w:szCs w:val="18"/>
                <w:lang w:val="tr-TR" w:eastAsia="ja-JP"/>
              </w:rPr>
            </w:pPr>
          </w:p>
        </w:tc>
      </w:tr>
      <w:tr w:rsidR="00747261" w:rsidRPr="001A4B94" w14:paraId="2C2D5668" w14:textId="77777777" w:rsidTr="00747261">
        <w:trPr>
          <w:trHeight w:val="975"/>
        </w:trPr>
        <w:tc>
          <w:tcPr>
            <w:tcW w:w="1214" w:type="pct"/>
            <w:shd w:val="clear" w:color="auto" w:fill="auto"/>
          </w:tcPr>
          <w:p w14:paraId="736DCDA9" w14:textId="21B6FE4B" w:rsidR="00747261" w:rsidRPr="001A4B94" w:rsidRDefault="00D216E2" w:rsidP="00747261">
            <w:pPr>
              <w:spacing w:after="160" w:line="259" w:lineRule="auto"/>
              <w:contextualSpacing/>
              <w:rPr>
                <w:rFonts w:eastAsiaTheme="minorHAnsi"/>
                <w:b/>
                <w:sz w:val="18"/>
                <w:szCs w:val="18"/>
                <w:lang w:val="tr-TR" w:bidi="en-US"/>
              </w:rPr>
            </w:pPr>
            <w:r w:rsidRPr="001A4B94">
              <w:rPr>
                <w:rFonts w:eastAsiaTheme="minorHAnsi"/>
                <w:b/>
                <w:i/>
                <w:sz w:val="18"/>
                <w:szCs w:val="18"/>
                <w:lang w:val="tr-TR" w:bidi="en-US"/>
              </w:rPr>
              <w:lastRenderedPageBreak/>
              <w:t>Sonuç</w:t>
            </w:r>
            <w:r w:rsidR="00747261" w:rsidRPr="001A4B94">
              <w:rPr>
                <w:rFonts w:eastAsiaTheme="minorHAnsi"/>
                <w:b/>
                <w:i/>
                <w:sz w:val="18"/>
                <w:szCs w:val="18"/>
                <w:lang w:val="tr-TR" w:bidi="en-US"/>
              </w:rPr>
              <w:t xml:space="preserve"> 2:</w:t>
            </w:r>
            <w:r w:rsidR="00747261" w:rsidRPr="001A4B94">
              <w:rPr>
                <w:rFonts w:eastAsiaTheme="minorHAnsi"/>
                <w:sz w:val="18"/>
                <w:szCs w:val="18"/>
                <w:lang w:val="tr-TR" w:bidi="en-US"/>
              </w:rPr>
              <w:t xml:space="preserve"> </w:t>
            </w:r>
            <w:r w:rsidR="00B52327" w:rsidRPr="001A4B94">
              <w:rPr>
                <w:rFonts w:eastAsiaTheme="minorHAnsi"/>
                <w:sz w:val="18"/>
                <w:szCs w:val="18"/>
                <w:lang w:val="tr-TR" w:bidi="en-US"/>
              </w:rPr>
              <w:t>IFC tarafından finansman sağlanan KOBİ’ler yoluyla kadınlara ait 900 KOBİ’nin desteklenmesi ile kadınların işgücüne katılımının arttırılması</w:t>
            </w:r>
            <w:r w:rsidR="00747261" w:rsidRPr="001A4B94">
              <w:rPr>
                <w:rFonts w:eastAsiaTheme="minorHAnsi"/>
                <w:sz w:val="18"/>
                <w:szCs w:val="18"/>
                <w:lang w:val="tr-TR" w:bidi="en-US"/>
              </w:rPr>
              <w:t xml:space="preserve">. </w:t>
            </w:r>
          </w:p>
        </w:tc>
        <w:tc>
          <w:tcPr>
            <w:tcW w:w="1286" w:type="pct"/>
            <w:shd w:val="clear" w:color="auto" w:fill="auto"/>
          </w:tcPr>
          <w:p w14:paraId="5677CF85" w14:textId="0558AB1D" w:rsidR="00747261" w:rsidRPr="001A4B94" w:rsidRDefault="006762C4" w:rsidP="00747261">
            <w:pPr>
              <w:spacing w:after="160" w:line="259" w:lineRule="auto"/>
              <w:contextualSpacing/>
              <w:rPr>
                <w:rFonts w:eastAsiaTheme="minorHAnsi"/>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747261" w:rsidRPr="001A4B94">
              <w:rPr>
                <w:rFonts w:eastAsiaTheme="minorHAnsi"/>
                <w:sz w:val="18"/>
                <w:szCs w:val="18"/>
                <w:lang w:val="tr-TR"/>
              </w:rPr>
              <w:t xml:space="preserve">IFC </w:t>
            </w:r>
            <w:r w:rsidR="00693D5C" w:rsidRPr="001A4B94">
              <w:rPr>
                <w:rFonts w:eastAsiaTheme="minorHAnsi"/>
                <w:sz w:val="18"/>
                <w:szCs w:val="18"/>
                <w:lang w:val="tr-TR"/>
              </w:rPr>
              <w:t>KOBİ Sektörü Portföyü yoluyla 2.633 kadınlara ait işletmeye ulaşmıştır</w:t>
            </w:r>
            <w:r w:rsidR="00747261" w:rsidRPr="001A4B94">
              <w:rPr>
                <w:rFonts w:eastAsiaTheme="minorHAnsi"/>
                <w:sz w:val="18"/>
                <w:szCs w:val="18"/>
                <w:lang w:val="tr-TR"/>
              </w:rPr>
              <w:t>.</w:t>
            </w:r>
          </w:p>
          <w:p w14:paraId="4D60F65C" w14:textId="77777777" w:rsidR="00747261" w:rsidRPr="001A4B94" w:rsidRDefault="00747261" w:rsidP="00747261">
            <w:pPr>
              <w:spacing w:after="160" w:line="259" w:lineRule="auto"/>
              <w:contextualSpacing/>
              <w:rPr>
                <w:rFonts w:eastAsiaTheme="minorHAnsi"/>
                <w:sz w:val="18"/>
                <w:szCs w:val="18"/>
                <w:lang w:val="tr-TR"/>
              </w:rPr>
            </w:pPr>
          </w:p>
          <w:p w14:paraId="1BD8077C" w14:textId="77777777" w:rsidR="00747261" w:rsidRPr="001A4B94" w:rsidRDefault="00747261" w:rsidP="00747261">
            <w:pPr>
              <w:spacing w:after="160" w:line="259" w:lineRule="auto"/>
              <w:contextualSpacing/>
              <w:rPr>
                <w:rFonts w:eastAsiaTheme="minorHAnsi"/>
                <w:b/>
                <w:sz w:val="22"/>
                <w:szCs w:val="22"/>
                <w:lang w:val="tr-TR" w:bidi="en-US"/>
              </w:rPr>
            </w:pPr>
          </w:p>
        </w:tc>
        <w:tc>
          <w:tcPr>
            <w:tcW w:w="2500" w:type="pct"/>
            <w:vMerge/>
            <w:shd w:val="clear" w:color="auto" w:fill="auto"/>
          </w:tcPr>
          <w:p w14:paraId="49A3CE47" w14:textId="77777777" w:rsidR="00747261" w:rsidRPr="001A4B94" w:rsidRDefault="00747261" w:rsidP="00747261">
            <w:pPr>
              <w:rPr>
                <w:rFonts w:eastAsiaTheme="minorEastAsia"/>
                <w:b/>
                <w:sz w:val="18"/>
                <w:szCs w:val="18"/>
                <w:lang w:val="tr-TR" w:eastAsia="ja-JP"/>
              </w:rPr>
            </w:pPr>
          </w:p>
        </w:tc>
      </w:tr>
      <w:tr w:rsidR="00747261" w:rsidRPr="001A4B94" w14:paraId="327FFB11" w14:textId="77777777" w:rsidTr="00747261">
        <w:trPr>
          <w:trHeight w:val="3000"/>
        </w:trPr>
        <w:tc>
          <w:tcPr>
            <w:tcW w:w="1214" w:type="pct"/>
            <w:shd w:val="clear" w:color="auto" w:fill="auto"/>
          </w:tcPr>
          <w:p w14:paraId="62589ABD" w14:textId="2DC4D2F5" w:rsidR="00747261" w:rsidRPr="001A4B94" w:rsidRDefault="00B52327"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bidi="en-US"/>
              </w:rPr>
              <w:t xml:space="preserve">Sonuç </w:t>
            </w:r>
            <w:r w:rsidR="00747261" w:rsidRPr="001A4B94">
              <w:rPr>
                <w:rFonts w:eastAsiaTheme="minorHAnsi"/>
                <w:b/>
                <w:sz w:val="18"/>
                <w:szCs w:val="18"/>
                <w:lang w:val="tr-TR" w:bidi="en-US"/>
              </w:rPr>
              <w:t>3:</w:t>
            </w:r>
            <w:r w:rsidR="00747261" w:rsidRPr="001A4B94">
              <w:rPr>
                <w:rFonts w:eastAsiaTheme="minorHAnsi"/>
                <w:sz w:val="18"/>
                <w:szCs w:val="18"/>
                <w:lang w:val="tr-TR" w:bidi="en-US"/>
              </w:rPr>
              <w:t xml:space="preserve"> </w:t>
            </w:r>
            <w:r w:rsidR="00BB0453" w:rsidRPr="001A4B94">
              <w:rPr>
                <w:rFonts w:eastAsiaTheme="minorHAnsi"/>
                <w:sz w:val="18"/>
                <w:szCs w:val="18"/>
                <w:lang w:val="tr-TR" w:bidi="en-US"/>
              </w:rPr>
              <w:t>Sosyal yardımla</w:t>
            </w:r>
            <w:r w:rsidR="00047AC5" w:rsidRPr="001A4B94">
              <w:rPr>
                <w:rFonts w:eastAsiaTheme="minorHAnsi"/>
                <w:sz w:val="18"/>
                <w:szCs w:val="18"/>
                <w:lang w:val="tr-TR" w:bidi="en-US"/>
              </w:rPr>
              <w:t>ş</w:t>
            </w:r>
            <w:r w:rsidR="00BB0453" w:rsidRPr="001A4B94">
              <w:rPr>
                <w:rFonts w:eastAsiaTheme="minorHAnsi"/>
                <w:sz w:val="18"/>
                <w:szCs w:val="18"/>
                <w:lang w:val="tr-TR" w:bidi="en-US"/>
              </w:rPr>
              <w:t xml:space="preserve">ma ve dayanışma vakıfları (yarı özerk kamu kuruluşları) yoluyla İŞKUR </w:t>
            </w:r>
            <w:r w:rsidR="00047AC5" w:rsidRPr="001A4B94">
              <w:rPr>
                <w:rFonts w:eastAsiaTheme="minorHAnsi"/>
                <w:sz w:val="18"/>
                <w:szCs w:val="18"/>
                <w:lang w:val="tr-TR" w:bidi="en-US"/>
              </w:rPr>
              <w:t>programlarına</w:t>
            </w:r>
            <w:r w:rsidR="00BB0453" w:rsidRPr="001A4B94">
              <w:rPr>
                <w:rFonts w:eastAsiaTheme="minorHAnsi"/>
                <w:sz w:val="18"/>
                <w:szCs w:val="18"/>
                <w:lang w:val="tr-TR" w:bidi="en-US"/>
              </w:rPr>
              <w:t xml:space="preserve"> kaydolan kişi sayısına göre ölçülmek üzere, </w:t>
            </w:r>
            <w:r w:rsidR="00047AC5" w:rsidRPr="001A4B94">
              <w:rPr>
                <w:rFonts w:eastAsiaTheme="minorHAnsi"/>
                <w:sz w:val="18"/>
                <w:szCs w:val="18"/>
                <w:lang w:val="tr-TR" w:bidi="en-US"/>
              </w:rPr>
              <w:t xml:space="preserve">Sosyal Yardım faydalanıcılarının aktif işgücü piyasasına programlarına erişimlerindeki artış </w:t>
            </w:r>
          </w:p>
          <w:p w14:paraId="7C351F05" w14:textId="77777777" w:rsidR="00747261" w:rsidRPr="001A4B94" w:rsidRDefault="00747261" w:rsidP="00747261">
            <w:pPr>
              <w:spacing w:after="160" w:line="259" w:lineRule="auto"/>
              <w:contextualSpacing/>
              <w:rPr>
                <w:rFonts w:eastAsiaTheme="minorHAnsi"/>
                <w:sz w:val="18"/>
                <w:szCs w:val="18"/>
                <w:lang w:val="tr-TR" w:bidi="en-US"/>
              </w:rPr>
            </w:pPr>
          </w:p>
          <w:p w14:paraId="1CF40545" w14:textId="170A31B3" w:rsidR="00747261" w:rsidRPr="001A4B94" w:rsidRDefault="00047AC5"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bidi="en-US"/>
              </w:rPr>
              <w:t xml:space="preserve">Başlangıç Durumu: </w:t>
            </w:r>
            <w:r w:rsidR="00747261" w:rsidRPr="001A4B94">
              <w:rPr>
                <w:rFonts w:eastAsiaTheme="minorHAnsi"/>
                <w:sz w:val="18"/>
                <w:szCs w:val="18"/>
                <w:lang w:val="tr-TR" w:bidi="en-US"/>
              </w:rPr>
              <w:t>2012: 9</w:t>
            </w:r>
            <w:r w:rsidRPr="001A4B94">
              <w:rPr>
                <w:rFonts w:eastAsiaTheme="minorHAnsi"/>
                <w:sz w:val="18"/>
                <w:szCs w:val="18"/>
                <w:lang w:val="tr-TR" w:bidi="en-US"/>
              </w:rPr>
              <w:t>.</w:t>
            </w:r>
            <w:r w:rsidR="00747261" w:rsidRPr="001A4B94">
              <w:rPr>
                <w:rFonts w:eastAsiaTheme="minorHAnsi"/>
                <w:sz w:val="18"/>
                <w:szCs w:val="18"/>
                <w:lang w:val="tr-TR" w:bidi="en-US"/>
              </w:rPr>
              <w:t>500</w:t>
            </w:r>
          </w:p>
          <w:p w14:paraId="587AE4AF" w14:textId="2320317A" w:rsidR="00747261" w:rsidRPr="001A4B94" w:rsidRDefault="00047AC5" w:rsidP="00747261">
            <w:pPr>
              <w:spacing w:after="160" w:line="259" w:lineRule="auto"/>
              <w:contextualSpacing/>
              <w:rPr>
                <w:rFonts w:eastAsiaTheme="minorHAnsi"/>
                <w:b/>
                <w:i/>
                <w:sz w:val="18"/>
                <w:szCs w:val="18"/>
                <w:lang w:val="tr-TR" w:bidi="en-US"/>
              </w:rPr>
            </w:pPr>
            <w:r w:rsidRPr="001A4B94">
              <w:rPr>
                <w:rFonts w:eastAsiaTheme="minorHAnsi"/>
                <w:b/>
                <w:sz w:val="18"/>
                <w:szCs w:val="18"/>
                <w:lang w:val="tr-TR" w:bidi="en-US"/>
              </w:rPr>
              <w:t>Hedef</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2015 MY sonuna kadar </w:t>
            </w:r>
            <w:r w:rsidR="00747261" w:rsidRPr="001A4B94">
              <w:rPr>
                <w:rFonts w:eastAsiaTheme="minorHAnsi"/>
                <w:sz w:val="18"/>
                <w:szCs w:val="18"/>
                <w:lang w:val="tr-TR" w:bidi="en-US"/>
              </w:rPr>
              <w:t>40</w:t>
            </w:r>
            <w:r w:rsidRPr="001A4B94">
              <w:rPr>
                <w:rFonts w:eastAsiaTheme="minorHAnsi"/>
                <w:sz w:val="18"/>
                <w:szCs w:val="18"/>
                <w:lang w:val="tr-TR" w:bidi="en-US"/>
              </w:rPr>
              <w:t>.</w:t>
            </w:r>
            <w:r w:rsidR="00747261" w:rsidRPr="001A4B94">
              <w:rPr>
                <w:rFonts w:eastAsiaTheme="minorHAnsi"/>
                <w:sz w:val="18"/>
                <w:szCs w:val="18"/>
                <w:lang w:val="tr-TR" w:bidi="en-US"/>
              </w:rPr>
              <w:t>000.</w:t>
            </w:r>
          </w:p>
        </w:tc>
        <w:tc>
          <w:tcPr>
            <w:tcW w:w="1286" w:type="pct"/>
            <w:shd w:val="clear" w:color="auto" w:fill="auto"/>
          </w:tcPr>
          <w:p w14:paraId="7DA3E563" w14:textId="325671C0" w:rsidR="00747261" w:rsidRPr="001A4B94" w:rsidRDefault="00693D5C" w:rsidP="00747261">
            <w:pPr>
              <w:spacing w:after="160" w:line="259" w:lineRule="auto"/>
              <w:contextualSpacing/>
              <w:rPr>
                <w:rFonts w:eastAsiaTheme="minorHAnsi"/>
                <w:b/>
                <w:sz w:val="18"/>
                <w:szCs w:val="18"/>
                <w:lang w:val="tr-TR"/>
              </w:rPr>
            </w:pPr>
            <w:r w:rsidRPr="001A4B94">
              <w:rPr>
                <w:rFonts w:eastAsiaTheme="minorHAnsi"/>
                <w:b/>
                <w:sz w:val="18"/>
                <w:szCs w:val="18"/>
                <w:lang w:val="tr-TR"/>
              </w:rPr>
              <w:t>Doğrulanama</w:t>
            </w:r>
            <w:r w:rsidR="006762C4" w:rsidRPr="001A4B94">
              <w:rPr>
                <w:rFonts w:eastAsiaTheme="minorHAnsi"/>
                <w:b/>
                <w:sz w:val="18"/>
                <w:szCs w:val="18"/>
                <w:lang w:val="tr-TR"/>
              </w:rPr>
              <w:t>dı</w:t>
            </w:r>
            <w:r w:rsidR="00747261" w:rsidRPr="001A4B94">
              <w:rPr>
                <w:rFonts w:eastAsiaTheme="minorHAnsi"/>
                <w:b/>
                <w:sz w:val="18"/>
                <w:szCs w:val="18"/>
                <w:lang w:val="tr-TR"/>
              </w:rPr>
              <w:t xml:space="preserve">. </w:t>
            </w:r>
            <w:r w:rsidRPr="001A4B94">
              <w:rPr>
                <w:rFonts w:eastAsiaTheme="minorHAnsi"/>
                <w:sz w:val="18"/>
                <w:szCs w:val="18"/>
                <w:lang w:val="tr-TR"/>
              </w:rPr>
              <w:t>İŞ</w:t>
            </w:r>
            <w:r w:rsidR="00747261" w:rsidRPr="001A4B94">
              <w:rPr>
                <w:rFonts w:eastAsiaTheme="minorHAnsi"/>
                <w:sz w:val="18"/>
                <w:szCs w:val="18"/>
                <w:lang w:val="tr-TR"/>
              </w:rPr>
              <w:t xml:space="preserve">KUR </w:t>
            </w:r>
            <w:r w:rsidRPr="001A4B94">
              <w:rPr>
                <w:rFonts w:eastAsiaTheme="minorHAnsi"/>
                <w:sz w:val="18"/>
                <w:szCs w:val="18"/>
                <w:lang w:val="tr-TR"/>
              </w:rPr>
              <w:t>Sosyal Yardım faydalanıcılarını veri tabanına kaydetmeye başlamıştır, ancak daha sonra veri kalitesi sebebiyle bu işlemi durdurmuştur</w:t>
            </w:r>
            <w:r w:rsidR="00747261" w:rsidRPr="001A4B94">
              <w:rPr>
                <w:rFonts w:eastAsiaTheme="minorHAnsi"/>
                <w:sz w:val="18"/>
                <w:szCs w:val="18"/>
                <w:lang w:val="tr-TR"/>
              </w:rPr>
              <w:t xml:space="preserve">. </w:t>
            </w:r>
            <w:r w:rsidRPr="001A4B94">
              <w:rPr>
                <w:rFonts w:eastAsiaTheme="minorHAnsi"/>
                <w:sz w:val="18"/>
                <w:szCs w:val="18"/>
                <w:lang w:val="tr-TR"/>
              </w:rPr>
              <w:t>Dolayısıyla</w:t>
            </w:r>
            <w:r w:rsidR="00747261" w:rsidRPr="001A4B94">
              <w:rPr>
                <w:rFonts w:eastAsiaTheme="minorHAnsi"/>
                <w:sz w:val="18"/>
                <w:szCs w:val="18"/>
                <w:lang w:val="tr-TR"/>
              </w:rPr>
              <w:t xml:space="preserve">, </w:t>
            </w:r>
            <w:r w:rsidRPr="001A4B94">
              <w:rPr>
                <w:rFonts w:eastAsiaTheme="minorHAnsi"/>
                <w:sz w:val="18"/>
                <w:szCs w:val="18"/>
                <w:lang w:val="tr-TR"/>
              </w:rPr>
              <w:t>bugüne kadar kaydedilen ilerlemeyi ölçmek için veri bulunmamaktadır</w:t>
            </w:r>
            <w:r w:rsidR="00747261" w:rsidRPr="001A4B94">
              <w:rPr>
                <w:rFonts w:eastAsiaTheme="minorHAnsi"/>
                <w:sz w:val="18"/>
                <w:szCs w:val="18"/>
                <w:lang w:val="tr-TR"/>
              </w:rPr>
              <w:t>.</w:t>
            </w:r>
          </w:p>
          <w:p w14:paraId="13A402AD" w14:textId="77777777" w:rsidR="00747261" w:rsidRPr="001A4B94" w:rsidRDefault="00747261" w:rsidP="00747261">
            <w:pPr>
              <w:spacing w:after="160" w:line="259" w:lineRule="auto"/>
              <w:contextualSpacing/>
              <w:rPr>
                <w:rFonts w:eastAsiaTheme="minorHAnsi"/>
                <w:b/>
                <w:sz w:val="18"/>
                <w:szCs w:val="18"/>
                <w:lang w:val="tr-TR"/>
              </w:rPr>
            </w:pPr>
          </w:p>
        </w:tc>
        <w:tc>
          <w:tcPr>
            <w:tcW w:w="2500" w:type="pct"/>
            <w:vMerge/>
            <w:shd w:val="clear" w:color="auto" w:fill="auto"/>
          </w:tcPr>
          <w:p w14:paraId="16075621" w14:textId="77777777" w:rsidR="00747261" w:rsidRPr="001A4B94" w:rsidRDefault="00747261" w:rsidP="00747261">
            <w:pPr>
              <w:rPr>
                <w:rFonts w:eastAsiaTheme="minorEastAsia"/>
                <w:b/>
                <w:sz w:val="18"/>
                <w:szCs w:val="18"/>
                <w:lang w:val="tr-TR" w:eastAsia="ja-JP"/>
              </w:rPr>
            </w:pPr>
          </w:p>
        </w:tc>
      </w:tr>
    </w:tbl>
    <w:p w14:paraId="5A5D54CB" w14:textId="77777777" w:rsidR="00747261" w:rsidRPr="001A4B94" w:rsidRDefault="00747261" w:rsidP="00747261">
      <w:pPr>
        <w:spacing w:after="160" w:line="259" w:lineRule="auto"/>
        <w:rPr>
          <w:rFonts w:eastAsiaTheme="minorHAnsi"/>
          <w:sz w:val="18"/>
          <w:szCs w:val="18"/>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74"/>
        <w:gridCol w:w="6475"/>
      </w:tblGrid>
      <w:tr w:rsidR="00747261" w:rsidRPr="001A4B94" w14:paraId="708341B3" w14:textId="77777777" w:rsidTr="00747261">
        <w:trPr>
          <w:trHeight w:val="395"/>
        </w:trPr>
        <w:tc>
          <w:tcPr>
            <w:tcW w:w="5000" w:type="pct"/>
            <w:gridSpan w:val="3"/>
            <w:tcBorders>
              <w:bottom w:val="single" w:sz="4" w:space="0" w:color="auto"/>
            </w:tcBorders>
            <w:shd w:val="clear" w:color="auto" w:fill="F2F2F2" w:themeFill="background1" w:themeFillShade="F2"/>
            <w:vAlign w:val="center"/>
          </w:tcPr>
          <w:p w14:paraId="498AE515" w14:textId="077993C5" w:rsidR="00747261" w:rsidRPr="001A4B94" w:rsidRDefault="0033762A" w:rsidP="00747261">
            <w:pPr>
              <w:jc w:val="center"/>
              <w:rPr>
                <w:rFonts w:eastAsiaTheme="minorEastAsia"/>
                <w:b/>
                <w:sz w:val="18"/>
                <w:szCs w:val="18"/>
                <w:lang w:val="tr-TR" w:eastAsia="ja-JP"/>
              </w:rPr>
            </w:pPr>
            <w:r w:rsidRPr="001A4B94">
              <w:rPr>
                <w:rFonts w:eastAsiaTheme="minorEastAsia"/>
                <w:b/>
                <w:sz w:val="18"/>
                <w:szCs w:val="18"/>
                <w:lang w:val="tr-TR" w:eastAsia="ja-JP"/>
              </w:rPr>
              <w:t xml:space="preserve">Eksen </w:t>
            </w:r>
            <w:r w:rsidR="00747261" w:rsidRPr="001A4B94">
              <w:rPr>
                <w:rFonts w:eastAsiaTheme="minorEastAsia"/>
                <w:b/>
                <w:sz w:val="18"/>
                <w:szCs w:val="18"/>
                <w:lang w:val="tr-TR" w:eastAsia="ja-JP"/>
              </w:rPr>
              <w:t xml:space="preserve">3: </w:t>
            </w:r>
            <w:r w:rsidRPr="001A4B94">
              <w:rPr>
                <w:rFonts w:eastAsiaTheme="minorEastAsia"/>
                <w:b/>
                <w:sz w:val="18"/>
                <w:szCs w:val="18"/>
                <w:lang w:val="tr-TR" w:eastAsia="ja-JP"/>
              </w:rPr>
              <w:t xml:space="preserve">Sürdürülebilir Kalkınmanın Derinleştirilmesi  </w:t>
            </w:r>
            <w:r w:rsidR="00747261" w:rsidRPr="001A4B94">
              <w:rPr>
                <w:rFonts w:eastAsiaTheme="minorEastAsia"/>
                <w:b/>
                <w:sz w:val="18"/>
                <w:szCs w:val="18"/>
                <w:lang w:val="tr-TR" w:eastAsia="ja-JP"/>
              </w:rPr>
              <w:t xml:space="preserve">– </w:t>
            </w:r>
            <w:r w:rsidRPr="001A4B94">
              <w:rPr>
                <w:rFonts w:eastAsiaTheme="minorEastAsia"/>
                <w:b/>
                <w:color w:val="FF0000"/>
                <w:sz w:val="18"/>
                <w:szCs w:val="18"/>
                <w:lang w:val="tr-TR" w:eastAsia="ja-JP"/>
              </w:rPr>
              <w:t>Kısmen Başarıldı</w:t>
            </w:r>
          </w:p>
        </w:tc>
      </w:tr>
      <w:tr w:rsidR="00747261" w:rsidRPr="001A4B94" w14:paraId="1C6955F3" w14:textId="77777777" w:rsidTr="00747261">
        <w:trPr>
          <w:trHeight w:val="260"/>
        </w:trPr>
        <w:tc>
          <w:tcPr>
            <w:tcW w:w="5000" w:type="pct"/>
            <w:gridSpan w:val="3"/>
            <w:tcBorders>
              <w:bottom w:val="single" w:sz="4" w:space="0" w:color="auto"/>
            </w:tcBorders>
            <w:shd w:val="clear" w:color="auto" w:fill="D9D9D9" w:themeFill="background1" w:themeFillShade="D9"/>
          </w:tcPr>
          <w:p w14:paraId="767C5F85" w14:textId="388ADA49" w:rsidR="00747261" w:rsidRPr="001A4B94" w:rsidRDefault="0033762A" w:rsidP="00747261">
            <w:pPr>
              <w:rPr>
                <w:rFonts w:eastAsiaTheme="minorEastAsia"/>
                <w:b/>
                <w:sz w:val="18"/>
                <w:szCs w:val="18"/>
                <w:lang w:val="tr-TR" w:eastAsia="ja-JP"/>
              </w:rPr>
            </w:pPr>
            <w:r w:rsidRPr="001A4B94">
              <w:rPr>
                <w:rFonts w:eastAsiaTheme="minorEastAsia"/>
                <w:b/>
                <w:sz w:val="18"/>
                <w:szCs w:val="18"/>
                <w:lang w:val="tr-TR" w:eastAsia="ja-JP"/>
              </w:rPr>
              <w:t xml:space="preserve">Tematik Alan </w:t>
            </w:r>
            <w:r w:rsidR="00747261" w:rsidRPr="001A4B94">
              <w:rPr>
                <w:rFonts w:eastAsiaTheme="minorEastAsia"/>
                <w:b/>
                <w:sz w:val="18"/>
                <w:szCs w:val="18"/>
                <w:lang w:val="tr-TR" w:eastAsia="ja-JP"/>
              </w:rPr>
              <w:t xml:space="preserve">6: </w:t>
            </w:r>
            <w:r w:rsidR="00EA7939" w:rsidRPr="001A4B94">
              <w:rPr>
                <w:rFonts w:eastAsiaTheme="minorEastAsia"/>
                <w:b/>
                <w:sz w:val="18"/>
                <w:szCs w:val="18"/>
                <w:lang w:val="tr-TR" w:eastAsia="ja-JP"/>
              </w:rPr>
              <w:t xml:space="preserve"> Güvenilir ve verimli enerji arzının arttırılması; yenilenebilir enerji kaynaklarının daha fazla kullanılması ve uygulanmakta olan iklim eylemlerinin arttırılması –</w:t>
            </w:r>
            <w:r w:rsidR="00747261" w:rsidRPr="001A4B94">
              <w:rPr>
                <w:rFonts w:eastAsiaTheme="minorEastAsia"/>
                <w:b/>
                <w:sz w:val="18"/>
                <w:szCs w:val="18"/>
                <w:lang w:val="tr-TR" w:eastAsia="ja-JP"/>
              </w:rPr>
              <w:t xml:space="preserve"> </w:t>
            </w:r>
            <w:r w:rsidR="00EA7939" w:rsidRPr="001A4B94">
              <w:rPr>
                <w:rFonts w:eastAsiaTheme="minorEastAsia"/>
                <w:b/>
                <w:color w:val="FF0000"/>
                <w:sz w:val="18"/>
                <w:szCs w:val="18"/>
                <w:lang w:val="tr-TR" w:eastAsia="ja-JP"/>
              </w:rPr>
              <w:t xml:space="preserve">Tamamen Başarıldı </w:t>
            </w:r>
          </w:p>
        </w:tc>
      </w:tr>
      <w:tr w:rsidR="00B84644" w:rsidRPr="001A4B94" w14:paraId="30AC96B6" w14:textId="77777777" w:rsidTr="00747261">
        <w:trPr>
          <w:trHeight w:val="368"/>
        </w:trPr>
        <w:tc>
          <w:tcPr>
            <w:tcW w:w="1236" w:type="pct"/>
            <w:tcBorders>
              <w:bottom w:val="single" w:sz="4" w:space="0" w:color="auto"/>
            </w:tcBorders>
            <w:shd w:val="clear" w:color="auto" w:fill="auto"/>
          </w:tcPr>
          <w:p w14:paraId="1012FCA9" w14:textId="740009AC" w:rsidR="00B84644" w:rsidRPr="001A4B94" w:rsidRDefault="00B84644" w:rsidP="00B84644">
            <w:pPr>
              <w:spacing w:after="160" w:line="259" w:lineRule="auto"/>
              <w:rPr>
                <w:rFonts w:eastAsiaTheme="minorHAnsi"/>
                <w:b/>
                <w:bCs/>
                <w:sz w:val="18"/>
                <w:szCs w:val="18"/>
                <w:lang w:val="tr-TR"/>
              </w:rPr>
            </w:pPr>
            <w:r w:rsidRPr="001A4B94">
              <w:rPr>
                <w:rFonts w:eastAsiaTheme="minorHAnsi"/>
                <w:b/>
                <w:sz w:val="18"/>
                <w:szCs w:val="18"/>
                <w:lang w:val="tr-TR" w:bidi="en-US"/>
              </w:rPr>
              <w:t xml:space="preserve">DBG Sonuç Göstergeleri </w:t>
            </w:r>
          </w:p>
        </w:tc>
        <w:tc>
          <w:tcPr>
            <w:tcW w:w="1264" w:type="pct"/>
            <w:tcBorders>
              <w:bottom w:val="single" w:sz="4" w:space="0" w:color="auto"/>
            </w:tcBorders>
            <w:shd w:val="clear" w:color="auto" w:fill="auto"/>
          </w:tcPr>
          <w:p w14:paraId="421E7A78" w14:textId="407FFE46" w:rsidR="00B84644" w:rsidRPr="001A4B94" w:rsidRDefault="00B84644" w:rsidP="00B84644">
            <w:pPr>
              <w:spacing w:after="160" w:line="259" w:lineRule="auto"/>
              <w:rPr>
                <w:rFonts w:eastAsiaTheme="minorHAnsi"/>
                <w:sz w:val="18"/>
                <w:szCs w:val="18"/>
                <w:lang w:val="tr-TR"/>
              </w:rPr>
            </w:pPr>
            <w:r w:rsidRPr="001A4B94">
              <w:rPr>
                <w:rFonts w:eastAsiaTheme="minorHAnsi"/>
                <w:b/>
                <w:sz w:val="18"/>
                <w:szCs w:val="18"/>
                <w:lang w:val="tr-TR" w:bidi="en-US"/>
              </w:rPr>
              <w:t>Bugüne Kadar Kaydedilen İlerleme:</w:t>
            </w:r>
          </w:p>
        </w:tc>
        <w:tc>
          <w:tcPr>
            <w:tcW w:w="2500" w:type="pct"/>
            <w:vMerge w:val="restart"/>
            <w:shd w:val="clear" w:color="auto" w:fill="auto"/>
          </w:tcPr>
          <w:p w14:paraId="264D37B2" w14:textId="1D2C172F" w:rsidR="00B84644" w:rsidRPr="001A4B94" w:rsidRDefault="00A97D56" w:rsidP="00B84644">
            <w:pPr>
              <w:rPr>
                <w:rFonts w:eastAsiaTheme="minorEastAsia"/>
                <w:b/>
                <w:sz w:val="18"/>
                <w:szCs w:val="18"/>
                <w:lang w:val="tr-TR" w:eastAsia="ja-JP"/>
              </w:rPr>
            </w:pPr>
            <w:r w:rsidRPr="001A4B94">
              <w:rPr>
                <w:rFonts w:eastAsiaTheme="minorEastAsia"/>
                <w:b/>
                <w:sz w:val="18"/>
                <w:szCs w:val="18"/>
                <w:lang w:val="tr-TR" w:eastAsia="ja-JP"/>
              </w:rPr>
              <w:t>Finansman</w:t>
            </w:r>
            <w:r w:rsidR="00B84644" w:rsidRPr="001A4B94">
              <w:rPr>
                <w:rFonts w:eastAsiaTheme="minorEastAsia"/>
                <w:b/>
                <w:sz w:val="18"/>
                <w:szCs w:val="18"/>
                <w:lang w:val="tr-TR" w:eastAsia="ja-JP"/>
              </w:rPr>
              <w:t>:</w:t>
            </w:r>
          </w:p>
          <w:p w14:paraId="7B5E62EE" w14:textId="62819F95" w:rsidR="00B84644" w:rsidRPr="001A4B94" w:rsidRDefault="00A97D56" w:rsidP="00B84644">
            <w:pPr>
              <w:numPr>
                <w:ilvl w:val="0"/>
                <w:numId w:val="22"/>
              </w:numPr>
              <w:spacing w:after="160" w:line="259" w:lineRule="auto"/>
              <w:ind w:left="187" w:hanging="187"/>
              <w:contextualSpacing/>
              <w:rPr>
                <w:rFonts w:eastAsiaTheme="minorHAnsi"/>
                <w:sz w:val="18"/>
                <w:szCs w:val="18"/>
                <w:lang w:val="tr-TR"/>
              </w:rPr>
            </w:pPr>
            <w:r w:rsidRPr="001A4B94">
              <w:rPr>
                <w:rFonts w:eastAsia="Calibri"/>
                <w:sz w:val="18"/>
                <w:szCs w:val="18"/>
                <w:lang w:val="tr-TR"/>
              </w:rPr>
              <w:t xml:space="preserve">DPL – </w:t>
            </w:r>
            <w:r w:rsidRPr="001A4B94">
              <w:rPr>
                <w:rFonts w:eastAsiaTheme="minorHAnsi"/>
                <w:sz w:val="18"/>
                <w:szCs w:val="18"/>
                <w:lang w:val="tr-TR"/>
              </w:rPr>
              <w:t xml:space="preserve">Paylaşılan Büyümenin Sürdürülmesi I (2015 MY) </w:t>
            </w:r>
            <w:r w:rsidR="00B84644" w:rsidRPr="001A4B94">
              <w:rPr>
                <w:rFonts w:eastAsiaTheme="minorHAnsi"/>
                <w:sz w:val="18"/>
                <w:szCs w:val="18"/>
                <w:lang w:val="tr-TR"/>
              </w:rPr>
              <w:t>P146322</w:t>
            </w:r>
          </w:p>
          <w:p w14:paraId="6F06384C" w14:textId="52F1BAD4" w:rsidR="00B84644" w:rsidRPr="001A4B94" w:rsidRDefault="00A97D56"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Gaz</w:t>
            </w:r>
            <w:r w:rsidR="00B84644" w:rsidRPr="001A4B94">
              <w:rPr>
                <w:rFonts w:eastAsiaTheme="minorHAnsi"/>
                <w:sz w:val="18"/>
                <w:szCs w:val="18"/>
                <w:lang w:val="tr-TR"/>
              </w:rPr>
              <w:t xml:space="preserve"> </w:t>
            </w:r>
            <w:r w:rsidR="00B066A9" w:rsidRPr="001A4B94">
              <w:rPr>
                <w:rFonts w:eastAsiaTheme="minorHAnsi"/>
                <w:sz w:val="18"/>
                <w:szCs w:val="18"/>
                <w:lang w:val="tr-TR"/>
              </w:rPr>
              <w:t>Sektörü G</w:t>
            </w:r>
            <w:r w:rsidRPr="001A4B94">
              <w:rPr>
                <w:rFonts w:eastAsiaTheme="minorHAnsi"/>
                <w:sz w:val="18"/>
                <w:szCs w:val="18"/>
                <w:lang w:val="tr-TR"/>
              </w:rPr>
              <w:t xml:space="preserve">eliştirme Projesi </w:t>
            </w:r>
            <w:r w:rsidR="00B84644" w:rsidRPr="001A4B94">
              <w:rPr>
                <w:rFonts w:eastAsiaTheme="minorHAnsi"/>
                <w:sz w:val="18"/>
                <w:szCs w:val="18"/>
                <w:lang w:val="tr-TR"/>
              </w:rPr>
              <w:t xml:space="preserve">– </w:t>
            </w:r>
            <w:r w:rsidRPr="001A4B94">
              <w:rPr>
                <w:rFonts w:eastAsiaTheme="minorHAnsi"/>
                <w:sz w:val="18"/>
                <w:szCs w:val="18"/>
                <w:lang w:val="tr-TR"/>
              </w:rPr>
              <w:t xml:space="preserve">Ek Finansman </w:t>
            </w:r>
            <w:r w:rsidR="00B84644" w:rsidRPr="001A4B94">
              <w:rPr>
                <w:rFonts w:eastAsiaTheme="minorHAnsi"/>
                <w:sz w:val="18"/>
                <w:szCs w:val="18"/>
                <w:lang w:val="tr-TR"/>
              </w:rPr>
              <w:t>(</w:t>
            </w:r>
            <w:r w:rsidRPr="001A4B94">
              <w:rPr>
                <w:rFonts w:eastAsiaTheme="minorHAnsi"/>
                <w:sz w:val="18"/>
                <w:szCs w:val="18"/>
                <w:lang w:val="tr-TR"/>
              </w:rPr>
              <w:t>2015 MY</w:t>
            </w:r>
            <w:r w:rsidR="00B84644" w:rsidRPr="001A4B94">
              <w:rPr>
                <w:rFonts w:eastAsiaTheme="minorHAnsi"/>
                <w:sz w:val="18"/>
                <w:szCs w:val="18"/>
                <w:lang w:val="tr-TR"/>
              </w:rPr>
              <w:t xml:space="preserve">) P133565 </w:t>
            </w:r>
            <w:r w:rsidRPr="001A4B94">
              <w:rPr>
                <w:rFonts w:eastAsiaTheme="minorHAnsi"/>
                <w:sz w:val="18"/>
                <w:szCs w:val="18"/>
                <w:lang w:val="tr-TR"/>
              </w:rPr>
              <w:t xml:space="preserve">ve </w:t>
            </w:r>
            <w:r w:rsidR="00B84644" w:rsidRPr="001A4B94">
              <w:rPr>
                <w:rFonts w:eastAsiaTheme="minorHAnsi"/>
                <w:sz w:val="18"/>
                <w:szCs w:val="18"/>
                <w:lang w:val="tr-TR"/>
              </w:rPr>
              <w:t>CTF</w:t>
            </w:r>
          </w:p>
          <w:p w14:paraId="5CAAB4EB" w14:textId="74F86DF1" w:rsidR="00B84644" w:rsidRPr="001A4B94" w:rsidRDefault="00A97D56"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Yenileneb</w:t>
            </w:r>
            <w:r w:rsidR="00463DDB" w:rsidRPr="001A4B94">
              <w:rPr>
                <w:rFonts w:eastAsiaTheme="minorHAnsi"/>
                <w:sz w:val="18"/>
                <w:szCs w:val="18"/>
                <w:lang w:val="tr-TR"/>
              </w:rPr>
              <w:t>i</w:t>
            </w:r>
            <w:r w:rsidRPr="001A4B94">
              <w:rPr>
                <w:rFonts w:eastAsiaTheme="minorHAnsi"/>
                <w:sz w:val="18"/>
                <w:szCs w:val="18"/>
                <w:lang w:val="tr-TR"/>
              </w:rPr>
              <w:t>lir Enerji Altyapısı (TEİAŞ</w:t>
            </w:r>
            <w:r w:rsidR="00B84644" w:rsidRPr="001A4B94">
              <w:rPr>
                <w:rFonts w:eastAsiaTheme="minorHAnsi"/>
                <w:sz w:val="18"/>
                <w:szCs w:val="18"/>
                <w:lang w:val="tr-TR"/>
              </w:rPr>
              <w:t>) (</w:t>
            </w:r>
            <w:r w:rsidRPr="001A4B94">
              <w:rPr>
                <w:rFonts w:eastAsiaTheme="minorHAnsi"/>
                <w:sz w:val="18"/>
                <w:szCs w:val="18"/>
                <w:lang w:val="tr-TR"/>
              </w:rPr>
              <w:t>2014 MY</w:t>
            </w:r>
            <w:r w:rsidR="00B84644" w:rsidRPr="001A4B94">
              <w:rPr>
                <w:rFonts w:eastAsiaTheme="minorHAnsi"/>
                <w:sz w:val="18"/>
                <w:szCs w:val="18"/>
                <w:lang w:val="tr-TR"/>
              </w:rPr>
              <w:t>) P144534</w:t>
            </w:r>
          </w:p>
          <w:p w14:paraId="1BEB7836" w14:textId="260574BD" w:rsidR="00B84644" w:rsidRPr="001A4B94" w:rsidRDefault="00A97D56"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KOBİ Enerji Verimliliği </w:t>
            </w:r>
            <w:r w:rsidR="00B84644" w:rsidRPr="001A4B94">
              <w:rPr>
                <w:rFonts w:eastAsiaTheme="minorHAnsi"/>
                <w:sz w:val="18"/>
                <w:szCs w:val="18"/>
                <w:lang w:val="tr-TR"/>
              </w:rPr>
              <w:t>(</w:t>
            </w:r>
            <w:r w:rsidRPr="001A4B94">
              <w:rPr>
                <w:rFonts w:eastAsiaTheme="minorHAnsi"/>
                <w:sz w:val="18"/>
                <w:szCs w:val="18"/>
                <w:lang w:val="tr-TR"/>
              </w:rPr>
              <w:t>2013 MY</w:t>
            </w:r>
            <w:r w:rsidR="00B84644" w:rsidRPr="001A4B94">
              <w:rPr>
                <w:rFonts w:eastAsiaTheme="minorHAnsi"/>
                <w:sz w:val="18"/>
                <w:szCs w:val="18"/>
                <w:lang w:val="tr-TR"/>
              </w:rPr>
              <w:t xml:space="preserve">) P122178 </w:t>
            </w:r>
            <w:r w:rsidRPr="001A4B94">
              <w:rPr>
                <w:rFonts w:eastAsiaTheme="minorHAnsi"/>
                <w:sz w:val="18"/>
                <w:szCs w:val="18"/>
                <w:lang w:val="tr-TR"/>
              </w:rPr>
              <w:t xml:space="preserve">ve </w:t>
            </w:r>
            <w:r w:rsidR="00B84644" w:rsidRPr="001A4B94">
              <w:rPr>
                <w:rFonts w:eastAsiaTheme="minorHAnsi"/>
                <w:sz w:val="18"/>
                <w:szCs w:val="18"/>
                <w:lang w:val="tr-TR"/>
              </w:rPr>
              <w:t xml:space="preserve">GEF </w:t>
            </w:r>
            <w:r w:rsidRPr="001A4B94">
              <w:rPr>
                <w:rFonts w:eastAsiaTheme="minorHAnsi"/>
                <w:sz w:val="18"/>
                <w:szCs w:val="18"/>
                <w:lang w:val="tr-TR"/>
              </w:rPr>
              <w:t xml:space="preserve">katkısı </w:t>
            </w:r>
            <w:r w:rsidR="00B84644" w:rsidRPr="001A4B94">
              <w:rPr>
                <w:rFonts w:eastAsiaTheme="minorHAnsi"/>
                <w:sz w:val="18"/>
                <w:szCs w:val="18"/>
                <w:lang w:val="tr-TR"/>
              </w:rPr>
              <w:t>P132189</w:t>
            </w:r>
          </w:p>
          <w:p w14:paraId="336F651E" w14:textId="5BED5621" w:rsidR="00B84644" w:rsidRPr="001A4B94" w:rsidRDefault="00463DDB" w:rsidP="00B84644">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Özel Sektör Yenilenebilir Enerji ve Enerji Verimliliği Projesi </w:t>
            </w:r>
            <w:r w:rsidR="00B84644" w:rsidRPr="001A4B94">
              <w:rPr>
                <w:rFonts w:eastAsiaTheme="minorHAnsi"/>
                <w:sz w:val="18"/>
                <w:szCs w:val="18"/>
                <w:lang w:val="tr-TR"/>
              </w:rPr>
              <w:t xml:space="preserve">– </w:t>
            </w:r>
            <w:r w:rsidRPr="001A4B94">
              <w:rPr>
                <w:rFonts w:eastAsiaTheme="minorHAnsi"/>
                <w:sz w:val="18"/>
                <w:szCs w:val="18"/>
                <w:lang w:val="tr-TR"/>
              </w:rPr>
              <w:t xml:space="preserve">Ek Finansman </w:t>
            </w:r>
            <w:r w:rsidR="00B84644" w:rsidRPr="001A4B94">
              <w:rPr>
                <w:rFonts w:eastAsiaTheme="minorHAnsi"/>
                <w:sz w:val="18"/>
                <w:szCs w:val="18"/>
                <w:lang w:val="tr-TR"/>
              </w:rPr>
              <w:t>(</w:t>
            </w:r>
            <w:r w:rsidRPr="001A4B94">
              <w:rPr>
                <w:rFonts w:eastAsiaTheme="minorHAnsi"/>
                <w:sz w:val="18"/>
                <w:szCs w:val="18"/>
                <w:lang w:val="tr-TR"/>
              </w:rPr>
              <w:t>2012 MY</w:t>
            </w:r>
            <w:r w:rsidR="00B84644" w:rsidRPr="001A4B94">
              <w:rPr>
                <w:rFonts w:eastAsiaTheme="minorHAnsi"/>
                <w:sz w:val="18"/>
                <w:szCs w:val="18"/>
                <w:lang w:val="tr-TR"/>
              </w:rPr>
              <w:t>) P112578</w:t>
            </w:r>
          </w:p>
          <w:p w14:paraId="5386FDE6" w14:textId="5A3DBE9A" w:rsidR="00B84644" w:rsidRPr="001A4B94" w:rsidRDefault="00463DDB" w:rsidP="00B84644">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Üçüncü Program Odaklı Çevresel Sürdürülebilirlik ve Enerji Sektörü (ESES) Kalkınma Politikası Kredisi (DPL) </w:t>
            </w:r>
            <w:r w:rsidR="00B84644" w:rsidRPr="001A4B94">
              <w:rPr>
                <w:rFonts w:eastAsiaTheme="minorHAnsi"/>
                <w:sz w:val="18"/>
                <w:szCs w:val="18"/>
                <w:lang w:val="tr-TR"/>
              </w:rPr>
              <w:t>(</w:t>
            </w:r>
            <w:r w:rsidRPr="001A4B94">
              <w:rPr>
                <w:rFonts w:eastAsiaTheme="minorHAnsi"/>
                <w:sz w:val="18"/>
                <w:szCs w:val="18"/>
                <w:lang w:val="tr-TR"/>
              </w:rPr>
              <w:t>2012 MY</w:t>
            </w:r>
            <w:r w:rsidR="00B84644" w:rsidRPr="001A4B94">
              <w:rPr>
                <w:rFonts w:eastAsiaTheme="minorHAnsi"/>
                <w:sz w:val="18"/>
                <w:szCs w:val="18"/>
                <w:lang w:val="tr-TR"/>
              </w:rPr>
              <w:t>) P121651</w:t>
            </w:r>
          </w:p>
          <w:p w14:paraId="7CC73DC3" w14:textId="4EB4FB8A" w:rsidR="00B84644" w:rsidRPr="001A4B94" w:rsidRDefault="00463DDB" w:rsidP="00B84644">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Güneydoğu Avrupa Enerji Topluluğu (ECSEE) APL6 Projesi (2011 MY)</w:t>
            </w:r>
            <w:r w:rsidR="00B84644" w:rsidRPr="001A4B94">
              <w:rPr>
                <w:rFonts w:eastAsiaTheme="minorHAnsi"/>
                <w:sz w:val="18"/>
                <w:szCs w:val="18"/>
                <w:lang w:val="tr-TR"/>
              </w:rPr>
              <w:t xml:space="preserve"> P110841</w:t>
            </w:r>
          </w:p>
          <w:p w14:paraId="0299608C" w14:textId="277C0BBA" w:rsidR="00B84644" w:rsidRPr="001A4B94" w:rsidRDefault="00463DDB" w:rsidP="00B84644">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Özel Sektör Yenilenebilir Enerji ve Enerji Verimliliği Projesi </w:t>
            </w:r>
            <w:r w:rsidR="00B84644" w:rsidRPr="001A4B94">
              <w:rPr>
                <w:rFonts w:eastAsiaTheme="minorHAnsi"/>
                <w:sz w:val="18"/>
                <w:szCs w:val="18"/>
                <w:lang w:val="tr-TR"/>
              </w:rPr>
              <w:t>(</w:t>
            </w:r>
            <w:r w:rsidRPr="001A4B94">
              <w:rPr>
                <w:rFonts w:eastAsiaTheme="minorHAnsi"/>
                <w:sz w:val="18"/>
                <w:szCs w:val="18"/>
                <w:lang w:val="tr-TR"/>
              </w:rPr>
              <w:t>2009 MY</w:t>
            </w:r>
            <w:r w:rsidR="00B84644" w:rsidRPr="001A4B94">
              <w:rPr>
                <w:rFonts w:eastAsiaTheme="minorHAnsi"/>
                <w:sz w:val="18"/>
                <w:szCs w:val="18"/>
                <w:lang w:val="tr-TR"/>
              </w:rPr>
              <w:t>) P112578</w:t>
            </w:r>
          </w:p>
          <w:p w14:paraId="51199454" w14:textId="7A966660" w:rsidR="00B84644" w:rsidRPr="001A4B94" w:rsidRDefault="00463DDB" w:rsidP="00B84644">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Elektrik Dağıtım Rehabilitasyon Projesi </w:t>
            </w:r>
            <w:r w:rsidR="00B84644" w:rsidRPr="001A4B94">
              <w:rPr>
                <w:rFonts w:eastAsiaTheme="minorHAnsi"/>
                <w:sz w:val="18"/>
                <w:szCs w:val="18"/>
                <w:lang w:val="tr-TR"/>
              </w:rPr>
              <w:t>(</w:t>
            </w:r>
            <w:r w:rsidRPr="001A4B94">
              <w:rPr>
                <w:rFonts w:eastAsiaTheme="minorHAnsi"/>
                <w:sz w:val="18"/>
                <w:szCs w:val="18"/>
                <w:lang w:val="tr-TR"/>
              </w:rPr>
              <w:t>2007 MY</w:t>
            </w:r>
            <w:r w:rsidR="00B84644" w:rsidRPr="001A4B94">
              <w:rPr>
                <w:rFonts w:eastAsiaTheme="minorHAnsi"/>
                <w:sz w:val="18"/>
                <w:szCs w:val="18"/>
                <w:lang w:val="tr-TR"/>
              </w:rPr>
              <w:t>)</w:t>
            </w:r>
          </w:p>
          <w:p w14:paraId="5D5C4092" w14:textId="05A45CAE" w:rsidR="00B84644" w:rsidRPr="001A4B94" w:rsidRDefault="00476BA3"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lastRenderedPageBreak/>
              <w:t xml:space="preserve">Gaz Sektörü Geliştirme Projesi </w:t>
            </w:r>
            <w:r w:rsidR="00B84644" w:rsidRPr="001A4B94">
              <w:rPr>
                <w:rFonts w:eastAsiaTheme="minorHAnsi"/>
                <w:sz w:val="18"/>
                <w:szCs w:val="18"/>
                <w:lang w:val="tr-TR"/>
              </w:rPr>
              <w:t>(</w:t>
            </w:r>
            <w:r w:rsidRPr="001A4B94">
              <w:rPr>
                <w:rFonts w:eastAsiaTheme="minorHAnsi"/>
                <w:sz w:val="18"/>
                <w:szCs w:val="18"/>
                <w:lang w:val="tr-TR"/>
              </w:rPr>
              <w:t>2006 MY</w:t>
            </w:r>
            <w:r w:rsidR="00B84644" w:rsidRPr="001A4B94">
              <w:rPr>
                <w:rFonts w:eastAsiaTheme="minorHAnsi"/>
                <w:sz w:val="18"/>
                <w:szCs w:val="18"/>
                <w:lang w:val="tr-TR"/>
              </w:rPr>
              <w:t>) P093765</w:t>
            </w:r>
          </w:p>
          <w:p w14:paraId="3725FAA7" w14:textId="635B4ADE" w:rsidR="00B84644" w:rsidRPr="001A4B94" w:rsidRDefault="00476BA3"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Vakıf Fonu: AB/IPA Enerji Sektörü Teknik Yardım Projesi </w:t>
            </w:r>
            <w:r w:rsidR="00B84644" w:rsidRPr="001A4B94">
              <w:rPr>
                <w:rFonts w:eastAsiaTheme="minorHAnsi"/>
                <w:sz w:val="18"/>
                <w:szCs w:val="18"/>
                <w:lang w:val="tr-TR"/>
              </w:rPr>
              <w:t>I (</w:t>
            </w:r>
            <w:r w:rsidRPr="001A4B94">
              <w:rPr>
                <w:rFonts w:eastAsiaTheme="minorHAnsi"/>
                <w:sz w:val="18"/>
                <w:szCs w:val="18"/>
                <w:lang w:val="tr-TR"/>
              </w:rPr>
              <w:t>2014 MY</w:t>
            </w:r>
            <w:r w:rsidR="00B84644" w:rsidRPr="001A4B94">
              <w:rPr>
                <w:rFonts w:eastAsiaTheme="minorHAnsi"/>
                <w:sz w:val="18"/>
                <w:szCs w:val="18"/>
                <w:lang w:val="tr-TR"/>
              </w:rPr>
              <w:t>)</w:t>
            </w:r>
          </w:p>
          <w:p w14:paraId="470DBBCC" w14:textId="5CE275C9" w:rsidR="00B84644" w:rsidRPr="001A4B94" w:rsidRDefault="00476BA3"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Vakıf Fonu: AB/IPA Enerji Sektörü Teknik Yardım Projesi </w:t>
            </w:r>
            <w:r w:rsidR="00B84644" w:rsidRPr="001A4B94">
              <w:rPr>
                <w:rFonts w:eastAsiaTheme="minorHAnsi"/>
                <w:sz w:val="18"/>
                <w:szCs w:val="18"/>
                <w:lang w:val="tr-TR"/>
              </w:rPr>
              <w:t>I (</w:t>
            </w:r>
            <w:r w:rsidRPr="001A4B94">
              <w:rPr>
                <w:rFonts w:eastAsiaTheme="minorHAnsi"/>
                <w:sz w:val="18"/>
                <w:szCs w:val="18"/>
                <w:lang w:val="tr-TR"/>
              </w:rPr>
              <w:t>2015 MY</w:t>
            </w:r>
            <w:r w:rsidR="00B84644" w:rsidRPr="001A4B94">
              <w:rPr>
                <w:rFonts w:eastAsiaTheme="minorHAnsi"/>
                <w:sz w:val="18"/>
                <w:szCs w:val="18"/>
                <w:lang w:val="tr-TR"/>
              </w:rPr>
              <w:t>)</w:t>
            </w:r>
          </w:p>
          <w:p w14:paraId="74EA66DC" w14:textId="7B9738F5" w:rsidR="00B84644" w:rsidRPr="001A4B94" w:rsidRDefault="00476BA3"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Vakıf Fonu </w:t>
            </w:r>
            <w:r w:rsidR="00B84644" w:rsidRPr="001A4B94">
              <w:rPr>
                <w:rFonts w:eastAsiaTheme="minorHAnsi"/>
                <w:sz w:val="18"/>
                <w:szCs w:val="18"/>
                <w:lang w:val="tr-TR"/>
              </w:rPr>
              <w:t>PMR (</w:t>
            </w:r>
            <w:r w:rsidRPr="001A4B94">
              <w:rPr>
                <w:rFonts w:eastAsiaTheme="minorHAnsi"/>
                <w:sz w:val="18"/>
                <w:szCs w:val="18"/>
                <w:lang w:val="tr-TR"/>
              </w:rPr>
              <w:t>Piyasaya Hazırlık Ortaklığı</w:t>
            </w:r>
            <w:r w:rsidR="00B84644" w:rsidRPr="001A4B94">
              <w:rPr>
                <w:rFonts w:eastAsiaTheme="minorHAnsi"/>
                <w:sz w:val="18"/>
                <w:szCs w:val="18"/>
                <w:lang w:val="tr-TR"/>
              </w:rPr>
              <w:t xml:space="preserve">): </w:t>
            </w:r>
            <w:r w:rsidRPr="001A4B94">
              <w:rPr>
                <w:rFonts w:eastAsiaTheme="minorHAnsi"/>
                <w:sz w:val="18"/>
                <w:szCs w:val="18"/>
                <w:lang w:val="tr-TR"/>
              </w:rPr>
              <w:t xml:space="preserve">Karbon Piyasaları Girişimi </w:t>
            </w:r>
            <w:r w:rsidR="00B84644" w:rsidRPr="001A4B94">
              <w:rPr>
                <w:rFonts w:eastAsiaTheme="minorHAnsi"/>
                <w:sz w:val="18"/>
                <w:szCs w:val="18"/>
                <w:lang w:val="tr-TR"/>
              </w:rPr>
              <w:t>(</w:t>
            </w:r>
            <w:r w:rsidRPr="001A4B94">
              <w:rPr>
                <w:rFonts w:eastAsiaTheme="minorHAnsi"/>
                <w:sz w:val="18"/>
                <w:szCs w:val="18"/>
                <w:lang w:val="tr-TR"/>
              </w:rPr>
              <w:t>onay 2014 MY</w:t>
            </w:r>
            <w:r w:rsidR="00B84644" w:rsidRPr="001A4B94">
              <w:rPr>
                <w:rFonts w:eastAsiaTheme="minorHAnsi"/>
                <w:sz w:val="18"/>
                <w:szCs w:val="18"/>
                <w:lang w:val="tr-TR"/>
              </w:rPr>
              <w:t>) P126101</w:t>
            </w:r>
          </w:p>
          <w:p w14:paraId="5F78F963" w14:textId="0C13B9DF" w:rsidR="00B84644" w:rsidRPr="001A4B94" w:rsidRDefault="00476BA3"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Vakıf Fonu </w:t>
            </w:r>
            <w:r w:rsidR="00B84644" w:rsidRPr="001A4B94">
              <w:rPr>
                <w:rFonts w:eastAsiaTheme="minorHAnsi"/>
                <w:sz w:val="18"/>
                <w:szCs w:val="18"/>
                <w:lang w:val="tr-TR"/>
              </w:rPr>
              <w:t>CTF (</w:t>
            </w:r>
            <w:r w:rsidRPr="001A4B94">
              <w:rPr>
                <w:rFonts w:eastAsiaTheme="minorHAnsi"/>
                <w:sz w:val="18"/>
                <w:szCs w:val="18"/>
                <w:lang w:val="tr-TR"/>
              </w:rPr>
              <w:t>Temiz Teknoloji Fonu</w:t>
            </w:r>
            <w:r w:rsidR="00B84644" w:rsidRPr="001A4B94">
              <w:rPr>
                <w:rFonts w:eastAsiaTheme="minorHAnsi"/>
                <w:sz w:val="18"/>
                <w:szCs w:val="18"/>
                <w:lang w:val="tr-TR"/>
              </w:rPr>
              <w:t xml:space="preserve">): </w:t>
            </w:r>
            <w:r w:rsidR="00924488" w:rsidRPr="001A4B94">
              <w:rPr>
                <w:sz w:val="18"/>
                <w:szCs w:val="18"/>
                <w:lang w:val="tr-TR"/>
              </w:rPr>
              <w:t xml:space="preserve">Özel Sektör Yenilenebilir Enerji ve Enerji Verimliliği Projesi </w:t>
            </w:r>
            <w:r w:rsidR="00B84644" w:rsidRPr="001A4B94">
              <w:rPr>
                <w:rFonts w:eastAsiaTheme="minorHAnsi"/>
                <w:sz w:val="18"/>
                <w:szCs w:val="18"/>
                <w:lang w:val="tr-TR"/>
              </w:rPr>
              <w:t>(</w:t>
            </w:r>
            <w:r w:rsidR="00924488" w:rsidRPr="001A4B94">
              <w:rPr>
                <w:rFonts w:eastAsiaTheme="minorHAnsi"/>
                <w:sz w:val="18"/>
                <w:szCs w:val="18"/>
                <w:lang w:val="tr-TR"/>
              </w:rPr>
              <w:t>2009 MY</w:t>
            </w:r>
            <w:r w:rsidR="00B84644" w:rsidRPr="001A4B94">
              <w:rPr>
                <w:rFonts w:eastAsiaTheme="minorHAnsi"/>
                <w:sz w:val="18"/>
                <w:szCs w:val="18"/>
                <w:lang w:val="tr-TR"/>
              </w:rPr>
              <w:t>)</w:t>
            </w:r>
          </w:p>
          <w:p w14:paraId="3F04215C" w14:textId="7301072D" w:rsidR="00B84644" w:rsidRPr="001A4B94" w:rsidRDefault="00924488"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Vakıf Fonu </w:t>
            </w:r>
            <w:r w:rsidR="00B84644" w:rsidRPr="001A4B94">
              <w:rPr>
                <w:rFonts w:eastAsiaTheme="minorHAnsi"/>
                <w:sz w:val="18"/>
                <w:szCs w:val="18"/>
                <w:lang w:val="tr-TR"/>
              </w:rPr>
              <w:t>IFC GeoFund (</w:t>
            </w:r>
            <w:r w:rsidRPr="001A4B94">
              <w:rPr>
                <w:sz w:val="18"/>
                <w:szCs w:val="18"/>
                <w:lang w:val="tr-TR"/>
              </w:rPr>
              <w:t>Jeotermal Enerji Geliştirme Programı): Teknik Yardım (2011 MY)</w:t>
            </w:r>
          </w:p>
          <w:p w14:paraId="1C808A76" w14:textId="43D1B598" w:rsidR="00B84644" w:rsidRPr="001A4B94" w:rsidRDefault="00B84644"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IFC </w:t>
            </w:r>
            <w:r w:rsidR="00924488" w:rsidRPr="001A4B94">
              <w:rPr>
                <w:sz w:val="18"/>
                <w:szCs w:val="18"/>
                <w:lang w:val="tr-TR"/>
              </w:rPr>
              <w:t xml:space="preserve">Sürdürülebilir Enerji Finansmanı </w:t>
            </w:r>
          </w:p>
          <w:p w14:paraId="0A4C81A6" w14:textId="3F4542AC" w:rsidR="00B84644" w:rsidRPr="001A4B94" w:rsidRDefault="00B84644"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IFC </w:t>
            </w:r>
            <w:r w:rsidR="00924488" w:rsidRPr="001A4B94">
              <w:rPr>
                <w:sz w:val="18"/>
                <w:szCs w:val="18"/>
                <w:lang w:val="tr-TR"/>
              </w:rPr>
              <w:t>Yenilenebilir enerji projelerine finansman (jeotermal, hidro ve rüzgar)</w:t>
            </w:r>
          </w:p>
          <w:p w14:paraId="74953509" w14:textId="77777777" w:rsidR="00924488" w:rsidRPr="001A4B94" w:rsidRDefault="00B84644" w:rsidP="00BF696E">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IFC </w:t>
            </w:r>
            <w:r w:rsidR="00924488" w:rsidRPr="001A4B94">
              <w:rPr>
                <w:rFonts w:eastAsiaTheme="minorHAnsi"/>
                <w:sz w:val="18"/>
                <w:szCs w:val="18"/>
                <w:lang w:val="tr-TR"/>
              </w:rPr>
              <w:t xml:space="preserve">elektrik dağıtım şirketlerine yönelik finansman </w:t>
            </w:r>
          </w:p>
          <w:p w14:paraId="5D5E89E7" w14:textId="56CC2B74" w:rsidR="00B84644" w:rsidRPr="001A4B94" w:rsidRDefault="00924488" w:rsidP="00BF696E">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IF</w:t>
            </w:r>
            <w:r w:rsidR="00B84644" w:rsidRPr="001A4B94">
              <w:rPr>
                <w:rFonts w:eastAsiaTheme="minorHAnsi"/>
                <w:sz w:val="18"/>
                <w:szCs w:val="18"/>
                <w:lang w:val="tr-TR"/>
              </w:rPr>
              <w:t xml:space="preserve">C </w:t>
            </w:r>
            <w:r w:rsidRPr="001A4B94">
              <w:rPr>
                <w:rFonts w:eastAsiaTheme="minorHAnsi"/>
                <w:sz w:val="18"/>
                <w:szCs w:val="18"/>
                <w:lang w:val="tr-TR"/>
              </w:rPr>
              <w:t>enerji v</w:t>
            </w:r>
            <w:r w:rsidR="009D219F" w:rsidRPr="001A4B94">
              <w:rPr>
                <w:rFonts w:eastAsiaTheme="minorHAnsi"/>
                <w:sz w:val="18"/>
                <w:szCs w:val="18"/>
                <w:lang w:val="tr-TR"/>
              </w:rPr>
              <w:t>e</w:t>
            </w:r>
            <w:r w:rsidRPr="001A4B94">
              <w:rPr>
                <w:rFonts w:eastAsiaTheme="minorHAnsi"/>
                <w:sz w:val="18"/>
                <w:szCs w:val="18"/>
                <w:lang w:val="tr-TR"/>
              </w:rPr>
              <w:t xml:space="preserve">rimliliği projelerine yönelik finansman </w:t>
            </w:r>
          </w:p>
          <w:p w14:paraId="0EDD4A06" w14:textId="591F3D24" w:rsidR="00B84644" w:rsidRPr="001A4B94" w:rsidRDefault="00B84644" w:rsidP="00B84644">
            <w:pPr>
              <w:rPr>
                <w:rFonts w:eastAsiaTheme="minorEastAsia"/>
                <w:b/>
                <w:sz w:val="18"/>
                <w:szCs w:val="18"/>
                <w:lang w:val="tr-TR" w:eastAsia="ja-JP"/>
              </w:rPr>
            </w:pPr>
            <w:r w:rsidRPr="001A4B94">
              <w:rPr>
                <w:rFonts w:eastAsiaTheme="minorEastAsia"/>
                <w:b/>
                <w:sz w:val="18"/>
                <w:szCs w:val="18"/>
                <w:lang w:val="tr-TR" w:eastAsia="ja-JP"/>
              </w:rPr>
              <w:t xml:space="preserve"> </w:t>
            </w:r>
            <w:r w:rsidR="00924488" w:rsidRPr="001A4B94">
              <w:rPr>
                <w:rFonts w:eastAsiaTheme="minorEastAsia"/>
                <w:b/>
                <w:sz w:val="18"/>
                <w:szCs w:val="18"/>
                <w:lang w:val="tr-TR" w:eastAsia="ja-JP"/>
              </w:rPr>
              <w:t>Bilgi</w:t>
            </w:r>
            <w:r w:rsidRPr="001A4B94">
              <w:rPr>
                <w:rFonts w:eastAsiaTheme="minorEastAsia"/>
                <w:b/>
                <w:sz w:val="18"/>
                <w:szCs w:val="18"/>
                <w:lang w:val="tr-TR" w:eastAsia="ja-JP"/>
              </w:rPr>
              <w:t>:</w:t>
            </w:r>
          </w:p>
          <w:p w14:paraId="5A6D7942" w14:textId="3C67186C" w:rsidR="00B84644" w:rsidRPr="001A4B94" w:rsidRDefault="00B84644"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w:t>
            </w:r>
            <w:r w:rsidR="00924488" w:rsidRPr="001A4B94">
              <w:rPr>
                <w:rFonts w:eastAsiaTheme="minorHAnsi"/>
                <w:sz w:val="18"/>
                <w:szCs w:val="18"/>
                <w:lang w:val="tr-TR"/>
              </w:rPr>
              <w:t xml:space="preserve">ürkiye’nin Enerji Geçiş Deneyimleri </w:t>
            </w:r>
            <w:r w:rsidRPr="001A4B94">
              <w:rPr>
                <w:rFonts w:eastAsiaTheme="minorHAnsi"/>
                <w:sz w:val="18"/>
                <w:szCs w:val="18"/>
                <w:lang w:val="tr-TR"/>
              </w:rPr>
              <w:t xml:space="preserve">– </w:t>
            </w:r>
            <w:r w:rsidR="00924488" w:rsidRPr="001A4B94">
              <w:rPr>
                <w:rFonts w:eastAsiaTheme="minorHAnsi"/>
                <w:sz w:val="18"/>
                <w:szCs w:val="18"/>
                <w:lang w:val="tr-TR"/>
              </w:rPr>
              <w:t xml:space="preserve">Kilometre Taşları ve Zorluklar </w:t>
            </w:r>
            <w:r w:rsidRPr="001A4B94">
              <w:rPr>
                <w:rFonts w:eastAsiaTheme="minorHAnsi"/>
                <w:sz w:val="18"/>
                <w:szCs w:val="18"/>
                <w:lang w:val="tr-TR"/>
              </w:rPr>
              <w:t>(</w:t>
            </w:r>
            <w:r w:rsidR="00924488" w:rsidRPr="001A4B94">
              <w:rPr>
                <w:rFonts w:eastAsiaTheme="minorHAnsi"/>
                <w:sz w:val="18"/>
                <w:szCs w:val="18"/>
                <w:lang w:val="tr-TR"/>
              </w:rPr>
              <w:t>2016 MY</w:t>
            </w:r>
            <w:r w:rsidRPr="001A4B94">
              <w:rPr>
                <w:rFonts w:eastAsiaTheme="minorHAnsi"/>
                <w:sz w:val="18"/>
                <w:szCs w:val="18"/>
                <w:lang w:val="tr-TR"/>
              </w:rPr>
              <w:t>) P149638</w:t>
            </w:r>
          </w:p>
          <w:p w14:paraId="34D1B1D8" w14:textId="53498EF1" w:rsidR="00B84644" w:rsidRPr="001A4B94" w:rsidRDefault="00924488"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Enerji</w:t>
            </w:r>
            <w:r w:rsidR="00B84644" w:rsidRPr="001A4B94">
              <w:rPr>
                <w:rFonts w:eastAsiaTheme="minorHAnsi"/>
                <w:sz w:val="18"/>
                <w:szCs w:val="18"/>
                <w:lang w:val="tr-TR"/>
              </w:rPr>
              <w:t xml:space="preserve"> Reform</w:t>
            </w:r>
            <w:r w:rsidRPr="001A4B94">
              <w:rPr>
                <w:rFonts w:eastAsiaTheme="minorHAnsi"/>
                <w:sz w:val="18"/>
                <w:szCs w:val="18"/>
                <w:lang w:val="tr-TR"/>
              </w:rPr>
              <w:t>u</w:t>
            </w:r>
            <w:r w:rsidR="00B84644" w:rsidRPr="001A4B94">
              <w:rPr>
                <w:rFonts w:eastAsiaTheme="minorHAnsi"/>
                <w:sz w:val="18"/>
                <w:szCs w:val="18"/>
                <w:lang w:val="tr-TR"/>
              </w:rPr>
              <w:t xml:space="preserve"> </w:t>
            </w:r>
            <w:r w:rsidRPr="001A4B94">
              <w:rPr>
                <w:rFonts w:eastAsiaTheme="minorHAnsi"/>
                <w:sz w:val="18"/>
                <w:szCs w:val="18"/>
                <w:lang w:val="tr-TR"/>
              </w:rPr>
              <w:t xml:space="preserve">Kilometre Taşları ve Zorluklar </w:t>
            </w:r>
            <w:r w:rsidR="00B84644" w:rsidRPr="001A4B94">
              <w:rPr>
                <w:rFonts w:eastAsiaTheme="minorHAnsi"/>
                <w:sz w:val="18"/>
                <w:szCs w:val="18"/>
                <w:lang w:val="tr-TR"/>
              </w:rPr>
              <w:t>(</w:t>
            </w:r>
            <w:r w:rsidRPr="001A4B94">
              <w:rPr>
                <w:rFonts w:eastAsiaTheme="minorHAnsi"/>
                <w:sz w:val="18"/>
                <w:szCs w:val="18"/>
                <w:lang w:val="tr-TR"/>
              </w:rPr>
              <w:t>2015 MY</w:t>
            </w:r>
            <w:r w:rsidR="00B84644" w:rsidRPr="001A4B94">
              <w:rPr>
                <w:rFonts w:eastAsiaTheme="minorHAnsi"/>
                <w:sz w:val="18"/>
                <w:szCs w:val="18"/>
                <w:lang w:val="tr-TR"/>
              </w:rPr>
              <w:t>) P149638</w:t>
            </w:r>
          </w:p>
          <w:p w14:paraId="6BA06F47" w14:textId="2A5831BA" w:rsidR="00B84644" w:rsidRPr="001A4B94" w:rsidRDefault="00B84644"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w:t>
            </w:r>
            <w:r w:rsidR="00924488" w:rsidRPr="001A4B94">
              <w:rPr>
                <w:rFonts w:eastAsiaTheme="minorHAnsi"/>
                <w:sz w:val="18"/>
                <w:szCs w:val="18"/>
                <w:lang w:val="tr-TR"/>
              </w:rPr>
              <w:t>Y</w:t>
            </w:r>
            <w:r w:rsidRPr="001A4B94">
              <w:rPr>
                <w:rFonts w:eastAsiaTheme="minorHAnsi"/>
                <w:sz w:val="18"/>
                <w:szCs w:val="18"/>
                <w:lang w:val="tr-TR"/>
              </w:rPr>
              <w:t xml:space="preserve"> </w:t>
            </w:r>
            <w:r w:rsidR="00924488" w:rsidRPr="001A4B94">
              <w:rPr>
                <w:rFonts w:eastAsiaTheme="minorHAnsi"/>
                <w:sz w:val="18"/>
                <w:szCs w:val="18"/>
                <w:lang w:val="tr-TR"/>
              </w:rPr>
              <w:t>Enerji Verimlili</w:t>
            </w:r>
            <w:r w:rsidR="009D219F" w:rsidRPr="001A4B94">
              <w:rPr>
                <w:rFonts w:eastAsiaTheme="minorHAnsi"/>
                <w:sz w:val="18"/>
                <w:szCs w:val="18"/>
                <w:lang w:val="tr-TR"/>
              </w:rPr>
              <w:t>ği</w:t>
            </w:r>
            <w:r w:rsidR="00924488" w:rsidRPr="001A4B94">
              <w:rPr>
                <w:rFonts w:eastAsiaTheme="minorHAnsi"/>
                <w:sz w:val="18"/>
                <w:szCs w:val="18"/>
                <w:lang w:val="tr-TR"/>
              </w:rPr>
              <w:t xml:space="preserve"> Kurumsal İncelemesi </w:t>
            </w:r>
            <w:r w:rsidRPr="001A4B94">
              <w:rPr>
                <w:rFonts w:eastAsiaTheme="minorHAnsi"/>
                <w:sz w:val="18"/>
                <w:szCs w:val="18"/>
                <w:lang w:val="tr-TR"/>
              </w:rPr>
              <w:t>(</w:t>
            </w:r>
            <w:r w:rsidR="00924488" w:rsidRPr="001A4B94">
              <w:rPr>
                <w:rFonts w:eastAsiaTheme="minorHAnsi"/>
                <w:sz w:val="18"/>
                <w:szCs w:val="18"/>
                <w:lang w:val="tr-TR"/>
              </w:rPr>
              <w:t>2015 MY</w:t>
            </w:r>
            <w:r w:rsidRPr="001A4B94">
              <w:rPr>
                <w:rFonts w:eastAsiaTheme="minorHAnsi"/>
                <w:sz w:val="18"/>
                <w:szCs w:val="18"/>
                <w:lang w:val="tr-TR"/>
              </w:rPr>
              <w:t>) P146501</w:t>
            </w:r>
          </w:p>
          <w:p w14:paraId="04D9DF66" w14:textId="659556E3" w:rsidR="00B84644" w:rsidRPr="001A4B94" w:rsidRDefault="00B84644"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w:t>
            </w:r>
            <w:r w:rsidR="00924488" w:rsidRPr="001A4B94">
              <w:rPr>
                <w:rFonts w:eastAsiaTheme="minorHAnsi"/>
                <w:sz w:val="18"/>
                <w:szCs w:val="18"/>
                <w:lang w:val="tr-TR"/>
              </w:rPr>
              <w:t>Y</w:t>
            </w:r>
            <w:r w:rsidRPr="001A4B94">
              <w:rPr>
                <w:rFonts w:eastAsiaTheme="minorHAnsi"/>
                <w:sz w:val="18"/>
                <w:szCs w:val="18"/>
                <w:lang w:val="tr-TR"/>
              </w:rPr>
              <w:t xml:space="preserve"> </w:t>
            </w:r>
            <w:r w:rsidR="009D219F" w:rsidRPr="001A4B94">
              <w:rPr>
                <w:rFonts w:eastAsiaTheme="minorHAnsi"/>
                <w:sz w:val="18"/>
                <w:szCs w:val="18"/>
                <w:lang w:val="tr-TR"/>
              </w:rPr>
              <w:t xml:space="preserve">enerji sektöründe Sosyal İzleme </w:t>
            </w:r>
            <w:r w:rsidRPr="001A4B94">
              <w:rPr>
                <w:rFonts w:eastAsiaTheme="minorHAnsi"/>
                <w:sz w:val="18"/>
                <w:szCs w:val="18"/>
                <w:lang w:val="tr-TR"/>
              </w:rPr>
              <w:t>(</w:t>
            </w:r>
            <w:r w:rsidR="009D219F" w:rsidRPr="001A4B94">
              <w:rPr>
                <w:rFonts w:eastAsiaTheme="minorHAnsi"/>
                <w:sz w:val="18"/>
                <w:szCs w:val="18"/>
                <w:lang w:val="tr-TR"/>
              </w:rPr>
              <w:t>2015 MY</w:t>
            </w:r>
            <w:r w:rsidRPr="001A4B94">
              <w:rPr>
                <w:rFonts w:eastAsiaTheme="minorHAnsi"/>
                <w:sz w:val="18"/>
                <w:szCs w:val="18"/>
                <w:lang w:val="tr-TR"/>
              </w:rPr>
              <w:t>) P147496</w:t>
            </w:r>
          </w:p>
          <w:p w14:paraId="355BEF0C" w14:textId="10F3793C" w:rsidR="00B84644" w:rsidRPr="001A4B94" w:rsidRDefault="00B84644" w:rsidP="00B84644">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w:t>
            </w:r>
            <w:r w:rsidR="009D219F" w:rsidRPr="001A4B94">
              <w:rPr>
                <w:rFonts w:eastAsiaTheme="minorHAnsi"/>
                <w:sz w:val="18"/>
                <w:szCs w:val="18"/>
                <w:lang w:val="tr-TR"/>
              </w:rPr>
              <w:t>Y</w:t>
            </w:r>
            <w:r w:rsidRPr="001A4B94">
              <w:rPr>
                <w:rFonts w:eastAsiaTheme="minorHAnsi"/>
                <w:sz w:val="18"/>
                <w:szCs w:val="18"/>
                <w:lang w:val="tr-TR"/>
              </w:rPr>
              <w:t xml:space="preserve"> </w:t>
            </w:r>
            <w:r w:rsidR="009D219F" w:rsidRPr="001A4B94">
              <w:rPr>
                <w:rFonts w:eastAsiaTheme="minorHAnsi"/>
                <w:sz w:val="18"/>
                <w:szCs w:val="18"/>
                <w:lang w:val="tr-TR"/>
              </w:rPr>
              <w:t xml:space="preserve">Elektrik Piyasası </w:t>
            </w:r>
            <w:r w:rsidRPr="001A4B94">
              <w:rPr>
                <w:rFonts w:eastAsiaTheme="minorHAnsi"/>
                <w:sz w:val="18"/>
                <w:szCs w:val="18"/>
                <w:lang w:val="tr-TR"/>
              </w:rPr>
              <w:t>(</w:t>
            </w:r>
            <w:r w:rsidR="009D219F" w:rsidRPr="001A4B94">
              <w:rPr>
                <w:rFonts w:eastAsiaTheme="minorHAnsi"/>
                <w:sz w:val="18"/>
                <w:szCs w:val="18"/>
                <w:lang w:val="tr-TR"/>
              </w:rPr>
              <w:t>2012 MY</w:t>
            </w:r>
            <w:r w:rsidRPr="001A4B94">
              <w:rPr>
                <w:rFonts w:eastAsiaTheme="minorHAnsi"/>
                <w:sz w:val="18"/>
                <w:szCs w:val="18"/>
                <w:lang w:val="tr-TR"/>
              </w:rPr>
              <w:t>) P114534</w:t>
            </w:r>
          </w:p>
          <w:p w14:paraId="22EE7288" w14:textId="0CDE5553" w:rsidR="00B84644" w:rsidRPr="001A4B94" w:rsidRDefault="009D219F" w:rsidP="00B84644">
            <w:pPr>
              <w:numPr>
                <w:ilvl w:val="0"/>
                <w:numId w:val="22"/>
              </w:numPr>
              <w:spacing w:after="160" w:line="259" w:lineRule="auto"/>
              <w:ind w:left="187" w:hanging="187"/>
              <w:contextualSpacing/>
              <w:rPr>
                <w:rFonts w:eastAsiaTheme="minorHAnsi"/>
                <w:b/>
                <w:bCs/>
                <w:sz w:val="18"/>
                <w:szCs w:val="18"/>
                <w:lang w:val="tr-TR"/>
              </w:rPr>
            </w:pPr>
            <w:r w:rsidRPr="001A4B94">
              <w:rPr>
                <w:rFonts w:eastAsiaTheme="minorHAnsi"/>
                <w:sz w:val="18"/>
                <w:szCs w:val="18"/>
                <w:lang w:val="tr-TR"/>
              </w:rPr>
              <w:t xml:space="preserve">Vakıf Fonu Enerji Verimliliğinin Kolaylaştırılması </w:t>
            </w:r>
            <w:r w:rsidR="00B84644" w:rsidRPr="001A4B94">
              <w:rPr>
                <w:rFonts w:eastAsiaTheme="minorHAnsi"/>
                <w:sz w:val="18"/>
                <w:szCs w:val="18"/>
                <w:lang w:val="tr-TR"/>
              </w:rPr>
              <w:t>(ESMAP) (</w:t>
            </w:r>
            <w:r w:rsidRPr="001A4B94">
              <w:rPr>
                <w:rFonts w:eastAsiaTheme="minorHAnsi"/>
                <w:sz w:val="18"/>
                <w:szCs w:val="18"/>
                <w:lang w:val="tr-TR"/>
              </w:rPr>
              <w:t>2012 MY</w:t>
            </w:r>
            <w:r w:rsidR="00B84644" w:rsidRPr="001A4B94">
              <w:rPr>
                <w:rFonts w:eastAsiaTheme="minorHAnsi"/>
                <w:sz w:val="18"/>
                <w:szCs w:val="18"/>
                <w:lang w:val="tr-TR"/>
              </w:rPr>
              <w:t>) P130578</w:t>
            </w:r>
          </w:p>
        </w:tc>
      </w:tr>
      <w:tr w:rsidR="00747261" w:rsidRPr="001A4B94" w14:paraId="7D405AB1" w14:textId="77777777" w:rsidTr="00747261">
        <w:trPr>
          <w:trHeight w:val="977"/>
        </w:trPr>
        <w:tc>
          <w:tcPr>
            <w:tcW w:w="1236" w:type="pct"/>
            <w:tcBorders>
              <w:bottom w:val="single" w:sz="4" w:space="0" w:color="auto"/>
            </w:tcBorders>
            <w:shd w:val="clear" w:color="auto" w:fill="auto"/>
          </w:tcPr>
          <w:p w14:paraId="681E8CA5" w14:textId="46606437" w:rsidR="00747261" w:rsidRPr="001A4B94" w:rsidRDefault="009C03AA" w:rsidP="00747261">
            <w:pPr>
              <w:spacing w:after="160" w:line="259" w:lineRule="auto"/>
              <w:contextualSpacing/>
              <w:rPr>
                <w:rFonts w:eastAsiaTheme="minorHAnsi"/>
                <w:b/>
                <w:sz w:val="18"/>
                <w:szCs w:val="18"/>
                <w:lang w:val="tr-TR" w:bidi="en-US"/>
              </w:rPr>
            </w:pPr>
            <w:r w:rsidRPr="001A4B94">
              <w:rPr>
                <w:rFonts w:eastAsiaTheme="minorHAnsi"/>
                <w:b/>
                <w:i/>
                <w:sz w:val="18"/>
                <w:szCs w:val="18"/>
                <w:lang w:val="tr-TR"/>
              </w:rPr>
              <w:t>Sonuç</w:t>
            </w:r>
            <w:r w:rsidR="00747261" w:rsidRPr="001A4B94">
              <w:rPr>
                <w:rFonts w:eastAsiaTheme="minorHAnsi"/>
                <w:b/>
                <w:i/>
                <w:sz w:val="18"/>
                <w:szCs w:val="18"/>
                <w:lang w:val="tr-TR"/>
              </w:rPr>
              <w:t xml:space="preserve"> 1:</w:t>
            </w:r>
            <w:r w:rsidR="00747261" w:rsidRPr="001A4B94">
              <w:rPr>
                <w:rFonts w:eastAsiaTheme="minorHAnsi"/>
                <w:sz w:val="18"/>
                <w:szCs w:val="18"/>
                <w:lang w:val="tr-TR"/>
              </w:rPr>
              <w:t xml:space="preserve"> </w:t>
            </w:r>
            <w:r w:rsidRPr="001A4B94">
              <w:rPr>
                <w:sz w:val="18"/>
                <w:szCs w:val="18"/>
                <w:lang w:val="tr-TR"/>
              </w:rPr>
              <w:t>2015 yılına kadar en az 10.000 MW yeni üretim kapasitesinin eklenmesiyle güvenilir ve verimli enerji arzının arttırılması</w:t>
            </w:r>
            <w:r w:rsidR="00747261" w:rsidRPr="001A4B94">
              <w:rPr>
                <w:rFonts w:eastAsiaTheme="minorHAnsi"/>
                <w:sz w:val="18"/>
                <w:szCs w:val="18"/>
                <w:lang w:val="tr-TR"/>
              </w:rPr>
              <w:t>.</w:t>
            </w:r>
            <w:r w:rsidR="00747261" w:rsidRPr="001A4B94">
              <w:rPr>
                <w:rFonts w:eastAsiaTheme="minorHAnsi"/>
                <w:color w:val="FF0000"/>
                <w:sz w:val="18"/>
                <w:szCs w:val="18"/>
                <w:lang w:val="tr-TR"/>
              </w:rPr>
              <w:t xml:space="preserve"> </w:t>
            </w:r>
          </w:p>
        </w:tc>
        <w:tc>
          <w:tcPr>
            <w:tcW w:w="1264" w:type="pct"/>
            <w:tcBorders>
              <w:bottom w:val="single" w:sz="4" w:space="0" w:color="auto"/>
            </w:tcBorders>
            <w:shd w:val="clear" w:color="auto" w:fill="auto"/>
          </w:tcPr>
          <w:p w14:paraId="77068F8C" w14:textId="4822258C" w:rsidR="00747261" w:rsidRPr="001A4B94" w:rsidRDefault="006762C4" w:rsidP="00747261">
            <w:pPr>
              <w:spacing w:after="160" w:line="259" w:lineRule="auto"/>
              <w:rPr>
                <w:rFonts w:eastAsiaTheme="minorHAnsi"/>
                <w:b/>
                <w:sz w:val="22"/>
                <w:szCs w:val="22"/>
                <w:lang w:val="tr-TR" w:bidi="en-US"/>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CC6382" w:rsidRPr="001A4B94">
              <w:rPr>
                <w:rFonts w:eastAsiaTheme="minorHAnsi"/>
                <w:sz w:val="18"/>
                <w:szCs w:val="18"/>
                <w:lang w:val="tr-TR"/>
              </w:rPr>
              <w:t>Üretim kapasitesi 2015 sonu itib</w:t>
            </w:r>
            <w:r w:rsidR="00175193" w:rsidRPr="001A4B94">
              <w:rPr>
                <w:rFonts w:eastAsiaTheme="minorHAnsi"/>
                <w:sz w:val="18"/>
                <w:szCs w:val="18"/>
                <w:lang w:val="tr-TR"/>
              </w:rPr>
              <w:t>a</w:t>
            </w:r>
            <w:r w:rsidR="00CC6382" w:rsidRPr="001A4B94">
              <w:rPr>
                <w:rFonts w:eastAsiaTheme="minorHAnsi"/>
                <w:sz w:val="18"/>
                <w:szCs w:val="18"/>
                <w:lang w:val="tr-TR"/>
              </w:rPr>
              <w:t>riyle</w:t>
            </w:r>
            <w:r w:rsidR="00175193" w:rsidRPr="001A4B94">
              <w:rPr>
                <w:rFonts w:eastAsiaTheme="minorHAnsi"/>
                <w:sz w:val="18"/>
                <w:szCs w:val="18"/>
                <w:lang w:val="tr-TR"/>
              </w:rPr>
              <w:t xml:space="preserve"> neredeyse 24.000 MW’lık bir artış ile (2010 sonuna göre) yaklaşık 73.000 MW’a ulaşmıştır</w:t>
            </w:r>
            <w:r w:rsidR="00747261" w:rsidRPr="001A4B94">
              <w:rPr>
                <w:rFonts w:eastAsiaTheme="minorHAnsi"/>
                <w:sz w:val="18"/>
                <w:szCs w:val="18"/>
                <w:lang w:val="tr-TR"/>
              </w:rPr>
              <w:t>.</w:t>
            </w:r>
          </w:p>
        </w:tc>
        <w:tc>
          <w:tcPr>
            <w:tcW w:w="2500" w:type="pct"/>
            <w:vMerge/>
            <w:shd w:val="clear" w:color="auto" w:fill="auto"/>
          </w:tcPr>
          <w:p w14:paraId="51BDE67E" w14:textId="77777777" w:rsidR="00747261" w:rsidRPr="001A4B94" w:rsidRDefault="00747261" w:rsidP="00747261">
            <w:pPr>
              <w:rPr>
                <w:rFonts w:eastAsiaTheme="minorEastAsia"/>
                <w:b/>
                <w:sz w:val="18"/>
                <w:szCs w:val="18"/>
                <w:lang w:val="tr-TR" w:eastAsia="ja-JP"/>
              </w:rPr>
            </w:pPr>
          </w:p>
        </w:tc>
      </w:tr>
      <w:tr w:rsidR="00747261" w:rsidRPr="001A4B94" w14:paraId="3D5B36C9" w14:textId="77777777" w:rsidTr="00747261">
        <w:trPr>
          <w:trHeight w:val="1215"/>
        </w:trPr>
        <w:tc>
          <w:tcPr>
            <w:tcW w:w="1236" w:type="pct"/>
            <w:tcBorders>
              <w:bottom w:val="single" w:sz="4" w:space="0" w:color="auto"/>
            </w:tcBorders>
            <w:shd w:val="clear" w:color="auto" w:fill="auto"/>
          </w:tcPr>
          <w:p w14:paraId="28E44039" w14:textId="72EDCA39" w:rsidR="00747261" w:rsidRPr="001A4B94" w:rsidRDefault="009C03AA" w:rsidP="00747261">
            <w:pPr>
              <w:spacing w:after="160" w:line="259" w:lineRule="auto"/>
              <w:contextualSpacing/>
              <w:rPr>
                <w:rFonts w:eastAsiaTheme="minorHAnsi"/>
                <w:b/>
                <w:i/>
                <w:sz w:val="18"/>
                <w:szCs w:val="18"/>
                <w:lang w:val="tr-TR"/>
              </w:rPr>
            </w:pPr>
            <w:r w:rsidRPr="001A4B94">
              <w:rPr>
                <w:rFonts w:eastAsiaTheme="minorHAnsi"/>
                <w:b/>
                <w:i/>
                <w:sz w:val="18"/>
                <w:szCs w:val="18"/>
                <w:lang w:val="tr-TR"/>
              </w:rPr>
              <w:t xml:space="preserve">Sonuç </w:t>
            </w:r>
            <w:r w:rsidR="00747261" w:rsidRPr="001A4B94">
              <w:rPr>
                <w:rFonts w:eastAsiaTheme="minorHAnsi"/>
                <w:b/>
                <w:i/>
                <w:sz w:val="18"/>
                <w:szCs w:val="18"/>
                <w:lang w:val="tr-TR"/>
              </w:rPr>
              <w:t xml:space="preserve">2: </w:t>
            </w:r>
            <w:r w:rsidRPr="001A4B94">
              <w:rPr>
                <w:sz w:val="18"/>
                <w:szCs w:val="18"/>
                <w:lang w:val="tr-TR"/>
              </w:rPr>
              <w:t>2009 yılında yüzde  19,7 olan (yüzde 18 i</w:t>
            </w:r>
            <w:r w:rsidR="00CA4F96" w:rsidRPr="001A4B94">
              <w:rPr>
                <w:sz w:val="18"/>
                <w:szCs w:val="18"/>
                <w:lang w:val="tr-TR"/>
              </w:rPr>
              <w:t>d</w:t>
            </w:r>
            <w:r w:rsidRPr="001A4B94">
              <w:rPr>
                <w:sz w:val="18"/>
                <w:szCs w:val="18"/>
                <w:lang w:val="tr-TR"/>
              </w:rPr>
              <w:t>i, düzeltildi) yenilenebilir enerji kaynaklarından elektrik üretiminin toplam elektrik üretimi içindeki payının 2015 yılında %30 veya daha yükseğe çıkarılması</w:t>
            </w:r>
            <w:r w:rsidRPr="001A4B94">
              <w:rPr>
                <w:rFonts w:eastAsiaTheme="minorHAnsi"/>
                <w:sz w:val="18"/>
                <w:szCs w:val="18"/>
                <w:lang w:val="tr-TR"/>
              </w:rPr>
              <w:t xml:space="preserve"> </w:t>
            </w:r>
            <w:r w:rsidR="00747261" w:rsidRPr="001A4B94">
              <w:rPr>
                <w:rFonts w:eastAsiaTheme="minorHAnsi"/>
                <w:sz w:val="18"/>
                <w:szCs w:val="18"/>
                <w:lang w:val="tr-TR"/>
              </w:rPr>
              <w:t xml:space="preserve">. </w:t>
            </w:r>
          </w:p>
        </w:tc>
        <w:tc>
          <w:tcPr>
            <w:tcW w:w="1264" w:type="pct"/>
            <w:tcBorders>
              <w:bottom w:val="single" w:sz="4" w:space="0" w:color="auto"/>
            </w:tcBorders>
            <w:shd w:val="clear" w:color="auto" w:fill="auto"/>
          </w:tcPr>
          <w:p w14:paraId="5780915D" w14:textId="2A39E6A9" w:rsidR="00747261" w:rsidRPr="001A4B94" w:rsidRDefault="006762C4" w:rsidP="00747261">
            <w:pPr>
              <w:spacing w:after="160" w:line="259" w:lineRule="auto"/>
              <w:rPr>
                <w:rFonts w:eastAsiaTheme="minorHAnsi"/>
                <w:b/>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175193" w:rsidRPr="001A4B94">
              <w:rPr>
                <w:sz w:val="18"/>
                <w:szCs w:val="18"/>
                <w:lang w:val="tr-TR"/>
              </w:rPr>
              <w:t xml:space="preserve">Yenilenebilir enerji kaynaklarından elektrik üretimi 2015 yılı itibariyle toplam üretimin yüzde 31,5’ini oluşturmuştur. </w:t>
            </w:r>
          </w:p>
        </w:tc>
        <w:tc>
          <w:tcPr>
            <w:tcW w:w="2500" w:type="pct"/>
            <w:vMerge/>
            <w:shd w:val="clear" w:color="auto" w:fill="auto"/>
          </w:tcPr>
          <w:p w14:paraId="7A5581A3" w14:textId="77777777" w:rsidR="00747261" w:rsidRPr="001A4B94" w:rsidRDefault="00747261" w:rsidP="00747261">
            <w:pPr>
              <w:rPr>
                <w:rFonts w:eastAsiaTheme="minorEastAsia"/>
                <w:b/>
                <w:sz w:val="18"/>
                <w:szCs w:val="18"/>
                <w:lang w:val="tr-TR" w:eastAsia="ja-JP"/>
              </w:rPr>
            </w:pPr>
          </w:p>
        </w:tc>
      </w:tr>
      <w:tr w:rsidR="00747261" w:rsidRPr="001A4B94" w14:paraId="3B6E579C" w14:textId="77777777" w:rsidTr="00747261">
        <w:trPr>
          <w:trHeight w:val="1335"/>
        </w:trPr>
        <w:tc>
          <w:tcPr>
            <w:tcW w:w="1236" w:type="pct"/>
            <w:tcBorders>
              <w:bottom w:val="single" w:sz="4" w:space="0" w:color="auto"/>
            </w:tcBorders>
            <w:shd w:val="clear" w:color="auto" w:fill="auto"/>
          </w:tcPr>
          <w:p w14:paraId="6F519E80" w14:textId="12C0996B" w:rsidR="00747261" w:rsidRPr="001A4B94" w:rsidRDefault="0094137E" w:rsidP="00747261">
            <w:pPr>
              <w:spacing w:after="160" w:line="259" w:lineRule="auto"/>
              <w:contextualSpacing/>
              <w:rPr>
                <w:rFonts w:eastAsiaTheme="minorHAnsi"/>
                <w:sz w:val="18"/>
                <w:szCs w:val="18"/>
                <w:lang w:val="tr-TR"/>
              </w:rPr>
            </w:pPr>
            <w:r w:rsidRPr="001A4B94">
              <w:rPr>
                <w:rFonts w:eastAsiaTheme="minorHAnsi"/>
                <w:b/>
                <w:i/>
                <w:sz w:val="18"/>
                <w:szCs w:val="18"/>
                <w:lang w:val="tr-TR"/>
              </w:rPr>
              <w:lastRenderedPageBreak/>
              <w:t>Sonuç</w:t>
            </w:r>
            <w:r w:rsidR="00747261" w:rsidRPr="001A4B94">
              <w:rPr>
                <w:rFonts w:eastAsiaTheme="minorHAnsi"/>
                <w:b/>
                <w:i/>
                <w:sz w:val="18"/>
                <w:szCs w:val="18"/>
                <w:lang w:val="tr-TR"/>
              </w:rPr>
              <w:t xml:space="preserve"> 3: </w:t>
            </w:r>
            <w:r w:rsidR="00A84525" w:rsidRPr="001A4B94">
              <w:rPr>
                <w:sz w:val="18"/>
                <w:szCs w:val="18"/>
                <w:lang w:val="tr-TR"/>
              </w:rPr>
              <w:t>IFC’nin elektrik üretim / dağıtım portföy şirketleri yoluyla 2015 MY’na kadar yaklaşık 7,2 milyon elektrik tüketicisine ulaşması</w:t>
            </w:r>
            <w:r w:rsidR="00747261" w:rsidRPr="001A4B94">
              <w:rPr>
                <w:rFonts w:eastAsiaTheme="minorHAnsi"/>
                <w:sz w:val="18"/>
                <w:szCs w:val="18"/>
                <w:lang w:val="tr-TR"/>
              </w:rPr>
              <w:t xml:space="preserve">. </w:t>
            </w:r>
          </w:p>
          <w:p w14:paraId="293A7A67" w14:textId="20638307" w:rsidR="00747261" w:rsidRPr="001A4B94" w:rsidRDefault="00A84525" w:rsidP="00747261">
            <w:pPr>
              <w:spacing w:after="160" w:line="259" w:lineRule="auto"/>
              <w:contextualSpacing/>
              <w:rPr>
                <w:rFonts w:eastAsiaTheme="minorHAnsi"/>
                <w:b/>
                <w:i/>
                <w:sz w:val="18"/>
                <w:szCs w:val="18"/>
                <w:lang w:val="tr-TR"/>
              </w:rPr>
            </w:pPr>
            <w:r w:rsidRPr="001A4B94">
              <w:rPr>
                <w:rFonts w:eastAsiaTheme="minorHAnsi"/>
                <w:b/>
                <w:sz w:val="18"/>
                <w:szCs w:val="18"/>
                <w:lang w:val="tr-TR" w:bidi="en-US"/>
              </w:rPr>
              <w:t>Başlangıç Durumu</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2011 MY itibariyle 4,1 milyon mü</w:t>
            </w:r>
            <w:r w:rsidR="003C3002" w:rsidRPr="001A4B94">
              <w:rPr>
                <w:rFonts w:eastAsiaTheme="minorHAnsi"/>
                <w:sz w:val="18"/>
                <w:szCs w:val="18"/>
                <w:lang w:val="tr-TR"/>
              </w:rPr>
              <w:t>ş</w:t>
            </w:r>
            <w:r w:rsidRPr="001A4B94">
              <w:rPr>
                <w:rFonts w:eastAsiaTheme="minorHAnsi"/>
                <w:sz w:val="18"/>
                <w:szCs w:val="18"/>
                <w:lang w:val="tr-TR"/>
              </w:rPr>
              <w:t>teri</w:t>
            </w:r>
            <w:r w:rsidR="00747261" w:rsidRPr="001A4B94">
              <w:rPr>
                <w:rFonts w:eastAsiaTheme="minorHAnsi"/>
                <w:b/>
                <w:i/>
                <w:sz w:val="18"/>
                <w:szCs w:val="18"/>
                <w:lang w:val="tr-TR"/>
              </w:rPr>
              <w:t>.</w:t>
            </w:r>
          </w:p>
          <w:p w14:paraId="43769C75" w14:textId="26F5AFEC" w:rsidR="00747261" w:rsidRPr="001A4B94" w:rsidRDefault="003C3002" w:rsidP="00747261">
            <w:pPr>
              <w:spacing w:after="160" w:line="259" w:lineRule="auto"/>
              <w:contextualSpacing/>
              <w:rPr>
                <w:rFonts w:eastAsiaTheme="minorHAnsi"/>
                <w:sz w:val="18"/>
                <w:szCs w:val="18"/>
                <w:lang w:val="tr-TR"/>
              </w:rPr>
            </w:pPr>
            <w:r w:rsidRPr="001A4B94">
              <w:rPr>
                <w:rFonts w:eastAsiaTheme="minorHAnsi"/>
                <w:b/>
                <w:sz w:val="18"/>
                <w:szCs w:val="18"/>
                <w:lang w:val="tr-TR"/>
              </w:rPr>
              <w:t>Hedef</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00A84525" w:rsidRPr="001A4B94">
              <w:rPr>
                <w:rFonts w:eastAsiaTheme="minorHAnsi"/>
                <w:sz w:val="18"/>
                <w:szCs w:val="18"/>
                <w:lang w:val="tr-TR"/>
              </w:rPr>
              <w:t xml:space="preserve">2015 MY itibariyle </w:t>
            </w:r>
            <w:r w:rsidR="00747261" w:rsidRPr="001A4B94">
              <w:rPr>
                <w:rFonts w:eastAsiaTheme="minorHAnsi"/>
                <w:sz w:val="18"/>
                <w:szCs w:val="18"/>
                <w:lang w:val="tr-TR"/>
              </w:rPr>
              <w:t>7</w:t>
            </w:r>
            <w:r w:rsidR="00A84525" w:rsidRPr="001A4B94">
              <w:rPr>
                <w:rFonts w:eastAsiaTheme="minorHAnsi"/>
                <w:sz w:val="18"/>
                <w:szCs w:val="18"/>
                <w:lang w:val="tr-TR"/>
              </w:rPr>
              <w:t>,</w:t>
            </w:r>
            <w:r w:rsidR="00747261" w:rsidRPr="001A4B94">
              <w:rPr>
                <w:rFonts w:eastAsiaTheme="minorHAnsi"/>
                <w:sz w:val="18"/>
                <w:szCs w:val="18"/>
                <w:lang w:val="tr-TR"/>
              </w:rPr>
              <w:t xml:space="preserve">2 </w:t>
            </w:r>
            <w:r w:rsidR="00A84525" w:rsidRPr="001A4B94">
              <w:rPr>
                <w:rFonts w:eastAsiaTheme="minorHAnsi"/>
                <w:sz w:val="18"/>
                <w:szCs w:val="18"/>
                <w:lang w:val="tr-TR"/>
              </w:rPr>
              <w:t>milyon müşteri</w:t>
            </w:r>
            <w:r w:rsidR="00747261" w:rsidRPr="001A4B94">
              <w:rPr>
                <w:rFonts w:eastAsiaTheme="minorHAnsi"/>
                <w:sz w:val="18"/>
                <w:szCs w:val="18"/>
                <w:lang w:val="tr-TR"/>
              </w:rPr>
              <w:t>.</w:t>
            </w:r>
          </w:p>
          <w:p w14:paraId="385D0294" w14:textId="77777777" w:rsidR="00747261" w:rsidRPr="001A4B94" w:rsidRDefault="00747261" w:rsidP="00747261">
            <w:pPr>
              <w:spacing w:after="160" w:line="259" w:lineRule="auto"/>
              <w:contextualSpacing/>
              <w:rPr>
                <w:rFonts w:eastAsiaTheme="minorHAnsi"/>
                <w:b/>
                <w:i/>
                <w:sz w:val="18"/>
                <w:szCs w:val="18"/>
                <w:lang w:val="tr-TR"/>
              </w:rPr>
            </w:pPr>
          </w:p>
        </w:tc>
        <w:tc>
          <w:tcPr>
            <w:tcW w:w="1264" w:type="pct"/>
            <w:tcBorders>
              <w:bottom w:val="single" w:sz="4" w:space="0" w:color="auto"/>
            </w:tcBorders>
            <w:shd w:val="clear" w:color="auto" w:fill="auto"/>
          </w:tcPr>
          <w:p w14:paraId="6338CBF1" w14:textId="313EE685" w:rsidR="00747261" w:rsidRPr="001A4B94" w:rsidRDefault="006762C4" w:rsidP="00747261">
            <w:pPr>
              <w:spacing w:after="160" w:line="259" w:lineRule="auto"/>
              <w:rPr>
                <w:rFonts w:eastAsiaTheme="minorHAnsi"/>
                <w:b/>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3727CE" w:rsidRPr="001A4B94">
              <w:rPr>
                <w:sz w:val="18"/>
                <w:szCs w:val="18"/>
                <w:lang w:val="tr-TR"/>
              </w:rPr>
              <w:t xml:space="preserve">IFC’nin elektrik üretim / dağıtım portföy şirketleri yoluyla </w:t>
            </w:r>
            <w:r w:rsidR="00747261" w:rsidRPr="001A4B94">
              <w:rPr>
                <w:rFonts w:eastAsiaTheme="minorHAnsi"/>
                <w:sz w:val="18"/>
                <w:szCs w:val="18"/>
                <w:lang w:val="tr-TR"/>
              </w:rPr>
              <w:t>7</w:t>
            </w:r>
            <w:r w:rsidR="003727CE" w:rsidRPr="001A4B94">
              <w:rPr>
                <w:rFonts w:eastAsiaTheme="minorHAnsi"/>
                <w:sz w:val="18"/>
                <w:szCs w:val="18"/>
                <w:lang w:val="tr-TR"/>
              </w:rPr>
              <w:t>,</w:t>
            </w:r>
            <w:r w:rsidR="00747261" w:rsidRPr="001A4B94">
              <w:rPr>
                <w:rFonts w:eastAsiaTheme="minorHAnsi"/>
                <w:sz w:val="18"/>
                <w:szCs w:val="18"/>
                <w:lang w:val="tr-TR"/>
              </w:rPr>
              <w:t xml:space="preserve">5 </w:t>
            </w:r>
            <w:r w:rsidR="003727CE" w:rsidRPr="001A4B94">
              <w:rPr>
                <w:sz w:val="18"/>
                <w:szCs w:val="18"/>
                <w:lang w:val="tr-TR"/>
              </w:rPr>
              <w:t>milyon elektrik tüketicisine ulaşıldı</w:t>
            </w:r>
            <w:r w:rsidR="00747261" w:rsidRPr="001A4B94">
              <w:rPr>
                <w:rFonts w:eastAsiaTheme="minorHAnsi"/>
                <w:sz w:val="18"/>
                <w:szCs w:val="18"/>
                <w:lang w:val="tr-TR"/>
              </w:rPr>
              <w:t>.</w:t>
            </w:r>
          </w:p>
          <w:p w14:paraId="14F4D723" w14:textId="77777777" w:rsidR="00747261" w:rsidRPr="001A4B94" w:rsidRDefault="00747261" w:rsidP="00747261">
            <w:pPr>
              <w:spacing w:after="160" w:line="259" w:lineRule="auto"/>
              <w:rPr>
                <w:rFonts w:eastAsiaTheme="minorHAnsi"/>
                <w:b/>
                <w:sz w:val="18"/>
                <w:szCs w:val="18"/>
                <w:lang w:val="tr-TR"/>
              </w:rPr>
            </w:pPr>
          </w:p>
        </w:tc>
        <w:tc>
          <w:tcPr>
            <w:tcW w:w="2500" w:type="pct"/>
            <w:vMerge/>
            <w:shd w:val="clear" w:color="auto" w:fill="auto"/>
          </w:tcPr>
          <w:p w14:paraId="0FEE137D" w14:textId="77777777" w:rsidR="00747261" w:rsidRPr="001A4B94" w:rsidRDefault="00747261" w:rsidP="00747261">
            <w:pPr>
              <w:rPr>
                <w:rFonts w:eastAsiaTheme="minorEastAsia"/>
                <w:b/>
                <w:sz w:val="18"/>
                <w:szCs w:val="18"/>
                <w:lang w:val="tr-TR" w:eastAsia="ja-JP"/>
              </w:rPr>
            </w:pPr>
          </w:p>
        </w:tc>
      </w:tr>
      <w:tr w:rsidR="00747261" w:rsidRPr="001A4B94" w14:paraId="184A1B83" w14:textId="77777777" w:rsidTr="00747261">
        <w:trPr>
          <w:trHeight w:val="1115"/>
        </w:trPr>
        <w:tc>
          <w:tcPr>
            <w:tcW w:w="1236" w:type="pct"/>
            <w:tcBorders>
              <w:bottom w:val="single" w:sz="4" w:space="0" w:color="auto"/>
            </w:tcBorders>
            <w:shd w:val="clear" w:color="auto" w:fill="auto"/>
          </w:tcPr>
          <w:p w14:paraId="1323D42A" w14:textId="5FD8939C" w:rsidR="00747261" w:rsidRPr="001A4B94" w:rsidRDefault="00F2133A" w:rsidP="00747261">
            <w:pPr>
              <w:spacing w:after="160" w:line="259" w:lineRule="auto"/>
              <w:contextualSpacing/>
              <w:rPr>
                <w:rFonts w:eastAsiaTheme="minorHAnsi"/>
                <w:b/>
                <w:sz w:val="18"/>
                <w:szCs w:val="18"/>
                <w:lang w:val="tr-TR" w:bidi="en-US"/>
              </w:rPr>
            </w:pPr>
            <w:r w:rsidRPr="001A4B94">
              <w:rPr>
                <w:rFonts w:eastAsiaTheme="minorHAnsi"/>
                <w:b/>
                <w:i/>
                <w:sz w:val="18"/>
                <w:szCs w:val="18"/>
                <w:lang w:val="tr-TR"/>
              </w:rPr>
              <w:t xml:space="preserve">Sonuç </w:t>
            </w:r>
            <w:r w:rsidR="00747261" w:rsidRPr="001A4B94">
              <w:rPr>
                <w:rFonts w:eastAsiaTheme="minorHAnsi"/>
                <w:b/>
                <w:i/>
                <w:sz w:val="18"/>
                <w:szCs w:val="18"/>
                <w:lang w:val="tr-TR"/>
              </w:rPr>
              <w:t xml:space="preserve">4: </w:t>
            </w:r>
            <w:r w:rsidR="0038788A" w:rsidRPr="001A4B94">
              <w:rPr>
                <w:rFonts w:eastAsiaTheme="minorHAnsi"/>
                <w:sz w:val="18"/>
                <w:szCs w:val="18"/>
                <w:lang w:val="tr-TR"/>
              </w:rPr>
              <w:t>KOBİ YE ve EV kredi hatları yoluyla</w:t>
            </w:r>
            <w:r w:rsidR="0038788A" w:rsidRPr="001A4B94">
              <w:rPr>
                <w:rFonts w:eastAsiaTheme="minorHAnsi"/>
                <w:b/>
                <w:i/>
                <w:sz w:val="18"/>
                <w:szCs w:val="18"/>
                <w:lang w:val="tr-TR"/>
              </w:rPr>
              <w:t xml:space="preserve"> </w:t>
            </w:r>
            <w:r w:rsidR="0038788A" w:rsidRPr="001A4B94">
              <w:rPr>
                <w:rFonts w:eastAsiaTheme="minorHAnsi"/>
                <w:sz w:val="18"/>
                <w:szCs w:val="18"/>
                <w:lang w:val="tr-TR"/>
              </w:rPr>
              <w:t>4.372 GWh veya 2013 toplam yıllık talebinin yüzde 1,5’i kadar kümülatif enerji tasarrufu sağlanması</w:t>
            </w:r>
            <w:r w:rsidR="00747261" w:rsidRPr="001A4B94">
              <w:rPr>
                <w:rFonts w:eastAsiaTheme="minorHAnsi"/>
                <w:sz w:val="18"/>
                <w:szCs w:val="18"/>
                <w:lang w:val="tr-TR"/>
              </w:rPr>
              <w:t xml:space="preserve">.  </w:t>
            </w:r>
          </w:p>
        </w:tc>
        <w:tc>
          <w:tcPr>
            <w:tcW w:w="1264" w:type="pct"/>
            <w:tcBorders>
              <w:bottom w:val="single" w:sz="4" w:space="0" w:color="auto"/>
            </w:tcBorders>
            <w:shd w:val="clear" w:color="auto" w:fill="auto"/>
          </w:tcPr>
          <w:p w14:paraId="608F1696" w14:textId="346B6F38" w:rsidR="00747261" w:rsidRPr="001A4B94" w:rsidRDefault="003727CE" w:rsidP="00747261">
            <w:pPr>
              <w:spacing w:after="160" w:line="259" w:lineRule="auto"/>
              <w:rPr>
                <w:rFonts w:eastAsiaTheme="minorHAnsi"/>
                <w:sz w:val="18"/>
                <w:szCs w:val="18"/>
                <w:lang w:val="tr-TR"/>
              </w:rPr>
            </w:pPr>
            <w:r w:rsidRPr="001A4B94">
              <w:rPr>
                <w:rFonts w:eastAsiaTheme="minorHAnsi"/>
                <w:b/>
                <w:sz w:val="18"/>
                <w:szCs w:val="18"/>
                <w:lang w:val="tr-TR"/>
              </w:rPr>
              <w:t>Kısmen karşılandı</w:t>
            </w:r>
            <w:r w:rsidR="00747261" w:rsidRPr="001A4B94">
              <w:rPr>
                <w:rFonts w:eastAsiaTheme="minorHAnsi"/>
                <w:b/>
                <w:sz w:val="18"/>
                <w:szCs w:val="18"/>
                <w:lang w:val="tr-TR"/>
              </w:rPr>
              <w:t xml:space="preserve">. </w:t>
            </w:r>
            <w:r w:rsidRPr="001A4B94">
              <w:rPr>
                <w:sz w:val="18"/>
                <w:szCs w:val="18"/>
                <w:lang w:val="tr-TR"/>
              </w:rPr>
              <w:t xml:space="preserve">Özel Sektör Yenilenebilir Enerji ve Enerji Verimliliği Projesi  ile KOBİ YR ve EV projeleri sayesinde sağlana  kümülatif enerji tasarrufu Haziran 2016 itibariyle </w:t>
            </w:r>
            <w:r w:rsidR="00747261" w:rsidRPr="001A4B94">
              <w:rPr>
                <w:rFonts w:eastAsiaTheme="minorHAnsi"/>
                <w:sz w:val="18"/>
                <w:szCs w:val="18"/>
                <w:lang w:val="tr-TR"/>
              </w:rPr>
              <w:t>3</w:t>
            </w:r>
            <w:r w:rsidRPr="001A4B94">
              <w:rPr>
                <w:rFonts w:eastAsiaTheme="minorHAnsi"/>
                <w:sz w:val="18"/>
                <w:szCs w:val="18"/>
                <w:lang w:val="tr-TR"/>
              </w:rPr>
              <w:t>.</w:t>
            </w:r>
            <w:r w:rsidR="00747261" w:rsidRPr="001A4B94">
              <w:rPr>
                <w:rFonts w:eastAsiaTheme="minorHAnsi"/>
                <w:sz w:val="18"/>
                <w:szCs w:val="18"/>
                <w:lang w:val="tr-TR"/>
              </w:rPr>
              <w:t>772 GWh</w:t>
            </w:r>
            <w:r w:rsidRPr="001A4B94">
              <w:rPr>
                <w:rFonts w:eastAsiaTheme="minorHAnsi"/>
                <w:sz w:val="18"/>
                <w:szCs w:val="18"/>
                <w:lang w:val="tr-TR"/>
              </w:rPr>
              <w:t>’e ulaştı</w:t>
            </w:r>
            <w:r w:rsidR="00747261" w:rsidRPr="001A4B94">
              <w:rPr>
                <w:rFonts w:eastAsiaTheme="minorHAnsi"/>
                <w:sz w:val="18"/>
                <w:szCs w:val="18"/>
                <w:lang w:val="tr-TR"/>
              </w:rPr>
              <w:t>.</w:t>
            </w:r>
          </w:p>
        </w:tc>
        <w:tc>
          <w:tcPr>
            <w:tcW w:w="2500" w:type="pct"/>
            <w:vMerge/>
            <w:shd w:val="clear" w:color="auto" w:fill="auto"/>
          </w:tcPr>
          <w:p w14:paraId="6C6275B2" w14:textId="77777777" w:rsidR="00747261" w:rsidRPr="001A4B94" w:rsidRDefault="00747261" w:rsidP="00747261">
            <w:pPr>
              <w:rPr>
                <w:rFonts w:eastAsiaTheme="minorEastAsia"/>
                <w:b/>
                <w:sz w:val="18"/>
                <w:szCs w:val="18"/>
                <w:lang w:val="tr-TR" w:eastAsia="ja-JP"/>
              </w:rPr>
            </w:pPr>
          </w:p>
        </w:tc>
      </w:tr>
      <w:tr w:rsidR="00747261" w:rsidRPr="001A4B94" w14:paraId="27349397" w14:textId="77777777" w:rsidTr="00747261">
        <w:trPr>
          <w:trHeight w:val="2325"/>
        </w:trPr>
        <w:tc>
          <w:tcPr>
            <w:tcW w:w="1236" w:type="pct"/>
            <w:tcBorders>
              <w:bottom w:val="single" w:sz="4" w:space="0" w:color="auto"/>
            </w:tcBorders>
            <w:shd w:val="clear" w:color="auto" w:fill="auto"/>
          </w:tcPr>
          <w:p w14:paraId="6E0E2F27" w14:textId="37439E58" w:rsidR="00747261" w:rsidRPr="001A4B94" w:rsidRDefault="00F2133A" w:rsidP="00747261">
            <w:pPr>
              <w:spacing w:after="160" w:line="259" w:lineRule="auto"/>
              <w:contextualSpacing/>
              <w:rPr>
                <w:rFonts w:eastAsiaTheme="minorHAnsi"/>
                <w:sz w:val="18"/>
                <w:szCs w:val="18"/>
                <w:lang w:val="tr-TR"/>
              </w:rPr>
            </w:pPr>
            <w:r w:rsidRPr="001A4B94">
              <w:rPr>
                <w:rFonts w:eastAsiaTheme="minorHAnsi"/>
                <w:b/>
                <w:i/>
                <w:sz w:val="18"/>
                <w:szCs w:val="18"/>
                <w:lang w:val="tr-TR"/>
              </w:rPr>
              <w:t xml:space="preserve">Sonuç </w:t>
            </w:r>
            <w:r w:rsidR="00747261" w:rsidRPr="001A4B94">
              <w:rPr>
                <w:rFonts w:eastAsiaTheme="minorHAnsi"/>
                <w:b/>
                <w:i/>
                <w:sz w:val="18"/>
                <w:szCs w:val="18"/>
                <w:lang w:val="tr-TR"/>
              </w:rPr>
              <w:t>5:</w:t>
            </w:r>
            <w:r w:rsidR="00747261" w:rsidRPr="001A4B94">
              <w:rPr>
                <w:rFonts w:eastAsiaTheme="minorHAnsi"/>
                <w:sz w:val="18"/>
                <w:szCs w:val="18"/>
                <w:lang w:val="tr-TR"/>
              </w:rPr>
              <w:t xml:space="preserve"> </w:t>
            </w:r>
            <w:r w:rsidR="0038788A" w:rsidRPr="001A4B94">
              <w:rPr>
                <w:rFonts w:eastAsiaTheme="minorHAnsi"/>
                <w:sz w:val="18"/>
                <w:szCs w:val="18"/>
                <w:lang w:val="tr-TR"/>
              </w:rPr>
              <w:t xml:space="preserve">Türkiye’nin enerji güvenliği için kritik </w:t>
            </w:r>
            <w:r w:rsidR="003727CE" w:rsidRPr="001A4B94">
              <w:rPr>
                <w:rFonts w:eastAsiaTheme="minorHAnsi"/>
                <w:sz w:val="18"/>
                <w:szCs w:val="18"/>
                <w:lang w:val="tr-TR"/>
              </w:rPr>
              <w:t>önem taşıyan gaz depolama kapasit</w:t>
            </w:r>
            <w:r w:rsidR="00B066A9" w:rsidRPr="001A4B94">
              <w:rPr>
                <w:rFonts w:eastAsiaTheme="minorHAnsi"/>
                <w:sz w:val="18"/>
                <w:szCs w:val="18"/>
                <w:lang w:val="tr-TR"/>
              </w:rPr>
              <w:t>e</w:t>
            </w:r>
            <w:r w:rsidR="003727CE" w:rsidRPr="001A4B94">
              <w:rPr>
                <w:rFonts w:eastAsiaTheme="minorHAnsi"/>
                <w:sz w:val="18"/>
                <w:szCs w:val="18"/>
                <w:lang w:val="tr-TR"/>
              </w:rPr>
              <w:t>sinin arttırılması</w:t>
            </w:r>
            <w:r w:rsidR="00747261" w:rsidRPr="001A4B94">
              <w:rPr>
                <w:rFonts w:eastAsiaTheme="minorHAnsi"/>
                <w:sz w:val="18"/>
                <w:szCs w:val="18"/>
                <w:lang w:val="tr-TR"/>
              </w:rPr>
              <w:t xml:space="preserve">.   </w:t>
            </w:r>
          </w:p>
          <w:p w14:paraId="3133DEB5" w14:textId="77777777" w:rsidR="00747261" w:rsidRPr="001A4B94" w:rsidRDefault="00747261" w:rsidP="00747261">
            <w:pPr>
              <w:spacing w:after="160" w:line="259" w:lineRule="auto"/>
              <w:ind w:left="187"/>
              <w:contextualSpacing/>
              <w:rPr>
                <w:rFonts w:eastAsiaTheme="minorHAnsi"/>
                <w:sz w:val="18"/>
                <w:szCs w:val="18"/>
                <w:lang w:val="tr-TR"/>
              </w:rPr>
            </w:pPr>
          </w:p>
          <w:p w14:paraId="2DF3A331" w14:textId="3FB65BC5" w:rsidR="00747261" w:rsidRPr="001A4B94" w:rsidRDefault="003727CE" w:rsidP="00747261">
            <w:pPr>
              <w:spacing w:after="160" w:line="259" w:lineRule="auto"/>
              <w:contextualSpacing/>
              <w:rPr>
                <w:rFonts w:eastAsiaTheme="minorHAnsi"/>
                <w:sz w:val="18"/>
                <w:szCs w:val="18"/>
                <w:lang w:val="tr-TR"/>
              </w:rPr>
            </w:pPr>
            <w:r w:rsidRPr="001A4B94">
              <w:rPr>
                <w:rFonts w:eastAsiaTheme="minorHAnsi"/>
                <w:b/>
                <w:sz w:val="18"/>
                <w:szCs w:val="18"/>
                <w:lang w:val="tr-TR"/>
              </w:rPr>
              <w:t>Başlangıç Durumu</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 xml:space="preserve">2013 yılında </w:t>
            </w:r>
            <w:r w:rsidR="00747261" w:rsidRPr="001A4B94">
              <w:rPr>
                <w:rFonts w:eastAsiaTheme="minorHAnsi"/>
                <w:sz w:val="18"/>
                <w:szCs w:val="18"/>
                <w:lang w:val="tr-TR"/>
              </w:rPr>
              <w:t>2</w:t>
            </w:r>
            <w:r w:rsidRPr="001A4B94">
              <w:rPr>
                <w:rFonts w:eastAsiaTheme="minorHAnsi"/>
                <w:sz w:val="18"/>
                <w:szCs w:val="18"/>
                <w:lang w:val="tr-TR"/>
              </w:rPr>
              <w:t>,</w:t>
            </w:r>
            <w:r w:rsidR="00747261" w:rsidRPr="001A4B94">
              <w:rPr>
                <w:rFonts w:eastAsiaTheme="minorHAnsi"/>
                <w:sz w:val="18"/>
                <w:szCs w:val="18"/>
                <w:lang w:val="tr-TR"/>
              </w:rPr>
              <w:t xml:space="preserve">6 bcm </w:t>
            </w:r>
          </w:p>
          <w:p w14:paraId="76C855AE" w14:textId="782007E7" w:rsidR="00747261" w:rsidRPr="001A4B94" w:rsidRDefault="003727CE" w:rsidP="00747261">
            <w:pPr>
              <w:spacing w:after="160" w:line="259" w:lineRule="auto"/>
              <w:contextualSpacing/>
              <w:rPr>
                <w:rFonts w:eastAsiaTheme="minorHAnsi"/>
                <w:sz w:val="18"/>
                <w:szCs w:val="18"/>
                <w:lang w:val="tr-TR"/>
              </w:rPr>
            </w:pPr>
            <w:r w:rsidRPr="001A4B94">
              <w:rPr>
                <w:rFonts w:eastAsiaTheme="minorHAnsi"/>
                <w:b/>
                <w:sz w:val="18"/>
                <w:szCs w:val="18"/>
                <w:lang w:val="tr-TR"/>
              </w:rPr>
              <w:t>Hedef</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Tuz Gölü doğal gaz depolama tesisinin birinci be ikinci aşamalarının tamamlanm</w:t>
            </w:r>
            <w:r w:rsidR="00B066A9" w:rsidRPr="001A4B94">
              <w:rPr>
                <w:rFonts w:eastAsiaTheme="minorHAnsi"/>
                <w:sz w:val="18"/>
                <w:szCs w:val="18"/>
                <w:lang w:val="tr-TR"/>
              </w:rPr>
              <w:t>a</w:t>
            </w:r>
            <w:r w:rsidRPr="001A4B94">
              <w:rPr>
                <w:rFonts w:eastAsiaTheme="minorHAnsi"/>
                <w:sz w:val="18"/>
                <w:szCs w:val="18"/>
                <w:lang w:val="tr-TR"/>
              </w:rPr>
              <w:t>sı ile birl</w:t>
            </w:r>
            <w:r w:rsidR="00B066A9" w:rsidRPr="001A4B94">
              <w:rPr>
                <w:rFonts w:eastAsiaTheme="minorHAnsi"/>
                <w:sz w:val="18"/>
                <w:szCs w:val="18"/>
                <w:lang w:val="tr-TR"/>
              </w:rPr>
              <w:t>i</w:t>
            </w:r>
            <w:r w:rsidRPr="001A4B94">
              <w:rPr>
                <w:rFonts w:eastAsiaTheme="minorHAnsi"/>
                <w:sz w:val="18"/>
                <w:szCs w:val="18"/>
                <w:lang w:val="tr-TR"/>
              </w:rPr>
              <w:t>kte sırasıyla 2016 yılına kadar %</w:t>
            </w:r>
            <w:r w:rsidR="00747261" w:rsidRPr="001A4B94">
              <w:rPr>
                <w:rFonts w:eastAsiaTheme="minorHAnsi"/>
                <w:sz w:val="18"/>
                <w:szCs w:val="18"/>
                <w:lang w:val="tr-TR"/>
              </w:rPr>
              <w:t>19</w:t>
            </w:r>
            <w:r w:rsidRPr="001A4B94">
              <w:rPr>
                <w:rFonts w:eastAsiaTheme="minorHAnsi"/>
                <w:sz w:val="18"/>
                <w:szCs w:val="18"/>
                <w:lang w:val="tr-TR"/>
              </w:rPr>
              <w:t xml:space="preserve"> artış ve 2020 yılına kadar yüzde 38 artış</w:t>
            </w:r>
            <w:r w:rsidR="00747261" w:rsidRPr="001A4B94">
              <w:rPr>
                <w:rFonts w:eastAsiaTheme="minorHAnsi"/>
                <w:sz w:val="18"/>
                <w:szCs w:val="18"/>
                <w:lang w:val="tr-TR"/>
              </w:rPr>
              <w:t xml:space="preserve">. </w:t>
            </w:r>
          </w:p>
          <w:p w14:paraId="7E8BEDF7" w14:textId="77777777" w:rsidR="00747261" w:rsidRPr="001A4B94" w:rsidRDefault="00747261" w:rsidP="00747261">
            <w:pPr>
              <w:spacing w:after="160" w:line="259" w:lineRule="auto"/>
              <w:contextualSpacing/>
              <w:rPr>
                <w:rFonts w:eastAsiaTheme="minorHAnsi"/>
                <w:sz w:val="18"/>
                <w:szCs w:val="18"/>
                <w:lang w:val="tr-TR"/>
              </w:rPr>
            </w:pPr>
          </w:p>
          <w:p w14:paraId="59352360" w14:textId="77777777" w:rsidR="00747261" w:rsidRPr="001A4B94" w:rsidRDefault="00747261" w:rsidP="00747261">
            <w:pPr>
              <w:spacing w:after="160" w:line="259" w:lineRule="auto"/>
              <w:contextualSpacing/>
              <w:rPr>
                <w:rFonts w:eastAsiaTheme="minorHAnsi"/>
                <w:sz w:val="18"/>
                <w:szCs w:val="18"/>
                <w:lang w:val="tr-TR"/>
              </w:rPr>
            </w:pPr>
          </w:p>
          <w:p w14:paraId="669B0372" w14:textId="77777777" w:rsidR="00747261" w:rsidRPr="001A4B94" w:rsidRDefault="00747261" w:rsidP="00747261">
            <w:pPr>
              <w:spacing w:after="160" w:line="259" w:lineRule="auto"/>
              <w:contextualSpacing/>
              <w:rPr>
                <w:rFonts w:eastAsiaTheme="minorHAnsi"/>
                <w:sz w:val="18"/>
                <w:szCs w:val="18"/>
                <w:lang w:val="tr-TR"/>
              </w:rPr>
            </w:pPr>
          </w:p>
        </w:tc>
        <w:tc>
          <w:tcPr>
            <w:tcW w:w="1264" w:type="pct"/>
            <w:tcBorders>
              <w:bottom w:val="single" w:sz="4" w:space="0" w:color="auto"/>
            </w:tcBorders>
            <w:shd w:val="clear" w:color="auto" w:fill="auto"/>
          </w:tcPr>
          <w:p w14:paraId="63E029FE" w14:textId="40AC4C99" w:rsidR="00747261" w:rsidRPr="001A4B94" w:rsidRDefault="003727CE" w:rsidP="00747261">
            <w:pPr>
              <w:spacing w:after="160" w:line="259" w:lineRule="auto"/>
              <w:rPr>
                <w:rFonts w:eastAsiaTheme="minorHAnsi"/>
                <w:sz w:val="18"/>
                <w:szCs w:val="18"/>
                <w:lang w:val="tr-TR"/>
              </w:rPr>
            </w:pPr>
            <w:r w:rsidRPr="001A4B94">
              <w:rPr>
                <w:rFonts w:eastAsiaTheme="minorHAnsi"/>
                <w:b/>
                <w:sz w:val="18"/>
                <w:szCs w:val="18"/>
                <w:lang w:val="tr-TR"/>
              </w:rPr>
              <w:t>Kısmen karşılandı</w:t>
            </w:r>
            <w:r w:rsidR="00747261" w:rsidRPr="001A4B94">
              <w:rPr>
                <w:rFonts w:eastAsiaTheme="minorHAnsi"/>
                <w:b/>
                <w:sz w:val="18"/>
                <w:szCs w:val="18"/>
                <w:lang w:val="tr-TR"/>
              </w:rPr>
              <w:t xml:space="preserve">. </w:t>
            </w:r>
            <w:r w:rsidR="00B066A9" w:rsidRPr="001A4B94">
              <w:rPr>
                <w:rFonts w:eastAsiaTheme="minorHAnsi"/>
                <w:sz w:val="18"/>
                <w:szCs w:val="18"/>
                <w:lang w:val="tr-TR"/>
              </w:rPr>
              <w:t xml:space="preserve">Gaz Sektörü Geliştirme Projesi yolunda ilerlemektedir ve bu göstergelere zamanında ulaşılması beklenmektedir. </w:t>
            </w:r>
          </w:p>
          <w:p w14:paraId="29B7DF99" w14:textId="77777777" w:rsidR="00747261" w:rsidRPr="001A4B94" w:rsidRDefault="00747261" w:rsidP="00747261">
            <w:pPr>
              <w:spacing w:after="160" w:line="259" w:lineRule="auto"/>
              <w:rPr>
                <w:rFonts w:eastAsiaTheme="minorHAnsi"/>
                <w:sz w:val="18"/>
                <w:szCs w:val="18"/>
                <w:lang w:val="tr-TR"/>
              </w:rPr>
            </w:pPr>
          </w:p>
        </w:tc>
        <w:tc>
          <w:tcPr>
            <w:tcW w:w="2500" w:type="pct"/>
            <w:vMerge/>
            <w:shd w:val="clear" w:color="auto" w:fill="auto"/>
          </w:tcPr>
          <w:p w14:paraId="0E09C0C2" w14:textId="77777777" w:rsidR="00747261" w:rsidRPr="001A4B94" w:rsidRDefault="00747261" w:rsidP="00747261">
            <w:pPr>
              <w:rPr>
                <w:rFonts w:eastAsiaTheme="minorEastAsia"/>
                <w:b/>
                <w:sz w:val="18"/>
                <w:szCs w:val="18"/>
                <w:lang w:val="tr-TR" w:eastAsia="ja-JP"/>
              </w:rPr>
            </w:pPr>
          </w:p>
        </w:tc>
      </w:tr>
      <w:tr w:rsidR="00747261" w:rsidRPr="001A4B94" w14:paraId="0012258F" w14:textId="77777777" w:rsidTr="00747261">
        <w:trPr>
          <w:trHeight w:val="260"/>
        </w:trPr>
        <w:tc>
          <w:tcPr>
            <w:tcW w:w="5000" w:type="pct"/>
            <w:gridSpan w:val="3"/>
            <w:shd w:val="clear" w:color="auto" w:fill="D9D9D9" w:themeFill="background1" w:themeFillShade="D9"/>
          </w:tcPr>
          <w:p w14:paraId="270EDBC7" w14:textId="2C0A2B2F" w:rsidR="00747261" w:rsidRPr="001A4B94" w:rsidRDefault="00747261" w:rsidP="00747261">
            <w:pPr>
              <w:rPr>
                <w:rFonts w:eastAsiaTheme="minorEastAsia"/>
                <w:b/>
                <w:color w:val="FF0000"/>
                <w:sz w:val="18"/>
                <w:szCs w:val="18"/>
                <w:lang w:val="tr-TR" w:eastAsia="ja-JP"/>
              </w:rPr>
            </w:pPr>
            <w:r w:rsidRPr="001A4B94">
              <w:rPr>
                <w:rFonts w:eastAsiaTheme="minorEastAsia"/>
                <w:sz w:val="18"/>
                <w:szCs w:val="18"/>
                <w:lang w:val="tr-TR" w:eastAsia="ja-JP"/>
              </w:rPr>
              <w:br w:type="page"/>
            </w:r>
            <w:r w:rsidR="00015E58" w:rsidRPr="001A4B94">
              <w:rPr>
                <w:rFonts w:eastAsiaTheme="minorEastAsia"/>
                <w:b/>
                <w:sz w:val="18"/>
                <w:szCs w:val="18"/>
                <w:lang w:val="tr-TR" w:eastAsia="ja-JP"/>
              </w:rPr>
              <w:t xml:space="preserve">Tematik Alan </w:t>
            </w:r>
            <w:r w:rsidRPr="001A4B94">
              <w:rPr>
                <w:rFonts w:eastAsiaTheme="minorEastAsia"/>
                <w:b/>
                <w:sz w:val="18"/>
                <w:szCs w:val="18"/>
                <w:lang w:val="tr-TR" w:eastAsia="ja-JP"/>
              </w:rPr>
              <w:t>7</w:t>
            </w:r>
            <w:r w:rsidRPr="001A4B94">
              <w:rPr>
                <w:rFonts w:eastAsiaTheme="minorEastAsia"/>
                <w:sz w:val="18"/>
                <w:szCs w:val="18"/>
                <w:lang w:val="tr-TR" w:eastAsia="ja-JP"/>
              </w:rPr>
              <w:t xml:space="preserve">: </w:t>
            </w:r>
            <w:r w:rsidR="00015E58" w:rsidRPr="001A4B94">
              <w:rPr>
                <w:b/>
                <w:sz w:val="18"/>
                <w:szCs w:val="18"/>
                <w:lang w:val="tr-TR"/>
              </w:rPr>
              <w:t>Çevre yönetiminin ve iklim değişikliğine uyumun güçlendirilmesi</w:t>
            </w:r>
            <w:r w:rsidR="00015E58" w:rsidRPr="001A4B94">
              <w:rPr>
                <w:rFonts w:eastAsiaTheme="minorEastAsia"/>
                <w:b/>
                <w:sz w:val="18"/>
                <w:szCs w:val="18"/>
                <w:lang w:val="tr-TR" w:eastAsia="ja-JP"/>
              </w:rPr>
              <w:t xml:space="preserve"> </w:t>
            </w:r>
            <w:r w:rsidRPr="001A4B94">
              <w:rPr>
                <w:rFonts w:eastAsiaTheme="minorEastAsia"/>
                <w:b/>
                <w:sz w:val="18"/>
                <w:szCs w:val="18"/>
                <w:lang w:val="tr-TR" w:eastAsia="ja-JP"/>
              </w:rPr>
              <w:t xml:space="preserve">– </w:t>
            </w:r>
            <w:r w:rsidR="00015E58" w:rsidRPr="001A4B94">
              <w:rPr>
                <w:rFonts w:eastAsiaTheme="minorEastAsia"/>
                <w:b/>
                <w:color w:val="FF0000"/>
                <w:sz w:val="18"/>
                <w:szCs w:val="18"/>
                <w:lang w:val="tr-TR" w:eastAsia="ja-JP"/>
              </w:rPr>
              <w:t>Kısmen Başarıldı</w:t>
            </w:r>
            <w:r w:rsidRPr="001A4B94">
              <w:rPr>
                <w:rFonts w:eastAsiaTheme="minorEastAsia"/>
                <w:b/>
                <w:color w:val="FF0000"/>
                <w:sz w:val="18"/>
                <w:szCs w:val="18"/>
                <w:lang w:val="tr-TR" w:eastAsia="ja-JP"/>
              </w:rPr>
              <w:t>.</w:t>
            </w:r>
          </w:p>
        </w:tc>
      </w:tr>
      <w:tr w:rsidR="00015E58" w:rsidRPr="001A4B94" w14:paraId="2C1E8C4F" w14:textId="77777777" w:rsidTr="00747261">
        <w:trPr>
          <w:trHeight w:val="289"/>
        </w:trPr>
        <w:tc>
          <w:tcPr>
            <w:tcW w:w="1236" w:type="pct"/>
            <w:shd w:val="clear" w:color="auto" w:fill="auto"/>
          </w:tcPr>
          <w:p w14:paraId="53377E45" w14:textId="51F60681" w:rsidR="00015E58" w:rsidRPr="001A4B94" w:rsidRDefault="00015E58" w:rsidP="00015E58">
            <w:pPr>
              <w:spacing w:after="160" w:line="259" w:lineRule="auto"/>
              <w:rPr>
                <w:rFonts w:eastAsiaTheme="minorHAnsi"/>
                <w:b/>
                <w:sz w:val="18"/>
                <w:szCs w:val="18"/>
                <w:lang w:val="tr-TR" w:bidi="en-US"/>
              </w:rPr>
            </w:pPr>
            <w:r w:rsidRPr="001A4B94">
              <w:rPr>
                <w:rFonts w:eastAsiaTheme="minorHAnsi"/>
                <w:b/>
                <w:sz w:val="18"/>
                <w:szCs w:val="18"/>
                <w:lang w:val="tr-TR" w:bidi="en-US"/>
              </w:rPr>
              <w:t xml:space="preserve">DBG Sonuç Göstergeleri </w:t>
            </w:r>
          </w:p>
        </w:tc>
        <w:tc>
          <w:tcPr>
            <w:tcW w:w="1264" w:type="pct"/>
            <w:shd w:val="clear" w:color="auto" w:fill="auto"/>
          </w:tcPr>
          <w:p w14:paraId="12F3F410" w14:textId="31E3A6F9" w:rsidR="00015E58" w:rsidRPr="001A4B94" w:rsidRDefault="00015E58" w:rsidP="00015E58">
            <w:pPr>
              <w:spacing w:after="160" w:line="259" w:lineRule="auto"/>
              <w:contextualSpacing/>
              <w:rPr>
                <w:rFonts w:eastAsiaTheme="minorHAnsi"/>
                <w:sz w:val="18"/>
                <w:szCs w:val="18"/>
                <w:lang w:val="tr-TR"/>
              </w:rPr>
            </w:pPr>
            <w:r w:rsidRPr="001A4B94">
              <w:rPr>
                <w:rFonts w:eastAsiaTheme="minorHAnsi"/>
                <w:b/>
                <w:sz w:val="18"/>
                <w:szCs w:val="18"/>
                <w:lang w:val="tr-TR" w:bidi="en-US"/>
              </w:rPr>
              <w:t>Bugüne Kadar Kaydedilen İlerleme:</w:t>
            </w:r>
          </w:p>
        </w:tc>
        <w:tc>
          <w:tcPr>
            <w:tcW w:w="2500" w:type="pct"/>
            <w:vMerge w:val="restart"/>
            <w:shd w:val="clear" w:color="auto" w:fill="auto"/>
          </w:tcPr>
          <w:p w14:paraId="33E6C681" w14:textId="649F5824" w:rsidR="00015E58" w:rsidRPr="001A4B94" w:rsidRDefault="00D24407" w:rsidP="00015E58">
            <w:pPr>
              <w:rPr>
                <w:rFonts w:eastAsiaTheme="minorEastAsia"/>
                <w:b/>
                <w:sz w:val="18"/>
                <w:szCs w:val="18"/>
                <w:lang w:val="tr-TR" w:eastAsia="ja-JP"/>
              </w:rPr>
            </w:pPr>
            <w:r w:rsidRPr="001A4B94">
              <w:rPr>
                <w:rFonts w:eastAsiaTheme="minorEastAsia"/>
                <w:b/>
                <w:sz w:val="18"/>
                <w:szCs w:val="18"/>
                <w:lang w:val="tr-TR" w:eastAsia="ja-JP"/>
              </w:rPr>
              <w:t>Finansman</w:t>
            </w:r>
            <w:r w:rsidR="00015E58" w:rsidRPr="001A4B94">
              <w:rPr>
                <w:rFonts w:eastAsiaTheme="minorEastAsia"/>
                <w:b/>
                <w:sz w:val="18"/>
                <w:szCs w:val="18"/>
                <w:lang w:val="tr-TR" w:eastAsia="ja-JP"/>
              </w:rPr>
              <w:t>:</w:t>
            </w:r>
          </w:p>
          <w:p w14:paraId="375A21A6" w14:textId="7FDC29CB" w:rsidR="00015E58" w:rsidRPr="001A4B94" w:rsidRDefault="00D24407" w:rsidP="00015E58">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Üçüncü Program Odaklı Çevresel Sürdürülebilirlik ve Enerji </w:t>
            </w:r>
            <w:r w:rsidR="00CA4F96" w:rsidRPr="001A4B94">
              <w:rPr>
                <w:sz w:val="18"/>
                <w:szCs w:val="18"/>
                <w:lang w:val="tr-TR"/>
              </w:rPr>
              <w:t>S</w:t>
            </w:r>
            <w:r w:rsidRPr="001A4B94">
              <w:rPr>
                <w:sz w:val="18"/>
                <w:szCs w:val="18"/>
                <w:lang w:val="tr-TR"/>
              </w:rPr>
              <w:t>ektörü (ESES) Kalkınma Politikası Kredisi (2012 MY)</w:t>
            </w:r>
            <w:r w:rsidR="00015E58" w:rsidRPr="001A4B94">
              <w:rPr>
                <w:rFonts w:eastAsiaTheme="minorHAnsi"/>
                <w:sz w:val="18"/>
                <w:szCs w:val="18"/>
                <w:lang w:val="tr-TR"/>
              </w:rPr>
              <w:t xml:space="preserve"> P121651</w:t>
            </w:r>
          </w:p>
          <w:p w14:paraId="17C9AE88" w14:textId="4EDA8327" w:rsidR="00015E58" w:rsidRPr="001A4B94" w:rsidRDefault="00D24407" w:rsidP="00015E58">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Anadolu Su Havzaları Rehabilitasyon Projesi + </w:t>
            </w:r>
            <w:r w:rsidRPr="001A4B94">
              <w:rPr>
                <w:rFonts w:eastAsiaTheme="minorHAnsi"/>
                <w:sz w:val="18"/>
                <w:szCs w:val="18"/>
                <w:lang w:val="tr-TR"/>
              </w:rPr>
              <w:t>GEF Projesi</w:t>
            </w:r>
            <w:r w:rsidR="00015E58" w:rsidRPr="001A4B94">
              <w:rPr>
                <w:rFonts w:eastAsiaTheme="minorHAnsi"/>
                <w:sz w:val="18"/>
                <w:szCs w:val="18"/>
                <w:lang w:val="tr-TR"/>
              </w:rPr>
              <w:t xml:space="preserve"> (FY04)</w:t>
            </w:r>
          </w:p>
          <w:p w14:paraId="2F3946FD" w14:textId="425136A1" w:rsidR="00015E58" w:rsidRPr="001A4B94" w:rsidRDefault="00D24407" w:rsidP="00015E58">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Vakıf Fonu </w:t>
            </w:r>
            <w:r w:rsidR="00015E58" w:rsidRPr="001A4B94">
              <w:rPr>
                <w:rFonts w:eastAsiaTheme="minorHAnsi"/>
                <w:sz w:val="18"/>
                <w:szCs w:val="18"/>
                <w:lang w:val="tr-TR"/>
              </w:rPr>
              <w:t xml:space="preserve">GEF3 </w:t>
            </w:r>
            <w:r w:rsidRPr="001A4B94">
              <w:rPr>
                <w:sz w:val="18"/>
                <w:szCs w:val="18"/>
                <w:lang w:val="tr-TR"/>
              </w:rPr>
              <w:t>Tam Ölçekli Proje: Türkiye Anadolu Su Havzaları Rehabilitasyon Projesi</w:t>
            </w:r>
            <w:r w:rsidR="00015E58" w:rsidRPr="001A4B94">
              <w:rPr>
                <w:rFonts w:eastAsiaTheme="minorHAnsi"/>
                <w:sz w:val="18"/>
                <w:szCs w:val="18"/>
                <w:lang w:val="tr-TR"/>
              </w:rPr>
              <w:t xml:space="preserve"> (</w:t>
            </w:r>
            <w:r w:rsidRPr="001A4B94">
              <w:rPr>
                <w:rFonts w:eastAsiaTheme="minorHAnsi"/>
                <w:sz w:val="18"/>
                <w:szCs w:val="18"/>
                <w:lang w:val="tr-TR"/>
              </w:rPr>
              <w:t>2005 MY</w:t>
            </w:r>
            <w:r w:rsidR="00015E58" w:rsidRPr="001A4B94">
              <w:rPr>
                <w:rFonts w:eastAsiaTheme="minorHAnsi"/>
                <w:sz w:val="18"/>
                <w:szCs w:val="18"/>
                <w:lang w:val="tr-TR"/>
              </w:rPr>
              <w:t>)</w:t>
            </w:r>
          </w:p>
          <w:p w14:paraId="43651880" w14:textId="531DF919" w:rsidR="00015E58" w:rsidRPr="001A4B94" w:rsidRDefault="00AD2D67" w:rsidP="00015E58">
            <w:pPr>
              <w:rPr>
                <w:rFonts w:eastAsiaTheme="minorEastAsia"/>
                <w:b/>
                <w:sz w:val="18"/>
                <w:szCs w:val="18"/>
                <w:lang w:val="tr-TR" w:eastAsia="ja-JP"/>
              </w:rPr>
            </w:pPr>
            <w:r w:rsidRPr="001A4B94">
              <w:rPr>
                <w:rFonts w:eastAsiaTheme="minorEastAsia"/>
                <w:b/>
                <w:sz w:val="18"/>
                <w:szCs w:val="18"/>
                <w:lang w:val="tr-TR" w:eastAsia="ja-JP"/>
              </w:rPr>
              <w:t>Bilgi Faaliyetleri</w:t>
            </w:r>
            <w:r w:rsidR="00015E58" w:rsidRPr="001A4B94">
              <w:rPr>
                <w:rFonts w:eastAsiaTheme="minorEastAsia"/>
                <w:b/>
                <w:sz w:val="18"/>
                <w:szCs w:val="18"/>
                <w:lang w:val="tr-TR" w:eastAsia="ja-JP"/>
              </w:rPr>
              <w:t>:</w:t>
            </w:r>
          </w:p>
          <w:p w14:paraId="1869B002" w14:textId="7971628C" w:rsidR="00015E58" w:rsidRPr="001A4B94" w:rsidRDefault="00AD2D67" w:rsidP="00015E58">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Sürdürülebilir Kentsel </w:t>
            </w:r>
            <w:r w:rsidR="00015E58" w:rsidRPr="001A4B94">
              <w:rPr>
                <w:rFonts w:eastAsiaTheme="minorHAnsi"/>
                <w:sz w:val="18"/>
                <w:szCs w:val="18"/>
                <w:lang w:val="tr-TR"/>
              </w:rPr>
              <w:t>WSS (</w:t>
            </w:r>
            <w:r w:rsidRPr="001A4B94">
              <w:rPr>
                <w:rFonts w:eastAsiaTheme="minorHAnsi"/>
                <w:sz w:val="18"/>
                <w:szCs w:val="18"/>
                <w:lang w:val="tr-TR"/>
              </w:rPr>
              <w:t>2016 MY</w:t>
            </w:r>
            <w:r w:rsidR="00015E58" w:rsidRPr="001A4B94">
              <w:rPr>
                <w:rFonts w:eastAsiaTheme="minorHAnsi"/>
                <w:sz w:val="18"/>
                <w:szCs w:val="18"/>
                <w:lang w:val="tr-TR"/>
              </w:rPr>
              <w:t>) P150112</w:t>
            </w:r>
          </w:p>
          <w:p w14:paraId="2991F779" w14:textId="6B51ACA2" w:rsidR="00015E58" w:rsidRPr="001A4B94" w:rsidRDefault="00015E58" w:rsidP="00015E58">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ESW Rio+20/</w:t>
            </w:r>
            <w:r w:rsidR="00AD2D67" w:rsidRPr="001A4B94">
              <w:rPr>
                <w:rFonts w:eastAsiaTheme="minorHAnsi"/>
                <w:sz w:val="18"/>
                <w:szCs w:val="18"/>
                <w:lang w:val="tr-TR"/>
              </w:rPr>
              <w:t xml:space="preserve">Daha Temiz Üretim </w:t>
            </w:r>
            <w:r w:rsidRPr="001A4B94">
              <w:rPr>
                <w:rFonts w:eastAsiaTheme="minorHAnsi"/>
                <w:sz w:val="18"/>
                <w:szCs w:val="18"/>
                <w:lang w:val="tr-TR"/>
              </w:rPr>
              <w:t>(</w:t>
            </w:r>
            <w:r w:rsidR="00AD2D67" w:rsidRPr="001A4B94">
              <w:rPr>
                <w:rFonts w:eastAsiaTheme="minorHAnsi"/>
                <w:sz w:val="18"/>
                <w:szCs w:val="18"/>
                <w:lang w:val="tr-TR"/>
              </w:rPr>
              <w:t>2012 MY</w:t>
            </w:r>
            <w:r w:rsidRPr="001A4B94">
              <w:rPr>
                <w:rFonts w:eastAsiaTheme="minorHAnsi"/>
                <w:sz w:val="18"/>
                <w:szCs w:val="18"/>
                <w:lang w:val="tr-TR"/>
              </w:rPr>
              <w:t>) P127675</w:t>
            </w:r>
          </w:p>
          <w:p w14:paraId="5FCFA004" w14:textId="29B61219" w:rsidR="00015E58" w:rsidRPr="001A4B94" w:rsidRDefault="00A841B8" w:rsidP="00015E58">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lastRenderedPageBreak/>
              <w:t>T</w:t>
            </w:r>
            <w:r w:rsidR="000C5AC9" w:rsidRPr="001A4B94">
              <w:rPr>
                <w:sz w:val="18"/>
                <w:szCs w:val="18"/>
                <w:lang w:val="tr-TR"/>
              </w:rPr>
              <w:t xml:space="preserve">Y </w:t>
            </w:r>
            <w:r w:rsidRPr="001A4B94">
              <w:rPr>
                <w:sz w:val="18"/>
                <w:szCs w:val="18"/>
                <w:lang w:val="tr-TR"/>
              </w:rPr>
              <w:t>-  Gıda Güvenliği Program Odak</w:t>
            </w:r>
            <w:r w:rsidR="000C5AC9" w:rsidRPr="001A4B94">
              <w:rPr>
                <w:sz w:val="18"/>
                <w:szCs w:val="18"/>
                <w:lang w:val="tr-TR"/>
              </w:rPr>
              <w:t>lı Teknik Yardım Çalışması (2014</w:t>
            </w:r>
            <w:r w:rsidRPr="001A4B94">
              <w:rPr>
                <w:sz w:val="18"/>
                <w:szCs w:val="18"/>
                <w:lang w:val="tr-TR"/>
              </w:rPr>
              <w:t xml:space="preserve"> MY) </w:t>
            </w:r>
            <w:r w:rsidR="00015E58" w:rsidRPr="001A4B94">
              <w:rPr>
                <w:rFonts w:eastAsiaTheme="minorHAnsi"/>
                <w:sz w:val="18"/>
                <w:szCs w:val="18"/>
                <w:lang w:val="tr-TR"/>
              </w:rPr>
              <w:t>P145557</w:t>
            </w:r>
          </w:p>
          <w:p w14:paraId="3B3AA919" w14:textId="43A0477F" w:rsidR="00015E58" w:rsidRPr="001A4B94" w:rsidRDefault="00015E58" w:rsidP="00015E58">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w:t>
            </w:r>
            <w:r w:rsidR="000C5AC9" w:rsidRPr="001A4B94">
              <w:rPr>
                <w:rFonts w:eastAsiaTheme="minorHAnsi"/>
                <w:sz w:val="18"/>
                <w:szCs w:val="18"/>
                <w:lang w:val="tr-TR"/>
              </w:rPr>
              <w:t>Y</w:t>
            </w:r>
            <w:r w:rsidRPr="001A4B94">
              <w:rPr>
                <w:rFonts w:eastAsiaTheme="minorHAnsi"/>
                <w:sz w:val="18"/>
                <w:szCs w:val="18"/>
                <w:lang w:val="tr-TR"/>
              </w:rPr>
              <w:t xml:space="preserve"> </w:t>
            </w:r>
            <w:r w:rsidR="000C5AC9" w:rsidRPr="001A4B94">
              <w:rPr>
                <w:rFonts w:eastAsiaTheme="minorHAnsi"/>
                <w:sz w:val="18"/>
                <w:szCs w:val="18"/>
                <w:lang w:val="tr-TR"/>
              </w:rPr>
              <w:t xml:space="preserve">Su Diyalogu </w:t>
            </w:r>
            <w:r w:rsidRPr="001A4B94">
              <w:rPr>
                <w:rFonts w:eastAsiaTheme="minorHAnsi"/>
                <w:sz w:val="18"/>
                <w:szCs w:val="18"/>
                <w:lang w:val="tr-TR"/>
              </w:rPr>
              <w:t>(</w:t>
            </w:r>
            <w:r w:rsidR="000C5AC9" w:rsidRPr="001A4B94">
              <w:rPr>
                <w:rFonts w:eastAsiaTheme="minorHAnsi"/>
                <w:sz w:val="18"/>
                <w:szCs w:val="18"/>
                <w:lang w:val="tr-TR"/>
              </w:rPr>
              <w:t>2015 MY</w:t>
            </w:r>
            <w:r w:rsidRPr="001A4B94">
              <w:rPr>
                <w:rFonts w:eastAsiaTheme="minorHAnsi"/>
                <w:sz w:val="18"/>
                <w:szCs w:val="18"/>
                <w:lang w:val="tr-TR"/>
              </w:rPr>
              <w:t>) P146361</w:t>
            </w:r>
          </w:p>
          <w:p w14:paraId="5475F048" w14:textId="62A3CFEB" w:rsidR="00015E58" w:rsidRPr="001A4B94" w:rsidRDefault="00015E58" w:rsidP="00015E58">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T</w:t>
            </w:r>
            <w:r w:rsidR="000C5AC9" w:rsidRPr="001A4B94">
              <w:rPr>
                <w:rFonts w:eastAsiaTheme="minorHAnsi"/>
                <w:sz w:val="18"/>
                <w:szCs w:val="18"/>
                <w:lang w:val="tr-TR"/>
              </w:rPr>
              <w:t>Y</w:t>
            </w:r>
            <w:r w:rsidRPr="001A4B94">
              <w:rPr>
                <w:rFonts w:eastAsiaTheme="minorHAnsi"/>
                <w:sz w:val="18"/>
                <w:szCs w:val="18"/>
                <w:lang w:val="tr-TR"/>
              </w:rPr>
              <w:t xml:space="preserve"> </w:t>
            </w:r>
            <w:r w:rsidR="000C5AC9" w:rsidRPr="001A4B94">
              <w:rPr>
                <w:rFonts w:eastAsiaTheme="minorHAnsi"/>
                <w:sz w:val="18"/>
                <w:szCs w:val="18"/>
                <w:lang w:val="tr-TR"/>
              </w:rPr>
              <w:t xml:space="preserve">Ulusal Havza Yönetim Stratejisi </w:t>
            </w:r>
            <w:r w:rsidRPr="001A4B94">
              <w:rPr>
                <w:rFonts w:eastAsiaTheme="minorHAnsi"/>
                <w:sz w:val="18"/>
                <w:szCs w:val="18"/>
                <w:lang w:val="tr-TR"/>
              </w:rPr>
              <w:t>(</w:t>
            </w:r>
            <w:r w:rsidR="000C5AC9" w:rsidRPr="001A4B94">
              <w:rPr>
                <w:rFonts w:eastAsiaTheme="minorHAnsi"/>
                <w:sz w:val="18"/>
                <w:szCs w:val="18"/>
                <w:lang w:val="tr-TR"/>
              </w:rPr>
              <w:t>2012 MY</w:t>
            </w:r>
            <w:r w:rsidRPr="001A4B94">
              <w:rPr>
                <w:rFonts w:eastAsiaTheme="minorHAnsi"/>
                <w:sz w:val="18"/>
                <w:szCs w:val="18"/>
                <w:lang w:val="tr-TR"/>
              </w:rPr>
              <w:t>) P129244</w:t>
            </w:r>
          </w:p>
          <w:p w14:paraId="4B8FEFF1" w14:textId="59014219" w:rsidR="00015E58" w:rsidRPr="001A4B94" w:rsidRDefault="000C5AC9" w:rsidP="00015E58">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Doğal Sermaye Tasarrufu ve Sürdürülebilir Büyüme Tanılama Çalışması </w:t>
            </w:r>
            <w:r w:rsidR="00015E58" w:rsidRPr="001A4B94">
              <w:rPr>
                <w:rFonts w:eastAsiaTheme="minorHAnsi"/>
                <w:sz w:val="18"/>
                <w:szCs w:val="18"/>
                <w:lang w:val="tr-TR"/>
              </w:rPr>
              <w:t>(</w:t>
            </w:r>
            <w:r w:rsidRPr="001A4B94">
              <w:rPr>
                <w:rFonts w:eastAsiaTheme="minorHAnsi"/>
                <w:sz w:val="18"/>
                <w:szCs w:val="18"/>
                <w:lang w:val="tr-TR"/>
              </w:rPr>
              <w:t>2015 MY</w:t>
            </w:r>
            <w:r w:rsidR="00015E58" w:rsidRPr="001A4B94">
              <w:rPr>
                <w:rFonts w:eastAsiaTheme="minorHAnsi"/>
                <w:sz w:val="18"/>
                <w:szCs w:val="18"/>
                <w:lang w:val="tr-TR"/>
              </w:rPr>
              <w:t>) P149686</w:t>
            </w:r>
          </w:p>
          <w:p w14:paraId="6BF4DF11" w14:textId="720122FB" w:rsidR="00015E58" w:rsidRPr="001A4B94" w:rsidRDefault="000C5AC9" w:rsidP="00015E58">
            <w:pPr>
              <w:numPr>
                <w:ilvl w:val="0"/>
                <w:numId w:val="22"/>
              </w:numPr>
              <w:spacing w:after="160" w:line="259" w:lineRule="auto"/>
              <w:ind w:left="187" w:hanging="187"/>
              <w:contextualSpacing/>
              <w:rPr>
                <w:rFonts w:eastAsiaTheme="minorHAnsi"/>
                <w:b/>
                <w:sz w:val="18"/>
                <w:szCs w:val="18"/>
                <w:lang w:val="tr-TR"/>
              </w:rPr>
            </w:pPr>
            <w:r w:rsidRPr="001A4B94">
              <w:rPr>
                <w:rFonts w:eastAsiaTheme="minorHAnsi"/>
                <w:sz w:val="18"/>
                <w:szCs w:val="18"/>
                <w:lang w:val="tr-TR"/>
              </w:rPr>
              <w:t xml:space="preserve">Çevresel ve Doğal Kaynak Yönetimi </w:t>
            </w:r>
            <w:r w:rsidRPr="001A4B94">
              <w:rPr>
                <w:sz w:val="18"/>
                <w:szCs w:val="18"/>
                <w:lang w:val="tr-TR"/>
              </w:rPr>
              <w:t xml:space="preserve">Program Odaklı Teknik Yardım Çalışması </w:t>
            </w:r>
            <w:r w:rsidR="00015E58" w:rsidRPr="001A4B94">
              <w:rPr>
                <w:rFonts w:eastAsiaTheme="minorHAnsi"/>
                <w:sz w:val="18"/>
                <w:szCs w:val="18"/>
                <w:lang w:val="tr-TR"/>
              </w:rPr>
              <w:t>(</w:t>
            </w:r>
            <w:r w:rsidRPr="001A4B94">
              <w:rPr>
                <w:rFonts w:eastAsiaTheme="minorHAnsi"/>
                <w:sz w:val="18"/>
                <w:szCs w:val="18"/>
                <w:lang w:val="tr-TR"/>
              </w:rPr>
              <w:t>2015 MY / 2016 MY</w:t>
            </w:r>
            <w:r w:rsidR="00015E58" w:rsidRPr="001A4B94">
              <w:rPr>
                <w:rFonts w:eastAsiaTheme="minorHAnsi"/>
                <w:sz w:val="18"/>
                <w:szCs w:val="18"/>
                <w:lang w:val="tr-TR"/>
              </w:rPr>
              <w:t>)</w:t>
            </w:r>
          </w:p>
        </w:tc>
      </w:tr>
      <w:tr w:rsidR="00747261" w:rsidRPr="001A4B94" w14:paraId="3D3454A4" w14:textId="77777777" w:rsidTr="00747261">
        <w:trPr>
          <w:trHeight w:val="1790"/>
        </w:trPr>
        <w:tc>
          <w:tcPr>
            <w:tcW w:w="1236" w:type="pct"/>
            <w:shd w:val="clear" w:color="auto" w:fill="auto"/>
          </w:tcPr>
          <w:p w14:paraId="2AF9735D" w14:textId="3C3C3AC5" w:rsidR="00747261" w:rsidRPr="001A4B94" w:rsidRDefault="00015E58" w:rsidP="00747261">
            <w:pPr>
              <w:spacing w:after="160" w:line="259" w:lineRule="auto"/>
              <w:contextualSpacing/>
              <w:rPr>
                <w:rFonts w:eastAsiaTheme="minorHAnsi"/>
                <w:sz w:val="18"/>
                <w:szCs w:val="18"/>
                <w:lang w:val="tr-TR"/>
              </w:rPr>
            </w:pPr>
            <w:r w:rsidRPr="001A4B94">
              <w:rPr>
                <w:rFonts w:eastAsiaTheme="minorHAnsi"/>
                <w:b/>
                <w:i/>
                <w:sz w:val="18"/>
                <w:szCs w:val="18"/>
                <w:lang w:val="tr-TR"/>
              </w:rPr>
              <w:t>Sonuç</w:t>
            </w:r>
            <w:r w:rsidR="00747261" w:rsidRPr="001A4B94">
              <w:rPr>
                <w:rFonts w:eastAsiaTheme="minorHAnsi"/>
                <w:b/>
                <w:i/>
                <w:sz w:val="18"/>
                <w:szCs w:val="18"/>
                <w:lang w:val="tr-TR"/>
              </w:rPr>
              <w:t xml:space="preserve"> 1: </w:t>
            </w:r>
            <w:r w:rsidR="00BF696E" w:rsidRPr="001A4B94">
              <w:rPr>
                <w:rFonts w:eastAsiaTheme="minorHAnsi"/>
                <w:sz w:val="18"/>
                <w:szCs w:val="18"/>
                <w:lang w:val="tr-TR"/>
              </w:rPr>
              <w:t xml:space="preserve">Havza </w:t>
            </w:r>
            <w:r w:rsidR="00D24407" w:rsidRPr="001A4B94">
              <w:rPr>
                <w:rFonts w:eastAsiaTheme="minorHAnsi"/>
                <w:sz w:val="18"/>
                <w:szCs w:val="18"/>
                <w:lang w:val="tr-TR"/>
              </w:rPr>
              <w:t>Yönetiminin</w:t>
            </w:r>
            <w:r w:rsidR="00BF696E" w:rsidRPr="001A4B94">
              <w:rPr>
                <w:rFonts w:eastAsiaTheme="minorHAnsi"/>
                <w:sz w:val="18"/>
                <w:szCs w:val="18"/>
                <w:lang w:val="tr-TR"/>
              </w:rPr>
              <w:t xml:space="preserve"> İyileştirilmesi</w:t>
            </w:r>
            <w:r w:rsidR="00747261" w:rsidRPr="001A4B94">
              <w:rPr>
                <w:rFonts w:eastAsiaTheme="minorHAnsi"/>
                <w:sz w:val="18"/>
                <w:szCs w:val="18"/>
                <w:lang w:val="tr-TR"/>
              </w:rPr>
              <w:t xml:space="preserve">: </w:t>
            </w:r>
            <w:r w:rsidR="00F669F2" w:rsidRPr="001A4B94">
              <w:rPr>
                <w:sz w:val="18"/>
                <w:szCs w:val="18"/>
                <w:lang w:val="tr-TR"/>
              </w:rPr>
              <w:t>Su Çerçeve Direktifinde belirtilen esaslar dikkate alınarak Türkiye’nin 25 nehir havzası için koruma eylem planlarının hazırlanması</w:t>
            </w:r>
            <w:r w:rsidR="00747261" w:rsidRPr="001A4B94">
              <w:rPr>
                <w:rFonts w:eastAsiaTheme="minorHAnsi"/>
                <w:sz w:val="18"/>
                <w:szCs w:val="18"/>
                <w:lang w:val="tr-TR"/>
              </w:rPr>
              <w:t xml:space="preserve">. </w:t>
            </w:r>
          </w:p>
          <w:p w14:paraId="3ECB8742" w14:textId="1ADD95E3" w:rsidR="00747261" w:rsidRPr="001A4B94" w:rsidRDefault="00F669F2" w:rsidP="00747261">
            <w:pPr>
              <w:spacing w:after="160" w:line="259" w:lineRule="auto"/>
              <w:contextualSpacing/>
              <w:rPr>
                <w:rFonts w:eastAsiaTheme="minorHAnsi"/>
                <w:sz w:val="18"/>
                <w:szCs w:val="18"/>
                <w:lang w:val="tr-TR"/>
              </w:rPr>
            </w:pPr>
            <w:r w:rsidRPr="001A4B94">
              <w:rPr>
                <w:rFonts w:eastAsiaTheme="minorHAnsi"/>
                <w:b/>
                <w:sz w:val="18"/>
                <w:szCs w:val="18"/>
                <w:lang w:val="tr-TR"/>
              </w:rPr>
              <w:t>Başlangıç Durumu</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2009 yılında 4</w:t>
            </w:r>
            <w:r w:rsidR="00747261" w:rsidRPr="001A4B94">
              <w:rPr>
                <w:rFonts w:eastAsiaTheme="minorHAnsi"/>
                <w:sz w:val="18"/>
                <w:szCs w:val="18"/>
                <w:lang w:val="tr-TR"/>
              </w:rPr>
              <w:t xml:space="preserve">; </w:t>
            </w:r>
          </w:p>
          <w:p w14:paraId="2110CBF7" w14:textId="306EE150" w:rsidR="00747261" w:rsidRPr="001A4B94" w:rsidRDefault="00F669F2" w:rsidP="00747261">
            <w:pPr>
              <w:spacing w:after="160" w:line="259" w:lineRule="auto"/>
              <w:contextualSpacing/>
              <w:rPr>
                <w:rFonts w:eastAsiaTheme="minorHAnsi"/>
                <w:b/>
                <w:sz w:val="18"/>
                <w:szCs w:val="18"/>
                <w:lang w:val="tr-TR" w:bidi="en-US"/>
              </w:rPr>
            </w:pPr>
            <w:r w:rsidRPr="001A4B94">
              <w:rPr>
                <w:rFonts w:eastAsiaTheme="minorHAnsi"/>
                <w:b/>
                <w:sz w:val="18"/>
                <w:szCs w:val="18"/>
                <w:lang w:val="tr-TR"/>
              </w:rPr>
              <w:t>Hedef</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 xml:space="preserve">2012 sonuna kadar en az </w:t>
            </w:r>
            <w:r w:rsidR="00747261" w:rsidRPr="001A4B94">
              <w:rPr>
                <w:rFonts w:eastAsiaTheme="minorHAnsi"/>
                <w:sz w:val="18"/>
                <w:szCs w:val="18"/>
                <w:lang w:val="tr-TR"/>
              </w:rPr>
              <w:t xml:space="preserve">20. </w:t>
            </w:r>
          </w:p>
        </w:tc>
        <w:tc>
          <w:tcPr>
            <w:tcW w:w="1264" w:type="pct"/>
            <w:shd w:val="clear" w:color="auto" w:fill="auto"/>
          </w:tcPr>
          <w:p w14:paraId="1C6D862B" w14:textId="0CC2242C" w:rsidR="00747261" w:rsidRPr="001A4B94" w:rsidRDefault="00D24407" w:rsidP="00747261">
            <w:pPr>
              <w:spacing w:after="160" w:line="259" w:lineRule="auto"/>
              <w:rPr>
                <w:rFonts w:eastAsiaTheme="minorHAnsi"/>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Pr="001A4B94">
              <w:rPr>
                <w:rFonts w:eastAsiaTheme="minorHAnsi"/>
                <w:sz w:val="18"/>
                <w:szCs w:val="18"/>
                <w:lang w:val="tr-TR"/>
              </w:rPr>
              <w:t>ESES DPL kapsamındaki politika desteği yoluyla karşılandı</w:t>
            </w:r>
            <w:r w:rsidR="00747261" w:rsidRPr="001A4B94">
              <w:rPr>
                <w:rFonts w:eastAsiaTheme="minorHAnsi"/>
                <w:sz w:val="18"/>
                <w:szCs w:val="18"/>
                <w:lang w:val="tr-TR"/>
              </w:rPr>
              <w:t>.</w:t>
            </w:r>
          </w:p>
          <w:p w14:paraId="30C0E561" w14:textId="77777777" w:rsidR="00747261" w:rsidRPr="001A4B94" w:rsidRDefault="00747261" w:rsidP="00747261">
            <w:pPr>
              <w:spacing w:after="160" w:line="259" w:lineRule="auto"/>
              <w:rPr>
                <w:rFonts w:eastAsiaTheme="minorHAnsi"/>
                <w:b/>
                <w:sz w:val="18"/>
                <w:szCs w:val="18"/>
                <w:lang w:val="tr-TR"/>
              </w:rPr>
            </w:pPr>
          </w:p>
          <w:p w14:paraId="732C9832" w14:textId="77777777" w:rsidR="00747261" w:rsidRPr="001A4B94" w:rsidRDefault="00747261" w:rsidP="00747261">
            <w:pPr>
              <w:spacing w:after="160" w:line="259" w:lineRule="auto"/>
              <w:rPr>
                <w:rFonts w:eastAsiaTheme="minorHAnsi"/>
                <w:b/>
                <w:sz w:val="18"/>
                <w:szCs w:val="18"/>
                <w:lang w:val="tr-TR" w:bidi="en-US"/>
              </w:rPr>
            </w:pPr>
          </w:p>
        </w:tc>
        <w:tc>
          <w:tcPr>
            <w:tcW w:w="2500" w:type="pct"/>
            <w:vMerge/>
            <w:shd w:val="clear" w:color="auto" w:fill="auto"/>
          </w:tcPr>
          <w:p w14:paraId="10D7ADD4" w14:textId="77777777" w:rsidR="00747261" w:rsidRPr="001A4B94" w:rsidRDefault="00747261" w:rsidP="00747261">
            <w:pPr>
              <w:rPr>
                <w:rFonts w:eastAsiaTheme="minorEastAsia"/>
                <w:b/>
                <w:sz w:val="18"/>
                <w:szCs w:val="18"/>
                <w:lang w:val="tr-TR" w:eastAsia="ja-JP"/>
              </w:rPr>
            </w:pPr>
          </w:p>
        </w:tc>
      </w:tr>
      <w:tr w:rsidR="00747261" w:rsidRPr="001A4B94" w14:paraId="1802E40A" w14:textId="77777777" w:rsidTr="00747261">
        <w:trPr>
          <w:trHeight w:val="1335"/>
        </w:trPr>
        <w:tc>
          <w:tcPr>
            <w:tcW w:w="1236" w:type="pct"/>
            <w:shd w:val="clear" w:color="auto" w:fill="auto"/>
          </w:tcPr>
          <w:p w14:paraId="1B9FDB04" w14:textId="0E3F365C" w:rsidR="00747261" w:rsidRPr="001A4B94" w:rsidRDefault="00C21F61" w:rsidP="00747261">
            <w:pPr>
              <w:spacing w:after="160" w:line="259" w:lineRule="auto"/>
              <w:rPr>
                <w:rFonts w:eastAsiaTheme="minorHAnsi"/>
                <w:sz w:val="18"/>
                <w:szCs w:val="18"/>
                <w:lang w:val="tr-TR"/>
              </w:rPr>
            </w:pPr>
            <w:r w:rsidRPr="001A4B94">
              <w:rPr>
                <w:rFonts w:eastAsiaTheme="minorHAnsi"/>
                <w:b/>
                <w:i/>
                <w:sz w:val="18"/>
                <w:szCs w:val="18"/>
                <w:lang w:val="tr-TR"/>
              </w:rPr>
              <w:lastRenderedPageBreak/>
              <w:t>Sonuç</w:t>
            </w:r>
            <w:r w:rsidR="00747261" w:rsidRPr="001A4B94">
              <w:rPr>
                <w:rFonts w:eastAsiaTheme="minorHAnsi"/>
                <w:b/>
                <w:i/>
                <w:sz w:val="18"/>
                <w:szCs w:val="18"/>
                <w:lang w:val="tr-TR"/>
              </w:rPr>
              <w:t xml:space="preserve"> 2:</w:t>
            </w:r>
            <w:r w:rsidR="00747261" w:rsidRPr="001A4B94">
              <w:rPr>
                <w:rFonts w:eastAsiaTheme="minorHAnsi"/>
                <w:sz w:val="18"/>
                <w:szCs w:val="18"/>
                <w:lang w:val="tr-TR"/>
              </w:rPr>
              <w:t xml:space="preserve"> </w:t>
            </w:r>
            <w:r w:rsidR="0043729C" w:rsidRPr="001A4B94">
              <w:rPr>
                <w:rFonts w:eastAsiaTheme="minorHAnsi"/>
                <w:sz w:val="18"/>
                <w:szCs w:val="18"/>
                <w:lang w:val="tr-TR"/>
              </w:rPr>
              <w:t>Taslak Entegre Havza Yönetim Planının tamamlanması ve seçilen pilot havzalarda Havza Komitelerinin kurulması</w:t>
            </w:r>
            <w:r w:rsidR="00747261" w:rsidRPr="001A4B94">
              <w:rPr>
                <w:rFonts w:eastAsiaTheme="minorHAnsi"/>
                <w:sz w:val="18"/>
                <w:szCs w:val="18"/>
                <w:lang w:val="tr-TR"/>
              </w:rPr>
              <w:t>.</w:t>
            </w:r>
          </w:p>
          <w:p w14:paraId="5EA1EE36" w14:textId="77777777" w:rsidR="00747261" w:rsidRPr="001A4B94" w:rsidRDefault="00747261" w:rsidP="00747261">
            <w:pPr>
              <w:spacing w:after="160" w:line="259" w:lineRule="auto"/>
              <w:ind w:left="187"/>
              <w:contextualSpacing/>
              <w:jc w:val="both"/>
              <w:rPr>
                <w:rFonts w:eastAsiaTheme="minorHAnsi"/>
                <w:b/>
                <w:i/>
                <w:sz w:val="18"/>
                <w:szCs w:val="18"/>
                <w:lang w:val="tr-TR"/>
              </w:rPr>
            </w:pPr>
          </w:p>
        </w:tc>
        <w:tc>
          <w:tcPr>
            <w:tcW w:w="1264" w:type="pct"/>
            <w:shd w:val="clear" w:color="auto" w:fill="auto"/>
          </w:tcPr>
          <w:p w14:paraId="053C6B95" w14:textId="369781D8" w:rsidR="00747261" w:rsidRPr="001A4B94" w:rsidRDefault="0043729C" w:rsidP="00747261">
            <w:pPr>
              <w:spacing w:after="160" w:line="259" w:lineRule="auto"/>
              <w:rPr>
                <w:rFonts w:eastAsiaTheme="minorHAnsi"/>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2906C8" w:rsidRPr="001A4B94">
              <w:rPr>
                <w:rFonts w:eastAsiaTheme="minorHAnsi"/>
                <w:sz w:val="18"/>
                <w:szCs w:val="18"/>
                <w:lang w:val="tr-TR"/>
              </w:rPr>
              <w:t>Büyük Menderes Havzası için</w:t>
            </w:r>
            <w:r w:rsidR="002906C8" w:rsidRPr="001A4B94">
              <w:rPr>
                <w:rFonts w:eastAsiaTheme="minorHAnsi"/>
                <w:b/>
                <w:sz w:val="18"/>
                <w:szCs w:val="18"/>
                <w:lang w:val="tr-TR"/>
              </w:rPr>
              <w:t xml:space="preserve"> </w:t>
            </w:r>
            <w:r w:rsidR="002906C8" w:rsidRPr="001A4B94">
              <w:rPr>
                <w:rFonts w:eastAsiaTheme="minorHAnsi"/>
                <w:sz w:val="18"/>
                <w:szCs w:val="18"/>
                <w:lang w:val="tr-TR"/>
              </w:rPr>
              <w:t xml:space="preserve">Entegre Havza Yönetim Planı taslağı hazırlandı ve 25 havzanın tümünde Havza </w:t>
            </w:r>
            <w:r w:rsidR="00B0578E" w:rsidRPr="001A4B94">
              <w:rPr>
                <w:rFonts w:eastAsiaTheme="minorHAnsi"/>
                <w:sz w:val="18"/>
                <w:szCs w:val="18"/>
                <w:lang w:val="tr-TR"/>
              </w:rPr>
              <w:t>Komiteleri</w:t>
            </w:r>
            <w:r w:rsidR="002906C8" w:rsidRPr="001A4B94">
              <w:rPr>
                <w:rFonts w:eastAsiaTheme="minorHAnsi"/>
                <w:sz w:val="18"/>
                <w:szCs w:val="18"/>
                <w:lang w:val="tr-TR"/>
              </w:rPr>
              <w:t xml:space="preserve"> kuruldu (25 Mayıs 2015 </w:t>
            </w:r>
            <w:r w:rsidR="00B0578E" w:rsidRPr="001A4B94">
              <w:rPr>
                <w:rFonts w:eastAsiaTheme="minorHAnsi"/>
                <w:sz w:val="18"/>
                <w:szCs w:val="18"/>
                <w:lang w:val="tr-TR"/>
              </w:rPr>
              <w:t>tarihli</w:t>
            </w:r>
            <w:r w:rsidR="002906C8" w:rsidRPr="001A4B94">
              <w:rPr>
                <w:rFonts w:eastAsiaTheme="minorHAnsi"/>
                <w:sz w:val="18"/>
                <w:szCs w:val="18"/>
                <w:lang w:val="tr-TR"/>
              </w:rPr>
              <w:t xml:space="preserve"> OSİB genelgesi ile)</w:t>
            </w:r>
          </w:p>
          <w:p w14:paraId="79F7DE0F" w14:textId="77777777" w:rsidR="00747261" w:rsidRPr="001A4B94" w:rsidRDefault="00747261" w:rsidP="00747261">
            <w:pPr>
              <w:spacing w:after="160" w:line="259" w:lineRule="auto"/>
              <w:rPr>
                <w:rFonts w:eastAsiaTheme="minorHAnsi"/>
                <w:b/>
                <w:sz w:val="18"/>
                <w:szCs w:val="18"/>
                <w:lang w:val="tr-TR"/>
              </w:rPr>
            </w:pPr>
          </w:p>
        </w:tc>
        <w:tc>
          <w:tcPr>
            <w:tcW w:w="2500" w:type="pct"/>
            <w:vMerge/>
            <w:shd w:val="clear" w:color="auto" w:fill="auto"/>
          </w:tcPr>
          <w:p w14:paraId="350EE8B9" w14:textId="77777777" w:rsidR="00747261" w:rsidRPr="001A4B94" w:rsidRDefault="00747261" w:rsidP="00747261">
            <w:pPr>
              <w:rPr>
                <w:rFonts w:eastAsiaTheme="minorEastAsia"/>
                <w:b/>
                <w:sz w:val="18"/>
                <w:szCs w:val="18"/>
                <w:lang w:val="tr-TR" w:eastAsia="ja-JP"/>
              </w:rPr>
            </w:pPr>
          </w:p>
        </w:tc>
      </w:tr>
      <w:tr w:rsidR="00747261" w:rsidRPr="001A4B94" w14:paraId="650A3EF3" w14:textId="77777777" w:rsidTr="00747261">
        <w:trPr>
          <w:trHeight w:val="1584"/>
        </w:trPr>
        <w:tc>
          <w:tcPr>
            <w:tcW w:w="1236" w:type="pct"/>
            <w:shd w:val="clear" w:color="auto" w:fill="auto"/>
          </w:tcPr>
          <w:p w14:paraId="41F31D83" w14:textId="6DA7724D" w:rsidR="00747261" w:rsidRPr="001A4B94" w:rsidRDefault="0043729C" w:rsidP="00747261">
            <w:pPr>
              <w:spacing w:after="160" w:line="259" w:lineRule="auto"/>
              <w:contextualSpacing/>
              <w:rPr>
                <w:rFonts w:eastAsiaTheme="minorHAnsi"/>
                <w:sz w:val="18"/>
                <w:szCs w:val="18"/>
                <w:lang w:val="tr-TR"/>
              </w:rPr>
            </w:pPr>
            <w:r w:rsidRPr="001A4B94">
              <w:rPr>
                <w:rFonts w:eastAsiaTheme="minorHAnsi"/>
                <w:b/>
                <w:i/>
                <w:sz w:val="18"/>
                <w:szCs w:val="18"/>
                <w:lang w:val="tr-TR"/>
              </w:rPr>
              <w:t>Sonuç</w:t>
            </w:r>
            <w:r w:rsidR="00747261" w:rsidRPr="001A4B94">
              <w:rPr>
                <w:rFonts w:eastAsiaTheme="minorHAnsi"/>
                <w:b/>
                <w:i/>
                <w:sz w:val="18"/>
                <w:szCs w:val="18"/>
                <w:lang w:val="tr-TR"/>
              </w:rPr>
              <w:t xml:space="preserve"> 3:</w:t>
            </w:r>
            <w:r w:rsidR="00747261" w:rsidRPr="001A4B94">
              <w:rPr>
                <w:rFonts w:eastAsiaTheme="minorHAnsi"/>
                <w:sz w:val="18"/>
                <w:szCs w:val="18"/>
                <w:lang w:val="tr-TR"/>
              </w:rPr>
              <w:t xml:space="preserve"> </w:t>
            </w:r>
            <w:r w:rsidRPr="001A4B94">
              <w:rPr>
                <w:rFonts w:eastAsiaTheme="minorHAnsi"/>
                <w:sz w:val="18"/>
                <w:szCs w:val="18"/>
                <w:lang w:val="tr-TR"/>
              </w:rPr>
              <w:t xml:space="preserve">Seçilen iki su havzasında Doğal Sermaye </w:t>
            </w:r>
            <w:r w:rsidR="00CA4F96" w:rsidRPr="001A4B94">
              <w:rPr>
                <w:rFonts w:eastAsiaTheme="minorHAnsi"/>
                <w:sz w:val="18"/>
                <w:szCs w:val="18"/>
                <w:lang w:val="tr-TR"/>
              </w:rPr>
              <w:t>H</w:t>
            </w:r>
            <w:r w:rsidRPr="001A4B94">
              <w:rPr>
                <w:rFonts w:eastAsiaTheme="minorHAnsi"/>
                <w:sz w:val="18"/>
                <w:szCs w:val="18"/>
                <w:lang w:val="tr-TR"/>
              </w:rPr>
              <w:t>esaplarının oluşturulması</w:t>
            </w:r>
            <w:r w:rsidR="00747261" w:rsidRPr="001A4B94">
              <w:rPr>
                <w:rFonts w:eastAsiaTheme="minorHAnsi"/>
                <w:sz w:val="18"/>
                <w:szCs w:val="18"/>
                <w:lang w:val="tr-TR"/>
              </w:rPr>
              <w:t>.</w:t>
            </w:r>
          </w:p>
          <w:p w14:paraId="26C0082D" w14:textId="77777777" w:rsidR="00747261" w:rsidRPr="001A4B94" w:rsidRDefault="00747261" w:rsidP="00747261">
            <w:pPr>
              <w:spacing w:after="160" w:line="259" w:lineRule="auto"/>
              <w:contextualSpacing/>
              <w:rPr>
                <w:rFonts w:eastAsiaTheme="minorHAnsi"/>
                <w:sz w:val="18"/>
                <w:szCs w:val="18"/>
                <w:lang w:val="tr-TR"/>
              </w:rPr>
            </w:pPr>
          </w:p>
          <w:p w14:paraId="30067B2B" w14:textId="77777777" w:rsidR="00747261" w:rsidRPr="001A4B94" w:rsidRDefault="00747261" w:rsidP="00747261">
            <w:pPr>
              <w:spacing w:after="160" w:line="259" w:lineRule="auto"/>
              <w:ind w:left="187"/>
              <w:contextualSpacing/>
              <w:jc w:val="both"/>
              <w:rPr>
                <w:rFonts w:eastAsiaTheme="minorHAnsi"/>
                <w:b/>
                <w:i/>
                <w:sz w:val="18"/>
                <w:szCs w:val="18"/>
                <w:lang w:val="tr-TR"/>
              </w:rPr>
            </w:pPr>
          </w:p>
        </w:tc>
        <w:tc>
          <w:tcPr>
            <w:tcW w:w="1264" w:type="pct"/>
            <w:shd w:val="clear" w:color="auto" w:fill="auto"/>
          </w:tcPr>
          <w:p w14:paraId="03AFEBC7" w14:textId="4BD8F2E7" w:rsidR="00747261" w:rsidRPr="001A4B94" w:rsidRDefault="0043729C" w:rsidP="001A4B94">
            <w:pPr>
              <w:spacing w:after="160" w:line="259" w:lineRule="auto"/>
              <w:rPr>
                <w:rFonts w:eastAsiaTheme="minorHAnsi"/>
                <w:b/>
                <w:sz w:val="18"/>
                <w:szCs w:val="18"/>
                <w:lang w:val="tr-TR"/>
              </w:rPr>
            </w:pPr>
            <w:r w:rsidRPr="001A4B94">
              <w:rPr>
                <w:rFonts w:eastAsiaTheme="minorHAnsi"/>
                <w:b/>
                <w:sz w:val="18"/>
                <w:szCs w:val="18"/>
                <w:lang w:val="tr-TR"/>
              </w:rPr>
              <w:t>Karşılanmadı</w:t>
            </w:r>
            <w:r w:rsidR="00747261" w:rsidRPr="001A4B94">
              <w:rPr>
                <w:rFonts w:eastAsiaTheme="minorHAnsi"/>
                <w:b/>
                <w:sz w:val="18"/>
                <w:szCs w:val="18"/>
                <w:lang w:val="tr-TR"/>
              </w:rPr>
              <w:t xml:space="preserve">. </w:t>
            </w:r>
            <w:r w:rsidR="00B0578E" w:rsidRPr="001A4B94">
              <w:rPr>
                <w:rFonts w:eastAsiaTheme="minorHAnsi"/>
                <w:sz w:val="18"/>
                <w:szCs w:val="18"/>
                <w:lang w:val="tr-TR"/>
              </w:rPr>
              <w:t xml:space="preserve">Doğal sermaye hesapları </w:t>
            </w:r>
            <w:r w:rsidR="00CA4F96" w:rsidRPr="001A4B94">
              <w:rPr>
                <w:rFonts w:eastAsiaTheme="minorHAnsi"/>
                <w:sz w:val="18"/>
                <w:szCs w:val="18"/>
                <w:lang w:val="tr-TR"/>
              </w:rPr>
              <w:t xml:space="preserve">olışturulmadan </w:t>
            </w:r>
            <w:r w:rsidR="00B0578E" w:rsidRPr="001A4B94">
              <w:rPr>
                <w:rFonts w:eastAsiaTheme="minorHAnsi"/>
                <w:sz w:val="18"/>
                <w:szCs w:val="18"/>
                <w:lang w:val="tr-TR"/>
              </w:rPr>
              <w:t>önce</w:t>
            </w:r>
            <w:r w:rsidR="00B0578E" w:rsidRPr="001A4B94">
              <w:rPr>
                <w:rFonts w:eastAsiaTheme="minorHAnsi"/>
                <w:b/>
                <w:sz w:val="18"/>
                <w:szCs w:val="18"/>
                <w:lang w:val="tr-TR"/>
              </w:rPr>
              <w:t xml:space="preserve"> </w:t>
            </w:r>
            <w:r w:rsidR="00B0578E" w:rsidRPr="001A4B94">
              <w:rPr>
                <w:rFonts w:eastAsiaTheme="minorHAnsi"/>
                <w:sz w:val="18"/>
                <w:szCs w:val="18"/>
                <w:lang w:val="tr-TR"/>
              </w:rPr>
              <w:t>doğal kaynakl</w:t>
            </w:r>
            <w:r w:rsidR="00A841B8" w:rsidRPr="001A4B94">
              <w:rPr>
                <w:rFonts w:eastAsiaTheme="minorHAnsi"/>
                <w:sz w:val="18"/>
                <w:szCs w:val="18"/>
                <w:lang w:val="tr-TR"/>
              </w:rPr>
              <w:t>a</w:t>
            </w:r>
            <w:r w:rsidR="00B0578E" w:rsidRPr="001A4B94">
              <w:rPr>
                <w:rFonts w:eastAsiaTheme="minorHAnsi"/>
                <w:sz w:val="18"/>
                <w:szCs w:val="18"/>
                <w:lang w:val="tr-TR"/>
              </w:rPr>
              <w:t>rın değerlemesine öncelik verildi</w:t>
            </w:r>
            <w:r w:rsidR="00747261" w:rsidRPr="001A4B94">
              <w:rPr>
                <w:rFonts w:eastAsiaTheme="minorHAnsi"/>
                <w:sz w:val="18"/>
                <w:szCs w:val="18"/>
                <w:lang w:val="tr-TR"/>
              </w:rPr>
              <w:t xml:space="preserve">. </w:t>
            </w:r>
            <w:r w:rsidR="00B0578E" w:rsidRPr="001A4B94">
              <w:rPr>
                <w:rFonts w:eastAsiaTheme="minorHAnsi"/>
                <w:sz w:val="18"/>
                <w:szCs w:val="18"/>
                <w:lang w:val="tr-TR"/>
              </w:rPr>
              <w:t>Dolayısıyla</w:t>
            </w:r>
            <w:r w:rsidR="00747261" w:rsidRPr="001A4B94">
              <w:rPr>
                <w:rFonts w:eastAsiaTheme="minorHAnsi"/>
                <w:sz w:val="18"/>
                <w:szCs w:val="18"/>
                <w:lang w:val="tr-TR"/>
              </w:rPr>
              <w:t xml:space="preserve">, </w:t>
            </w:r>
            <w:r w:rsidR="00B0578E" w:rsidRPr="001A4B94">
              <w:rPr>
                <w:rFonts w:eastAsiaTheme="minorHAnsi"/>
                <w:sz w:val="18"/>
                <w:szCs w:val="18"/>
                <w:lang w:val="tr-TR"/>
              </w:rPr>
              <w:t xml:space="preserve">DBG </w:t>
            </w:r>
            <w:r w:rsidR="00A841B8" w:rsidRPr="001A4B94">
              <w:rPr>
                <w:rFonts w:eastAsiaTheme="minorHAnsi"/>
                <w:sz w:val="18"/>
                <w:szCs w:val="18"/>
                <w:lang w:val="tr-TR"/>
              </w:rPr>
              <w:t>değerleme metodolojisi üzerinde odaklandı</w:t>
            </w:r>
            <w:r w:rsidR="00747261" w:rsidRPr="001A4B94">
              <w:rPr>
                <w:rFonts w:eastAsiaTheme="minorHAnsi"/>
                <w:sz w:val="18"/>
                <w:szCs w:val="18"/>
                <w:lang w:val="tr-TR"/>
              </w:rPr>
              <w:t xml:space="preserve">. </w:t>
            </w:r>
            <w:r w:rsidR="00A841B8" w:rsidRPr="001A4B94">
              <w:rPr>
                <w:rFonts w:eastAsiaTheme="minorHAnsi"/>
                <w:sz w:val="18"/>
                <w:szCs w:val="18"/>
                <w:lang w:val="tr-TR"/>
              </w:rPr>
              <w:t>Orman ve su sektörlerinde değerleme metodolojisi ve örnek incelemeleri hakkında iki rapor hazırlandı ve hükümet ile paylaşıldı</w:t>
            </w:r>
            <w:r w:rsidR="00747261" w:rsidRPr="001A4B94">
              <w:rPr>
                <w:rFonts w:eastAsiaTheme="minorHAnsi"/>
                <w:sz w:val="18"/>
                <w:szCs w:val="18"/>
                <w:lang w:val="tr-TR"/>
              </w:rPr>
              <w:t>.</w:t>
            </w:r>
          </w:p>
        </w:tc>
        <w:tc>
          <w:tcPr>
            <w:tcW w:w="2500" w:type="pct"/>
            <w:vMerge/>
            <w:shd w:val="clear" w:color="auto" w:fill="auto"/>
          </w:tcPr>
          <w:p w14:paraId="0EF4EBE4" w14:textId="77777777" w:rsidR="00747261" w:rsidRPr="001A4B94" w:rsidRDefault="00747261" w:rsidP="00747261">
            <w:pPr>
              <w:rPr>
                <w:rFonts w:eastAsiaTheme="minorEastAsia"/>
                <w:b/>
                <w:sz w:val="18"/>
                <w:szCs w:val="18"/>
                <w:lang w:val="tr-TR" w:eastAsia="ja-JP"/>
              </w:rPr>
            </w:pPr>
          </w:p>
        </w:tc>
      </w:tr>
    </w:tbl>
    <w:p w14:paraId="551DE829" w14:textId="77777777" w:rsidR="00747261" w:rsidRPr="001A4B94" w:rsidRDefault="00747261" w:rsidP="00747261">
      <w:pPr>
        <w:spacing w:after="160" w:line="259" w:lineRule="auto"/>
        <w:rPr>
          <w:rFonts w:eastAsiaTheme="minorHAnsi"/>
          <w:sz w:val="18"/>
          <w:szCs w:val="18"/>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779"/>
        <w:gridCol w:w="4856"/>
      </w:tblGrid>
      <w:tr w:rsidR="00747261" w:rsidRPr="001A4B94" w14:paraId="471E4296" w14:textId="77777777" w:rsidTr="00747261">
        <w:trPr>
          <w:trHeight w:val="260"/>
        </w:trPr>
        <w:tc>
          <w:tcPr>
            <w:tcW w:w="5000" w:type="pct"/>
            <w:gridSpan w:val="3"/>
            <w:shd w:val="clear" w:color="auto" w:fill="D9D9D9" w:themeFill="background1" w:themeFillShade="D9"/>
          </w:tcPr>
          <w:p w14:paraId="77605EB5" w14:textId="72DB0E7C" w:rsidR="00747261" w:rsidRPr="001A4B94" w:rsidRDefault="00747261" w:rsidP="00747261">
            <w:pPr>
              <w:rPr>
                <w:rFonts w:eastAsiaTheme="minorEastAsia"/>
                <w:b/>
                <w:sz w:val="18"/>
                <w:szCs w:val="18"/>
                <w:lang w:val="tr-TR" w:eastAsia="ja-JP"/>
              </w:rPr>
            </w:pPr>
            <w:r w:rsidRPr="001A4B94">
              <w:rPr>
                <w:rFonts w:eastAsiaTheme="minorEastAsia"/>
                <w:sz w:val="18"/>
                <w:szCs w:val="18"/>
                <w:lang w:val="tr-TR" w:eastAsia="ja-JP"/>
              </w:rPr>
              <w:br w:type="page"/>
            </w:r>
            <w:r w:rsidR="00CD5923" w:rsidRPr="001A4B94">
              <w:rPr>
                <w:rFonts w:eastAsiaTheme="minorEastAsia"/>
                <w:b/>
                <w:sz w:val="18"/>
                <w:szCs w:val="18"/>
                <w:lang w:val="tr-TR" w:eastAsia="ja-JP"/>
              </w:rPr>
              <w:t xml:space="preserve">Tematik Alan </w:t>
            </w:r>
            <w:r w:rsidRPr="001A4B94">
              <w:rPr>
                <w:rFonts w:eastAsiaTheme="minorEastAsia"/>
                <w:b/>
                <w:sz w:val="18"/>
                <w:szCs w:val="18"/>
                <w:lang w:val="tr-TR" w:eastAsia="ja-JP"/>
              </w:rPr>
              <w:t xml:space="preserve">8:  </w:t>
            </w:r>
            <w:r w:rsidR="00CD5923" w:rsidRPr="001A4B94">
              <w:rPr>
                <w:b/>
                <w:sz w:val="18"/>
                <w:szCs w:val="18"/>
                <w:lang w:val="tr-TR"/>
              </w:rPr>
              <w:t>Türkiye’deki şehirlerin sürdürülebilirliğinin arttırılması</w:t>
            </w:r>
            <w:r w:rsidRPr="001A4B94">
              <w:rPr>
                <w:rFonts w:eastAsiaTheme="minorEastAsia"/>
                <w:b/>
                <w:sz w:val="18"/>
                <w:szCs w:val="18"/>
                <w:lang w:val="tr-TR" w:eastAsia="ja-JP"/>
              </w:rPr>
              <w:t xml:space="preserve">. </w:t>
            </w:r>
            <w:r w:rsidRPr="001A4B94">
              <w:rPr>
                <w:rFonts w:eastAsiaTheme="minorEastAsia"/>
                <w:b/>
                <w:color w:val="FF0000"/>
                <w:sz w:val="18"/>
                <w:szCs w:val="18"/>
                <w:lang w:val="tr-TR" w:eastAsia="ja-JP"/>
              </w:rPr>
              <w:t xml:space="preserve">– </w:t>
            </w:r>
            <w:r w:rsidR="00CD5923" w:rsidRPr="001A4B94">
              <w:rPr>
                <w:rFonts w:eastAsiaTheme="minorEastAsia"/>
                <w:b/>
                <w:color w:val="FF0000"/>
                <w:sz w:val="18"/>
                <w:szCs w:val="18"/>
                <w:lang w:val="tr-TR" w:eastAsia="ja-JP"/>
              </w:rPr>
              <w:t>Kısmen Başarıldı</w:t>
            </w:r>
          </w:p>
        </w:tc>
      </w:tr>
      <w:tr w:rsidR="00CD5923" w:rsidRPr="001A4B94" w14:paraId="2ADF6B5C" w14:textId="77777777" w:rsidTr="00747261">
        <w:trPr>
          <w:trHeight w:val="620"/>
        </w:trPr>
        <w:tc>
          <w:tcPr>
            <w:tcW w:w="1666" w:type="pct"/>
            <w:shd w:val="clear" w:color="auto" w:fill="auto"/>
          </w:tcPr>
          <w:p w14:paraId="6EED3FA5" w14:textId="178BE858" w:rsidR="00CD5923" w:rsidRPr="001A4B94" w:rsidRDefault="00CD5923" w:rsidP="00CD5923">
            <w:pPr>
              <w:spacing w:after="160" w:line="259" w:lineRule="auto"/>
              <w:rPr>
                <w:rFonts w:eastAsiaTheme="minorHAnsi"/>
                <w:sz w:val="18"/>
                <w:szCs w:val="18"/>
                <w:lang w:val="tr-TR"/>
              </w:rPr>
            </w:pPr>
            <w:r w:rsidRPr="001A4B94">
              <w:rPr>
                <w:rFonts w:eastAsiaTheme="minorHAnsi"/>
                <w:b/>
                <w:sz w:val="18"/>
                <w:szCs w:val="18"/>
                <w:lang w:val="tr-TR" w:bidi="en-US"/>
              </w:rPr>
              <w:t xml:space="preserve">DBG Sonuç Göstergeleri </w:t>
            </w:r>
          </w:p>
        </w:tc>
        <w:tc>
          <w:tcPr>
            <w:tcW w:w="1459" w:type="pct"/>
            <w:shd w:val="clear" w:color="auto" w:fill="auto"/>
          </w:tcPr>
          <w:p w14:paraId="1EAF7DE7" w14:textId="2997EEC1" w:rsidR="00CD5923" w:rsidRPr="001A4B94" w:rsidRDefault="00CD5923" w:rsidP="00CD5923">
            <w:pPr>
              <w:rPr>
                <w:rFonts w:eastAsia="Arial Unicode MS"/>
                <w:sz w:val="18"/>
                <w:szCs w:val="18"/>
                <w:lang w:val="tr-TR"/>
              </w:rPr>
            </w:pPr>
            <w:r w:rsidRPr="001A4B94">
              <w:rPr>
                <w:rFonts w:eastAsiaTheme="minorHAnsi"/>
                <w:b/>
                <w:sz w:val="18"/>
                <w:szCs w:val="18"/>
                <w:lang w:val="tr-TR" w:bidi="en-US"/>
              </w:rPr>
              <w:t>Bugüne Kadar Kaydedilen İlerleme:</w:t>
            </w:r>
          </w:p>
        </w:tc>
        <w:tc>
          <w:tcPr>
            <w:tcW w:w="1875" w:type="pct"/>
            <w:vMerge w:val="restart"/>
            <w:shd w:val="clear" w:color="auto" w:fill="auto"/>
          </w:tcPr>
          <w:p w14:paraId="4D7DBC31" w14:textId="41533921" w:rsidR="00CD5923" w:rsidRPr="001A4B94" w:rsidRDefault="008A1B1C" w:rsidP="00CD5923">
            <w:pPr>
              <w:rPr>
                <w:rFonts w:eastAsiaTheme="minorEastAsia"/>
                <w:b/>
                <w:sz w:val="18"/>
                <w:szCs w:val="18"/>
                <w:lang w:val="tr-TR" w:eastAsia="ja-JP"/>
              </w:rPr>
            </w:pPr>
            <w:r w:rsidRPr="001A4B94">
              <w:rPr>
                <w:rFonts w:eastAsiaTheme="minorEastAsia"/>
                <w:b/>
                <w:sz w:val="18"/>
                <w:szCs w:val="18"/>
                <w:lang w:val="tr-TR" w:eastAsia="ja-JP"/>
              </w:rPr>
              <w:t>Finansman</w:t>
            </w:r>
            <w:r w:rsidR="00CD5923" w:rsidRPr="001A4B94">
              <w:rPr>
                <w:rFonts w:eastAsiaTheme="minorEastAsia"/>
                <w:b/>
                <w:sz w:val="18"/>
                <w:szCs w:val="18"/>
                <w:lang w:val="tr-TR" w:eastAsia="ja-JP"/>
              </w:rPr>
              <w:t>:</w:t>
            </w:r>
          </w:p>
          <w:p w14:paraId="6BA98342" w14:textId="4EAF81AD" w:rsidR="00CD5923" w:rsidRPr="001A4B94" w:rsidRDefault="00BE284D" w:rsidP="00CD5923">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Tapu ve Kadastro Modernizasyon Projesi - Ek Finansman </w:t>
            </w:r>
            <w:r w:rsidR="00CD5923" w:rsidRPr="001A4B94">
              <w:rPr>
                <w:rFonts w:eastAsiaTheme="minorHAnsi"/>
                <w:sz w:val="18"/>
                <w:szCs w:val="18"/>
                <w:lang w:val="tr-TR"/>
              </w:rPr>
              <w:t>(</w:t>
            </w:r>
            <w:r w:rsidRPr="001A4B94">
              <w:rPr>
                <w:rFonts w:eastAsiaTheme="minorHAnsi"/>
                <w:sz w:val="18"/>
                <w:szCs w:val="18"/>
                <w:lang w:val="tr-TR"/>
              </w:rPr>
              <w:t>2015 MY</w:t>
            </w:r>
            <w:r w:rsidR="00CD5923" w:rsidRPr="001A4B94">
              <w:rPr>
                <w:rFonts w:eastAsiaTheme="minorHAnsi"/>
                <w:sz w:val="18"/>
                <w:szCs w:val="18"/>
                <w:lang w:val="tr-TR"/>
              </w:rPr>
              <w:t>) P106284</w:t>
            </w:r>
          </w:p>
          <w:p w14:paraId="611D648D" w14:textId="26879E8F" w:rsidR="00CD5923" w:rsidRPr="001A4B94" w:rsidRDefault="00BE284D" w:rsidP="00CD5923">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Belediye Hizmetleri Projesi </w:t>
            </w:r>
            <w:r w:rsidR="00CD5923" w:rsidRPr="001A4B94">
              <w:rPr>
                <w:rFonts w:eastAsiaTheme="minorHAnsi"/>
                <w:sz w:val="18"/>
                <w:szCs w:val="18"/>
                <w:lang w:val="tr-TR"/>
              </w:rPr>
              <w:t>(</w:t>
            </w:r>
            <w:r w:rsidRPr="001A4B94">
              <w:rPr>
                <w:rFonts w:eastAsiaTheme="minorHAnsi"/>
                <w:sz w:val="18"/>
                <w:szCs w:val="18"/>
                <w:lang w:val="tr-TR"/>
              </w:rPr>
              <w:t>2005 MY</w:t>
            </w:r>
            <w:r w:rsidR="00CD5923" w:rsidRPr="001A4B94">
              <w:rPr>
                <w:rFonts w:eastAsiaTheme="minorHAnsi"/>
                <w:sz w:val="18"/>
                <w:szCs w:val="18"/>
                <w:lang w:val="tr-TR"/>
              </w:rPr>
              <w:t xml:space="preserve">) </w:t>
            </w:r>
            <w:r w:rsidRPr="001A4B94">
              <w:rPr>
                <w:rFonts w:eastAsiaTheme="minorHAnsi"/>
                <w:sz w:val="18"/>
                <w:szCs w:val="18"/>
                <w:lang w:val="tr-TR"/>
              </w:rPr>
              <w:t xml:space="preserve">+ Ek Finansman </w:t>
            </w:r>
            <w:r w:rsidR="00CD5923" w:rsidRPr="001A4B94">
              <w:rPr>
                <w:rFonts w:eastAsiaTheme="minorHAnsi"/>
                <w:sz w:val="18"/>
                <w:szCs w:val="18"/>
                <w:lang w:val="tr-TR"/>
              </w:rPr>
              <w:t>(</w:t>
            </w:r>
            <w:r w:rsidRPr="001A4B94">
              <w:rPr>
                <w:rFonts w:eastAsiaTheme="minorHAnsi"/>
                <w:sz w:val="18"/>
                <w:szCs w:val="18"/>
                <w:lang w:val="tr-TR"/>
              </w:rPr>
              <w:t>2010 MY</w:t>
            </w:r>
            <w:r w:rsidR="00CD5923" w:rsidRPr="001A4B94">
              <w:rPr>
                <w:rFonts w:eastAsiaTheme="minorHAnsi"/>
                <w:sz w:val="18"/>
                <w:szCs w:val="18"/>
                <w:lang w:val="tr-TR"/>
              </w:rPr>
              <w:t>) P081880</w:t>
            </w:r>
          </w:p>
          <w:p w14:paraId="3FA74C84" w14:textId="168975D7" w:rsidR="00CD5923" w:rsidRPr="001A4B94" w:rsidRDefault="00BE284D" w:rsidP="00CD5923">
            <w:pPr>
              <w:numPr>
                <w:ilvl w:val="0"/>
                <w:numId w:val="22"/>
              </w:numPr>
              <w:spacing w:after="160" w:line="259" w:lineRule="auto"/>
              <w:ind w:left="187" w:hanging="187"/>
              <w:contextualSpacing/>
              <w:rPr>
                <w:rFonts w:eastAsiaTheme="minorHAnsi"/>
                <w:sz w:val="18"/>
                <w:szCs w:val="18"/>
                <w:lang w:val="tr-TR"/>
              </w:rPr>
            </w:pPr>
            <w:r w:rsidRPr="001A4B94">
              <w:rPr>
                <w:sz w:val="18"/>
                <w:szCs w:val="18"/>
                <w:lang w:val="tr-TR"/>
              </w:rPr>
              <w:t xml:space="preserve">İstanbul Deprem Riskini Azaltma ve Acil Durum Hazırlık Projesi  </w:t>
            </w:r>
            <w:r w:rsidR="00CD5923" w:rsidRPr="001A4B94">
              <w:rPr>
                <w:rFonts w:eastAsiaTheme="minorHAnsi"/>
                <w:sz w:val="18"/>
                <w:szCs w:val="18"/>
                <w:lang w:val="tr-TR"/>
              </w:rPr>
              <w:t>(</w:t>
            </w:r>
            <w:r w:rsidRPr="001A4B94">
              <w:rPr>
                <w:rFonts w:eastAsiaTheme="minorHAnsi"/>
                <w:sz w:val="18"/>
                <w:szCs w:val="18"/>
                <w:lang w:val="tr-TR"/>
              </w:rPr>
              <w:t>2005 MY</w:t>
            </w:r>
            <w:r w:rsidR="00CD5923" w:rsidRPr="001A4B94">
              <w:rPr>
                <w:rFonts w:eastAsiaTheme="minorHAnsi"/>
                <w:sz w:val="18"/>
                <w:szCs w:val="18"/>
                <w:lang w:val="tr-TR"/>
              </w:rPr>
              <w:t xml:space="preserve">) </w:t>
            </w:r>
            <w:r w:rsidR="005275BE" w:rsidRPr="001A4B94">
              <w:rPr>
                <w:rFonts w:eastAsiaTheme="minorHAnsi"/>
                <w:sz w:val="18"/>
                <w:szCs w:val="18"/>
                <w:lang w:val="tr-TR"/>
              </w:rPr>
              <w:t xml:space="preserve">+ Ek Finansman </w:t>
            </w:r>
            <w:r w:rsidR="00CD5923" w:rsidRPr="001A4B94">
              <w:rPr>
                <w:rFonts w:eastAsiaTheme="minorHAnsi"/>
                <w:sz w:val="18"/>
                <w:szCs w:val="18"/>
                <w:lang w:val="tr-TR"/>
              </w:rPr>
              <w:t>(</w:t>
            </w:r>
            <w:r w:rsidR="005275BE" w:rsidRPr="001A4B94">
              <w:rPr>
                <w:rFonts w:eastAsiaTheme="minorHAnsi"/>
                <w:sz w:val="18"/>
                <w:szCs w:val="18"/>
                <w:lang w:val="tr-TR"/>
              </w:rPr>
              <w:t>2010 MY</w:t>
            </w:r>
            <w:r w:rsidR="00CD5923" w:rsidRPr="001A4B94">
              <w:rPr>
                <w:rFonts w:eastAsiaTheme="minorHAnsi"/>
                <w:sz w:val="18"/>
                <w:szCs w:val="18"/>
                <w:lang w:val="tr-TR"/>
              </w:rPr>
              <w:t>) P078359</w:t>
            </w:r>
          </w:p>
          <w:p w14:paraId="102F2EE2" w14:textId="4FDB228F" w:rsidR="00CD5923" w:rsidRPr="001A4B94" w:rsidRDefault="00CD5923"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IFC</w:t>
            </w:r>
            <w:r w:rsidR="00BC03C0" w:rsidRPr="001A4B94">
              <w:rPr>
                <w:rFonts w:eastAsiaTheme="minorHAnsi"/>
                <w:sz w:val="18"/>
                <w:szCs w:val="18"/>
                <w:lang w:val="tr-TR"/>
              </w:rPr>
              <w:t xml:space="preserve">’nin belediye altyapısını iyileştirmeye yönelik Belediye Finansmanı </w:t>
            </w:r>
          </w:p>
          <w:p w14:paraId="7D266026" w14:textId="2B766115" w:rsidR="00CD5923" w:rsidRPr="001A4B94" w:rsidRDefault="00CD5923"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IFC</w:t>
            </w:r>
            <w:r w:rsidR="00BC03C0" w:rsidRPr="001A4B94">
              <w:rPr>
                <w:rFonts w:eastAsiaTheme="minorHAnsi"/>
                <w:sz w:val="18"/>
                <w:szCs w:val="18"/>
                <w:lang w:val="tr-TR"/>
              </w:rPr>
              <w:t xml:space="preserve">’nin </w:t>
            </w:r>
            <w:r w:rsidRPr="001A4B94">
              <w:rPr>
                <w:rFonts w:eastAsiaTheme="minorHAnsi"/>
                <w:sz w:val="18"/>
                <w:szCs w:val="18"/>
                <w:lang w:val="tr-TR"/>
              </w:rPr>
              <w:t xml:space="preserve"> </w:t>
            </w:r>
            <w:r w:rsidR="00BC03C0" w:rsidRPr="001A4B94">
              <w:rPr>
                <w:rFonts w:eastAsiaTheme="minorHAnsi"/>
                <w:sz w:val="18"/>
                <w:szCs w:val="18"/>
                <w:lang w:val="tr-TR"/>
              </w:rPr>
              <w:t xml:space="preserve">ulaştırma lojistik yatırımları </w:t>
            </w:r>
          </w:p>
          <w:p w14:paraId="4443A005" w14:textId="52BB0C76" w:rsidR="00CD5923" w:rsidRPr="001A4B94" w:rsidRDefault="00CD5923"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MIGA</w:t>
            </w:r>
            <w:r w:rsidR="0047076E" w:rsidRPr="001A4B94">
              <w:rPr>
                <w:rFonts w:eastAsiaTheme="minorHAnsi"/>
                <w:sz w:val="18"/>
                <w:szCs w:val="18"/>
                <w:lang w:val="tr-TR"/>
              </w:rPr>
              <w:t xml:space="preserve">’nın IFC kredilerine paralel üç hissedar dışı kredi için sağladığı </w:t>
            </w:r>
            <w:r w:rsidRPr="001A4B94">
              <w:rPr>
                <w:rFonts w:eastAsiaTheme="minorHAnsi"/>
                <w:sz w:val="18"/>
                <w:szCs w:val="18"/>
                <w:lang w:val="tr-TR"/>
              </w:rPr>
              <w:t xml:space="preserve"> </w:t>
            </w:r>
            <w:r w:rsidR="0047076E" w:rsidRPr="001A4B94">
              <w:rPr>
                <w:rFonts w:eastAsiaTheme="minorHAnsi"/>
                <w:sz w:val="18"/>
                <w:szCs w:val="18"/>
                <w:lang w:val="tr-TR"/>
              </w:rPr>
              <w:t xml:space="preserve">kredi geliştirme olanakları  </w:t>
            </w:r>
            <w:r w:rsidRPr="001A4B94">
              <w:rPr>
                <w:rFonts w:eastAsiaTheme="minorHAnsi"/>
                <w:sz w:val="18"/>
                <w:szCs w:val="18"/>
                <w:lang w:val="tr-TR"/>
              </w:rPr>
              <w:t xml:space="preserve">- </w:t>
            </w:r>
            <w:r w:rsidR="0047076E" w:rsidRPr="001A4B94">
              <w:rPr>
                <w:rFonts w:eastAsiaTheme="minorHAnsi"/>
                <w:sz w:val="18"/>
                <w:szCs w:val="18"/>
                <w:lang w:val="tr-TR"/>
              </w:rPr>
              <w:t xml:space="preserve">yeni feribot temini, elektrikli tramvay hattı yapımı ve  metro trenleri temini için İzmir Büyükşehir Belediyesi’ne </w:t>
            </w:r>
            <w:r w:rsidRPr="001A4B94">
              <w:rPr>
                <w:rFonts w:eastAsiaTheme="minorHAnsi"/>
                <w:sz w:val="18"/>
                <w:szCs w:val="18"/>
                <w:lang w:val="tr-TR"/>
              </w:rPr>
              <w:t>(</w:t>
            </w:r>
            <w:r w:rsidR="0047076E" w:rsidRPr="001A4B94">
              <w:rPr>
                <w:rFonts w:eastAsiaTheme="minorHAnsi"/>
                <w:sz w:val="18"/>
                <w:szCs w:val="18"/>
                <w:lang w:val="tr-TR"/>
              </w:rPr>
              <w:t>2013 MY</w:t>
            </w:r>
            <w:r w:rsidRPr="001A4B94">
              <w:rPr>
                <w:rFonts w:eastAsiaTheme="minorHAnsi"/>
                <w:sz w:val="18"/>
                <w:szCs w:val="18"/>
                <w:lang w:val="tr-TR"/>
              </w:rPr>
              <w:t xml:space="preserve">, </w:t>
            </w:r>
            <w:r w:rsidR="0047076E" w:rsidRPr="001A4B94">
              <w:rPr>
                <w:rFonts w:eastAsiaTheme="minorHAnsi"/>
                <w:sz w:val="18"/>
                <w:szCs w:val="18"/>
                <w:lang w:val="tr-TR"/>
              </w:rPr>
              <w:t>2014 MY</w:t>
            </w:r>
            <w:r w:rsidRPr="001A4B94">
              <w:rPr>
                <w:rFonts w:eastAsiaTheme="minorHAnsi"/>
                <w:sz w:val="18"/>
                <w:szCs w:val="18"/>
                <w:lang w:val="tr-TR"/>
              </w:rPr>
              <w:t xml:space="preserve">, </w:t>
            </w:r>
            <w:r w:rsidR="0047076E" w:rsidRPr="001A4B94">
              <w:rPr>
                <w:rFonts w:eastAsiaTheme="minorHAnsi"/>
                <w:sz w:val="18"/>
                <w:szCs w:val="18"/>
                <w:lang w:val="tr-TR"/>
              </w:rPr>
              <w:t>2015 MY</w:t>
            </w:r>
            <w:r w:rsidRPr="001A4B94">
              <w:rPr>
                <w:rFonts w:eastAsiaTheme="minorHAnsi"/>
                <w:sz w:val="18"/>
                <w:szCs w:val="18"/>
                <w:lang w:val="tr-TR"/>
              </w:rPr>
              <w:t>).</w:t>
            </w:r>
          </w:p>
          <w:p w14:paraId="715EB05D" w14:textId="1C3EC06E" w:rsidR="00CD5923" w:rsidRPr="001A4B94" w:rsidRDefault="00CD5923"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MIGA</w:t>
            </w:r>
            <w:r w:rsidR="008B700C" w:rsidRPr="001A4B94">
              <w:rPr>
                <w:rFonts w:eastAsiaTheme="minorHAnsi"/>
                <w:sz w:val="18"/>
                <w:szCs w:val="18"/>
                <w:lang w:val="tr-TR"/>
              </w:rPr>
              <w:t xml:space="preserve">’nın İstanbul Ulaşım A.Ş.’ye  Üsküdar-Ümraniye-Çekmeköy metro banliyö hattı için sağlanan hissedar dışı kredi için sağladığı </w:t>
            </w:r>
            <w:r w:rsidRPr="001A4B94">
              <w:rPr>
                <w:rFonts w:eastAsiaTheme="minorHAnsi"/>
                <w:sz w:val="18"/>
                <w:szCs w:val="18"/>
                <w:lang w:val="tr-TR"/>
              </w:rPr>
              <w:t xml:space="preserve"> </w:t>
            </w:r>
            <w:r w:rsidR="008B700C" w:rsidRPr="001A4B94">
              <w:rPr>
                <w:rFonts w:eastAsiaTheme="minorHAnsi"/>
                <w:sz w:val="18"/>
                <w:szCs w:val="18"/>
                <w:lang w:val="tr-TR"/>
              </w:rPr>
              <w:t xml:space="preserve">kredi geliştirme olanağı </w:t>
            </w:r>
            <w:r w:rsidRPr="001A4B94">
              <w:rPr>
                <w:rFonts w:eastAsiaTheme="minorHAnsi"/>
                <w:sz w:val="18"/>
                <w:szCs w:val="18"/>
                <w:lang w:val="tr-TR"/>
              </w:rPr>
              <w:t>(</w:t>
            </w:r>
            <w:r w:rsidR="008B700C" w:rsidRPr="001A4B94">
              <w:rPr>
                <w:rFonts w:eastAsiaTheme="minorHAnsi"/>
                <w:sz w:val="18"/>
                <w:szCs w:val="18"/>
                <w:lang w:val="tr-TR"/>
              </w:rPr>
              <w:t>2015 MY</w:t>
            </w:r>
            <w:r w:rsidRPr="001A4B94">
              <w:rPr>
                <w:rFonts w:eastAsiaTheme="minorHAnsi"/>
                <w:sz w:val="18"/>
                <w:szCs w:val="18"/>
                <w:lang w:val="tr-TR"/>
              </w:rPr>
              <w:t>)</w:t>
            </w:r>
          </w:p>
          <w:p w14:paraId="58A0C3BD" w14:textId="0B677D8E" w:rsidR="00CD5923" w:rsidRPr="001A4B94" w:rsidRDefault="008B700C" w:rsidP="00CD5923">
            <w:pPr>
              <w:spacing w:after="160" w:line="259" w:lineRule="auto"/>
              <w:rPr>
                <w:rFonts w:eastAsiaTheme="minorHAnsi"/>
                <w:b/>
                <w:sz w:val="18"/>
                <w:szCs w:val="18"/>
                <w:lang w:val="tr-TR" w:bidi="en-US"/>
              </w:rPr>
            </w:pPr>
            <w:r w:rsidRPr="001A4B94">
              <w:rPr>
                <w:rFonts w:eastAsiaTheme="minorHAnsi"/>
                <w:b/>
                <w:sz w:val="18"/>
                <w:szCs w:val="18"/>
                <w:lang w:val="tr-TR" w:bidi="en-US"/>
              </w:rPr>
              <w:t>Bilgi</w:t>
            </w:r>
            <w:r w:rsidR="00CD5923" w:rsidRPr="001A4B94">
              <w:rPr>
                <w:rFonts w:eastAsiaTheme="minorHAnsi"/>
                <w:b/>
                <w:sz w:val="18"/>
                <w:szCs w:val="18"/>
                <w:lang w:val="tr-TR" w:bidi="en-US"/>
              </w:rPr>
              <w:t>:</w:t>
            </w:r>
          </w:p>
          <w:p w14:paraId="2A820F7D" w14:textId="3267743D" w:rsidR="00CD5923" w:rsidRPr="001A4B94" w:rsidRDefault="00624CB2"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lastRenderedPageBreak/>
              <w:t xml:space="preserve">Bölgesel Kalkınma ve Kırılganlık Program Odaklı Teknik Yardım Çalışması </w:t>
            </w:r>
            <w:r w:rsidR="00CD5923" w:rsidRPr="001A4B94">
              <w:rPr>
                <w:rFonts w:eastAsiaTheme="minorHAnsi"/>
                <w:sz w:val="18"/>
                <w:szCs w:val="18"/>
                <w:lang w:val="tr-TR"/>
              </w:rPr>
              <w:t>(</w:t>
            </w:r>
            <w:r w:rsidRPr="001A4B94">
              <w:rPr>
                <w:rFonts w:eastAsiaTheme="minorHAnsi"/>
                <w:sz w:val="18"/>
                <w:szCs w:val="18"/>
                <w:lang w:val="tr-TR"/>
              </w:rPr>
              <w:t>2016 MY</w:t>
            </w:r>
            <w:r w:rsidR="00CD5923" w:rsidRPr="001A4B94">
              <w:rPr>
                <w:rFonts w:eastAsiaTheme="minorHAnsi"/>
                <w:sz w:val="18"/>
                <w:szCs w:val="18"/>
                <w:lang w:val="tr-TR"/>
              </w:rPr>
              <w:t>) P151079</w:t>
            </w:r>
          </w:p>
          <w:p w14:paraId="5A99027A" w14:textId="662E99AF" w:rsidR="00CD5923" w:rsidRPr="001A4B94" w:rsidRDefault="00624CB2"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Türkiye </w:t>
            </w:r>
            <w:r w:rsidR="00171054" w:rsidRPr="001A4B94">
              <w:rPr>
                <w:rFonts w:eastAsiaTheme="minorHAnsi"/>
                <w:sz w:val="18"/>
                <w:szCs w:val="18"/>
                <w:lang w:val="tr-TR"/>
              </w:rPr>
              <w:t>Kredi Değerlik</w:t>
            </w:r>
            <w:r w:rsidRPr="001A4B94">
              <w:rPr>
                <w:rFonts w:eastAsiaTheme="minorHAnsi"/>
                <w:sz w:val="18"/>
                <w:szCs w:val="18"/>
                <w:lang w:val="tr-TR"/>
              </w:rPr>
              <w:t xml:space="preserve"> Akademisi </w:t>
            </w:r>
            <w:r w:rsidR="00CD5923" w:rsidRPr="001A4B94">
              <w:rPr>
                <w:rFonts w:eastAsiaTheme="minorHAnsi"/>
                <w:sz w:val="18"/>
                <w:szCs w:val="18"/>
                <w:lang w:val="tr-TR"/>
              </w:rPr>
              <w:t>(</w:t>
            </w:r>
            <w:r w:rsidRPr="001A4B94">
              <w:rPr>
                <w:rFonts w:eastAsiaTheme="minorHAnsi"/>
                <w:sz w:val="18"/>
                <w:szCs w:val="18"/>
                <w:lang w:val="tr-TR"/>
              </w:rPr>
              <w:t>2016 MY</w:t>
            </w:r>
            <w:r w:rsidR="00CD5923" w:rsidRPr="001A4B94">
              <w:rPr>
                <w:rFonts w:eastAsiaTheme="minorHAnsi"/>
                <w:sz w:val="18"/>
                <w:szCs w:val="18"/>
                <w:lang w:val="tr-TR"/>
              </w:rPr>
              <w:t>) P159176</w:t>
            </w:r>
          </w:p>
          <w:p w14:paraId="3B00FAE1" w14:textId="4387A813" w:rsidR="00CD5923" w:rsidRPr="001A4B94" w:rsidRDefault="00CD5923"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IBRD-IFC </w:t>
            </w:r>
            <w:r w:rsidR="00171054" w:rsidRPr="001A4B94">
              <w:rPr>
                <w:rFonts w:eastAsiaTheme="minorHAnsi"/>
                <w:sz w:val="18"/>
                <w:szCs w:val="18"/>
                <w:lang w:val="tr-TR"/>
              </w:rPr>
              <w:t>Sürdürülebilir</w:t>
            </w:r>
            <w:r w:rsidR="00624CB2" w:rsidRPr="001A4B94">
              <w:rPr>
                <w:rFonts w:eastAsiaTheme="minorHAnsi"/>
                <w:sz w:val="18"/>
                <w:szCs w:val="18"/>
                <w:lang w:val="tr-TR"/>
              </w:rPr>
              <w:t xml:space="preserve"> Şehirler </w:t>
            </w:r>
            <w:r w:rsidRPr="001A4B94">
              <w:rPr>
                <w:rFonts w:eastAsiaTheme="minorHAnsi"/>
                <w:sz w:val="18"/>
                <w:szCs w:val="18"/>
                <w:lang w:val="tr-TR"/>
              </w:rPr>
              <w:t>JIP (</w:t>
            </w:r>
            <w:r w:rsidR="00624CB2" w:rsidRPr="001A4B94">
              <w:rPr>
                <w:rFonts w:eastAsiaTheme="minorHAnsi"/>
                <w:sz w:val="18"/>
                <w:szCs w:val="18"/>
                <w:lang w:val="tr-TR"/>
              </w:rPr>
              <w:t>20106 MY</w:t>
            </w:r>
            <w:r w:rsidRPr="001A4B94">
              <w:rPr>
                <w:rFonts w:eastAsiaTheme="minorHAnsi"/>
                <w:sz w:val="18"/>
                <w:szCs w:val="18"/>
                <w:lang w:val="tr-TR"/>
              </w:rPr>
              <w:t>) P156161</w:t>
            </w:r>
          </w:p>
          <w:p w14:paraId="2FA56D8B" w14:textId="3169B06D" w:rsidR="00CD5923" w:rsidRPr="001A4B94" w:rsidRDefault="00624CB2"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Vakıf Fonu</w:t>
            </w:r>
            <w:r w:rsidR="00CD5923" w:rsidRPr="001A4B94">
              <w:rPr>
                <w:rFonts w:eastAsiaTheme="minorHAnsi"/>
                <w:sz w:val="18"/>
                <w:szCs w:val="18"/>
                <w:lang w:val="tr-TR"/>
              </w:rPr>
              <w:t xml:space="preserve"> GFDRR (</w:t>
            </w:r>
            <w:r w:rsidRPr="001A4B94">
              <w:rPr>
                <w:sz w:val="18"/>
                <w:szCs w:val="18"/>
                <w:lang w:val="tr-TR"/>
              </w:rPr>
              <w:t>Küresel Afet Azaltma ve Yeniden Yapılandırma Fonu): Afet Riskini Azaltma ve Hazırlık (2009 MY)</w:t>
            </w:r>
          </w:p>
          <w:p w14:paraId="7868453C" w14:textId="3D0F63F4" w:rsidR="00CD5923" w:rsidRPr="001A4B94" w:rsidRDefault="00624CB2"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Vakıf Fonu </w:t>
            </w:r>
            <w:r w:rsidR="00CD5923" w:rsidRPr="001A4B94">
              <w:rPr>
                <w:rFonts w:eastAsiaTheme="minorHAnsi"/>
                <w:sz w:val="18"/>
                <w:szCs w:val="18"/>
                <w:lang w:val="tr-TR"/>
              </w:rPr>
              <w:t>PPIAF (</w:t>
            </w:r>
            <w:r w:rsidRPr="001A4B94">
              <w:rPr>
                <w:sz w:val="18"/>
                <w:szCs w:val="18"/>
                <w:lang w:val="tr-TR"/>
              </w:rPr>
              <w:t>Kamu-Özel Altyapı Danışma Fonu): Sürdürülebilir Şehirler (Belediye Kredi Derecelendirme İşlemlerinin Yapılandırması)</w:t>
            </w:r>
            <w:r w:rsidR="00CD5923" w:rsidRPr="001A4B94">
              <w:rPr>
                <w:rFonts w:eastAsiaTheme="minorHAnsi"/>
                <w:sz w:val="18"/>
                <w:szCs w:val="18"/>
                <w:lang w:val="tr-TR"/>
              </w:rPr>
              <w:t xml:space="preserve"> (</w:t>
            </w:r>
            <w:r w:rsidRPr="001A4B94">
              <w:rPr>
                <w:rFonts w:eastAsiaTheme="minorHAnsi"/>
                <w:sz w:val="18"/>
                <w:szCs w:val="18"/>
                <w:lang w:val="tr-TR"/>
              </w:rPr>
              <w:t>2015 MY</w:t>
            </w:r>
            <w:r w:rsidR="00CD5923" w:rsidRPr="001A4B94">
              <w:rPr>
                <w:rFonts w:eastAsiaTheme="minorHAnsi"/>
                <w:sz w:val="18"/>
                <w:szCs w:val="18"/>
                <w:lang w:val="tr-TR"/>
              </w:rPr>
              <w:t>) P133345</w:t>
            </w:r>
          </w:p>
          <w:p w14:paraId="53350389" w14:textId="127507CF" w:rsidR="00CD5923" w:rsidRPr="001A4B94" w:rsidRDefault="00CD5923"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ESW </w:t>
            </w:r>
            <w:r w:rsidR="00624CB2" w:rsidRPr="001A4B94">
              <w:rPr>
                <w:rFonts w:eastAsiaTheme="minorHAnsi"/>
                <w:sz w:val="18"/>
                <w:szCs w:val="18"/>
                <w:lang w:val="tr-TR"/>
              </w:rPr>
              <w:t xml:space="preserve">Türkiye’nin Deneyimleri: Entegrasyon, Kapsama, Kurumlar / Ülke Ekonomik Memorandumu (2015 MY) (P133570)  </w:t>
            </w:r>
          </w:p>
          <w:p w14:paraId="33D5789C" w14:textId="4816F36B" w:rsidR="00CD5923" w:rsidRPr="001A4B94" w:rsidRDefault="00CD5923" w:rsidP="00CD5923">
            <w:pPr>
              <w:numPr>
                <w:ilvl w:val="0"/>
                <w:numId w:val="22"/>
              </w:numPr>
              <w:spacing w:after="160" w:line="259" w:lineRule="auto"/>
              <w:ind w:left="187" w:hanging="187"/>
              <w:contextualSpacing/>
              <w:rPr>
                <w:rFonts w:eastAsiaTheme="minorHAnsi"/>
                <w:sz w:val="18"/>
                <w:szCs w:val="18"/>
                <w:lang w:val="tr-TR"/>
              </w:rPr>
            </w:pPr>
            <w:r w:rsidRPr="001A4B94">
              <w:rPr>
                <w:rFonts w:eastAsiaTheme="minorHAnsi"/>
                <w:sz w:val="18"/>
                <w:szCs w:val="18"/>
                <w:lang w:val="tr-TR"/>
              </w:rPr>
              <w:t xml:space="preserve">ESW </w:t>
            </w:r>
            <w:r w:rsidR="00624CB2" w:rsidRPr="001A4B94">
              <w:rPr>
                <w:rFonts w:eastAsiaTheme="minorHAnsi"/>
                <w:sz w:val="18"/>
                <w:szCs w:val="18"/>
                <w:lang w:val="tr-TR"/>
              </w:rPr>
              <w:t xml:space="preserve">Şehirleşme İncelemesi </w:t>
            </w:r>
            <w:r w:rsidRPr="001A4B94">
              <w:rPr>
                <w:rFonts w:eastAsiaTheme="minorHAnsi"/>
                <w:sz w:val="18"/>
                <w:szCs w:val="18"/>
                <w:lang w:val="tr-TR"/>
              </w:rPr>
              <w:t>(</w:t>
            </w:r>
            <w:r w:rsidR="00624CB2" w:rsidRPr="001A4B94">
              <w:rPr>
                <w:rFonts w:eastAsiaTheme="minorHAnsi"/>
                <w:sz w:val="18"/>
                <w:szCs w:val="18"/>
                <w:lang w:val="tr-TR"/>
              </w:rPr>
              <w:t>2015 MY</w:t>
            </w:r>
            <w:r w:rsidRPr="001A4B94">
              <w:rPr>
                <w:rFonts w:eastAsiaTheme="minorHAnsi"/>
                <w:sz w:val="18"/>
                <w:szCs w:val="18"/>
                <w:lang w:val="tr-TR"/>
              </w:rPr>
              <w:t>) P128606</w:t>
            </w:r>
          </w:p>
          <w:p w14:paraId="1F80CA59" w14:textId="7087512C" w:rsidR="00CD5923" w:rsidRPr="001A4B94" w:rsidRDefault="00171054" w:rsidP="00CD5923">
            <w:pPr>
              <w:numPr>
                <w:ilvl w:val="0"/>
                <w:numId w:val="22"/>
              </w:numPr>
              <w:spacing w:after="160" w:line="259" w:lineRule="auto"/>
              <w:ind w:left="187" w:hanging="187"/>
              <w:contextualSpacing/>
              <w:rPr>
                <w:rFonts w:eastAsiaTheme="minorHAnsi"/>
                <w:sz w:val="18"/>
                <w:szCs w:val="18"/>
                <w:lang w:val="tr-TR" w:bidi="en-US"/>
              </w:rPr>
            </w:pPr>
            <w:r w:rsidRPr="001A4B94">
              <w:rPr>
                <w:rFonts w:eastAsiaTheme="minorHAnsi"/>
                <w:sz w:val="18"/>
                <w:szCs w:val="18"/>
                <w:lang w:val="tr-TR"/>
              </w:rPr>
              <w:t>Çevresel ve Doğal Kaynak Yönetimi Program Odaklı Teknik Yardım Çalışması</w:t>
            </w:r>
            <w:r w:rsidR="00CD5923" w:rsidRPr="001A4B94">
              <w:rPr>
                <w:rFonts w:eastAsiaTheme="minorHAnsi"/>
                <w:sz w:val="18"/>
                <w:szCs w:val="18"/>
                <w:lang w:val="tr-TR"/>
              </w:rPr>
              <w:t>.</w:t>
            </w:r>
          </w:p>
        </w:tc>
      </w:tr>
      <w:tr w:rsidR="00747261" w:rsidRPr="001A4B94" w14:paraId="774B3E88" w14:textId="77777777" w:rsidTr="00747261">
        <w:trPr>
          <w:trHeight w:val="1290"/>
        </w:trPr>
        <w:tc>
          <w:tcPr>
            <w:tcW w:w="1666" w:type="pct"/>
            <w:shd w:val="clear" w:color="auto" w:fill="auto"/>
          </w:tcPr>
          <w:p w14:paraId="582676A5" w14:textId="06616419" w:rsidR="00747261" w:rsidRPr="001A4B94" w:rsidRDefault="00CD5923" w:rsidP="00747261">
            <w:pPr>
              <w:spacing w:after="160" w:line="259" w:lineRule="auto"/>
              <w:contextualSpacing/>
              <w:rPr>
                <w:rFonts w:eastAsiaTheme="minorHAnsi"/>
                <w:b/>
                <w:sz w:val="18"/>
                <w:szCs w:val="18"/>
                <w:lang w:val="tr-TR" w:bidi="en-US"/>
              </w:rPr>
            </w:pPr>
            <w:r w:rsidRPr="001A4B94">
              <w:rPr>
                <w:rFonts w:eastAsiaTheme="minorHAnsi"/>
                <w:b/>
                <w:i/>
                <w:sz w:val="18"/>
                <w:szCs w:val="18"/>
                <w:lang w:val="tr-TR"/>
              </w:rPr>
              <w:t>Sonuç</w:t>
            </w:r>
            <w:r w:rsidR="00747261" w:rsidRPr="001A4B94">
              <w:rPr>
                <w:rFonts w:eastAsiaTheme="minorHAnsi"/>
                <w:b/>
                <w:i/>
                <w:sz w:val="18"/>
                <w:szCs w:val="18"/>
                <w:lang w:val="tr-TR"/>
              </w:rPr>
              <w:t xml:space="preserve"> 1:</w:t>
            </w:r>
            <w:r w:rsidR="00747261" w:rsidRPr="001A4B94">
              <w:rPr>
                <w:rFonts w:eastAsiaTheme="minorHAnsi"/>
                <w:sz w:val="18"/>
                <w:szCs w:val="18"/>
                <w:lang w:val="tr-TR"/>
              </w:rPr>
              <w:t xml:space="preserve"> </w:t>
            </w:r>
            <w:r w:rsidR="00C42562" w:rsidRPr="001A4B94">
              <w:rPr>
                <w:sz w:val="18"/>
                <w:szCs w:val="18"/>
                <w:lang w:val="tr-TR"/>
              </w:rPr>
              <w:t>Belediye Hizmetleri Projesi kapsamındaki dört pilot ilde ilave 420.000 kişinin daha su temini, çöp toplama ve kanalizasyon gibi temel kentsel  hizmetlere erişiminin sağlanması</w:t>
            </w:r>
            <w:r w:rsidR="00747261" w:rsidRPr="001A4B94">
              <w:rPr>
                <w:rFonts w:eastAsiaTheme="minorHAnsi"/>
                <w:sz w:val="18"/>
                <w:szCs w:val="18"/>
                <w:lang w:val="tr-TR"/>
              </w:rPr>
              <w:t xml:space="preserve">. </w:t>
            </w:r>
          </w:p>
        </w:tc>
        <w:tc>
          <w:tcPr>
            <w:tcW w:w="1459" w:type="pct"/>
            <w:shd w:val="clear" w:color="auto" w:fill="auto"/>
          </w:tcPr>
          <w:p w14:paraId="56A28A0E" w14:textId="4B2EF5AD" w:rsidR="00747261" w:rsidRPr="001A4B94" w:rsidRDefault="008112C6" w:rsidP="00747261">
            <w:pPr>
              <w:spacing w:after="160" w:line="259" w:lineRule="auto"/>
              <w:rPr>
                <w:rFonts w:eastAsiaTheme="minorHAnsi"/>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E52AD2" w:rsidRPr="001A4B94">
              <w:rPr>
                <w:rFonts w:eastAsiaTheme="minorHAnsi"/>
                <w:sz w:val="18"/>
                <w:szCs w:val="18"/>
                <w:lang w:val="tr-TR"/>
              </w:rPr>
              <w:t>CPS dönemi boyunca</w:t>
            </w:r>
            <w:r w:rsidR="00E52AD2" w:rsidRPr="001A4B94">
              <w:rPr>
                <w:rFonts w:eastAsiaTheme="minorHAnsi"/>
                <w:b/>
                <w:sz w:val="18"/>
                <w:szCs w:val="18"/>
                <w:lang w:val="tr-TR"/>
              </w:rPr>
              <w:t xml:space="preserve"> </w:t>
            </w:r>
            <w:r w:rsidR="00E52AD2" w:rsidRPr="001A4B94">
              <w:rPr>
                <w:sz w:val="18"/>
                <w:szCs w:val="18"/>
                <w:lang w:val="tr-TR"/>
              </w:rPr>
              <w:t xml:space="preserve">Belediye Hizmetleri Projesi </w:t>
            </w:r>
            <w:r w:rsidR="00E52AD2" w:rsidRPr="001A4B94">
              <w:rPr>
                <w:rFonts w:eastAsiaTheme="minorHAnsi"/>
                <w:sz w:val="18"/>
                <w:szCs w:val="18"/>
                <w:lang w:val="tr-TR"/>
              </w:rPr>
              <w:t>tatmin edici bir şekilde uygulanmaya devam etti. Proje</w:t>
            </w:r>
            <w:r w:rsidR="00747261" w:rsidRPr="001A4B94">
              <w:rPr>
                <w:rFonts w:eastAsiaTheme="minorHAnsi"/>
                <w:sz w:val="18"/>
                <w:szCs w:val="18"/>
                <w:lang w:val="tr-TR"/>
              </w:rPr>
              <w:t xml:space="preserve"> </w:t>
            </w:r>
            <w:r w:rsidR="00E52AD2" w:rsidRPr="001A4B94">
              <w:rPr>
                <w:rFonts w:eastAsiaTheme="minorHAnsi"/>
                <w:sz w:val="18"/>
                <w:szCs w:val="18"/>
                <w:lang w:val="tr-TR"/>
              </w:rPr>
              <w:t>yatırımları hedefin 2,5 milyondan fazla kişi ile geçilmesini sağladı</w:t>
            </w:r>
            <w:r w:rsidR="00747261" w:rsidRPr="001A4B94">
              <w:rPr>
                <w:rFonts w:eastAsiaTheme="minorHAnsi"/>
                <w:sz w:val="18"/>
                <w:szCs w:val="18"/>
                <w:lang w:val="tr-TR"/>
              </w:rPr>
              <w:t>.</w:t>
            </w:r>
          </w:p>
          <w:p w14:paraId="34972D6D" w14:textId="77777777" w:rsidR="00747261" w:rsidRPr="001A4B94" w:rsidRDefault="00747261" w:rsidP="00747261">
            <w:pPr>
              <w:spacing w:after="160" w:line="259" w:lineRule="auto"/>
              <w:rPr>
                <w:rFonts w:eastAsiaTheme="minorHAnsi"/>
                <w:sz w:val="18"/>
                <w:szCs w:val="18"/>
                <w:lang w:val="tr-TR"/>
              </w:rPr>
            </w:pPr>
          </w:p>
          <w:p w14:paraId="26B68F7B" w14:textId="77777777" w:rsidR="00747261" w:rsidRPr="001A4B94" w:rsidRDefault="00747261" w:rsidP="00747261">
            <w:pPr>
              <w:spacing w:after="160" w:line="259" w:lineRule="auto"/>
              <w:rPr>
                <w:rFonts w:eastAsiaTheme="minorHAnsi"/>
                <w:b/>
                <w:sz w:val="22"/>
                <w:szCs w:val="22"/>
                <w:lang w:val="tr-TR" w:bidi="en-US"/>
              </w:rPr>
            </w:pPr>
          </w:p>
        </w:tc>
        <w:tc>
          <w:tcPr>
            <w:tcW w:w="1875" w:type="pct"/>
            <w:vMerge/>
            <w:shd w:val="clear" w:color="auto" w:fill="auto"/>
          </w:tcPr>
          <w:p w14:paraId="44AB3634" w14:textId="77777777" w:rsidR="00747261" w:rsidRPr="001A4B94" w:rsidRDefault="00747261" w:rsidP="00747261">
            <w:pPr>
              <w:rPr>
                <w:rFonts w:eastAsiaTheme="minorEastAsia"/>
                <w:b/>
                <w:sz w:val="18"/>
                <w:szCs w:val="18"/>
                <w:lang w:val="tr-TR" w:eastAsia="ja-JP"/>
              </w:rPr>
            </w:pPr>
          </w:p>
        </w:tc>
      </w:tr>
      <w:tr w:rsidR="00747261" w:rsidRPr="001A4B94" w14:paraId="56086608" w14:textId="77777777" w:rsidTr="00747261">
        <w:trPr>
          <w:trHeight w:val="1935"/>
        </w:trPr>
        <w:tc>
          <w:tcPr>
            <w:tcW w:w="1666" w:type="pct"/>
            <w:shd w:val="clear" w:color="auto" w:fill="auto"/>
          </w:tcPr>
          <w:p w14:paraId="1CAAD8DA" w14:textId="661A76FA" w:rsidR="00747261" w:rsidRPr="001A4B94" w:rsidRDefault="008E4161"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rPr>
              <w:t xml:space="preserve">Sonuç </w:t>
            </w:r>
            <w:r w:rsidR="00747261" w:rsidRPr="001A4B94">
              <w:rPr>
                <w:rFonts w:eastAsiaTheme="minorHAnsi"/>
                <w:b/>
                <w:i/>
                <w:sz w:val="18"/>
                <w:szCs w:val="18"/>
                <w:lang w:val="tr-TR"/>
              </w:rPr>
              <w:t>2:</w:t>
            </w:r>
            <w:r w:rsidR="00747261" w:rsidRPr="001A4B94">
              <w:rPr>
                <w:rFonts w:eastAsiaTheme="minorHAnsi"/>
                <w:sz w:val="18"/>
                <w:szCs w:val="18"/>
                <w:lang w:val="tr-TR"/>
              </w:rPr>
              <w:t xml:space="preserve"> </w:t>
            </w:r>
            <w:r w:rsidRPr="001A4B94">
              <w:rPr>
                <w:rFonts w:eastAsiaTheme="minorHAnsi"/>
                <w:sz w:val="18"/>
                <w:szCs w:val="18"/>
                <w:lang w:val="tr-TR" w:bidi="en-US"/>
              </w:rPr>
              <w:t xml:space="preserve">Belediye </w:t>
            </w:r>
            <w:r w:rsidR="008112C6" w:rsidRPr="001A4B94">
              <w:rPr>
                <w:rFonts w:eastAsiaTheme="minorHAnsi"/>
                <w:sz w:val="18"/>
                <w:szCs w:val="18"/>
                <w:lang w:val="tr-TR" w:bidi="en-US"/>
              </w:rPr>
              <w:t>yönetişimi</w:t>
            </w:r>
            <w:r w:rsidR="00747261" w:rsidRPr="001A4B94">
              <w:rPr>
                <w:rFonts w:eastAsiaTheme="minorHAnsi"/>
                <w:sz w:val="18"/>
                <w:szCs w:val="18"/>
                <w:lang w:val="tr-TR" w:bidi="en-US"/>
              </w:rPr>
              <w:t xml:space="preserve">: </w:t>
            </w:r>
            <w:r w:rsidRPr="001A4B94">
              <w:rPr>
                <w:sz w:val="18"/>
                <w:szCs w:val="18"/>
                <w:lang w:val="tr-TR"/>
              </w:rPr>
              <w:t>Vatandaş Karnesine dayalı olarak kamu kurumları arasında daha fazla puan almak için performans iyileştirme çabalarının başlatılması ve bir rekabet ortamı oluşturulması</w:t>
            </w:r>
            <w:r w:rsidR="00747261" w:rsidRPr="001A4B94">
              <w:rPr>
                <w:rFonts w:eastAsiaTheme="minorHAnsi"/>
                <w:sz w:val="18"/>
                <w:szCs w:val="18"/>
                <w:lang w:val="tr-TR" w:bidi="en-US"/>
              </w:rPr>
              <w:t xml:space="preserve">. </w:t>
            </w:r>
          </w:p>
          <w:p w14:paraId="26BD093A" w14:textId="77777777" w:rsidR="008112C6" w:rsidRPr="001A4B94" w:rsidRDefault="008112C6"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rPr>
              <w:t>Başlangıç Durumu</w:t>
            </w:r>
            <w:r w:rsidR="00747261" w:rsidRPr="001A4B94">
              <w:rPr>
                <w:rFonts w:eastAsiaTheme="minorHAnsi"/>
                <w:sz w:val="18"/>
                <w:szCs w:val="18"/>
                <w:lang w:val="tr-TR" w:bidi="en-US"/>
              </w:rPr>
              <w:t xml:space="preserve">: 1 pilot </w:t>
            </w:r>
            <w:r w:rsidRPr="001A4B94">
              <w:rPr>
                <w:rFonts w:eastAsiaTheme="minorHAnsi"/>
                <w:sz w:val="18"/>
                <w:szCs w:val="18"/>
                <w:lang w:val="tr-TR" w:bidi="en-US"/>
              </w:rPr>
              <w:t xml:space="preserve">belediye </w:t>
            </w:r>
            <w:r w:rsidR="00747261" w:rsidRPr="001A4B94">
              <w:rPr>
                <w:rFonts w:eastAsiaTheme="minorHAnsi"/>
                <w:sz w:val="18"/>
                <w:szCs w:val="18"/>
                <w:lang w:val="tr-TR" w:bidi="en-US"/>
              </w:rPr>
              <w:t xml:space="preserve">(Manisa). </w:t>
            </w:r>
          </w:p>
          <w:p w14:paraId="614DD6F8" w14:textId="491E8794" w:rsidR="00747261" w:rsidRPr="001A4B94" w:rsidRDefault="008112C6" w:rsidP="00747261">
            <w:pPr>
              <w:spacing w:after="160" w:line="259" w:lineRule="auto"/>
              <w:contextualSpacing/>
              <w:rPr>
                <w:rFonts w:eastAsiaTheme="minorHAnsi"/>
                <w:b/>
                <w:i/>
                <w:sz w:val="18"/>
                <w:szCs w:val="18"/>
                <w:lang w:val="tr-TR"/>
              </w:rPr>
            </w:pPr>
            <w:r w:rsidRPr="001A4B94">
              <w:rPr>
                <w:rFonts w:eastAsiaTheme="minorHAnsi"/>
                <w:b/>
                <w:sz w:val="18"/>
                <w:szCs w:val="18"/>
                <w:lang w:val="tr-TR" w:bidi="en-US"/>
              </w:rPr>
              <w:t>Hedef</w:t>
            </w:r>
            <w:r w:rsidR="00747261" w:rsidRPr="001A4B94">
              <w:rPr>
                <w:rFonts w:eastAsiaTheme="minorHAnsi"/>
                <w:sz w:val="18"/>
                <w:szCs w:val="18"/>
                <w:lang w:val="tr-TR" w:bidi="en-US"/>
              </w:rPr>
              <w:t xml:space="preserve">: 6 </w:t>
            </w:r>
            <w:r w:rsidRPr="001A4B94">
              <w:rPr>
                <w:rFonts w:eastAsiaTheme="minorHAnsi"/>
                <w:sz w:val="18"/>
                <w:szCs w:val="18"/>
                <w:lang w:val="tr-TR" w:bidi="en-US"/>
              </w:rPr>
              <w:t>belediye</w:t>
            </w:r>
          </w:p>
        </w:tc>
        <w:tc>
          <w:tcPr>
            <w:tcW w:w="1459" w:type="pct"/>
            <w:shd w:val="clear" w:color="auto" w:fill="auto"/>
          </w:tcPr>
          <w:p w14:paraId="023CD5A5" w14:textId="291FA26E" w:rsidR="00747261" w:rsidRPr="001A4B94" w:rsidRDefault="008112C6" w:rsidP="00747261">
            <w:pPr>
              <w:spacing w:after="160" w:line="259" w:lineRule="auto"/>
              <w:rPr>
                <w:rFonts w:eastAsiaTheme="minorHAnsi"/>
                <w:b/>
                <w:sz w:val="18"/>
                <w:szCs w:val="18"/>
                <w:lang w:val="tr-TR"/>
              </w:rPr>
            </w:pPr>
            <w:r w:rsidRPr="001A4B94">
              <w:rPr>
                <w:rFonts w:eastAsiaTheme="minorHAnsi"/>
                <w:b/>
                <w:sz w:val="18"/>
                <w:szCs w:val="18"/>
                <w:lang w:val="tr-TR"/>
              </w:rPr>
              <w:t>Karşılandı</w:t>
            </w:r>
            <w:r w:rsidR="00E52AD2" w:rsidRPr="001A4B94">
              <w:rPr>
                <w:rFonts w:eastAsiaTheme="minorHAnsi"/>
                <w:sz w:val="18"/>
                <w:szCs w:val="18"/>
                <w:lang w:val="tr-TR"/>
              </w:rPr>
              <w:t>. Vatandaş Karnesi uygulaması yoluyla p</w:t>
            </w:r>
            <w:r w:rsidR="00E52AD2" w:rsidRPr="001A4B94">
              <w:rPr>
                <w:sz w:val="18"/>
                <w:szCs w:val="18"/>
                <w:lang w:val="tr-TR"/>
              </w:rPr>
              <w:t xml:space="preserve">erformans iyileştirme çabaları ve yerel kamu idareleri arasında </w:t>
            </w:r>
            <w:r w:rsidR="00E52AD2" w:rsidRPr="001A4B94">
              <w:rPr>
                <w:rFonts w:eastAsiaTheme="minorHAnsi"/>
                <w:sz w:val="18"/>
                <w:szCs w:val="18"/>
                <w:lang w:val="tr-TR"/>
              </w:rPr>
              <w:t xml:space="preserve">rekabet ortamı 6 belediyeye yayıldı: </w:t>
            </w:r>
            <w:r w:rsidR="00747261" w:rsidRPr="001A4B94">
              <w:rPr>
                <w:rFonts w:eastAsiaTheme="minorHAnsi"/>
                <w:sz w:val="18"/>
                <w:szCs w:val="18"/>
                <w:lang w:val="tr-TR"/>
              </w:rPr>
              <w:t xml:space="preserve">Manisa, Trabzon, Antalya, </w:t>
            </w:r>
            <w:r w:rsidR="00E52AD2" w:rsidRPr="001A4B94">
              <w:rPr>
                <w:rFonts w:eastAsiaTheme="minorHAnsi"/>
                <w:sz w:val="18"/>
                <w:szCs w:val="18"/>
                <w:lang w:val="tr-TR"/>
              </w:rPr>
              <w:t>İstanbul</w:t>
            </w:r>
            <w:r w:rsidR="00747261" w:rsidRPr="001A4B94">
              <w:rPr>
                <w:rFonts w:eastAsiaTheme="minorHAnsi"/>
                <w:sz w:val="18"/>
                <w:szCs w:val="18"/>
                <w:lang w:val="tr-TR"/>
              </w:rPr>
              <w:t>, Adana</w:t>
            </w:r>
            <w:r w:rsidR="00E52AD2" w:rsidRPr="001A4B94">
              <w:rPr>
                <w:rFonts w:eastAsiaTheme="minorHAnsi"/>
                <w:sz w:val="18"/>
                <w:szCs w:val="18"/>
                <w:lang w:val="tr-TR"/>
              </w:rPr>
              <w:t xml:space="preserve"> ve </w:t>
            </w:r>
            <w:r w:rsidR="00747261" w:rsidRPr="001A4B94">
              <w:rPr>
                <w:rFonts w:eastAsiaTheme="minorHAnsi"/>
                <w:sz w:val="18"/>
                <w:szCs w:val="18"/>
                <w:lang w:val="tr-TR"/>
              </w:rPr>
              <w:t>Malatya.</w:t>
            </w:r>
          </w:p>
          <w:p w14:paraId="72DCBD7B" w14:textId="77777777" w:rsidR="00747261" w:rsidRPr="001A4B94" w:rsidRDefault="00747261" w:rsidP="00747261">
            <w:pPr>
              <w:spacing w:after="160" w:line="259" w:lineRule="auto"/>
              <w:rPr>
                <w:rFonts w:eastAsiaTheme="minorHAnsi"/>
                <w:sz w:val="18"/>
                <w:szCs w:val="18"/>
                <w:lang w:val="tr-TR"/>
              </w:rPr>
            </w:pPr>
          </w:p>
          <w:p w14:paraId="195E0DC7" w14:textId="77777777" w:rsidR="00747261" w:rsidRPr="001A4B94" w:rsidRDefault="00747261" w:rsidP="00747261">
            <w:pPr>
              <w:spacing w:after="160" w:line="259" w:lineRule="auto"/>
              <w:rPr>
                <w:rFonts w:eastAsiaTheme="minorHAnsi"/>
                <w:b/>
                <w:sz w:val="18"/>
                <w:szCs w:val="18"/>
                <w:lang w:val="tr-TR"/>
              </w:rPr>
            </w:pPr>
          </w:p>
        </w:tc>
        <w:tc>
          <w:tcPr>
            <w:tcW w:w="1875" w:type="pct"/>
            <w:vMerge/>
            <w:shd w:val="clear" w:color="auto" w:fill="auto"/>
          </w:tcPr>
          <w:p w14:paraId="484339AC" w14:textId="77777777" w:rsidR="00747261" w:rsidRPr="001A4B94" w:rsidRDefault="00747261" w:rsidP="00747261">
            <w:pPr>
              <w:rPr>
                <w:rFonts w:eastAsiaTheme="minorEastAsia"/>
                <w:b/>
                <w:sz w:val="18"/>
                <w:szCs w:val="18"/>
                <w:lang w:val="tr-TR" w:eastAsia="ja-JP"/>
              </w:rPr>
            </w:pPr>
          </w:p>
        </w:tc>
      </w:tr>
      <w:tr w:rsidR="00747261" w:rsidRPr="001A4B94" w14:paraId="443A2EFB" w14:textId="77777777" w:rsidTr="00747261">
        <w:trPr>
          <w:trHeight w:val="1007"/>
        </w:trPr>
        <w:tc>
          <w:tcPr>
            <w:tcW w:w="1666" w:type="pct"/>
            <w:shd w:val="clear" w:color="auto" w:fill="auto"/>
          </w:tcPr>
          <w:p w14:paraId="1B3F25FD" w14:textId="2FCDD438" w:rsidR="00747261" w:rsidRPr="001A4B94" w:rsidRDefault="007B2241"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bidi="en-US"/>
              </w:rPr>
              <w:lastRenderedPageBreak/>
              <w:t>Sonuç</w:t>
            </w:r>
            <w:r w:rsidR="00747261" w:rsidRPr="001A4B94">
              <w:rPr>
                <w:rFonts w:eastAsiaTheme="minorHAnsi"/>
                <w:b/>
                <w:i/>
                <w:sz w:val="18"/>
                <w:szCs w:val="18"/>
                <w:lang w:val="tr-TR" w:bidi="en-US"/>
              </w:rPr>
              <w:t xml:space="preserve"> 3:</w:t>
            </w:r>
            <w:r w:rsidR="00747261" w:rsidRPr="001A4B94">
              <w:rPr>
                <w:rFonts w:eastAsiaTheme="minorHAnsi"/>
                <w:sz w:val="18"/>
                <w:szCs w:val="18"/>
                <w:lang w:val="tr-TR" w:bidi="en-US"/>
              </w:rPr>
              <w:t xml:space="preserve"> </w:t>
            </w:r>
            <w:r w:rsidR="00476825" w:rsidRPr="001A4B94">
              <w:rPr>
                <w:rFonts w:eastAsiaTheme="minorHAnsi"/>
                <w:sz w:val="18"/>
                <w:szCs w:val="18"/>
                <w:lang w:val="tr-TR" w:bidi="en-US"/>
              </w:rPr>
              <w:t>Yeni</w:t>
            </w:r>
            <w:r w:rsidR="00747261" w:rsidRPr="001A4B94">
              <w:rPr>
                <w:rFonts w:eastAsiaTheme="minorHAnsi"/>
                <w:sz w:val="18"/>
                <w:szCs w:val="18"/>
                <w:lang w:val="tr-TR" w:bidi="en-US"/>
              </w:rPr>
              <w:t xml:space="preserve"> </w:t>
            </w:r>
            <w:r w:rsidR="00476825" w:rsidRPr="001A4B94">
              <w:rPr>
                <w:rFonts w:eastAsiaTheme="minorHAnsi"/>
                <w:sz w:val="18"/>
                <w:szCs w:val="18"/>
                <w:lang w:val="tr-TR" w:bidi="en-US"/>
              </w:rPr>
              <w:t>İ</w:t>
            </w:r>
            <w:r w:rsidR="00747261" w:rsidRPr="001A4B94">
              <w:rPr>
                <w:rFonts w:eastAsiaTheme="minorHAnsi"/>
                <w:sz w:val="18"/>
                <w:szCs w:val="18"/>
                <w:lang w:val="tr-TR" w:bidi="en-US"/>
              </w:rPr>
              <w:t>stanbul Kad</w:t>
            </w:r>
            <w:r w:rsidR="00476825" w:rsidRPr="001A4B94">
              <w:rPr>
                <w:rFonts w:eastAsiaTheme="minorHAnsi"/>
                <w:sz w:val="18"/>
                <w:szCs w:val="18"/>
                <w:lang w:val="tr-TR" w:bidi="en-US"/>
              </w:rPr>
              <w:t>ı</w:t>
            </w:r>
            <w:r w:rsidR="00747261" w:rsidRPr="001A4B94">
              <w:rPr>
                <w:rFonts w:eastAsiaTheme="minorHAnsi"/>
                <w:sz w:val="18"/>
                <w:szCs w:val="18"/>
                <w:lang w:val="tr-TR" w:bidi="en-US"/>
              </w:rPr>
              <w:t>k</w:t>
            </w:r>
            <w:r w:rsidR="00476825" w:rsidRPr="001A4B94">
              <w:rPr>
                <w:rFonts w:eastAsiaTheme="minorHAnsi"/>
                <w:sz w:val="18"/>
                <w:szCs w:val="18"/>
                <w:lang w:val="tr-TR" w:bidi="en-US"/>
              </w:rPr>
              <w:t>ö</w:t>
            </w:r>
            <w:r w:rsidR="00747261" w:rsidRPr="001A4B94">
              <w:rPr>
                <w:rFonts w:eastAsiaTheme="minorHAnsi"/>
                <w:sz w:val="18"/>
                <w:szCs w:val="18"/>
                <w:lang w:val="tr-TR" w:bidi="en-US"/>
              </w:rPr>
              <w:t xml:space="preserve">y-Kartal Metro </w:t>
            </w:r>
            <w:r w:rsidR="00F76481" w:rsidRPr="001A4B94">
              <w:rPr>
                <w:rFonts w:eastAsiaTheme="minorHAnsi"/>
                <w:sz w:val="18"/>
                <w:szCs w:val="18"/>
                <w:lang w:val="tr-TR" w:bidi="en-US"/>
              </w:rPr>
              <w:t>banliyö</w:t>
            </w:r>
            <w:r w:rsidR="00476825" w:rsidRPr="001A4B94">
              <w:rPr>
                <w:rFonts w:eastAsiaTheme="minorHAnsi"/>
                <w:sz w:val="18"/>
                <w:szCs w:val="18"/>
                <w:lang w:val="tr-TR" w:bidi="en-US"/>
              </w:rPr>
              <w:t xml:space="preserve"> hattı</w:t>
            </w:r>
            <w:r w:rsidR="00747261" w:rsidRPr="001A4B94">
              <w:rPr>
                <w:rFonts w:eastAsiaTheme="minorHAnsi"/>
                <w:sz w:val="18"/>
                <w:szCs w:val="18"/>
                <w:lang w:val="tr-TR" w:bidi="en-US"/>
              </w:rPr>
              <w:t xml:space="preserve">. </w:t>
            </w:r>
            <w:r w:rsidR="00476825" w:rsidRPr="001A4B94">
              <w:rPr>
                <w:rFonts w:eastAsiaTheme="minorHAnsi"/>
                <w:sz w:val="18"/>
                <w:szCs w:val="18"/>
                <w:lang w:val="tr-TR" w:bidi="en-US"/>
              </w:rPr>
              <w:t>2016 yılına kadar ilave 419.</w:t>
            </w:r>
            <w:r w:rsidR="00747261" w:rsidRPr="001A4B94">
              <w:rPr>
                <w:rFonts w:eastAsiaTheme="minorHAnsi"/>
                <w:sz w:val="18"/>
                <w:szCs w:val="18"/>
                <w:lang w:val="tr-TR" w:bidi="en-US"/>
              </w:rPr>
              <w:t xml:space="preserve">000 </w:t>
            </w:r>
            <w:r w:rsidR="00476825" w:rsidRPr="001A4B94">
              <w:rPr>
                <w:rFonts w:eastAsiaTheme="minorHAnsi"/>
                <w:sz w:val="18"/>
                <w:szCs w:val="18"/>
                <w:lang w:val="tr-TR" w:bidi="en-US"/>
              </w:rPr>
              <w:t>kişinin iyileştirilmiş hizmetl</w:t>
            </w:r>
            <w:r w:rsidR="00F76481" w:rsidRPr="001A4B94">
              <w:rPr>
                <w:rFonts w:eastAsiaTheme="minorHAnsi"/>
                <w:sz w:val="18"/>
                <w:szCs w:val="18"/>
                <w:lang w:val="tr-TR" w:bidi="en-US"/>
              </w:rPr>
              <w:t>e</w:t>
            </w:r>
            <w:r w:rsidR="00476825" w:rsidRPr="001A4B94">
              <w:rPr>
                <w:rFonts w:eastAsiaTheme="minorHAnsi"/>
                <w:sz w:val="18"/>
                <w:szCs w:val="18"/>
                <w:lang w:val="tr-TR" w:bidi="en-US"/>
              </w:rPr>
              <w:t>rden yararlanması</w:t>
            </w:r>
            <w:r w:rsidR="00747261" w:rsidRPr="001A4B94">
              <w:rPr>
                <w:rFonts w:eastAsiaTheme="minorHAnsi"/>
                <w:sz w:val="18"/>
                <w:szCs w:val="18"/>
                <w:lang w:val="tr-TR" w:bidi="en-US"/>
              </w:rPr>
              <w:t xml:space="preserve">. </w:t>
            </w:r>
          </w:p>
          <w:p w14:paraId="60A10FA8" w14:textId="0F22B682" w:rsidR="00747261" w:rsidRPr="001A4B94" w:rsidRDefault="00476825" w:rsidP="00747261">
            <w:pPr>
              <w:spacing w:after="160" w:line="259" w:lineRule="auto"/>
              <w:contextualSpacing/>
              <w:rPr>
                <w:rFonts w:eastAsiaTheme="minorHAnsi"/>
                <w:b/>
                <w:i/>
                <w:sz w:val="18"/>
                <w:szCs w:val="18"/>
                <w:lang w:val="tr-TR"/>
              </w:rPr>
            </w:pPr>
            <w:r w:rsidRPr="001A4B94">
              <w:rPr>
                <w:rFonts w:eastAsiaTheme="minorHAnsi"/>
                <w:b/>
                <w:sz w:val="18"/>
                <w:szCs w:val="18"/>
                <w:lang w:val="tr-TR"/>
              </w:rPr>
              <w:t>Başlangıç Durumu</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2013 yılında </w:t>
            </w:r>
            <w:r w:rsidR="00747261" w:rsidRPr="001A4B94">
              <w:rPr>
                <w:rFonts w:eastAsiaTheme="minorHAnsi"/>
                <w:sz w:val="18"/>
                <w:szCs w:val="18"/>
                <w:lang w:val="tr-TR" w:bidi="en-US"/>
              </w:rPr>
              <w:t>150</w:t>
            </w:r>
            <w:r w:rsidRPr="001A4B94">
              <w:rPr>
                <w:rFonts w:eastAsiaTheme="minorHAnsi"/>
                <w:sz w:val="18"/>
                <w:szCs w:val="18"/>
                <w:lang w:val="tr-TR" w:bidi="en-US"/>
              </w:rPr>
              <w:t>.</w:t>
            </w:r>
            <w:r w:rsidR="00747261" w:rsidRPr="001A4B94">
              <w:rPr>
                <w:rFonts w:eastAsiaTheme="minorHAnsi"/>
                <w:sz w:val="18"/>
                <w:szCs w:val="18"/>
                <w:lang w:val="tr-TR" w:bidi="en-US"/>
              </w:rPr>
              <w:t xml:space="preserve">000 </w:t>
            </w:r>
            <w:r w:rsidRPr="001A4B94">
              <w:rPr>
                <w:rFonts w:eastAsiaTheme="minorHAnsi"/>
                <w:sz w:val="18"/>
                <w:szCs w:val="18"/>
                <w:lang w:val="tr-TR" w:bidi="en-US"/>
              </w:rPr>
              <w:t>kişi</w:t>
            </w:r>
            <w:r w:rsidR="00747261" w:rsidRPr="001A4B94">
              <w:rPr>
                <w:rFonts w:eastAsiaTheme="minorHAnsi"/>
                <w:sz w:val="18"/>
                <w:szCs w:val="18"/>
                <w:lang w:val="tr-TR" w:bidi="en-US"/>
              </w:rPr>
              <w:t>.</w:t>
            </w:r>
          </w:p>
        </w:tc>
        <w:tc>
          <w:tcPr>
            <w:tcW w:w="1459" w:type="pct"/>
            <w:shd w:val="clear" w:color="auto" w:fill="auto"/>
          </w:tcPr>
          <w:p w14:paraId="1DE29B71" w14:textId="03D168D0" w:rsidR="00747261" w:rsidRPr="001A4B94" w:rsidRDefault="00F76481" w:rsidP="00747261">
            <w:pPr>
              <w:spacing w:after="160" w:line="259" w:lineRule="auto"/>
              <w:rPr>
                <w:rFonts w:eastAsiaTheme="minorHAnsi"/>
                <w:sz w:val="18"/>
                <w:szCs w:val="18"/>
                <w:lang w:val="tr-TR"/>
              </w:rPr>
            </w:pPr>
            <w:r w:rsidRPr="001A4B94">
              <w:rPr>
                <w:rFonts w:eastAsiaTheme="minorHAnsi"/>
                <w:b/>
                <w:sz w:val="18"/>
                <w:szCs w:val="18"/>
                <w:lang w:val="tr-TR"/>
              </w:rPr>
              <w:t>Kısmen karşılandı</w:t>
            </w:r>
            <w:r w:rsidR="00747261" w:rsidRPr="001A4B94">
              <w:rPr>
                <w:rFonts w:eastAsiaTheme="minorHAnsi"/>
                <w:b/>
                <w:sz w:val="18"/>
                <w:szCs w:val="18"/>
                <w:lang w:val="tr-TR" w:bidi="en-US"/>
              </w:rPr>
              <w:t xml:space="preserve">. </w:t>
            </w:r>
            <w:r w:rsidRPr="001A4B94">
              <w:rPr>
                <w:rFonts w:eastAsiaTheme="minorHAnsi"/>
                <w:sz w:val="18"/>
                <w:szCs w:val="18"/>
                <w:lang w:val="tr-TR" w:bidi="en-US"/>
              </w:rPr>
              <w:t>Proje ilerliyor</w:t>
            </w:r>
            <w:r w:rsidR="00747261" w:rsidRPr="001A4B94">
              <w:rPr>
                <w:rFonts w:eastAsiaTheme="minorHAnsi"/>
                <w:sz w:val="18"/>
                <w:szCs w:val="18"/>
                <w:lang w:val="tr-TR" w:bidi="en-US"/>
              </w:rPr>
              <w:t xml:space="preserve">. </w:t>
            </w:r>
            <w:r w:rsidR="003640F8" w:rsidRPr="001A4B94">
              <w:rPr>
                <w:rFonts w:eastAsiaTheme="minorHAnsi"/>
                <w:sz w:val="18"/>
                <w:szCs w:val="18"/>
                <w:lang w:val="tr-TR" w:bidi="en-US"/>
              </w:rPr>
              <w:t xml:space="preserve">Hafta içi günlerde ortalama yolcu sayısı </w:t>
            </w:r>
            <w:r w:rsidR="00747261" w:rsidRPr="001A4B94">
              <w:rPr>
                <w:rFonts w:eastAsiaTheme="minorHAnsi"/>
                <w:sz w:val="18"/>
                <w:szCs w:val="18"/>
                <w:lang w:val="tr-TR" w:bidi="en-US"/>
              </w:rPr>
              <w:t>277</w:t>
            </w:r>
            <w:r w:rsidR="003640F8" w:rsidRPr="001A4B94">
              <w:rPr>
                <w:rFonts w:eastAsiaTheme="minorHAnsi"/>
                <w:sz w:val="18"/>
                <w:szCs w:val="18"/>
                <w:lang w:val="tr-TR" w:bidi="en-US"/>
              </w:rPr>
              <w:t>.</w:t>
            </w:r>
            <w:r w:rsidR="00747261" w:rsidRPr="001A4B94">
              <w:rPr>
                <w:rFonts w:eastAsiaTheme="minorHAnsi"/>
                <w:sz w:val="18"/>
                <w:szCs w:val="18"/>
                <w:lang w:val="tr-TR" w:bidi="en-US"/>
              </w:rPr>
              <w:t xml:space="preserve">000 </w:t>
            </w:r>
            <w:r w:rsidR="003640F8" w:rsidRPr="001A4B94">
              <w:rPr>
                <w:rFonts w:eastAsiaTheme="minorHAnsi"/>
                <w:sz w:val="18"/>
                <w:szCs w:val="18"/>
                <w:lang w:val="tr-TR" w:bidi="en-US"/>
              </w:rPr>
              <w:t xml:space="preserve">kişiye ulaşmıştır </w:t>
            </w:r>
            <w:r w:rsidR="00747261" w:rsidRPr="001A4B94">
              <w:rPr>
                <w:rFonts w:eastAsiaTheme="minorHAnsi"/>
                <w:sz w:val="18"/>
                <w:szCs w:val="18"/>
                <w:lang w:val="tr-TR" w:bidi="en-US"/>
              </w:rPr>
              <w:t>(</w:t>
            </w:r>
            <w:r w:rsidR="003640F8" w:rsidRPr="001A4B94">
              <w:rPr>
                <w:rFonts w:eastAsiaTheme="minorHAnsi"/>
                <w:sz w:val="18"/>
                <w:szCs w:val="18"/>
                <w:lang w:val="tr-TR" w:bidi="en-US"/>
              </w:rPr>
              <w:t>2016 yılı ilk yarısı</w:t>
            </w:r>
            <w:r w:rsidR="00747261" w:rsidRPr="001A4B94">
              <w:rPr>
                <w:rFonts w:eastAsiaTheme="minorHAnsi"/>
                <w:sz w:val="18"/>
                <w:szCs w:val="18"/>
                <w:lang w:val="tr-TR" w:bidi="en-US"/>
              </w:rPr>
              <w:t>).</w:t>
            </w:r>
          </w:p>
        </w:tc>
        <w:tc>
          <w:tcPr>
            <w:tcW w:w="1875" w:type="pct"/>
            <w:vMerge/>
            <w:shd w:val="clear" w:color="auto" w:fill="auto"/>
          </w:tcPr>
          <w:p w14:paraId="1971F7C0" w14:textId="77777777" w:rsidR="00747261" w:rsidRPr="001A4B94" w:rsidRDefault="00747261" w:rsidP="00747261">
            <w:pPr>
              <w:rPr>
                <w:rFonts w:eastAsiaTheme="minorEastAsia"/>
                <w:b/>
                <w:sz w:val="18"/>
                <w:szCs w:val="18"/>
                <w:lang w:val="tr-TR" w:eastAsia="ja-JP"/>
              </w:rPr>
            </w:pPr>
          </w:p>
        </w:tc>
      </w:tr>
      <w:tr w:rsidR="00747261" w:rsidRPr="001A4B94" w14:paraId="5266C299" w14:textId="77777777" w:rsidTr="00747261">
        <w:trPr>
          <w:trHeight w:val="990"/>
        </w:trPr>
        <w:tc>
          <w:tcPr>
            <w:tcW w:w="1666" w:type="pct"/>
            <w:shd w:val="clear" w:color="auto" w:fill="auto"/>
          </w:tcPr>
          <w:p w14:paraId="07292FCC" w14:textId="30B1C2B9" w:rsidR="00747261" w:rsidRPr="001A4B94" w:rsidRDefault="00476825" w:rsidP="00747261">
            <w:pPr>
              <w:autoSpaceDE w:val="0"/>
              <w:autoSpaceDN w:val="0"/>
              <w:adjustRightInd w:val="0"/>
              <w:spacing w:after="160" w:line="259" w:lineRule="auto"/>
              <w:contextualSpacing/>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4:</w:t>
            </w:r>
            <w:r w:rsidR="00747261" w:rsidRPr="001A4B94">
              <w:rPr>
                <w:rFonts w:eastAsiaTheme="minorHAnsi"/>
                <w:sz w:val="18"/>
                <w:szCs w:val="18"/>
                <w:lang w:val="tr-TR" w:bidi="en-US"/>
              </w:rPr>
              <w:t xml:space="preserve"> </w:t>
            </w:r>
            <w:r w:rsidRPr="001A4B94">
              <w:rPr>
                <w:rFonts w:eastAsiaTheme="minorHAnsi"/>
                <w:sz w:val="18"/>
                <w:szCs w:val="18"/>
                <w:lang w:val="tr-TR" w:bidi="en-US"/>
              </w:rPr>
              <w:t>İzmir’de iki yeni elektrikli tramvay hattı ve iyileştirilmiş trafik yönetimi</w:t>
            </w:r>
            <w:r w:rsidR="00747261" w:rsidRPr="001A4B94">
              <w:rPr>
                <w:rFonts w:eastAsiaTheme="minorHAnsi"/>
                <w:sz w:val="18"/>
                <w:szCs w:val="18"/>
                <w:lang w:val="tr-TR" w:bidi="en-US"/>
              </w:rPr>
              <w:t xml:space="preserve">. </w:t>
            </w:r>
          </w:p>
          <w:p w14:paraId="521B6C11" w14:textId="77777777" w:rsidR="00747261" w:rsidRPr="001A4B94" w:rsidRDefault="00747261" w:rsidP="00747261">
            <w:pPr>
              <w:autoSpaceDE w:val="0"/>
              <w:autoSpaceDN w:val="0"/>
              <w:adjustRightInd w:val="0"/>
              <w:spacing w:after="160" w:line="259" w:lineRule="auto"/>
              <w:contextualSpacing/>
              <w:rPr>
                <w:rFonts w:eastAsiaTheme="minorHAnsi"/>
                <w:b/>
                <w:i/>
                <w:sz w:val="18"/>
                <w:szCs w:val="18"/>
                <w:lang w:val="tr-TR" w:bidi="en-US"/>
              </w:rPr>
            </w:pPr>
          </w:p>
          <w:p w14:paraId="010DA28B" w14:textId="77777777" w:rsidR="00747261" w:rsidRPr="001A4B94" w:rsidRDefault="00747261" w:rsidP="00747261">
            <w:pPr>
              <w:spacing w:after="160" w:line="259" w:lineRule="auto"/>
              <w:contextualSpacing/>
              <w:rPr>
                <w:rFonts w:eastAsiaTheme="minorHAnsi"/>
                <w:b/>
                <w:i/>
                <w:sz w:val="18"/>
                <w:szCs w:val="18"/>
                <w:lang w:val="tr-TR" w:bidi="en-US"/>
              </w:rPr>
            </w:pPr>
          </w:p>
        </w:tc>
        <w:tc>
          <w:tcPr>
            <w:tcW w:w="1459" w:type="pct"/>
            <w:shd w:val="clear" w:color="auto" w:fill="auto"/>
          </w:tcPr>
          <w:p w14:paraId="03216439" w14:textId="2FA84A62" w:rsidR="00747261" w:rsidRPr="001A4B94" w:rsidRDefault="00F76481" w:rsidP="00747261">
            <w:pPr>
              <w:spacing w:after="160" w:line="259" w:lineRule="auto"/>
              <w:rPr>
                <w:rFonts w:eastAsiaTheme="minorHAnsi"/>
                <w:b/>
                <w:sz w:val="18"/>
                <w:szCs w:val="18"/>
                <w:lang w:val="tr-TR" w:bidi="en-US"/>
              </w:rPr>
            </w:pPr>
            <w:r w:rsidRPr="001A4B94">
              <w:rPr>
                <w:rFonts w:eastAsiaTheme="minorHAnsi"/>
                <w:b/>
                <w:sz w:val="18"/>
                <w:szCs w:val="18"/>
                <w:lang w:val="tr-TR"/>
              </w:rPr>
              <w:t>Kısmen karşılandı</w:t>
            </w:r>
            <w:r w:rsidR="00747261" w:rsidRPr="001A4B94">
              <w:rPr>
                <w:rFonts w:eastAsiaTheme="minorHAnsi"/>
                <w:b/>
                <w:sz w:val="18"/>
                <w:szCs w:val="18"/>
                <w:lang w:val="tr-TR"/>
              </w:rPr>
              <w:t xml:space="preserve">. </w:t>
            </w:r>
            <w:r w:rsidR="003640F8" w:rsidRPr="001A4B94">
              <w:rPr>
                <w:rFonts w:eastAsiaTheme="minorHAnsi"/>
                <w:sz w:val="18"/>
                <w:szCs w:val="18"/>
                <w:lang w:val="tr-TR"/>
              </w:rPr>
              <w:t>İnşaat çalışmaları</w:t>
            </w:r>
            <w:r w:rsidR="003640F8" w:rsidRPr="001A4B94">
              <w:rPr>
                <w:rFonts w:eastAsiaTheme="minorHAnsi"/>
                <w:b/>
                <w:sz w:val="18"/>
                <w:szCs w:val="18"/>
                <w:lang w:val="tr-TR"/>
              </w:rPr>
              <w:t xml:space="preserve"> </w:t>
            </w:r>
            <w:r w:rsidR="003640F8" w:rsidRPr="001A4B94">
              <w:rPr>
                <w:rFonts w:eastAsiaTheme="minorHAnsi"/>
                <w:sz w:val="18"/>
                <w:szCs w:val="18"/>
                <w:lang w:val="tr-TR" w:bidi="en-US"/>
              </w:rPr>
              <w:t>2017 yılında tamamlanacak şekilde yolunda ilerliyor</w:t>
            </w:r>
            <w:r w:rsidR="00747261" w:rsidRPr="001A4B94">
              <w:rPr>
                <w:rFonts w:eastAsiaTheme="minorHAnsi"/>
                <w:sz w:val="18"/>
                <w:szCs w:val="18"/>
                <w:lang w:val="tr-TR" w:bidi="en-US"/>
              </w:rPr>
              <w:t xml:space="preserve">; </w:t>
            </w:r>
            <w:r w:rsidR="003640F8" w:rsidRPr="001A4B94">
              <w:rPr>
                <w:rFonts w:eastAsiaTheme="minorHAnsi"/>
                <w:sz w:val="18"/>
                <w:szCs w:val="18"/>
                <w:lang w:val="tr-TR" w:bidi="en-US"/>
              </w:rPr>
              <w:t xml:space="preserve">ilave </w:t>
            </w:r>
            <w:r w:rsidR="00747261" w:rsidRPr="001A4B94">
              <w:rPr>
                <w:rFonts w:eastAsiaTheme="minorHAnsi"/>
                <w:sz w:val="18"/>
                <w:szCs w:val="18"/>
                <w:lang w:val="tr-TR" w:bidi="en-US"/>
              </w:rPr>
              <w:t>240</w:t>
            </w:r>
            <w:r w:rsidR="003640F8" w:rsidRPr="001A4B94">
              <w:rPr>
                <w:rFonts w:eastAsiaTheme="minorHAnsi"/>
                <w:sz w:val="18"/>
                <w:szCs w:val="18"/>
                <w:lang w:val="tr-TR" w:bidi="en-US"/>
              </w:rPr>
              <w:t>.</w:t>
            </w:r>
            <w:r w:rsidR="00747261" w:rsidRPr="001A4B94">
              <w:rPr>
                <w:rFonts w:eastAsiaTheme="minorHAnsi"/>
                <w:sz w:val="18"/>
                <w:szCs w:val="18"/>
                <w:lang w:val="tr-TR" w:bidi="en-US"/>
              </w:rPr>
              <w:t xml:space="preserve">000 </w:t>
            </w:r>
            <w:r w:rsidR="003640F8" w:rsidRPr="001A4B94">
              <w:rPr>
                <w:rFonts w:eastAsiaTheme="minorHAnsi"/>
                <w:sz w:val="18"/>
                <w:szCs w:val="18"/>
                <w:lang w:val="tr-TR" w:bidi="en-US"/>
              </w:rPr>
              <w:t>kişi erişebilecektir</w:t>
            </w:r>
            <w:r w:rsidR="00747261" w:rsidRPr="001A4B94">
              <w:rPr>
                <w:rFonts w:eastAsiaTheme="minorHAnsi"/>
                <w:sz w:val="18"/>
                <w:szCs w:val="18"/>
                <w:lang w:val="tr-TR" w:bidi="en-US"/>
              </w:rPr>
              <w:t xml:space="preserve">. [Not: </w:t>
            </w:r>
            <w:r w:rsidR="003640F8" w:rsidRPr="001A4B94">
              <w:rPr>
                <w:rFonts w:eastAsiaTheme="minorHAnsi"/>
                <w:sz w:val="18"/>
                <w:szCs w:val="18"/>
                <w:lang w:val="tr-TR" w:bidi="en-US"/>
              </w:rPr>
              <w:t>ölçülebilir etki CPS döneminin dışına taşıyor</w:t>
            </w:r>
            <w:r w:rsidR="00747261" w:rsidRPr="001A4B94">
              <w:rPr>
                <w:rFonts w:eastAsiaTheme="minorHAnsi"/>
                <w:sz w:val="18"/>
                <w:szCs w:val="18"/>
                <w:lang w:val="tr-TR" w:bidi="en-US"/>
              </w:rPr>
              <w:t xml:space="preserve">] </w:t>
            </w:r>
            <w:r w:rsidR="003640F8" w:rsidRPr="001A4B94">
              <w:rPr>
                <w:rFonts w:eastAsiaTheme="minorHAnsi"/>
                <w:sz w:val="18"/>
                <w:szCs w:val="18"/>
                <w:lang w:val="tr-TR" w:bidi="en-US"/>
              </w:rPr>
              <w:t xml:space="preserve">2018 yılında </w:t>
            </w:r>
            <w:r w:rsidR="006E46EE" w:rsidRPr="001A4B94">
              <w:rPr>
                <w:rFonts w:eastAsiaTheme="minorHAnsi"/>
                <w:sz w:val="18"/>
                <w:szCs w:val="18"/>
                <w:lang w:val="tr-TR" w:bidi="en-US"/>
              </w:rPr>
              <w:t>faaliyete</w:t>
            </w:r>
            <w:r w:rsidR="003640F8" w:rsidRPr="001A4B94">
              <w:rPr>
                <w:rFonts w:eastAsiaTheme="minorHAnsi"/>
                <w:sz w:val="18"/>
                <w:szCs w:val="18"/>
                <w:lang w:val="tr-TR" w:bidi="en-US"/>
              </w:rPr>
              <w:t xml:space="preserve"> geçmesi bekleniyor</w:t>
            </w:r>
            <w:r w:rsidR="00747261" w:rsidRPr="001A4B94">
              <w:rPr>
                <w:rFonts w:eastAsiaTheme="minorHAnsi"/>
                <w:sz w:val="18"/>
                <w:szCs w:val="18"/>
                <w:lang w:val="tr-TR" w:bidi="en-US"/>
              </w:rPr>
              <w:t>.</w:t>
            </w:r>
          </w:p>
        </w:tc>
        <w:tc>
          <w:tcPr>
            <w:tcW w:w="1875" w:type="pct"/>
            <w:vMerge/>
            <w:shd w:val="clear" w:color="auto" w:fill="auto"/>
          </w:tcPr>
          <w:p w14:paraId="330E9B40" w14:textId="77777777" w:rsidR="00747261" w:rsidRPr="001A4B94" w:rsidRDefault="00747261" w:rsidP="00747261">
            <w:pPr>
              <w:rPr>
                <w:rFonts w:eastAsiaTheme="minorEastAsia"/>
                <w:b/>
                <w:sz w:val="18"/>
                <w:szCs w:val="18"/>
                <w:lang w:val="tr-TR" w:eastAsia="ja-JP"/>
              </w:rPr>
            </w:pPr>
          </w:p>
        </w:tc>
      </w:tr>
      <w:tr w:rsidR="00747261" w:rsidRPr="001A4B94" w14:paraId="1FC6CF13" w14:textId="77777777" w:rsidTr="00747261">
        <w:trPr>
          <w:trHeight w:val="1403"/>
        </w:trPr>
        <w:tc>
          <w:tcPr>
            <w:tcW w:w="1666" w:type="pct"/>
            <w:shd w:val="clear" w:color="auto" w:fill="auto"/>
          </w:tcPr>
          <w:p w14:paraId="4B4438B1" w14:textId="69512C47" w:rsidR="00747261" w:rsidRPr="001A4B94" w:rsidRDefault="00476825" w:rsidP="00747261">
            <w:pPr>
              <w:autoSpaceDE w:val="0"/>
              <w:autoSpaceDN w:val="0"/>
              <w:adjustRightInd w:val="0"/>
              <w:spacing w:after="160" w:line="259" w:lineRule="auto"/>
              <w:contextualSpacing/>
              <w:rPr>
                <w:rFonts w:eastAsiaTheme="minorHAnsi"/>
                <w:sz w:val="18"/>
                <w:szCs w:val="18"/>
                <w:lang w:val="tr-TR" w:bidi="en-US"/>
              </w:rPr>
            </w:pPr>
            <w:r w:rsidRPr="001A4B94">
              <w:rPr>
                <w:rFonts w:eastAsiaTheme="minorHAnsi"/>
                <w:b/>
                <w:i/>
                <w:sz w:val="18"/>
                <w:szCs w:val="18"/>
                <w:lang w:val="tr-TR" w:bidi="en-US"/>
              </w:rPr>
              <w:t>Sonuç</w:t>
            </w:r>
            <w:r w:rsidR="00747261" w:rsidRPr="001A4B94">
              <w:rPr>
                <w:rFonts w:eastAsiaTheme="minorHAnsi"/>
                <w:b/>
                <w:i/>
                <w:sz w:val="18"/>
                <w:szCs w:val="18"/>
                <w:lang w:val="tr-TR" w:bidi="en-US"/>
              </w:rPr>
              <w:t xml:space="preserve"> 5:</w:t>
            </w:r>
            <w:r w:rsidR="00747261" w:rsidRPr="001A4B94">
              <w:rPr>
                <w:rFonts w:eastAsiaTheme="minorHAnsi"/>
                <w:sz w:val="18"/>
                <w:szCs w:val="18"/>
                <w:lang w:val="tr-TR" w:bidi="en-US"/>
              </w:rPr>
              <w:t xml:space="preserve"> </w:t>
            </w:r>
            <w:r w:rsidR="00BA7CE4" w:rsidRPr="001A4B94">
              <w:rPr>
                <w:rFonts w:eastAsiaTheme="minorHAnsi"/>
                <w:sz w:val="18"/>
                <w:szCs w:val="18"/>
                <w:lang w:val="tr-TR" w:bidi="en-US"/>
              </w:rPr>
              <w:t xml:space="preserve">IFC tarafından finanse edilen İzmir Atıksu Arıtma Tesisi </w:t>
            </w:r>
            <w:r w:rsidR="00873C09" w:rsidRPr="001A4B94">
              <w:rPr>
                <w:rFonts w:eastAsiaTheme="minorHAnsi"/>
                <w:sz w:val="18"/>
                <w:szCs w:val="18"/>
                <w:lang w:val="tr-TR" w:bidi="en-US"/>
              </w:rPr>
              <w:t>genişletme yatırımı yoluyla Ege Denizi’ne arıtılmadan deşarj edilen atıksu miktarının azaltılması</w:t>
            </w:r>
            <w:r w:rsidR="00747261" w:rsidRPr="001A4B94">
              <w:rPr>
                <w:rFonts w:eastAsiaTheme="minorHAnsi"/>
                <w:sz w:val="18"/>
                <w:szCs w:val="18"/>
                <w:lang w:val="tr-TR" w:bidi="en-US"/>
              </w:rPr>
              <w:t xml:space="preserve">.  </w:t>
            </w:r>
          </w:p>
          <w:p w14:paraId="133FBD03" w14:textId="1348A915" w:rsidR="00747261" w:rsidRPr="001A4B94" w:rsidRDefault="00873C09" w:rsidP="00747261">
            <w:pPr>
              <w:spacing w:after="160" w:line="259" w:lineRule="auto"/>
              <w:contextualSpacing/>
              <w:rPr>
                <w:rFonts w:eastAsiaTheme="minorHAnsi"/>
                <w:sz w:val="18"/>
                <w:szCs w:val="18"/>
                <w:lang w:val="tr-TR" w:bidi="en-US"/>
              </w:rPr>
            </w:pPr>
            <w:r w:rsidRPr="001A4B94">
              <w:rPr>
                <w:rFonts w:eastAsiaTheme="minorHAnsi"/>
                <w:b/>
                <w:sz w:val="18"/>
                <w:szCs w:val="18"/>
                <w:lang w:val="tr-TR"/>
              </w:rPr>
              <w:t>Başlangıç Durumu</w:t>
            </w:r>
            <w:r w:rsidR="00747261" w:rsidRPr="001A4B94">
              <w:rPr>
                <w:rFonts w:eastAsiaTheme="minorHAnsi"/>
                <w:sz w:val="18"/>
                <w:szCs w:val="18"/>
                <w:lang w:val="tr-TR" w:bidi="en-US"/>
              </w:rPr>
              <w:t xml:space="preserve">: </w:t>
            </w:r>
            <w:r w:rsidR="00F76481" w:rsidRPr="001A4B94">
              <w:rPr>
                <w:rFonts w:eastAsiaTheme="minorHAnsi"/>
                <w:sz w:val="18"/>
                <w:szCs w:val="18"/>
                <w:lang w:val="tr-TR" w:bidi="en-US"/>
              </w:rPr>
              <w:t xml:space="preserve">2012 yılında </w:t>
            </w:r>
            <w:r w:rsidR="00747261" w:rsidRPr="001A4B94">
              <w:rPr>
                <w:rFonts w:eastAsiaTheme="minorHAnsi"/>
                <w:sz w:val="18"/>
                <w:szCs w:val="18"/>
                <w:lang w:val="tr-TR" w:bidi="en-US"/>
              </w:rPr>
              <w:t>605</w:t>
            </w:r>
            <w:r w:rsidR="00F76481" w:rsidRPr="001A4B94">
              <w:rPr>
                <w:rFonts w:eastAsiaTheme="minorHAnsi"/>
                <w:sz w:val="18"/>
                <w:szCs w:val="18"/>
                <w:lang w:val="tr-TR" w:bidi="en-US"/>
              </w:rPr>
              <w:t>.</w:t>
            </w:r>
            <w:r w:rsidR="00747261" w:rsidRPr="001A4B94">
              <w:rPr>
                <w:rFonts w:eastAsiaTheme="minorHAnsi"/>
                <w:sz w:val="18"/>
                <w:szCs w:val="18"/>
                <w:lang w:val="tr-TR" w:bidi="en-US"/>
              </w:rPr>
              <w:t>000</w:t>
            </w:r>
            <w:r w:rsidR="00F76481" w:rsidRPr="001A4B94">
              <w:rPr>
                <w:rFonts w:eastAsiaTheme="minorHAnsi"/>
                <w:sz w:val="18"/>
                <w:szCs w:val="18"/>
                <w:lang w:val="tr-TR" w:bidi="en-US"/>
              </w:rPr>
              <w:t xml:space="preserve"> </w:t>
            </w:r>
            <w:r w:rsidR="00747261" w:rsidRPr="001A4B94">
              <w:rPr>
                <w:rFonts w:eastAsiaTheme="minorHAnsi"/>
                <w:sz w:val="18"/>
                <w:szCs w:val="18"/>
                <w:lang w:val="tr-TR" w:bidi="en-US"/>
              </w:rPr>
              <w:t>m3 /</w:t>
            </w:r>
            <w:r w:rsidR="00F76481" w:rsidRPr="001A4B94">
              <w:rPr>
                <w:rFonts w:eastAsiaTheme="minorHAnsi"/>
                <w:sz w:val="18"/>
                <w:szCs w:val="18"/>
                <w:lang w:val="tr-TR" w:bidi="en-US"/>
              </w:rPr>
              <w:t xml:space="preserve">gün arıtma </w:t>
            </w:r>
          </w:p>
          <w:p w14:paraId="0F42E659" w14:textId="59F3138D" w:rsidR="00747261" w:rsidRPr="001A4B94" w:rsidRDefault="00873C09" w:rsidP="00747261">
            <w:pPr>
              <w:spacing w:after="160" w:line="259" w:lineRule="auto"/>
              <w:contextualSpacing/>
              <w:rPr>
                <w:rFonts w:eastAsiaTheme="minorHAnsi"/>
                <w:b/>
                <w:i/>
                <w:sz w:val="18"/>
                <w:szCs w:val="18"/>
                <w:lang w:val="tr-TR" w:bidi="en-US"/>
              </w:rPr>
            </w:pPr>
            <w:r w:rsidRPr="001A4B94">
              <w:rPr>
                <w:rFonts w:eastAsiaTheme="minorHAnsi"/>
                <w:b/>
                <w:sz w:val="18"/>
                <w:szCs w:val="18"/>
                <w:lang w:val="tr-TR" w:bidi="en-US"/>
              </w:rPr>
              <w:t>Hedef</w:t>
            </w:r>
            <w:r w:rsidR="00747261" w:rsidRPr="001A4B94">
              <w:rPr>
                <w:rFonts w:eastAsiaTheme="minorHAnsi"/>
                <w:b/>
                <w:sz w:val="18"/>
                <w:szCs w:val="18"/>
                <w:lang w:val="tr-TR" w:bidi="en-US"/>
              </w:rPr>
              <w:t>:</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20106 yılına kadar </w:t>
            </w:r>
            <w:r w:rsidR="00747261" w:rsidRPr="001A4B94">
              <w:rPr>
                <w:rFonts w:eastAsiaTheme="minorHAnsi"/>
                <w:sz w:val="18"/>
                <w:szCs w:val="18"/>
                <w:lang w:val="tr-TR" w:bidi="en-US"/>
              </w:rPr>
              <w:t>821</w:t>
            </w:r>
            <w:r w:rsidRPr="001A4B94">
              <w:rPr>
                <w:rFonts w:eastAsiaTheme="minorHAnsi"/>
                <w:sz w:val="18"/>
                <w:szCs w:val="18"/>
                <w:lang w:val="tr-TR" w:bidi="en-US"/>
              </w:rPr>
              <w:t>.</w:t>
            </w:r>
            <w:r w:rsidR="00747261" w:rsidRPr="001A4B94">
              <w:rPr>
                <w:rFonts w:eastAsiaTheme="minorHAnsi"/>
                <w:sz w:val="18"/>
                <w:szCs w:val="18"/>
                <w:lang w:val="tr-TR" w:bidi="en-US"/>
              </w:rPr>
              <w:t>000</w:t>
            </w:r>
            <w:r w:rsidRPr="001A4B94">
              <w:rPr>
                <w:rFonts w:eastAsiaTheme="minorHAnsi"/>
                <w:sz w:val="18"/>
                <w:szCs w:val="18"/>
                <w:lang w:val="tr-TR" w:bidi="en-US"/>
              </w:rPr>
              <w:t xml:space="preserve"> </w:t>
            </w:r>
            <w:r w:rsidR="00747261" w:rsidRPr="001A4B94">
              <w:rPr>
                <w:rFonts w:eastAsiaTheme="minorHAnsi"/>
                <w:sz w:val="18"/>
                <w:szCs w:val="18"/>
                <w:lang w:val="tr-TR" w:bidi="en-US"/>
              </w:rPr>
              <w:t>m3/</w:t>
            </w:r>
            <w:r w:rsidRPr="001A4B94">
              <w:rPr>
                <w:rFonts w:eastAsiaTheme="minorHAnsi"/>
                <w:sz w:val="18"/>
                <w:szCs w:val="18"/>
                <w:lang w:val="tr-TR" w:bidi="en-US"/>
              </w:rPr>
              <w:t xml:space="preserve">gün arıtma </w:t>
            </w:r>
          </w:p>
        </w:tc>
        <w:tc>
          <w:tcPr>
            <w:tcW w:w="1459" w:type="pct"/>
            <w:shd w:val="clear" w:color="auto" w:fill="auto"/>
          </w:tcPr>
          <w:p w14:paraId="148B9809" w14:textId="03ABBCDC" w:rsidR="00747261" w:rsidRPr="001A4B94" w:rsidRDefault="00F76481" w:rsidP="00747261">
            <w:pPr>
              <w:spacing w:after="160" w:line="259" w:lineRule="auto"/>
              <w:rPr>
                <w:rFonts w:eastAsiaTheme="minorHAnsi"/>
                <w:b/>
                <w:sz w:val="18"/>
                <w:szCs w:val="18"/>
                <w:lang w:val="tr-TR"/>
              </w:rPr>
            </w:pPr>
            <w:r w:rsidRPr="001A4B94">
              <w:rPr>
                <w:rFonts w:eastAsiaTheme="minorHAnsi"/>
                <w:b/>
                <w:sz w:val="18"/>
                <w:szCs w:val="18"/>
                <w:lang w:val="tr-TR"/>
              </w:rPr>
              <w:t>Kısmen karşılandı</w:t>
            </w:r>
            <w:r w:rsidR="00747261" w:rsidRPr="001A4B94">
              <w:rPr>
                <w:rFonts w:eastAsiaTheme="minorHAnsi"/>
                <w:b/>
                <w:sz w:val="18"/>
                <w:szCs w:val="18"/>
                <w:lang w:val="tr-TR"/>
              </w:rPr>
              <w:t xml:space="preserve">. </w:t>
            </w:r>
            <w:r w:rsidR="003640F8" w:rsidRPr="001A4B94">
              <w:rPr>
                <w:rFonts w:eastAsiaTheme="minorHAnsi"/>
                <w:sz w:val="18"/>
                <w:szCs w:val="18"/>
                <w:lang w:val="tr-TR"/>
              </w:rPr>
              <w:t>Henüz bildirilebilecek sonuç yok</w:t>
            </w:r>
            <w:r w:rsidR="00747261" w:rsidRPr="001A4B94">
              <w:rPr>
                <w:rFonts w:eastAsiaTheme="minorHAnsi"/>
                <w:sz w:val="18"/>
                <w:szCs w:val="18"/>
                <w:lang w:val="tr-TR"/>
              </w:rPr>
              <w:t xml:space="preserve">: </w:t>
            </w:r>
            <w:r w:rsidR="003640F8" w:rsidRPr="001A4B94">
              <w:rPr>
                <w:rFonts w:eastAsiaTheme="minorHAnsi"/>
                <w:sz w:val="18"/>
                <w:szCs w:val="18"/>
                <w:lang w:val="tr-TR"/>
              </w:rPr>
              <w:t xml:space="preserve">İzmir Büyükşehir Belediyesinin yükleniciyi değiştirmesi sebebiyle bir gecikme yaşanmıştır; ancak </w:t>
            </w:r>
            <w:r w:rsidR="00747261" w:rsidRPr="001A4B94">
              <w:rPr>
                <w:rFonts w:eastAsiaTheme="minorHAnsi"/>
                <w:sz w:val="18"/>
                <w:szCs w:val="18"/>
                <w:lang w:val="tr-TR"/>
              </w:rPr>
              <w:t xml:space="preserve"> </w:t>
            </w:r>
            <w:r w:rsidR="003640F8" w:rsidRPr="001A4B94">
              <w:rPr>
                <w:rFonts w:eastAsiaTheme="minorHAnsi"/>
                <w:sz w:val="18"/>
                <w:szCs w:val="18"/>
                <w:lang w:val="tr-TR" w:bidi="en-US"/>
              </w:rPr>
              <w:t>2016 sonuna kadar tamamlanacak şekilde yolunda ilerliyor</w:t>
            </w:r>
            <w:r w:rsidR="00747261" w:rsidRPr="001A4B94">
              <w:rPr>
                <w:rFonts w:eastAsiaTheme="minorHAnsi"/>
                <w:sz w:val="18"/>
                <w:szCs w:val="18"/>
                <w:lang w:val="tr-TR"/>
              </w:rPr>
              <w:t xml:space="preserve">.  </w:t>
            </w:r>
          </w:p>
        </w:tc>
        <w:tc>
          <w:tcPr>
            <w:tcW w:w="1875" w:type="pct"/>
            <w:vMerge/>
            <w:shd w:val="clear" w:color="auto" w:fill="auto"/>
          </w:tcPr>
          <w:p w14:paraId="4A54517C" w14:textId="77777777" w:rsidR="00747261" w:rsidRPr="001A4B94" w:rsidRDefault="00747261" w:rsidP="00747261">
            <w:pPr>
              <w:rPr>
                <w:rFonts w:eastAsiaTheme="minorEastAsia"/>
                <w:b/>
                <w:sz w:val="18"/>
                <w:szCs w:val="18"/>
                <w:lang w:val="tr-TR" w:eastAsia="ja-JP"/>
              </w:rPr>
            </w:pPr>
          </w:p>
        </w:tc>
      </w:tr>
      <w:tr w:rsidR="00747261" w:rsidRPr="001A4B94" w14:paraId="0CEE691B" w14:textId="77777777" w:rsidTr="00747261">
        <w:trPr>
          <w:trHeight w:val="927"/>
        </w:trPr>
        <w:tc>
          <w:tcPr>
            <w:tcW w:w="1666" w:type="pct"/>
            <w:shd w:val="clear" w:color="auto" w:fill="auto"/>
          </w:tcPr>
          <w:p w14:paraId="2902DB41" w14:textId="7111CAD4" w:rsidR="00747261" w:rsidRPr="001A4B94" w:rsidRDefault="00F76481" w:rsidP="00747261">
            <w:pPr>
              <w:spacing w:after="160" w:line="259" w:lineRule="auto"/>
              <w:contextualSpacing/>
              <w:rPr>
                <w:rFonts w:eastAsiaTheme="minorHAnsi"/>
                <w:sz w:val="18"/>
                <w:szCs w:val="18"/>
                <w:lang w:val="tr-TR" w:bidi="en-US"/>
              </w:rPr>
            </w:pPr>
            <w:r w:rsidRPr="001A4B94">
              <w:rPr>
                <w:rFonts w:eastAsiaTheme="minorHAnsi"/>
                <w:b/>
                <w:i/>
                <w:sz w:val="18"/>
                <w:szCs w:val="18"/>
                <w:lang w:val="tr-TR" w:bidi="en-US"/>
              </w:rPr>
              <w:t xml:space="preserve">Sonuç </w:t>
            </w:r>
            <w:r w:rsidR="00747261" w:rsidRPr="001A4B94">
              <w:rPr>
                <w:rFonts w:eastAsiaTheme="minorHAnsi"/>
                <w:b/>
                <w:i/>
                <w:sz w:val="18"/>
                <w:szCs w:val="18"/>
                <w:lang w:val="tr-TR" w:bidi="en-US"/>
              </w:rPr>
              <w:t>6:</w:t>
            </w:r>
            <w:r w:rsidR="00747261" w:rsidRPr="001A4B94">
              <w:rPr>
                <w:rFonts w:eastAsiaTheme="minorHAnsi"/>
                <w:sz w:val="18"/>
                <w:szCs w:val="18"/>
                <w:lang w:val="tr-TR" w:bidi="en-US"/>
              </w:rPr>
              <w:t xml:space="preserve"> </w:t>
            </w:r>
            <w:r w:rsidRPr="001A4B94">
              <w:rPr>
                <w:rFonts w:eastAsiaTheme="minorHAnsi"/>
                <w:sz w:val="18"/>
                <w:szCs w:val="18"/>
                <w:lang w:val="tr-TR" w:bidi="en-US"/>
              </w:rPr>
              <w:t xml:space="preserve">İstanbul ilinde toplam </w:t>
            </w:r>
            <w:r w:rsidR="00747261" w:rsidRPr="001A4B94">
              <w:rPr>
                <w:rFonts w:eastAsiaTheme="minorHAnsi"/>
                <w:sz w:val="18"/>
                <w:szCs w:val="18"/>
                <w:lang w:val="tr-TR" w:bidi="en-US"/>
              </w:rPr>
              <w:t xml:space="preserve">806 </w:t>
            </w:r>
            <w:r w:rsidRPr="001A4B94">
              <w:rPr>
                <w:rFonts w:eastAsiaTheme="minorHAnsi"/>
                <w:sz w:val="18"/>
                <w:szCs w:val="18"/>
                <w:lang w:val="tr-TR" w:bidi="en-US"/>
              </w:rPr>
              <w:t xml:space="preserve">kamu binasının büyük bir depreme karşı güçlendirilmesi </w:t>
            </w:r>
            <w:r w:rsidR="00747261" w:rsidRPr="001A4B94">
              <w:rPr>
                <w:rFonts w:eastAsiaTheme="minorHAnsi"/>
                <w:sz w:val="18"/>
                <w:szCs w:val="18"/>
                <w:lang w:val="tr-TR" w:bidi="en-US"/>
              </w:rPr>
              <w:t>/</w:t>
            </w:r>
            <w:r w:rsidRPr="001A4B94">
              <w:rPr>
                <w:rFonts w:eastAsiaTheme="minorHAnsi"/>
                <w:sz w:val="18"/>
                <w:szCs w:val="18"/>
                <w:lang w:val="tr-TR" w:bidi="en-US"/>
              </w:rPr>
              <w:t xml:space="preserve"> yeniden inşası (2014 hedefi </w:t>
            </w:r>
            <w:r w:rsidR="00747261" w:rsidRPr="001A4B94">
              <w:rPr>
                <w:rFonts w:eastAsiaTheme="minorHAnsi"/>
                <w:sz w:val="18"/>
                <w:szCs w:val="18"/>
                <w:lang w:val="tr-TR" w:bidi="en-US"/>
              </w:rPr>
              <w:t xml:space="preserve">763 </w:t>
            </w:r>
            <w:r w:rsidRPr="001A4B94">
              <w:rPr>
                <w:rFonts w:eastAsiaTheme="minorHAnsi"/>
                <w:sz w:val="18"/>
                <w:szCs w:val="18"/>
                <w:lang w:val="tr-TR" w:bidi="en-US"/>
              </w:rPr>
              <w:t>bina idi)</w:t>
            </w:r>
            <w:r w:rsidR="00747261" w:rsidRPr="001A4B94">
              <w:rPr>
                <w:rFonts w:eastAsiaTheme="minorHAnsi"/>
                <w:sz w:val="18"/>
                <w:szCs w:val="18"/>
                <w:lang w:val="tr-TR" w:bidi="en-US"/>
              </w:rPr>
              <w:t xml:space="preserve">. </w:t>
            </w:r>
          </w:p>
          <w:p w14:paraId="6DA20DCC" w14:textId="77777777" w:rsidR="00747261" w:rsidRPr="001A4B94" w:rsidRDefault="00747261" w:rsidP="00747261">
            <w:pPr>
              <w:spacing w:after="160" w:line="259" w:lineRule="auto"/>
              <w:contextualSpacing/>
              <w:rPr>
                <w:rFonts w:eastAsiaTheme="minorHAnsi"/>
                <w:b/>
                <w:i/>
                <w:sz w:val="18"/>
                <w:szCs w:val="18"/>
                <w:lang w:val="tr-TR" w:bidi="en-US"/>
              </w:rPr>
            </w:pPr>
          </w:p>
        </w:tc>
        <w:tc>
          <w:tcPr>
            <w:tcW w:w="1459" w:type="pct"/>
            <w:shd w:val="clear" w:color="auto" w:fill="auto"/>
          </w:tcPr>
          <w:p w14:paraId="7CF84C5B" w14:textId="66135143" w:rsidR="00747261" w:rsidRPr="001A4B94" w:rsidRDefault="00F76481" w:rsidP="00747261">
            <w:pPr>
              <w:spacing w:after="160" w:line="259" w:lineRule="auto"/>
              <w:rPr>
                <w:rFonts w:eastAsiaTheme="minorHAnsi"/>
                <w:b/>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3640F8" w:rsidRPr="001A4B94">
              <w:rPr>
                <w:rFonts w:eastAsiaTheme="minorHAnsi"/>
                <w:sz w:val="18"/>
                <w:szCs w:val="18"/>
                <w:lang w:val="tr-TR"/>
              </w:rPr>
              <w:t xml:space="preserve">İSMEP projesi </w:t>
            </w:r>
            <w:r w:rsidR="00747261" w:rsidRPr="001A4B94">
              <w:rPr>
                <w:rFonts w:eastAsiaTheme="minorHAnsi"/>
                <w:sz w:val="18"/>
                <w:szCs w:val="18"/>
                <w:lang w:val="tr-TR"/>
              </w:rPr>
              <w:t xml:space="preserve"> </w:t>
            </w:r>
            <w:r w:rsidR="006E46EE" w:rsidRPr="001A4B94">
              <w:rPr>
                <w:rFonts w:eastAsiaTheme="minorHAnsi"/>
                <w:sz w:val="18"/>
                <w:szCs w:val="18"/>
                <w:lang w:val="tr-TR"/>
              </w:rPr>
              <w:t>oldukça tatmin e</w:t>
            </w:r>
            <w:r w:rsidR="003640F8" w:rsidRPr="001A4B94">
              <w:rPr>
                <w:rFonts w:eastAsiaTheme="minorHAnsi"/>
                <w:sz w:val="18"/>
                <w:szCs w:val="18"/>
                <w:lang w:val="tr-TR"/>
              </w:rPr>
              <w:t xml:space="preserve">dici bir şekilde tamamlandı ve </w:t>
            </w:r>
            <w:r w:rsidR="00747261" w:rsidRPr="001A4B94">
              <w:rPr>
                <w:rFonts w:eastAsiaTheme="minorHAnsi"/>
                <w:sz w:val="18"/>
                <w:szCs w:val="18"/>
                <w:lang w:val="tr-TR" w:bidi="en-US"/>
              </w:rPr>
              <w:t xml:space="preserve">806 </w:t>
            </w:r>
            <w:r w:rsidR="003640F8" w:rsidRPr="001A4B94">
              <w:rPr>
                <w:rFonts w:eastAsiaTheme="minorHAnsi"/>
                <w:sz w:val="18"/>
                <w:szCs w:val="18"/>
                <w:lang w:val="tr-TR" w:bidi="en-US"/>
              </w:rPr>
              <w:t xml:space="preserve">kamu binası güçlendirildi </w:t>
            </w:r>
            <w:r w:rsidR="00747261" w:rsidRPr="001A4B94">
              <w:rPr>
                <w:rFonts w:eastAsiaTheme="minorHAnsi"/>
                <w:sz w:val="18"/>
                <w:szCs w:val="18"/>
                <w:lang w:val="tr-TR" w:bidi="en-US"/>
              </w:rPr>
              <w:t>/</w:t>
            </w:r>
            <w:r w:rsidR="003640F8" w:rsidRPr="001A4B94">
              <w:rPr>
                <w:rFonts w:eastAsiaTheme="minorHAnsi"/>
                <w:sz w:val="18"/>
                <w:szCs w:val="18"/>
                <w:lang w:val="tr-TR" w:bidi="en-US"/>
              </w:rPr>
              <w:t xml:space="preserve"> yeniden inşa edildi</w:t>
            </w:r>
            <w:r w:rsidR="00747261" w:rsidRPr="001A4B94">
              <w:rPr>
                <w:rFonts w:eastAsiaTheme="minorHAnsi"/>
                <w:sz w:val="18"/>
                <w:szCs w:val="18"/>
                <w:lang w:val="tr-TR" w:bidi="en-US"/>
              </w:rPr>
              <w:t>.</w:t>
            </w:r>
          </w:p>
        </w:tc>
        <w:tc>
          <w:tcPr>
            <w:tcW w:w="1875" w:type="pct"/>
            <w:vMerge/>
            <w:shd w:val="clear" w:color="auto" w:fill="auto"/>
          </w:tcPr>
          <w:p w14:paraId="5C964BFF" w14:textId="77777777" w:rsidR="00747261" w:rsidRPr="001A4B94" w:rsidRDefault="00747261" w:rsidP="00747261">
            <w:pPr>
              <w:rPr>
                <w:rFonts w:eastAsiaTheme="minorEastAsia"/>
                <w:b/>
                <w:sz w:val="18"/>
                <w:szCs w:val="18"/>
                <w:lang w:val="tr-TR" w:eastAsia="ja-JP"/>
              </w:rPr>
            </w:pPr>
          </w:p>
        </w:tc>
      </w:tr>
      <w:tr w:rsidR="00747261" w:rsidRPr="001A4B94" w14:paraId="5C5373C4" w14:textId="77777777" w:rsidTr="00747261">
        <w:trPr>
          <w:trHeight w:val="1070"/>
        </w:trPr>
        <w:tc>
          <w:tcPr>
            <w:tcW w:w="1666" w:type="pct"/>
            <w:shd w:val="clear" w:color="auto" w:fill="auto"/>
          </w:tcPr>
          <w:p w14:paraId="3142E0C4" w14:textId="10D39B48" w:rsidR="00747261" w:rsidRPr="001A4B94" w:rsidRDefault="00F76481" w:rsidP="00747261">
            <w:pPr>
              <w:ind w:left="-18"/>
              <w:rPr>
                <w:rFonts w:eastAsiaTheme="minorEastAsia"/>
                <w:sz w:val="18"/>
                <w:szCs w:val="18"/>
                <w:lang w:val="tr-TR" w:eastAsia="ja-JP"/>
              </w:rPr>
            </w:pPr>
            <w:r w:rsidRPr="001A4B94">
              <w:rPr>
                <w:rFonts w:eastAsiaTheme="minorEastAsia"/>
                <w:b/>
                <w:sz w:val="18"/>
                <w:szCs w:val="18"/>
                <w:lang w:val="tr-TR" w:eastAsia="ja-JP"/>
              </w:rPr>
              <w:t xml:space="preserve">Sonuç </w:t>
            </w:r>
            <w:r w:rsidR="00747261" w:rsidRPr="001A4B94">
              <w:rPr>
                <w:rFonts w:eastAsiaTheme="minorEastAsia"/>
                <w:b/>
                <w:sz w:val="18"/>
                <w:szCs w:val="18"/>
                <w:lang w:val="tr-TR" w:eastAsia="ja-JP"/>
              </w:rPr>
              <w:t>7:</w:t>
            </w:r>
            <w:r w:rsidR="00747261" w:rsidRPr="001A4B94">
              <w:rPr>
                <w:rFonts w:eastAsiaTheme="minorEastAsia"/>
                <w:sz w:val="18"/>
                <w:szCs w:val="18"/>
                <w:lang w:val="tr-TR" w:eastAsia="ja-JP"/>
              </w:rPr>
              <w:t xml:space="preserve"> </w:t>
            </w:r>
            <w:r w:rsidRPr="001A4B94">
              <w:rPr>
                <w:rFonts w:eastAsiaTheme="minorEastAsia"/>
                <w:sz w:val="18"/>
                <w:szCs w:val="18"/>
                <w:lang w:val="tr-TR" w:eastAsia="ja-JP"/>
              </w:rPr>
              <w:t>Tapu hizmetlerine ilişkin müşteri memnuniyet oranının yükselmesi</w:t>
            </w:r>
            <w:r w:rsidR="00747261" w:rsidRPr="001A4B94">
              <w:rPr>
                <w:rFonts w:eastAsiaTheme="minorEastAsia"/>
                <w:sz w:val="18"/>
                <w:szCs w:val="18"/>
                <w:lang w:val="tr-TR" w:eastAsia="ja-JP"/>
              </w:rPr>
              <w:t xml:space="preserve">. </w:t>
            </w:r>
          </w:p>
          <w:p w14:paraId="6DB57C44" w14:textId="74960C24" w:rsidR="00747261" w:rsidRPr="001A4B94" w:rsidRDefault="00F76481" w:rsidP="00747261">
            <w:pPr>
              <w:spacing w:after="160" w:line="259" w:lineRule="auto"/>
              <w:contextualSpacing/>
              <w:rPr>
                <w:rFonts w:eastAsiaTheme="minorHAnsi"/>
                <w:b/>
                <w:i/>
                <w:sz w:val="18"/>
                <w:szCs w:val="18"/>
                <w:lang w:val="tr-TR" w:bidi="en-US"/>
              </w:rPr>
            </w:pPr>
            <w:r w:rsidRPr="001A4B94">
              <w:rPr>
                <w:rFonts w:eastAsiaTheme="minorHAnsi"/>
                <w:b/>
                <w:sz w:val="18"/>
                <w:szCs w:val="18"/>
                <w:lang w:val="tr-TR"/>
              </w:rPr>
              <w:t>Başlangıç Durumu</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20</w:t>
            </w:r>
            <w:r w:rsidR="00CA4F96" w:rsidRPr="001A4B94">
              <w:rPr>
                <w:rFonts w:eastAsiaTheme="minorHAnsi"/>
                <w:sz w:val="18"/>
                <w:szCs w:val="18"/>
                <w:lang w:val="tr-TR"/>
              </w:rPr>
              <w:t>0</w:t>
            </w:r>
            <w:r w:rsidRPr="001A4B94">
              <w:rPr>
                <w:rFonts w:eastAsiaTheme="minorHAnsi"/>
                <w:sz w:val="18"/>
                <w:szCs w:val="18"/>
                <w:lang w:val="tr-TR"/>
              </w:rPr>
              <w:t>8 yılında %</w:t>
            </w:r>
            <w:r w:rsidR="00747261" w:rsidRPr="001A4B94">
              <w:rPr>
                <w:rFonts w:eastAsiaTheme="minorHAnsi"/>
                <w:sz w:val="18"/>
                <w:szCs w:val="18"/>
                <w:lang w:val="tr-TR"/>
              </w:rPr>
              <w:t xml:space="preserve">40.  </w:t>
            </w:r>
            <w:r w:rsidRPr="001A4B94">
              <w:rPr>
                <w:rFonts w:eastAsiaTheme="minorHAnsi"/>
                <w:b/>
                <w:sz w:val="18"/>
                <w:szCs w:val="18"/>
                <w:lang w:val="tr-TR"/>
              </w:rPr>
              <w:t>Hedef</w:t>
            </w:r>
            <w:r w:rsidR="00747261" w:rsidRPr="001A4B94">
              <w:rPr>
                <w:rFonts w:eastAsiaTheme="minorHAnsi"/>
                <w:b/>
                <w:sz w:val="18"/>
                <w:szCs w:val="18"/>
                <w:lang w:val="tr-TR"/>
              </w:rPr>
              <w:t>:</w:t>
            </w:r>
            <w:r w:rsidR="00747261" w:rsidRPr="001A4B94">
              <w:rPr>
                <w:rFonts w:eastAsiaTheme="minorHAnsi"/>
                <w:sz w:val="18"/>
                <w:szCs w:val="18"/>
                <w:lang w:val="tr-TR"/>
              </w:rPr>
              <w:t xml:space="preserve"> </w:t>
            </w:r>
            <w:r w:rsidRPr="001A4B94">
              <w:rPr>
                <w:rFonts w:eastAsiaTheme="minorHAnsi"/>
                <w:sz w:val="18"/>
                <w:szCs w:val="18"/>
                <w:lang w:val="tr-TR"/>
              </w:rPr>
              <w:t>2015 sonuna kadar %</w:t>
            </w:r>
            <w:r w:rsidR="00747261" w:rsidRPr="001A4B94">
              <w:rPr>
                <w:rFonts w:eastAsiaTheme="minorHAnsi"/>
                <w:sz w:val="18"/>
                <w:szCs w:val="18"/>
                <w:lang w:val="tr-TR"/>
              </w:rPr>
              <w:t xml:space="preserve">85.  </w:t>
            </w:r>
          </w:p>
        </w:tc>
        <w:tc>
          <w:tcPr>
            <w:tcW w:w="1459" w:type="pct"/>
            <w:shd w:val="clear" w:color="auto" w:fill="auto"/>
          </w:tcPr>
          <w:p w14:paraId="666D3E54" w14:textId="29AFDB3E" w:rsidR="00747261" w:rsidRPr="001A4B94" w:rsidRDefault="00F76481" w:rsidP="00747261">
            <w:pPr>
              <w:spacing w:after="160" w:line="259" w:lineRule="auto"/>
              <w:rPr>
                <w:rFonts w:eastAsiaTheme="minorHAnsi"/>
                <w:b/>
                <w:sz w:val="18"/>
                <w:szCs w:val="18"/>
                <w:lang w:val="tr-TR"/>
              </w:rPr>
            </w:pPr>
            <w:r w:rsidRPr="001A4B94">
              <w:rPr>
                <w:rFonts w:eastAsiaTheme="minorHAnsi"/>
                <w:b/>
                <w:sz w:val="18"/>
                <w:szCs w:val="18"/>
                <w:lang w:val="tr-TR"/>
              </w:rPr>
              <w:t>Karşılandı</w:t>
            </w:r>
            <w:r w:rsidR="00747261" w:rsidRPr="001A4B94">
              <w:rPr>
                <w:rFonts w:eastAsiaTheme="minorHAnsi"/>
                <w:b/>
                <w:sz w:val="18"/>
                <w:szCs w:val="18"/>
                <w:lang w:val="tr-TR"/>
              </w:rPr>
              <w:t xml:space="preserve">. </w:t>
            </w:r>
            <w:r w:rsidR="006E46EE" w:rsidRPr="001A4B94">
              <w:rPr>
                <w:rFonts w:eastAsiaTheme="minorHAnsi"/>
                <w:sz w:val="18"/>
                <w:szCs w:val="18"/>
                <w:lang w:val="tr-TR"/>
              </w:rPr>
              <w:t>Tapu ve Kadastro Modernizasyon projesi tatmin edici bir şekilde ilerliyor ve Aralık 2015 itibariyle vatandaş memnuniyeti yüzde 90’a ulaşmıştır</w:t>
            </w:r>
            <w:r w:rsidR="00747261" w:rsidRPr="001A4B94">
              <w:rPr>
                <w:rFonts w:eastAsiaTheme="minorHAnsi"/>
                <w:sz w:val="18"/>
                <w:szCs w:val="18"/>
                <w:lang w:val="tr-TR"/>
              </w:rPr>
              <w:t>.</w:t>
            </w:r>
          </w:p>
          <w:p w14:paraId="07FCFFA6" w14:textId="77777777" w:rsidR="00747261" w:rsidRPr="001A4B94" w:rsidRDefault="00747261" w:rsidP="00747261">
            <w:pPr>
              <w:spacing w:after="160" w:line="259" w:lineRule="auto"/>
              <w:rPr>
                <w:rFonts w:eastAsiaTheme="minorHAnsi"/>
                <w:b/>
                <w:sz w:val="18"/>
                <w:szCs w:val="18"/>
                <w:lang w:val="tr-TR"/>
              </w:rPr>
            </w:pPr>
          </w:p>
        </w:tc>
        <w:tc>
          <w:tcPr>
            <w:tcW w:w="1875" w:type="pct"/>
            <w:vMerge/>
            <w:shd w:val="clear" w:color="auto" w:fill="auto"/>
          </w:tcPr>
          <w:p w14:paraId="0FE842B3" w14:textId="77777777" w:rsidR="00747261" w:rsidRPr="001A4B94" w:rsidRDefault="00747261" w:rsidP="00747261">
            <w:pPr>
              <w:rPr>
                <w:rFonts w:eastAsiaTheme="minorEastAsia"/>
                <w:b/>
                <w:sz w:val="18"/>
                <w:szCs w:val="18"/>
                <w:lang w:val="tr-TR" w:eastAsia="ja-JP"/>
              </w:rPr>
            </w:pPr>
          </w:p>
        </w:tc>
      </w:tr>
    </w:tbl>
    <w:p w14:paraId="088CFC86" w14:textId="77777777" w:rsidR="00747261" w:rsidRPr="001A4B94" w:rsidRDefault="00747261" w:rsidP="00747261">
      <w:pPr>
        <w:autoSpaceDE w:val="0"/>
        <w:autoSpaceDN w:val="0"/>
        <w:adjustRightInd w:val="0"/>
        <w:rPr>
          <w:rFonts w:ascii="Arial" w:hAnsi="Arial" w:cs="Arial"/>
          <w:b/>
          <w:bCs/>
          <w:color w:val="000000"/>
          <w:sz w:val="22"/>
          <w:szCs w:val="22"/>
          <w:lang w:val="tr-TR"/>
        </w:rPr>
      </w:pPr>
    </w:p>
    <w:p w14:paraId="23C05DC0" w14:textId="77777777" w:rsidR="00747261" w:rsidRPr="001A4B94" w:rsidRDefault="00747261" w:rsidP="00747261">
      <w:pPr>
        <w:spacing w:after="160" w:line="259" w:lineRule="auto"/>
        <w:rPr>
          <w:rFonts w:ascii="Arial" w:hAnsi="Arial" w:cs="Arial"/>
          <w:b/>
          <w:bCs/>
          <w:color w:val="000000"/>
          <w:sz w:val="22"/>
          <w:szCs w:val="22"/>
          <w:lang w:val="tr-TR"/>
        </w:rPr>
        <w:sectPr w:rsidR="00747261" w:rsidRPr="001A4B94" w:rsidSect="00747261">
          <w:pgSz w:w="15840" w:h="12240" w:orient="landscape"/>
          <w:pgMar w:top="1440" w:right="1440" w:bottom="1440" w:left="1440" w:header="720" w:footer="720" w:gutter="0"/>
          <w:cols w:space="720"/>
          <w:docGrid w:linePitch="360"/>
        </w:sectPr>
      </w:pPr>
    </w:p>
    <w:p w14:paraId="25D943A7" w14:textId="4697E5A2" w:rsidR="00747261" w:rsidRPr="001A4B94" w:rsidRDefault="00CE2054" w:rsidP="00747261">
      <w:pPr>
        <w:spacing w:after="160"/>
        <w:ind w:left="720"/>
        <w:contextualSpacing/>
        <w:jc w:val="center"/>
        <w:rPr>
          <w:rFonts w:eastAsiaTheme="minorHAnsi"/>
          <w:b/>
          <w:lang w:val="tr-TR"/>
        </w:rPr>
      </w:pPr>
      <w:r w:rsidRPr="001A4B94">
        <w:rPr>
          <w:rFonts w:eastAsiaTheme="minorHAnsi"/>
          <w:b/>
          <w:lang w:val="tr-TR"/>
        </w:rPr>
        <w:lastRenderedPageBreak/>
        <w:t>Tablo</w:t>
      </w:r>
      <w:r w:rsidR="00747261" w:rsidRPr="001A4B94">
        <w:rPr>
          <w:rFonts w:eastAsiaTheme="minorHAnsi"/>
          <w:b/>
          <w:lang w:val="tr-TR"/>
        </w:rPr>
        <w:t xml:space="preserve"> 1: CPS </w:t>
      </w:r>
      <w:r w:rsidR="00AC045D" w:rsidRPr="001A4B94">
        <w:rPr>
          <w:rFonts w:eastAsiaTheme="minorHAnsi"/>
          <w:b/>
          <w:lang w:val="tr-TR"/>
        </w:rPr>
        <w:t xml:space="preserve">Dönemi </w:t>
      </w:r>
      <w:r w:rsidR="00747261" w:rsidRPr="001A4B94">
        <w:rPr>
          <w:rFonts w:eastAsiaTheme="minorHAnsi"/>
          <w:b/>
          <w:lang w:val="tr-TR"/>
        </w:rPr>
        <w:t xml:space="preserve">IBRD </w:t>
      </w:r>
      <w:r w:rsidR="00D047D2" w:rsidRPr="001A4B94">
        <w:rPr>
          <w:rFonts w:eastAsiaTheme="minorHAnsi"/>
          <w:b/>
          <w:lang w:val="tr-TR"/>
        </w:rPr>
        <w:t>Fi</w:t>
      </w:r>
      <w:r w:rsidR="00AC045D" w:rsidRPr="001A4B94">
        <w:rPr>
          <w:rFonts w:eastAsiaTheme="minorHAnsi"/>
          <w:b/>
          <w:lang w:val="tr-TR"/>
        </w:rPr>
        <w:t xml:space="preserve">nansman Onayları </w:t>
      </w:r>
    </w:p>
    <w:tbl>
      <w:tblPr>
        <w:tblStyle w:val="TableNormal1"/>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3146"/>
        <w:gridCol w:w="960"/>
        <w:gridCol w:w="703"/>
        <w:gridCol w:w="2898"/>
        <w:gridCol w:w="960"/>
      </w:tblGrid>
      <w:tr w:rsidR="00B34125" w:rsidRPr="001A4B94" w14:paraId="2415BA82" w14:textId="77777777" w:rsidTr="00D047D2">
        <w:trPr>
          <w:trHeight w:val="340"/>
        </w:trPr>
        <w:tc>
          <w:tcPr>
            <w:tcW w:w="547" w:type="dxa"/>
          </w:tcPr>
          <w:p w14:paraId="08A08E66" w14:textId="77777777" w:rsidR="00B34125" w:rsidRPr="001A4B94" w:rsidRDefault="00B34125" w:rsidP="00E263AF">
            <w:pPr>
              <w:pStyle w:val="TableParagraph"/>
              <w:rPr>
                <w:sz w:val="14"/>
                <w:lang w:val="tr-TR"/>
              </w:rPr>
            </w:pPr>
          </w:p>
        </w:tc>
        <w:tc>
          <w:tcPr>
            <w:tcW w:w="3146" w:type="dxa"/>
            <w:shd w:val="clear" w:color="auto" w:fill="F2F2F2"/>
          </w:tcPr>
          <w:p w14:paraId="12838891" w14:textId="69C8B193" w:rsidR="00B34125" w:rsidRPr="001A4B94" w:rsidRDefault="00AC045D" w:rsidP="00E263AF">
            <w:pPr>
              <w:pStyle w:val="TableParagraph"/>
              <w:spacing w:before="89"/>
              <w:ind w:left="20"/>
              <w:rPr>
                <w:b/>
                <w:sz w:val="14"/>
                <w:lang w:val="tr-TR"/>
              </w:rPr>
            </w:pPr>
            <w:r w:rsidRPr="001A4B94">
              <w:rPr>
                <w:b/>
                <w:sz w:val="14"/>
                <w:lang w:val="tr-TR"/>
              </w:rPr>
              <w:t xml:space="preserve">2012-16 MY CPS Planlanan </w:t>
            </w:r>
          </w:p>
        </w:tc>
        <w:tc>
          <w:tcPr>
            <w:tcW w:w="960" w:type="dxa"/>
            <w:shd w:val="clear" w:color="auto" w:fill="F2F2F2"/>
          </w:tcPr>
          <w:p w14:paraId="5B1AEE47" w14:textId="72AB4395" w:rsidR="00B34125" w:rsidRPr="001A4B94" w:rsidRDefault="00B34125" w:rsidP="00E263AF">
            <w:pPr>
              <w:pStyle w:val="TableParagraph"/>
              <w:spacing w:before="89"/>
              <w:ind w:right="21"/>
              <w:jc w:val="right"/>
              <w:rPr>
                <w:b/>
                <w:sz w:val="14"/>
                <w:lang w:val="tr-TR"/>
              </w:rPr>
            </w:pPr>
            <w:r w:rsidRPr="001A4B94">
              <w:rPr>
                <w:b/>
                <w:sz w:val="14"/>
                <w:lang w:val="tr-TR"/>
              </w:rPr>
              <w:t xml:space="preserve">IBRD </w:t>
            </w:r>
            <w:r w:rsidR="00AC045D" w:rsidRPr="001A4B94">
              <w:rPr>
                <w:b/>
                <w:sz w:val="14"/>
                <w:lang w:val="tr-TR"/>
              </w:rPr>
              <w:t>ABD</w:t>
            </w:r>
            <w:r w:rsidRPr="001A4B94">
              <w:rPr>
                <w:b/>
                <w:sz w:val="14"/>
                <w:lang w:val="tr-TR"/>
              </w:rPr>
              <w:t>$ (</w:t>
            </w:r>
            <w:r w:rsidR="00AC045D" w:rsidRPr="001A4B94">
              <w:rPr>
                <w:b/>
                <w:sz w:val="14"/>
                <w:lang w:val="tr-TR"/>
              </w:rPr>
              <w:t>milyon</w:t>
            </w:r>
            <w:r w:rsidRPr="001A4B94">
              <w:rPr>
                <w:b/>
                <w:sz w:val="14"/>
                <w:lang w:val="tr-TR"/>
              </w:rPr>
              <w:t>)</w:t>
            </w:r>
          </w:p>
        </w:tc>
        <w:tc>
          <w:tcPr>
            <w:tcW w:w="703" w:type="dxa"/>
            <w:shd w:val="clear" w:color="auto" w:fill="F2F2F2"/>
          </w:tcPr>
          <w:p w14:paraId="3333FE33" w14:textId="77777777" w:rsidR="00B34125" w:rsidRPr="001A4B94" w:rsidRDefault="00B34125" w:rsidP="00E263AF">
            <w:pPr>
              <w:pStyle w:val="TableParagraph"/>
              <w:rPr>
                <w:sz w:val="14"/>
                <w:lang w:val="tr-TR"/>
              </w:rPr>
            </w:pPr>
          </w:p>
        </w:tc>
        <w:tc>
          <w:tcPr>
            <w:tcW w:w="2898" w:type="dxa"/>
            <w:shd w:val="clear" w:color="auto" w:fill="F2F2F2"/>
          </w:tcPr>
          <w:p w14:paraId="6CABAD49" w14:textId="6D5FA53F" w:rsidR="00B34125" w:rsidRPr="001A4B94" w:rsidRDefault="003E7230" w:rsidP="00E263AF">
            <w:pPr>
              <w:pStyle w:val="TableParagraph"/>
              <w:spacing w:before="89"/>
              <w:ind w:left="19"/>
              <w:rPr>
                <w:b/>
                <w:sz w:val="14"/>
                <w:lang w:val="tr-TR"/>
              </w:rPr>
            </w:pPr>
            <w:r w:rsidRPr="001A4B94">
              <w:rPr>
                <w:b/>
                <w:sz w:val="14"/>
                <w:lang w:val="tr-TR"/>
              </w:rPr>
              <w:t>2012-16 MY CPS Gerçekleşen</w:t>
            </w:r>
          </w:p>
        </w:tc>
        <w:tc>
          <w:tcPr>
            <w:tcW w:w="960" w:type="dxa"/>
            <w:shd w:val="clear" w:color="auto" w:fill="F2F2F2"/>
          </w:tcPr>
          <w:p w14:paraId="1123C3A8" w14:textId="77ED628D" w:rsidR="00B34125" w:rsidRPr="001A4B94" w:rsidRDefault="00D047D2" w:rsidP="00E263AF">
            <w:pPr>
              <w:pStyle w:val="TableParagraph"/>
              <w:spacing w:before="89"/>
              <w:ind w:right="21"/>
              <w:jc w:val="right"/>
              <w:rPr>
                <w:b/>
                <w:sz w:val="14"/>
                <w:lang w:val="tr-TR"/>
              </w:rPr>
            </w:pPr>
            <w:r w:rsidRPr="001A4B94">
              <w:rPr>
                <w:b/>
                <w:sz w:val="14"/>
                <w:lang w:val="tr-TR"/>
              </w:rPr>
              <w:t>IBRD ABD$ (milyon)</w:t>
            </w:r>
          </w:p>
        </w:tc>
      </w:tr>
      <w:tr w:rsidR="00E95512" w:rsidRPr="001A4B94" w14:paraId="119CC83A" w14:textId="77777777" w:rsidTr="00D047D2">
        <w:trPr>
          <w:trHeight w:val="340"/>
        </w:trPr>
        <w:tc>
          <w:tcPr>
            <w:tcW w:w="547" w:type="dxa"/>
            <w:vMerge w:val="restart"/>
          </w:tcPr>
          <w:p w14:paraId="70A0C2B9" w14:textId="77777777" w:rsidR="00E95512" w:rsidRPr="001A4B94" w:rsidRDefault="00E95512" w:rsidP="00E95512">
            <w:pPr>
              <w:pStyle w:val="TableParagraph"/>
              <w:rPr>
                <w:sz w:val="16"/>
                <w:lang w:val="tr-TR"/>
              </w:rPr>
            </w:pPr>
          </w:p>
          <w:p w14:paraId="625B2792" w14:textId="77777777" w:rsidR="00E95512" w:rsidRPr="001A4B94" w:rsidRDefault="00E95512" w:rsidP="00E95512">
            <w:pPr>
              <w:pStyle w:val="TableParagraph"/>
              <w:rPr>
                <w:sz w:val="16"/>
                <w:lang w:val="tr-TR"/>
              </w:rPr>
            </w:pPr>
          </w:p>
          <w:p w14:paraId="5E09E953" w14:textId="77777777" w:rsidR="00E95512" w:rsidRPr="001A4B94" w:rsidRDefault="00E95512" w:rsidP="00E95512">
            <w:pPr>
              <w:pStyle w:val="TableParagraph"/>
              <w:rPr>
                <w:sz w:val="16"/>
                <w:lang w:val="tr-TR"/>
              </w:rPr>
            </w:pPr>
          </w:p>
          <w:p w14:paraId="3D48F476" w14:textId="77777777" w:rsidR="00E95512" w:rsidRPr="001A4B94" w:rsidRDefault="00E95512" w:rsidP="00E95512">
            <w:pPr>
              <w:pStyle w:val="TableParagraph"/>
              <w:rPr>
                <w:sz w:val="17"/>
                <w:lang w:val="tr-TR"/>
              </w:rPr>
            </w:pPr>
          </w:p>
          <w:p w14:paraId="32D72E81" w14:textId="7EECA2AA" w:rsidR="00E95512" w:rsidRPr="001A4B94" w:rsidRDefault="00E95512" w:rsidP="00E95512">
            <w:pPr>
              <w:pStyle w:val="TableParagraph"/>
              <w:spacing w:before="1"/>
              <w:ind w:left="19"/>
              <w:rPr>
                <w:b/>
                <w:sz w:val="14"/>
                <w:lang w:val="tr-TR"/>
              </w:rPr>
            </w:pPr>
            <w:r w:rsidRPr="001A4B94">
              <w:rPr>
                <w:b/>
                <w:sz w:val="14"/>
                <w:lang w:val="tr-TR"/>
              </w:rPr>
              <w:t>2012 MY</w:t>
            </w:r>
          </w:p>
        </w:tc>
        <w:tc>
          <w:tcPr>
            <w:tcW w:w="3146" w:type="dxa"/>
          </w:tcPr>
          <w:p w14:paraId="041FEA53" w14:textId="05F370B5" w:rsidR="00E95512" w:rsidRPr="001A4B94" w:rsidRDefault="00E95512" w:rsidP="00E95512">
            <w:pPr>
              <w:pStyle w:val="TableParagraph"/>
              <w:spacing w:before="88"/>
              <w:ind w:left="20"/>
              <w:rPr>
                <w:b/>
                <w:i/>
                <w:sz w:val="14"/>
                <w:lang w:val="tr-TR"/>
              </w:rPr>
            </w:pPr>
            <w:r w:rsidRPr="001A4B94">
              <w:rPr>
                <w:b/>
                <w:i/>
                <w:sz w:val="14"/>
                <w:lang w:val="tr-TR"/>
              </w:rPr>
              <w:t>Kalkınma Politikası Kredisi:</w:t>
            </w:r>
          </w:p>
        </w:tc>
        <w:tc>
          <w:tcPr>
            <w:tcW w:w="960" w:type="dxa"/>
          </w:tcPr>
          <w:p w14:paraId="576D355D" w14:textId="77777777" w:rsidR="00E95512" w:rsidRPr="001A4B94" w:rsidRDefault="00E95512" w:rsidP="00E95512">
            <w:pPr>
              <w:pStyle w:val="TableParagraph"/>
              <w:rPr>
                <w:sz w:val="14"/>
                <w:lang w:val="tr-TR"/>
              </w:rPr>
            </w:pPr>
          </w:p>
        </w:tc>
        <w:tc>
          <w:tcPr>
            <w:tcW w:w="703" w:type="dxa"/>
            <w:vMerge w:val="restart"/>
          </w:tcPr>
          <w:p w14:paraId="4EAE580C" w14:textId="77777777" w:rsidR="00E95512" w:rsidRPr="001A4B94" w:rsidRDefault="00E95512" w:rsidP="00E95512">
            <w:pPr>
              <w:pStyle w:val="TableParagraph"/>
              <w:rPr>
                <w:sz w:val="16"/>
                <w:lang w:val="tr-TR"/>
              </w:rPr>
            </w:pPr>
          </w:p>
          <w:p w14:paraId="1174B368" w14:textId="77777777" w:rsidR="00E95512" w:rsidRPr="001A4B94" w:rsidRDefault="00E95512" w:rsidP="00E95512">
            <w:pPr>
              <w:pStyle w:val="TableParagraph"/>
              <w:rPr>
                <w:sz w:val="16"/>
                <w:lang w:val="tr-TR"/>
              </w:rPr>
            </w:pPr>
          </w:p>
          <w:p w14:paraId="4513579A" w14:textId="77777777" w:rsidR="00E95512" w:rsidRPr="001A4B94" w:rsidRDefault="00E95512" w:rsidP="00E95512">
            <w:pPr>
              <w:pStyle w:val="TableParagraph"/>
              <w:rPr>
                <w:sz w:val="16"/>
                <w:lang w:val="tr-TR"/>
              </w:rPr>
            </w:pPr>
          </w:p>
          <w:p w14:paraId="121478FA" w14:textId="77777777" w:rsidR="00E95512" w:rsidRPr="001A4B94" w:rsidRDefault="00E95512" w:rsidP="00E95512">
            <w:pPr>
              <w:pStyle w:val="TableParagraph"/>
              <w:rPr>
                <w:sz w:val="17"/>
                <w:lang w:val="tr-TR"/>
              </w:rPr>
            </w:pPr>
          </w:p>
          <w:p w14:paraId="4D5AE968" w14:textId="3671D3FB" w:rsidR="00E95512" w:rsidRPr="001A4B94" w:rsidRDefault="00E95512" w:rsidP="00E95512">
            <w:pPr>
              <w:pStyle w:val="TableParagraph"/>
              <w:spacing w:before="1"/>
              <w:ind w:left="22"/>
              <w:rPr>
                <w:b/>
                <w:sz w:val="14"/>
                <w:lang w:val="tr-TR"/>
              </w:rPr>
            </w:pPr>
            <w:r w:rsidRPr="001A4B94">
              <w:rPr>
                <w:b/>
                <w:sz w:val="14"/>
                <w:lang w:val="tr-TR"/>
              </w:rPr>
              <w:t>2012 MY</w:t>
            </w:r>
          </w:p>
        </w:tc>
        <w:tc>
          <w:tcPr>
            <w:tcW w:w="2898" w:type="dxa"/>
          </w:tcPr>
          <w:p w14:paraId="33B92568" w14:textId="60E8E79B" w:rsidR="00E95512" w:rsidRPr="001A4B94" w:rsidRDefault="00E95512" w:rsidP="00E95512">
            <w:pPr>
              <w:pStyle w:val="TableParagraph"/>
              <w:spacing w:before="88"/>
              <w:ind w:left="19"/>
              <w:rPr>
                <w:b/>
                <w:i/>
                <w:sz w:val="14"/>
                <w:lang w:val="tr-TR"/>
              </w:rPr>
            </w:pPr>
            <w:r w:rsidRPr="001A4B94">
              <w:rPr>
                <w:b/>
                <w:i/>
                <w:sz w:val="14"/>
                <w:lang w:val="tr-TR"/>
              </w:rPr>
              <w:t>Kalkınma Politikası Kredisi:</w:t>
            </w:r>
          </w:p>
        </w:tc>
        <w:tc>
          <w:tcPr>
            <w:tcW w:w="960" w:type="dxa"/>
          </w:tcPr>
          <w:p w14:paraId="60DCCC76" w14:textId="77777777" w:rsidR="00E95512" w:rsidRPr="001A4B94" w:rsidRDefault="00E95512" w:rsidP="00E95512">
            <w:pPr>
              <w:pStyle w:val="TableParagraph"/>
              <w:rPr>
                <w:sz w:val="14"/>
                <w:lang w:val="tr-TR"/>
              </w:rPr>
            </w:pPr>
          </w:p>
        </w:tc>
      </w:tr>
      <w:tr w:rsidR="00E95512" w:rsidRPr="001A4B94" w14:paraId="16E5D27A" w14:textId="77777777" w:rsidTr="00D047D2">
        <w:trPr>
          <w:trHeight w:val="360"/>
        </w:trPr>
        <w:tc>
          <w:tcPr>
            <w:tcW w:w="547" w:type="dxa"/>
            <w:vMerge/>
            <w:tcBorders>
              <w:top w:val="nil"/>
            </w:tcBorders>
          </w:tcPr>
          <w:p w14:paraId="46BA0820" w14:textId="77777777" w:rsidR="00E95512" w:rsidRPr="001A4B94" w:rsidRDefault="00E95512" w:rsidP="00E95512">
            <w:pPr>
              <w:rPr>
                <w:sz w:val="2"/>
                <w:szCs w:val="2"/>
                <w:lang w:val="tr-TR"/>
              </w:rPr>
            </w:pPr>
          </w:p>
        </w:tc>
        <w:tc>
          <w:tcPr>
            <w:tcW w:w="3146" w:type="dxa"/>
          </w:tcPr>
          <w:p w14:paraId="67655B3F" w14:textId="5022857C" w:rsidR="00E95512" w:rsidRPr="001A4B94" w:rsidRDefault="00E95512" w:rsidP="00E95512">
            <w:pPr>
              <w:pStyle w:val="TableParagraph"/>
              <w:spacing w:before="30" w:line="141" w:lineRule="exact"/>
              <w:ind w:left="20"/>
              <w:rPr>
                <w:sz w:val="14"/>
                <w:lang w:val="tr-TR"/>
              </w:rPr>
            </w:pPr>
            <w:r w:rsidRPr="001A4B94">
              <w:rPr>
                <w:sz w:val="14"/>
                <w:lang w:val="tr-TR"/>
              </w:rPr>
              <w:t>Üçüncü Program Odaklı Çevresel Sürdürülebilirlik ve Enerji Sektörü (ESES) Kalkınma Politikası Kredisi</w:t>
            </w:r>
          </w:p>
        </w:tc>
        <w:tc>
          <w:tcPr>
            <w:tcW w:w="960" w:type="dxa"/>
          </w:tcPr>
          <w:p w14:paraId="366A5E5F" w14:textId="77777777" w:rsidR="00E95512" w:rsidRPr="001A4B94" w:rsidRDefault="00E95512" w:rsidP="00E95512">
            <w:pPr>
              <w:pStyle w:val="TableParagraph"/>
              <w:spacing w:before="99"/>
              <w:ind w:right="4"/>
              <w:jc w:val="right"/>
              <w:rPr>
                <w:sz w:val="14"/>
                <w:lang w:val="tr-TR"/>
              </w:rPr>
            </w:pPr>
            <w:r w:rsidRPr="001A4B94">
              <w:rPr>
                <w:sz w:val="14"/>
                <w:lang w:val="tr-TR"/>
              </w:rPr>
              <w:t>600</w:t>
            </w:r>
          </w:p>
        </w:tc>
        <w:tc>
          <w:tcPr>
            <w:tcW w:w="703" w:type="dxa"/>
            <w:vMerge/>
            <w:tcBorders>
              <w:top w:val="nil"/>
            </w:tcBorders>
          </w:tcPr>
          <w:p w14:paraId="29B33E3A" w14:textId="77777777" w:rsidR="00E95512" w:rsidRPr="001A4B94" w:rsidRDefault="00E95512" w:rsidP="00E95512">
            <w:pPr>
              <w:rPr>
                <w:sz w:val="2"/>
                <w:szCs w:val="2"/>
                <w:lang w:val="tr-TR"/>
              </w:rPr>
            </w:pPr>
          </w:p>
        </w:tc>
        <w:tc>
          <w:tcPr>
            <w:tcW w:w="2898" w:type="dxa"/>
          </w:tcPr>
          <w:p w14:paraId="7523B8CD" w14:textId="50AAD804" w:rsidR="00E95512" w:rsidRPr="001A4B94" w:rsidRDefault="00E95512" w:rsidP="00E95512">
            <w:pPr>
              <w:pStyle w:val="TableParagraph"/>
              <w:spacing w:before="30" w:line="141" w:lineRule="exact"/>
              <w:ind w:left="19"/>
              <w:rPr>
                <w:sz w:val="14"/>
                <w:lang w:val="tr-TR"/>
              </w:rPr>
            </w:pPr>
            <w:r w:rsidRPr="001A4B94">
              <w:rPr>
                <w:sz w:val="14"/>
                <w:lang w:val="tr-TR"/>
              </w:rPr>
              <w:t>Üçüncü Program Odaklı Çevresel Sürdürülebilirlik ve Enerji Sektörü Kalkınma Politikası Kredisi</w:t>
            </w:r>
          </w:p>
        </w:tc>
        <w:tc>
          <w:tcPr>
            <w:tcW w:w="960" w:type="dxa"/>
          </w:tcPr>
          <w:p w14:paraId="76758E6D" w14:textId="77777777" w:rsidR="00E95512" w:rsidRPr="001A4B94" w:rsidRDefault="00E95512" w:rsidP="00E95512">
            <w:pPr>
              <w:pStyle w:val="TableParagraph"/>
              <w:spacing w:before="99"/>
              <w:jc w:val="right"/>
              <w:rPr>
                <w:sz w:val="14"/>
                <w:lang w:val="tr-TR"/>
              </w:rPr>
            </w:pPr>
            <w:r w:rsidRPr="001A4B94">
              <w:rPr>
                <w:sz w:val="14"/>
                <w:lang w:val="tr-TR"/>
              </w:rPr>
              <w:t>600</w:t>
            </w:r>
          </w:p>
        </w:tc>
      </w:tr>
      <w:tr w:rsidR="00E95512" w:rsidRPr="001A4B94" w14:paraId="27000C27" w14:textId="77777777" w:rsidTr="00D047D2">
        <w:trPr>
          <w:trHeight w:val="280"/>
        </w:trPr>
        <w:tc>
          <w:tcPr>
            <w:tcW w:w="547" w:type="dxa"/>
            <w:vMerge/>
            <w:tcBorders>
              <w:top w:val="nil"/>
            </w:tcBorders>
          </w:tcPr>
          <w:p w14:paraId="09C854EF" w14:textId="77777777" w:rsidR="00E95512" w:rsidRPr="001A4B94" w:rsidRDefault="00E95512" w:rsidP="00E95512">
            <w:pPr>
              <w:rPr>
                <w:sz w:val="2"/>
                <w:szCs w:val="2"/>
                <w:lang w:val="tr-TR"/>
              </w:rPr>
            </w:pPr>
          </w:p>
        </w:tc>
        <w:tc>
          <w:tcPr>
            <w:tcW w:w="3146" w:type="dxa"/>
          </w:tcPr>
          <w:p w14:paraId="656F1AA8" w14:textId="45FBD5C6" w:rsidR="00E95512" w:rsidRPr="001A4B94" w:rsidRDefault="00E95512" w:rsidP="00E95512">
            <w:pPr>
              <w:pStyle w:val="TableParagraph"/>
              <w:spacing w:before="56"/>
              <w:ind w:left="20"/>
              <w:rPr>
                <w:b/>
                <w:i/>
                <w:sz w:val="14"/>
                <w:lang w:val="tr-TR"/>
              </w:rPr>
            </w:pPr>
            <w:r w:rsidRPr="001A4B94">
              <w:rPr>
                <w:b/>
                <w:i/>
                <w:sz w:val="14"/>
                <w:lang w:val="tr-TR"/>
              </w:rPr>
              <w:t>Yatırım  Projesi Finansmanı:</w:t>
            </w:r>
          </w:p>
        </w:tc>
        <w:tc>
          <w:tcPr>
            <w:tcW w:w="960" w:type="dxa"/>
          </w:tcPr>
          <w:p w14:paraId="725E83F5" w14:textId="77777777" w:rsidR="00E95512" w:rsidRPr="001A4B94" w:rsidRDefault="00E95512" w:rsidP="00E95512">
            <w:pPr>
              <w:pStyle w:val="TableParagraph"/>
              <w:rPr>
                <w:sz w:val="14"/>
                <w:lang w:val="tr-TR"/>
              </w:rPr>
            </w:pPr>
          </w:p>
        </w:tc>
        <w:tc>
          <w:tcPr>
            <w:tcW w:w="703" w:type="dxa"/>
            <w:vMerge/>
            <w:tcBorders>
              <w:top w:val="nil"/>
            </w:tcBorders>
          </w:tcPr>
          <w:p w14:paraId="2EF9418B" w14:textId="77777777" w:rsidR="00E95512" w:rsidRPr="001A4B94" w:rsidRDefault="00E95512" w:rsidP="00E95512">
            <w:pPr>
              <w:rPr>
                <w:sz w:val="2"/>
                <w:szCs w:val="2"/>
                <w:lang w:val="tr-TR"/>
              </w:rPr>
            </w:pPr>
          </w:p>
        </w:tc>
        <w:tc>
          <w:tcPr>
            <w:tcW w:w="2898" w:type="dxa"/>
          </w:tcPr>
          <w:p w14:paraId="2B544EEF" w14:textId="7F2B949C" w:rsidR="00E95512" w:rsidRPr="001A4B94" w:rsidRDefault="00E95512" w:rsidP="00E95512">
            <w:pPr>
              <w:pStyle w:val="TableParagraph"/>
              <w:spacing w:before="56"/>
              <w:ind w:left="19"/>
              <w:rPr>
                <w:b/>
                <w:i/>
                <w:sz w:val="14"/>
                <w:lang w:val="tr-TR"/>
              </w:rPr>
            </w:pPr>
            <w:r w:rsidRPr="001A4B94">
              <w:rPr>
                <w:b/>
                <w:i/>
                <w:sz w:val="14"/>
                <w:lang w:val="tr-TR"/>
              </w:rPr>
              <w:t>Yatırım  Projesi Finansmanı:</w:t>
            </w:r>
          </w:p>
        </w:tc>
        <w:tc>
          <w:tcPr>
            <w:tcW w:w="960" w:type="dxa"/>
          </w:tcPr>
          <w:p w14:paraId="5C64EDB4" w14:textId="77777777" w:rsidR="00E95512" w:rsidRPr="001A4B94" w:rsidRDefault="00E95512" w:rsidP="00E95512">
            <w:pPr>
              <w:pStyle w:val="TableParagraph"/>
              <w:rPr>
                <w:sz w:val="14"/>
                <w:lang w:val="tr-TR"/>
              </w:rPr>
            </w:pPr>
          </w:p>
        </w:tc>
      </w:tr>
      <w:tr w:rsidR="00E95512" w:rsidRPr="001A4B94" w14:paraId="5586AF53" w14:textId="77777777" w:rsidTr="00D047D2">
        <w:trPr>
          <w:trHeight w:val="360"/>
        </w:trPr>
        <w:tc>
          <w:tcPr>
            <w:tcW w:w="547" w:type="dxa"/>
            <w:vMerge/>
            <w:tcBorders>
              <w:top w:val="nil"/>
            </w:tcBorders>
          </w:tcPr>
          <w:p w14:paraId="47DEEE03" w14:textId="77777777" w:rsidR="00E95512" w:rsidRPr="001A4B94" w:rsidRDefault="00E95512" w:rsidP="00E95512">
            <w:pPr>
              <w:rPr>
                <w:sz w:val="2"/>
                <w:szCs w:val="2"/>
                <w:lang w:val="tr-TR"/>
              </w:rPr>
            </w:pPr>
          </w:p>
        </w:tc>
        <w:tc>
          <w:tcPr>
            <w:tcW w:w="3146" w:type="dxa"/>
          </w:tcPr>
          <w:p w14:paraId="4E5DCB9F" w14:textId="63EACC4A" w:rsidR="00E95512" w:rsidRPr="001A4B94" w:rsidRDefault="00E95512" w:rsidP="00E95512">
            <w:pPr>
              <w:pStyle w:val="TableParagraph"/>
              <w:spacing w:before="11"/>
              <w:ind w:left="20"/>
              <w:rPr>
                <w:sz w:val="14"/>
                <w:lang w:val="tr-TR"/>
              </w:rPr>
            </w:pPr>
            <w:r w:rsidRPr="001A4B94">
              <w:rPr>
                <w:sz w:val="14"/>
                <w:lang w:val="tr-TR"/>
              </w:rPr>
              <w:t xml:space="preserve">Özel Sektör Yenilenebilir Enerji ve Enerji Verimliliği Ek Finansman </w:t>
            </w:r>
          </w:p>
          <w:p w14:paraId="7F596721" w14:textId="6334156C" w:rsidR="00E95512" w:rsidRPr="001A4B94" w:rsidRDefault="00E95512" w:rsidP="00E95512">
            <w:pPr>
              <w:pStyle w:val="TableParagraph"/>
              <w:spacing w:before="30" w:line="141" w:lineRule="exact"/>
              <w:ind w:left="20"/>
              <w:rPr>
                <w:sz w:val="14"/>
                <w:lang w:val="tr-TR"/>
              </w:rPr>
            </w:pPr>
          </w:p>
        </w:tc>
        <w:tc>
          <w:tcPr>
            <w:tcW w:w="960" w:type="dxa"/>
          </w:tcPr>
          <w:p w14:paraId="23D64B0F" w14:textId="77777777" w:rsidR="00E95512" w:rsidRPr="001A4B94" w:rsidRDefault="00E95512" w:rsidP="00E95512">
            <w:pPr>
              <w:pStyle w:val="TableParagraph"/>
              <w:spacing w:before="103"/>
              <w:ind w:right="4"/>
              <w:jc w:val="right"/>
              <w:rPr>
                <w:sz w:val="14"/>
                <w:lang w:val="tr-TR"/>
              </w:rPr>
            </w:pPr>
            <w:r w:rsidRPr="001A4B94">
              <w:rPr>
                <w:sz w:val="14"/>
                <w:lang w:val="tr-TR"/>
              </w:rPr>
              <w:t>500</w:t>
            </w:r>
          </w:p>
        </w:tc>
        <w:tc>
          <w:tcPr>
            <w:tcW w:w="703" w:type="dxa"/>
            <w:vMerge/>
            <w:tcBorders>
              <w:top w:val="nil"/>
            </w:tcBorders>
          </w:tcPr>
          <w:p w14:paraId="6F0A51D8" w14:textId="77777777" w:rsidR="00E95512" w:rsidRPr="001A4B94" w:rsidRDefault="00E95512" w:rsidP="00E95512">
            <w:pPr>
              <w:rPr>
                <w:sz w:val="2"/>
                <w:szCs w:val="2"/>
                <w:lang w:val="tr-TR"/>
              </w:rPr>
            </w:pPr>
          </w:p>
        </w:tc>
        <w:tc>
          <w:tcPr>
            <w:tcW w:w="2898" w:type="dxa"/>
          </w:tcPr>
          <w:p w14:paraId="1D8E75D6" w14:textId="77777777" w:rsidR="00E95512" w:rsidRPr="001A4B94" w:rsidRDefault="00E95512" w:rsidP="00E95512">
            <w:pPr>
              <w:pStyle w:val="TableParagraph"/>
              <w:spacing w:before="11"/>
              <w:ind w:left="20"/>
              <w:rPr>
                <w:sz w:val="14"/>
                <w:lang w:val="tr-TR"/>
              </w:rPr>
            </w:pPr>
            <w:r w:rsidRPr="001A4B94">
              <w:rPr>
                <w:sz w:val="14"/>
                <w:lang w:val="tr-TR"/>
              </w:rPr>
              <w:t xml:space="preserve">Özel Sektör Yenilenebilir Enerji ve Enerji Verimliliği Ek Finansman </w:t>
            </w:r>
          </w:p>
          <w:p w14:paraId="6DB0EE60" w14:textId="204BF8A4" w:rsidR="00E95512" w:rsidRPr="001A4B94" w:rsidRDefault="00E95512" w:rsidP="00E95512">
            <w:pPr>
              <w:pStyle w:val="TableParagraph"/>
              <w:spacing w:before="30" w:line="141" w:lineRule="exact"/>
              <w:ind w:left="19"/>
              <w:rPr>
                <w:sz w:val="14"/>
                <w:lang w:val="tr-TR"/>
              </w:rPr>
            </w:pPr>
          </w:p>
        </w:tc>
        <w:tc>
          <w:tcPr>
            <w:tcW w:w="960" w:type="dxa"/>
          </w:tcPr>
          <w:p w14:paraId="37B5D3AF" w14:textId="77777777" w:rsidR="00E95512" w:rsidRPr="001A4B94" w:rsidRDefault="00E95512" w:rsidP="00E95512">
            <w:pPr>
              <w:pStyle w:val="TableParagraph"/>
              <w:spacing w:before="103"/>
              <w:jc w:val="right"/>
              <w:rPr>
                <w:sz w:val="14"/>
                <w:lang w:val="tr-TR"/>
              </w:rPr>
            </w:pPr>
            <w:r w:rsidRPr="001A4B94">
              <w:rPr>
                <w:sz w:val="14"/>
                <w:lang w:val="tr-TR"/>
              </w:rPr>
              <w:t>500</w:t>
            </w:r>
          </w:p>
        </w:tc>
      </w:tr>
      <w:tr w:rsidR="00E95512" w:rsidRPr="001A4B94" w14:paraId="29BA9F60" w14:textId="77777777" w:rsidTr="00D047D2">
        <w:trPr>
          <w:trHeight w:val="240"/>
        </w:trPr>
        <w:tc>
          <w:tcPr>
            <w:tcW w:w="547" w:type="dxa"/>
            <w:vMerge/>
            <w:tcBorders>
              <w:top w:val="nil"/>
            </w:tcBorders>
          </w:tcPr>
          <w:p w14:paraId="2B00D952" w14:textId="77777777" w:rsidR="00E95512" w:rsidRPr="001A4B94" w:rsidRDefault="00E95512" w:rsidP="00E95512">
            <w:pPr>
              <w:rPr>
                <w:sz w:val="2"/>
                <w:szCs w:val="2"/>
                <w:lang w:val="tr-TR"/>
              </w:rPr>
            </w:pPr>
          </w:p>
        </w:tc>
        <w:tc>
          <w:tcPr>
            <w:tcW w:w="3146" w:type="dxa"/>
          </w:tcPr>
          <w:p w14:paraId="5A9DF448" w14:textId="3AD6C9C8" w:rsidR="00E95512" w:rsidRPr="001A4B94" w:rsidRDefault="00E95512" w:rsidP="00E95512">
            <w:pPr>
              <w:pStyle w:val="TableParagraph"/>
              <w:spacing w:before="31"/>
              <w:ind w:right="77"/>
              <w:jc w:val="right"/>
              <w:rPr>
                <w:b/>
                <w:i/>
                <w:sz w:val="14"/>
                <w:lang w:val="tr-TR"/>
              </w:rPr>
            </w:pPr>
            <w:r w:rsidRPr="001A4B94">
              <w:rPr>
                <w:b/>
                <w:i/>
                <w:sz w:val="14"/>
                <w:lang w:val="tr-TR"/>
              </w:rPr>
              <w:t xml:space="preserve">Ara Toplam </w:t>
            </w:r>
          </w:p>
        </w:tc>
        <w:tc>
          <w:tcPr>
            <w:tcW w:w="960" w:type="dxa"/>
          </w:tcPr>
          <w:p w14:paraId="78B151A8" w14:textId="43D8D950" w:rsidR="00E95512" w:rsidRPr="001A4B94" w:rsidRDefault="00E95512" w:rsidP="00E95512">
            <w:pPr>
              <w:pStyle w:val="TableParagraph"/>
              <w:spacing w:before="43"/>
              <w:ind w:right="44"/>
              <w:jc w:val="right"/>
              <w:rPr>
                <w:b/>
                <w:sz w:val="14"/>
                <w:lang w:val="tr-TR"/>
              </w:rPr>
            </w:pPr>
            <w:r w:rsidRPr="001A4B94">
              <w:rPr>
                <w:b/>
                <w:sz w:val="14"/>
                <w:lang w:val="tr-TR"/>
              </w:rPr>
              <w:t>1.100</w:t>
            </w:r>
          </w:p>
        </w:tc>
        <w:tc>
          <w:tcPr>
            <w:tcW w:w="703" w:type="dxa"/>
            <w:vMerge/>
            <w:tcBorders>
              <w:top w:val="nil"/>
            </w:tcBorders>
          </w:tcPr>
          <w:p w14:paraId="4596A2A0" w14:textId="77777777" w:rsidR="00E95512" w:rsidRPr="001A4B94" w:rsidRDefault="00E95512" w:rsidP="00E95512">
            <w:pPr>
              <w:rPr>
                <w:sz w:val="2"/>
                <w:szCs w:val="2"/>
                <w:lang w:val="tr-TR"/>
              </w:rPr>
            </w:pPr>
          </w:p>
        </w:tc>
        <w:tc>
          <w:tcPr>
            <w:tcW w:w="2898" w:type="dxa"/>
          </w:tcPr>
          <w:p w14:paraId="3EE9B30F" w14:textId="7BB91934" w:rsidR="00E95512" w:rsidRPr="001A4B94" w:rsidRDefault="00E95512" w:rsidP="00E95512">
            <w:pPr>
              <w:pStyle w:val="TableParagraph"/>
              <w:spacing w:before="31"/>
              <w:ind w:left="19"/>
              <w:rPr>
                <w:b/>
                <w:i/>
                <w:sz w:val="14"/>
                <w:lang w:val="tr-TR"/>
              </w:rPr>
            </w:pPr>
            <w:r w:rsidRPr="001A4B94">
              <w:rPr>
                <w:b/>
                <w:i/>
                <w:sz w:val="14"/>
                <w:lang w:val="tr-TR"/>
              </w:rPr>
              <w:t>Ara Toplam</w:t>
            </w:r>
          </w:p>
        </w:tc>
        <w:tc>
          <w:tcPr>
            <w:tcW w:w="960" w:type="dxa"/>
          </w:tcPr>
          <w:p w14:paraId="2687259C" w14:textId="498EE86B" w:rsidR="00E95512" w:rsidRPr="001A4B94" w:rsidRDefault="00E95512" w:rsidP="00E95512">
            <w:pPr>
              <w:pStyle w:val="TableParagraph"/>
              <w:spacing w:before="43"/>
              <w:ind w:right="44"/>
              <w:jc w:val="right"/>
              <w:rPr>
                <w:b/>
                <w:sz w:val="14"/>
                <w:lang w:val="tr-TR"/>
              </w:rPr>
            </w:pPr>
            <w:r w:rsidRPr="001A4B94">
              <w:rPr>
                <w:b/>
                <w:sz w:val="14"/>
                <w:lang w:val="tr-TR"/>
              </w:rPr>
              <w:t>1.100</w:t>
            </w:r>
          </w:p>
        </w:tc>
      </w:tr>
      <w:tr w:rsidR="00E95512" w:rsidRPr="001A4B94" w14:paraId="7994E33E" w14:textId="77777777" w:rsidTr="00D047D2">
        <w:trPr>
          <w:trHeight w:val="280"/>
        </w:trPr>
        <w:tc>
          <w:tcPr>
            <w:tcW w:w="547" w:type="dxa"/>
            <w:vMerge w:val="restart"/>
          </w:tcPr>
          <w:p w14:paraId="7780E736" w14:textId="77777777" w:rsidR="00E95512" w:rsidRPr="001A4B94" w:rsidRDefault="00E95512" w:rsidP="00E95512">
            <w:pPr>
              <w:pStyle w:val="TableParagraph"/>
              <w:rPr>
                <w:sz w:val="16"/>
                <w:lang w:val="tr-TR"/>
              </w:rPr>
            </w:pPr>
          </w:p>
          <w:p w14:paraId="2732EB72" w14:textId="77777777" w:rsidR="00E95512" w:rsidRPr="001A4B94" w:rsidRDefault="00E95512" w:rsidP="00E95512">
            <w:pPr>
              <w:pStyle w:val="TableParagraph"/>
              <w:rPr>
                <w:sz w:val="16"/>
                <w:lang w:val="tr-TR"/>
              </w:rPr>
            </w:pPr>
          </w:p>
          <w:p w14:paraId="677F2C62" w14:textId="77777777" w:rsidR="00E95512" w:rsidRPr="001A4B94" w:rsidRDefault="00E95512" w:rsidP="00E95512">
            <w:pPr>
              <w:pStyle w:val="TableParagraph"/>
              <w:rPr>
                <w:sz w:val="16"/>
                <w:lang w:val="tr-TR"/>
              </w:rPr>
            </w:pPr>
          </w:p>
          <w:p w14:paraId="14D69FBE" w14:textId="77777777" w:rsidR="00E95512" w:rsidRPr="001A4B94" w:rsidRDefault="00E95512" w:rsidP="00E95512">
            <w:pPr>
              <w:pStyle w:val="TableParagraph"/>
              <w:rPr>
                <w:sz w:val="16"/>
                <w:lang w:val="tr-TR"/>
              </w:rPr>
            </w:pPr>
          </w:p>
          <w:p w14:paraId="08BB0455" w14:textId="77777777" w:rsidR="00E95512" w:rsidRPr="001A4B94" w:rsidRDefault="00E95512" w:rsidP="00E95512">
            <w:pPr>
              <w:pStyle w:val="TableParagraph"/>
              <w:spacing w:before="6"/>
              <w:rPr>
                <w:sz w:val="15"/>
                <w:lang w:val="tr-TR"/>
              </w:rPr>
            </w:pPr>
          </w:p>
          <w:p w14:paraId="09A1EF39" w14:textId="75EFE256" w:rsidR="00E95512" w:rsidRPr="001A4B94" w:rsidRDefault="00E95512" w:rsidP="00E95512">
            <w:pPr>
              <w:pStyle w:val="TableParagraph"/>
              <w:spacing w:before="1"/>
              <w:ind w:left="19"/>
              <w:rPr>
                <w:b/>
                <w:sz w:val="14"/>
                <w:lang w:val="tr-TR"/>
              </w:rPr>
            </w:pPr>
            <w:r w:rsidRPr="001A4B94">
              <w:rPr>
                <w:b/>
                <w:sz w:val="14"/>
                <w:lang w:val="tr-TR"/>
              </w:rPr>
              <w:t>2013 MY</w:t>
            </w:r>
          </w:p>
        </w:tc>
        <w:tc>
          <w:tcPr>
            <w:tcW w:w="3146" w:type="dxa"/>
          </w:tcPr>
          <w:p w14:paraId="246315FB" w14:textId="78C84108" w:rsidR="00E95512" w:rsidRPr="001A4B94" w:rsidRDefault="00E95512" w:rsidP="00E95512">
            <w:pPr>
              <w:pStyle w:val="TableParagraph"/>
              <w:spacing w:before="55"/>
              <w:ind w:left="20"/>
              <w:rPr>
                <w:b/>
                <w:i/>
                <w:sz w:val="14"/>
                <w:lang w:val="tr-TR"/>
              </w:rPr>
            </w:pPr>
            <w:r w:rsidRPr="001A4B94">
              <w:rPr>
                <w:b/>
                <w:i/>
                <w:sz w:val="14"/>
                <w:lang w:val="tr-TR"/>
              </w:rPr>
              <w:t>Kalkınma Politikası Kredisi:</w:t>
            </w:r>
          </w:p>
        </w:tc>
        <w:tc>
          <w:tcPr>
            <w:tcW w:w="960" w:type="dxa"/>
          </w:tcPr>
          <w:p w14:paraId="084F0179" w14:textId="77777777" w:rsidR="00E95512" w:rsidRPr="001A4B94" w:rsidRDefault="00E95512" w:rsidP="00E95512">
            <w:pPr>
              <w:pStyle w:val="TableParagraph"/>
              <w:rPr>
                <w:sz w:val="14"/>
                <w:lang w:val="tr-TR"/>
              </w:rPr>
            </w:pPr>
          </w:p>
        </w:tc>
        <w:tc>
          <w:tcPr>
            <w:tcW w:w="703" w:type="dxa"/>
            <w:vMerge w:val="restart"/>
          </w:tcPr>
          <w:p w14:paraId="2D35D4BE" w14:textId="77777777" w:rsidR="00E95512" w:rsidRPr="001A4B94" w:rsidRDefault="00E95512" w:rsidP="00E95512">
            <w:pPr>
              <w:pStyle w:val="TableParagraph"/>
              <w:rPr>
                <w:sz w:val="16"/>
                <w:lang w:val="tr-TR"/>
              </w:rPr>
            </w:pPr>
          </w:p>
          <w:p w14:paraId="052F56F1" w14:textId="77777777" w:rsidR="00E95512" w:rsidRPr="001A4B94" w:rsidRDefault="00E95512" w:rsidP="00E95512">
            <w:pPr>
              <w:pStyle w:val="TableParagraph"/>
              <w:rPr>
                <w:sz w:val="16"/>
                <w:lang w:val="tr-TR"/>
              </w:rPr>
            </w:pPr>
          </w:p>
          <w:p w14:paraId="04270DD5" w14:textId="77777777" w:rsidR="00E95512" w:rsidRPr="001A4B94" w:rsidRDefault="00E95512" w:rsidP="00E95512">
            <w:pPr>
              <w:pStyle w:val="TableParagraph"/>
              <w:rPr>
                <w:sz w:val="16"/>
                <w:lang w:val="tr-TR"/>
              </w:rPr>
            </w:pPr>
          </w:p>
          <w:p w14:paraId="694A5348" w14:textId="77777777" w:rsidR="00E95512" w:rsidRPr="001A4B94" w:rsidRDefault="00E95512" w:rsidP="00E95512">
            <w:pPr>
              <w:pStyle w:val="TableParagraph"/>
              <w:rPr>
                <w:sz w:val="16"/>
                <w:lang w:val="tr-TR"/>
              </w:rPr>
            </w:pPr>
          </w:p>
          <w:p w14:paraId="6369E61E" w14:textId="77777777" w:rsidR="00E95512" w:rsidRPr="001A4B94" w:rsidRDefault="00E95512" w:rsidP="00E95512">
            <w:pPr>
              <w:pStyle w:val="TableParagraph"/>
              <w:spacing w:before="6"/>
              <w:rPr>
                <w:sz w:val="15"/>
                <w:lang w:val="tr-TR"/>
              </w:rPr>
            </w:pPr>
          </w:p>
          <w:p w14:paraId="4ACF1215" w14:textId="70ADFB7D" w:rsidR="00E95512" w:rsidRPr="001A4B94" w:rsidRDefault="00E95512" w:rsidP="00E95512">
            <w:pPr>
              <w:pStyle w:val="TableParagraph"/>
              <w:spacing w:before="1"/>
              <w:ind w:left="22"/>
              <w:rPr>
                <w:b/>
                <w:sz w:val="14"/>
                <w:lang w:val="tr-TR"/>
              </w:rPr>
            </w:pPr>
            <w:r w:rsidRPr="001A4B94">
              <w:rPr>
                <w:b/>
                <w:sz w:val="14"/>
                <w:lang w:val="tr-TR"/>
              </w:rPr>
              <w:t>2013 MY</w:t>
            </w:r>
          </w:p>
        </w:tc>
        <w:tc>
          <w:tcPr>
            <w:tcW w:w="2898" w:type="dxa"/>
          </w:tcPr>
          <w:p w14:paraId="04F581D4" w14:textId="49804A2C" w:rsidR="00E95512" w:rsidRPr="001A4B94" w:rsidRDefault="00E95512" w:rsidP="00E95512">
            <w:pPr>
              <w:pStyle w:val="TableParagraph"/>
              <w:spacing w:before="55"/>
              <w:ind w:left="19"/>
              <w:rPr>
                <w:b/>
                <w:i/>
                <w:sz w:val="14"/>
                <w:lang w:val="tr-TR"/>
              </w:rPr>
            </w:pPr>
            <w:r w:rsidRPr="001A4B94">
              <w:rPr>
                <w:b/>
                <w:i/>
                <w:sz w:val="14"/>
                <w:lang w:val="tr-TR"/>
              </w:rPr>
              <w:t>Kalkınma Politikası Kredisi:</w:t>
            </w:r>
          </w:p>
        </w:tc>
        <w:tc>
          <w:tcPr>
            <w:tcW w:w="960" w:type="dxa"/>
          </w:tcPr>
          <w:p w14:paraId="59825F75" w14:textId="77777777" w:rsidR="00E95512" w:rsidRPr="001A4B94" w:rsidRDefault="00E95512" w:rsidP="00E95512">
            <w:pPr>
              <w:pStyle w:val="TableParagraph"/>
              <w:rPr>
                <w:sz w:val="14"/>
                <w:lang w:val="tr-TR"/>
              </w:rPr>
            </w:pPr>
          </w:p>
        </w:tc>
      </w:tr>
      <w:tr w:rsidR="00E95512" w:rsidRPr="001A4B94" w14:paraId="430B4D7A" w14:textId="77777777" w:rsidTr="00D047D2">
        <w:trPr>
          <w:trHeight w:val="360"/>
        </w:trPr>
        <w:tc>
          <w:tcPr>
            <w:tcW w:w="547" w:type="dxa"/>
            <w:vMerge/>
            <w:tcBorders>
              <w:top w:val="nil"/>
            </w:tcBorders>
          </w:tcPr>
          <w:p w14:paraId="5FDEB643" w14:textId="77777777" w:rsidR="00E95512" w:rsidRPr="001A4B94" w:rsidRDefault="00E95512" w:rsidP="00E95512">
            <w:pPr>
              <w:rPr>
                <w:sz w:val="2"/>
                <w:szCs w:val="2"/>
                <w:lang w:val="tr-TR"/>
              </w:rPr>
            </w:pPr>
          </w:p>
        </w:tc>
        <w:tc>
          <w:tcPr>
            <w:tcW w:w="3146" w:type="dxa"/>
          </w:tcPr>
          <w:p w14:paraId="7E03022D" w14:textId="399C4F84" w:rsidR="00E95512" w:rsidRPr="001A4B94" w:rsidRDefault="00E95512" w:rsidP="00E95512">
            <w:pPr>
              <w:pStyle w:val="TableParagraph"/>
              <w:spacing w:before="10"/>
              <w:ind w:left="20"/>
              <w:rPr>
                <w:sz w:val="14"/>
                <w:lang w:val="tr-TR"/>
              </w:rPr>
            </w:pPr>
            <w:r w:rsidRPr="001A4B94">
              <w:rPr>
                <w:sz w:val="14"/>
                <w:lang w:val="tr-TR"/>
              </w:rPr>
              <w:t xml:space="preserve">Program Odaklı Büyüme, Rekabetçilik ve İstihdam DPL </w:t>
            </w:r>
          </w:p>
          <w:p w14:paraId="54777062" w14:textId="5EF4035E" w:rsidR="00E95512" w:rsidRPr="001A4B94" w:rsidRDefault="00E95512" w:rsidP="00E95512">
            <w:pPr>
              <w:pStyle w:val="TableParagraph"/>
              <w:spacing w:before="30" w:line="142" w:lineRule="exact"/>
              <w:ind w:left="20"/>
              <w:rPr>
                <w:sz w:val="14"/>
                <w:lang w:val="tr-TR"/>
              </w:rPr>
            </w:pPr>
          </w:p>
        </w:tc>
        <w:tc>
          <w:tcPr>
            <w:tcW w:w="960" w:type="dxa"/>
          </w:tcPr>
          <w:p w14:paraId="051F3925" w14:textId="77777777" w:rsidR="00E95512" w:rsidRPr="001A4B94" w:rsidRDefault="00E95512" w:rsidP="00E95512">
            <w:pPr>
              <w:pStyle w:val="TableParagraph"/>
              <w:spacing w:before="102"/>
              <w:ind w:right="4"/>
              <w:jc w:val="right"/>
              <w:rPr>
                <w:sz w:val="14"/>
                <w:lang w:val="tr-TR"/>
              </w:rPr>
            </w:pPr>
            <w:r w:rsidRPr="001A4B94">
              <w:rPr>
                <w:sz w:val="14"/>
                <w:lang w:val="tr-TR"/>
              </w:rPr>
              <w:t>600</w:t>
            </w:r>
          </w:p>
        </w:tc>
        <w:tc>
          <w:tcPr>
            <w:tcW w:w="703" w:type="dxa"/>
            <w:vMerge/>
            <w:tcBorders>
              <w:top w:val="nil"/>
            </w:tcBorders>
          </w:tcPr>
          <w:p w14:paraId="19DFF63E" w14:textId="77777777" w:rsidR="00E95512" w:rsidRPr="001A4B94" w:rsidRDefault="00E95512" w:rsidP="00E95512">
            <w:pPr>
              <w:rPr>
                <w:sz w:val="2"/>
                <w:szCs w:val="2"/>
                <w:lang w:val="tr-TR"/>
              </w:rPr>
            </w:pPr>
          </w:p>
        </w:tc>
        <w:tc>
          <w:tcPr>
            <w:tcW w:w="2898" w:type="dxa"/>
          </w:tcPr>
          <w:p w14:paraId="3FF66C09" w14:textId="3E09C1C1" w:rsidR="00E95512" w:rsidRPr="001A4B94" w:rsidRDefault="00E95512" w:rsidP="00E95512">
            <w:pPr>
              <w:pStyle w:val="TableParagraph"/>
              <w:spacing w:before="102"/>
              <w:ind w:left="19"/>
              <w:rPr>
                <w:sz w:val="14"/>
                <w:lang w:val="tr-TR"/>
              </w:rPr>
            </w:pPr>
            <w:r w:rsidRPr="001A4B94">
              <w:rPr>
                <w:sz w:val="14"/>
                <w:lang w:val="tr-TR"/>
              </w:rPr>
              <w:t>Rekabetçilik ve Tasarruflar DPL</w:t>
            </w:r>
          </w:p>
        </w:tc>
        <w:tc>
          <w:tcPr>
            <w:tcW w:w="960" w:type="dxa"/>
          </w:tcPr>
          <w:p w14:paraId="6B9B61FE" w14:textId="77777777" w:rsidR="00E95512" w:rsidRPr="001A4B94" w:rsidRDefault="00E95512" w:rsidP="00E95512">
            <w:pPr>
              <w:pStyle w:val="TableParagraph"/>
              <w:spacing w:before="102"/>
              <w:jc w:val="right"/>
              <w:rPr>
                <w:sz w:val="14"/>
                <w:lang w:val="tr-TR"/>
              </w:rPr>
            </w:pPr>
            <w:r w:rsidRPr="001A4B94">
              <w:rPr>
                <w:sz w:val="14"/>
                <w:lang w:val="tr-TR"/>
              </w:rPr>
              <w:t>800</w:t>
            </w:r>
          </w:p>
        </w:tc>
      </w:tr>
      <w:tr w:rsidR="00E95512" w:rsidRPr="001A4B94" w14:paraId="459254E4" w14:textId="77777777" w:rsidTr="00D047D2">
        <w:trPr>
          <w:trHeight w:val="280"/>
        </w:trPr>
        <w:tc>
          <w:tcPr>
            <w:tcW w:w="547" w:type="dxa"/>
            <w:vMerge/>
            <w:tcBorders>
              <w:top w:val="nil"/>
            </w:tcBorders>
          </w:tcPr>
          <w:p w14:paraId="23A81312" w14:textId="77777777" w:rsidR="00E95512" w:rsidRPr="001A4B94" w:rsidRDefault="00E95512" w:rsidP="00E95512">
            <w:pPr>
              <w:rPr>
                <w:sz w:val="2"/>
                <w:szCs w:val="2"/>
                <w:lang w:val="tr-TR"/>
              </w:rPr>
            </w:pPr>
          </w:p>
        </w:tc>
        <w:tc>
          <w:tcPr>
            <w:tcW w:w="3146" w:type="dxa"/>
          </w:tcPr>
          <w:p w14:paraId="01F0538A" w14:textId="70F57153" w:rsidR="00E95512" w:rsidRPr="001A4B94" w:rsidRDefault="00E95512" w:rsidP="00E95512">
            <w:pPr>
              <w:pStyle w:val="TableParagraph"/>
              <w:spacing w:before="66"/>
              <w:ind w:left="20"/>
              <w:rPr>
                <w:b/>
                <w:i/>
                <w:sz w:val="14"/>
                <w:lang w:val="tr-TR"/>
              </w:rPr>
            </w:pPr>
            <w:r w:rsidRPr="001A4B94">
              <w:rPr>
                <w:b/>
                <w:i/>
                <w:sz w:val="14"/>
                <w:lang w:val="tr-TR"/>
              </w:rPr>
              <w:t>Yatırım  Projesi Finansmanı:</w:t>
            </w:r>
          </w:p>
        </w:tc>
        <w:tc>
          <w:tcPr>
            <w:tcW w:w="960" w:type="dxa"/>
          </w:tcPr>
          <w:p w14:paraId="7BC178DF" w14:textId="77777777" w:rsidR="00E95512" w:rsidRPr="001A4B94" w:rsidRDefault="00E95512" w:rsidP="00E95512">
            <w:pPr>
              <w:pStyle w:val="TableParagraph"/>
              <w:rPr>
                <w:sz w:val="14"/>
                <w:lang w:val="tr-TR"/>
              </w:rPr>
            </w:pPr>
          </w:p>
        </w:tc>
        <w:tc>
          <w:tcPr>
            <w:tcW w:w="703" w:type="dxa"/>
            <w:vMerge/>
            <w:tcBorders>
              <w:top w:val="nil"/>
            </w:tcBorders>
          </w:tcPr>
          <w:p w14:paraId="4846F581" w14:textId="77777777" w:rsidR="00E95512" w:rsidRPr="001A4B94" w:rsidRDefault="00E95512" w:rsidP="00E95512">
            <w:pPr>
              <w:rPr>
                <w:sz w:val="2"/>
                <w:szCs w:val="2"/>
                <w:lang w:val="tr-TR"/>
              </w:rPr>
            </w:pPr>
          </w:p>
        </w:tc>
        <w:tc>
          <w:tcPr>
            <w:tcW w:w="2898" w:type="dxa"/>
          </w:tcPr>
          <w:p w14:paraId="65453565" w14:textId="178F72B8" w:rsidR="00E95512" w:rsidRPr="001A4B94" w:rsidRDefault="00E95512" w:rsidP="00E95512">
            <w:pPr>
              <w:pStyle w:val="TableParagraph"/>
              <w:spacing w:before="66"/>
              <w:ind w:left="19"/>
              <w:rPr>
                <w:b/>
                <w:i/>
                <w:sz w:val="14"/>
                <w:lang w:val="tr-TR"/>
              </w:rPr>
            </w:pPr>
            <w:r w:rsidRPr="001A4B94">
              <w:rPr>
                <w:b/>
                <w:i/>
                <w:sz w:val="14"/>
                <w:lang w:val="tr-TR"/>
              </w:rPr>
              <w:t>Yatırım  Projesi Finansmanı:</w:t>
            </w:r>
          </w:p>
        </w:tc>
        <w:tc>
          <w:tcPr>
            <w:tcW w:w="960" w:type="dxa"/>
          </w:tcPr>
          <w:p w14:paraId="2B1E543C" w14:textId="77777777" w:rsidR="00E95512" w:rsidRPr="001A4B94" w:rsidRDefault="00E95512" w:rsidP="00E95512">
            <w:pPr>
              <w:pStyle w:val="TableParagraph"/>
              <w:rPr>
                <w:sz w:val="14"/>
                <w:lang w:val="tr-TR"/>
              </w:rPr>
            </w:pPr>
          </w:p>
        </w:tc>
      </w:tr>
      <w:tr w:rsidR="00E95512" w:rsidRPr="001A4B94" w14:paraId="423633C6" w14:textId="77777777" w:rsidTr="00D047D2">
        <w:trPr>
          <w:trHeight w:val="160"/>
        </w:trPr>
        <w:tc>
          <w:tcPr>
            <w:tcW w:w="547" w:type="dxa"/>
            <w:vMerge/>
            <w:tcBorders>
              <w:top w:val="nil"/>
            </w:tcBorders>
          </w:tcPr>
          <w:p w14:paraId="19CF9987" w14:textId="77777777" w:rsidR="00E95512" w:rsidRPr="001A4B94" w:rsidRDefault="00E95512" w:rsidP="00E95512">
            <w:pPr>
              <w:rPr>
                <w:sz w:val="2"/>
                <w:szCs w:val="2"/>
                <w:lang w:val="tr-TR"/>
              </w:rPr>
            </w:pPr>
          </w:p>
        </w:tc>
        <w:tc>
          <w:tcPr>
            <w:tcW w:w="3146" w:type="dxa"/>
          </w:tcPr>
          <w:p w14:paraId="4C419CB2" w14:textId="16F950DA" w:rsidR="00E95512" w:rsidRPr="001A4B94" w:rsidRDefault="00E95512" w:rsidP="00E95512">
            <w:pPr>
              <w:pStyle w:val="TableParagraph"/>
              <w:spacing w:before="10" w:line="144" w:lineRule="exact"/>
              <w:ind w:left="20"/>
              <w:rPr>
                <w:sz w:val="14"/>
                <w:lang w:val="tr-TR"/>
              </w:rPr>
            </w:pPr>
            <w:r w:rsidRPr="001A4B94">
              <w:rPr>
                <w:sz w:val="14"/>
                <w:lang w:val="tr-TR"/>
              </w:rPr>
              <w:t xml:space="preserve">Özel Sektör Enerji Verimliliği </w:t>
            </w:r>
          </w:p>
        </w:tc>
        <w:tc>
          <w:tcPr>
            <w:tcW w:w="960" w:type="dxa"/>
          </w:tcPr>
          <w:p w14:paraId="0C252B8A" w14:textId="77777777" w:rsidR="00E95512" w:rsidRPr="001A4B94" w:rsidRDefault="00E95512" w:rsidP="00E95512">
            <w:pPr>
              <w:pStyle w:val="TableParagraph"/>
              <w:spacing w:before="10" w:line="144" w:lineRule="exact"/>
              <w:ind w:right="4"/>
              <w:jc w:val="right"/>
              <w:rPr>
                <w:sz w:val="14"/>
                <w:lang w:val="tr-TR"/>
              </w:rPr>
            </w:pPr>
            <w:r w:rsidRPr="001A4B94">
              <w:rPr>
                <w:sz w:val="14"/>
                <w:lang w:val="tr-TR"/>
              </w:rPr>
              <w:t>200</w:t>
            </w:r>
          </w:p>
        </w:tc>
        <w:tc>
          <w:tcPr>
            <w:tcW w:w="703" w:type="dxa"/>
            <w:vMerge/>
            <w:tcBorders>
              <w:top w:val="nil"/>
            </w:tcBorders>
          </w:tcPr>
          <w:p w14:paraId="0903FC91" w14:textId="77777777" w:rsidR="00E95512" w:rsidRPr="001A4B94" w:rsidRDefault="00E95512" w:rsidP="00E95512">
            <w:pPr>
              <w:rPr>
                <w:sz w:val="2"/>
                <w:szCs w:val="2"/>
                <w:lang w:val="tr-TR"/>
              </w:rPr>
            </w:pPr>
          </w:p>
        </w:tc>
        <w:tc>
          <w:tcPr>
            <w:tcW w:w="2898" w:type="dxa"/>
          </w:tcPr>
          <w:p w14:paraId="78FCF953" w14:textId="0C08C4DD" w:rsidR="00E95512" w:rsidRPr="001A4B94" w:rsidRDefault="00E95512" w:rsidP="00E95512">
            <w:pPr>
              <w:pStyle w:val="TableParagraph"/>
              <w:spacing w:before="10" w:line="144" w:lineRule="exact"/>
              <w:ind w:left="19"/>
              <w:rPr>
                <w:sz w:val="14"/>
                <w:lang w:val="tr-TR"/>
              </w:rPr>
            </w:pPr>
            <w:r w:rsidRPr="001A4B94">
              <w:rPr>
                <w:sz w:val="14"/>
                <w:lang w:val="tr-TR"/>
              </w:rPr>
              <w:t xml:space="preserve">KOBİ Enerji Verimliliği </w:t>
            </w:r>
          </w:p>
        </w:tc>
        <w:tc>
          <w:tcPr>
            <w:tcW w:w="960" w:type="dxa"/>
          </w:tcPr>
          <w:p w14:paraId="1BF5DD44" w14:textId="77777777" w:rsidR="00E95512" w:rsidRPr="001A4B94" w:rsidRDefault="00E95512" w:rsidP="00E95512">
            <w:pPr>
              <w:pStyle w:val="TableParagraph"/>
              <w:spacing w:before="10" w:line="144" w:lineRule="exact"/>
              <w:jc w:val="right"/>
              <w:rPr>
                <w:sz w:val="14"/>
                <w:lang w:val="tr-TR"/>
              </w:rPr>
            </w:pPr>
            <w:r w:rsidRPr="001A4B94">
              <w:rPr>
                <w:sz w:val="14"/>
                <w:lang w:val="tr-TR"/>
              </w:rPr>
              <w:t>201</w:t>
            </w:r>
          </w:p>
        </w:tc>
      </w:tr>
      <w:tr w:rsidR="00E95512" w:rsidRPr="001A4B94" w14:paraId="30FCEF4E" w14:textId="77777777" w:rsidTr="00D047D2">
        <w:trPr>
          <w:trHeight w:val="160"/>
        </w:trPr>
        <w:tc>
          <w:tcPr>
            <w:tcW w:w="547" w:type="dxa"/>
            <w:vMerge/>
            <w:tcBorders>
              <w:top w:val="nil"/>
            </w:tcBorders>
          </w:tcPr>
          <w:p w14:paraId="346D0401" w14:textId="77777777" w:rsidR="00E95512" w:rsidRPr="001A4B94" w:rsidRDefault="00E95512" w:rsidP="00E95512">
            <w:pPr>
              <w:rPr>
                <w:sz w:val="2"/>
                <w:szCs w:val="2"/>
                <w:lang w:val="tr-TR"/>
              </w:rPr>
            </w:pPr>
          </w:p>
        </w:tc>
        <w:tc>
          <w:tcPr>
            <w:tcW w:w="3146" w:type="dxa"/>
          </w:tcPr>
          <w:p w14:paraId="553F625E" w14:textId="72220FD2" w:rsidR="00E95512" w:rsidRPr="001A4B94" w:rsidRDefault="00E95512" w:rsidP="00E95512">
            <w:pPr>
              <w:pStyle w:val="TableParagraph"/>
              <w:spacing w:before="12" w:line="142" w:lineRule="exact"/>
              <w:ind w:left="20"/>
              <w:rPr>
                <w:sz w:val="14"/>
                <w:lang w:val="tr-TR"/>
              </w:rPr>
            </w:pPr>
            <w:r w:rsidRPr="001A4B94">
              <w:rPr>
                <w:sz w:val="14"/>
                <w:lang w:val="tr-TR"/>
              </w:rPr>
              <w:t>KOBİ Finansmana Erişim (Gıda Güvenliği)</w:t>
            </w:r>
          </w:p>
        </w:tc>
        <w:tc>
          <w:tcPr>
            <w:tcW w:w="960" w:type="dxa"/>
          </w:tcPr>
          <w:p w14:paraId="7BAD9F57" w14:textId="77777777" w:rsidR="00E95512" w:rsidRPr="001A4B94" w:rsidRDefault="00E95512" w:rsidP="00E95512">
            <w:pPr>
              <w:pStyle w:val="TableParagraph"/>
              <w:spacing w:before="12" w:line="142" w:lineRule="exact"/>
              <w:ind w:right="4"/>
              <w:jc w:val="right"/>
              <w:rPr>
                <w:sz w:val="14"/>
                <w:lang w:val="tr-TR"/>
              </w:rPr>
            </w:pPr>
            <w:r w:rsidRPr="001A4B94">
              <w:rPr>
                <w:sz w:val="14"/>
                <w:lang w:val="tr-TR"/>
              </w:rPr>
              <w:t>200</w:t>
            </w:r>
          </w:p>
        </w:tc>
        <w:tc>
          <w:tcPr>
            <w:tcW w:w="703" w:type="dxa"/>
            <w:vMerge/>
            <w:tcBorders>
              <w:top w:val="nil"/>
            </w:tcBorders>
          </w:tcPr>
          <w:p w14:paraId="4EC6BBB9" w14:textId="77777777" w:rsidR="00E95512" w:rsidRPr="001A4B94" w:rsidRDefault="00E95512" w:rsidP="00E95512">
            <w:pPr>
              <w:rPr>
                <w:sz w:val="2"/>
                <w:szCs w:val="2"/>
                <w:lang w:val="tr-TR"/>
              </w:rPr>
            </w:pPr>
          </w:p>
        </w:tc>
        <w:tc>
          <w:tcPr>
            <w:tcW w:w="2898" w:type="dxa"/>
          </w:tcPr>
          <w:p w14:paraId="391C906F" w14:textId="3D03D506" w:rsidR="00E95512" w:rsidRPr="001A4B94" w:rsidRDefault="00E95512" w:rsidP="00E95512">
            <w:pPr>
              <w:pStyle w:val="TableParagraph"/>
              <w:spacing w:before="12" w:line="142" w:lineRule="exact"/>
              <w:ind w:left="19"/>
              <w:rPr>
                <w:sz w:val="14"/>
                <w:lang w:val="tr-TR"/>
              </w:rPr>
            </w:pPr>
            <w:r w:rsidRPr="001A4B94">
              <w:rPr>
                <w:sz w:val="14"/>
                <w:lang w:val="tr-TR"/>
              </w:rPr>
              <w:t>KOBİ Finansmana Erişim III</w:t>
            </w:r>
          </w:p>
        </w:tc>
        <w:tc>
          <w:tcPr>
            <w:tcW w:w="960" w:type="dxa"/>
          </w:tcPr>
          <w:p w14:paraId="17DDBF34" w14:textId="77777777" w:rsidR="00E95512" w:rsidRPr="001A4B94" w:rsidRDefault="00E95512" w:rsidP="00E95512">
            <w:pPr>
              <w:pStyle w:val="TableParagraph"/>
              <w:spacing w:before="12" w:line="142" w:lineRule="exact"/>
              <w:jc w:val="right"/>
              <w:rPr>
                <w:sz w:val="14"/>
                <w:lang w:val="tr-TR"/>
              </w:rPr>
            </w:pPr>
            <w:r w:rsidRPr="001A4B94">
              <w:rPr>
                <w:sz w:val="14"/>
                <w:lang w:val="tr-TR"/>
              </w:rPr>
              <w:t>300</w:t>
            </w:r>
          </w:p>
        </w:tc>
      </w:tr>
      <w:tr w:rsidR="00E95512" w:rsidRPr="001A4B94" w14:paraId="353F272F" w14:textId="77777777" w:rsidTr="00D047D2">
        <w:trPr>
          <w:trHeight w:val="160"/>
        </w:trPr>
        <w:tc>
          <w:tcPr>
            <w:tcW w:w="547" w:type="dxa"/>
            <w:vMerge/>
            <w:tcBorders>
              <w:top w:val="nil"/>
            </w:tcBorders>
          </w:tcPr>
          <w:p w14:paraId="72754CC3" w14:textId="77777777" w:rsidR="00E95512" w:rsidRPr="001A4B94" w:rsidRDefault="00E95512" w:rsidP="00E95512">
            <w:pPr>
              <w:rPr>
                <w:sz w:val="2"/>
                <w:szCs w:val="2"/>
                <w:lang w:val="tr-TR"/>
              </w:rPr>
            </w:pPr>
          </w:p>
        </w:tc>
        <w:tc>
          <w:tcPr>
            <w:tcW w:w="3146" w:type="dxa"/>
          </w:tcPr>
          <w:p w14:paraId="190ED558" w14:textId="10781C4C" w:rsidR="00E95512" w:rsidRPr="001A4B94" w:rsidRDefault="00E95512" w:rsidP="00E95512">
            <w:pPr>
              <w:pStyle w:val="TableParagraph"/>
              <w:spacing w:before="11" w:line="144" w:lineRule="exact"/>
              <w:ind w:left="20"/>
              <w:rPr>
                <w:sz w:val="14"/>
                <w:lang w:val="tr-TR"/>
              </w:rPr>
            </w:pPr>
            <w:r w:rsidRPr="001A4B94">
              <w:rPr>
                <w:sz w:val="14"/>
                <w:lang w:val="tr-TR"/>
              </w:rPr>
              <w:t xml:space="preserve">Sağlık Projesi </w:t>
            </w:r>
          </w:p>
        </w:tc>
        <w:tc>
          <w:tcPr>
            <w:tcW w:w="960" w:type="dxa"/>
          </w:tcPr>
          <w:p w14:paraId="691B5839" w14:textId="77777777" w:rsidR="00E95512" w:rsidRPr="001A4B94" w:rsidRDefault="00E95512" w:rsidP="00E95512">
            <w:pPr>
              <w:pStyle w:val="TableParagraph"/>
              <w:spacing w:before="11" w:line="144" w:lineRule="exact"/>
              <w:ind w:right="4"/>
              <w:jc w:val="right"/>
              <w:rPr>
                <w:sz w:val="14"/>
                <w:lang w:val="tr-TR"/>
              </w:rPr>
            </w:pPr>
            <w:r w:rsidRPr="001A4B94">
              <w:rPr>
                <w:sz w:val="14"/>
                <w:lang w:val="tr-TR"/>
              </w:rPr>
              <w:t>200</w:t>
            </w:r>
          </w:p>
        </w:tc>
        <w:tc>
          <w:tcPr>
            <w:tcW w:w="703" w:type="dxa"/>
            <w:vMerge/>
            <w:tcBorders>
              <w:top w:val="nil"/>
            </w:tcBorders>
          </w:tcPr>
          <w:p w14:paraId="591478F1" w14:textId="77777777" w:rsidR="00E95512" w:rsidRPr="001A4B94" w:rsidRDefault="00E95512" w:rsidP="00E95512">
            <w:pPr>
              <w:rPr>
                <w:sz w:val="2"/>
                <w:szCs w:val="2"/>
                <w:lang w:val="tr-TR"/>
              </w:rPr>
            </w:pPr>
          </w:p>
        </w:tc>
        <w:tc>
          <w:tcPr>
            <w:tcW w:w="2898" w:type="dxa"/>
          </w:tcPr>
          <w:p w14:paraId="0170A785" w14:textId="77777777" w:rsidR="00E95512" w:rsidRPr="001A4B94" w:rsidRDefault="00E95512" w:rsidP="00E95512">
            <w:pPr>
              <w:pStyle w:val="TableParagraph"/>
              <w:rPr>
                <w:sz w:val="10"/>
                <w:lang w:val="tr-TR"/>
              </w:rPr>
            </w:pPr>
          </w:p>
        </w:tc>
        <w:tc>
          <w:tcPr>
            <w:tcW w:w="960" w:type="dxa"/>
          </w:tcPr>
          <w:p w14:paraId="59D7575B" w14:textId="77777777" w:rsidR="00E95512" w:rsidRPr="001A4B94" w:rsidRDefault="00E95512" w:rsidP="00E95512">
            <w:pPr>
              <w:pStyle w:val="TableParagraph"/>
              <w:rPr>
                <w:sz w:val="10"/>
                <w:lang w:val="tr-TR"/>
              </w:rPr>
            </w:pPr>
          </w:p>
        </w:tc>
      </w:tr>
      <w:tr w:rsidR="00E95512" w:rsidRPr="001A4B94" w14:paraId="5CAE116B" w14:textId="77777777" w:rsidTr="00D047D2">
        <w:trPr>
          <w:trHeight w:val="180"/>
        </w:trPr>
        <w:tc>
          <w:tcPr>
            <w:tcW w:w="547" w:type="dxa"/>
            <w:vMerge/>
            <w:tcBorders>
              <w:top w:val="nil"/>
            </w:tcBorders>
          </w:tcPr>
          <w:p w14:paraId="52CF154F" w14:textId="77777777" w:rsidR="00E95512" w:rsidRPr="001A4B94" w:rsidRDefault="00E95512" w:rsidP="00E95512">
            <w:pPr>
              <w:rPr>
                <w:sz w:val="2"/>
                <w:szCs w:val="2"/>
                <w:lang w:val="tr-TR"/>
              </w:rPr>
            </w:pPr>
          </w:p>
        </w:tc>
        <w:tc>
          <w:tcPr>
            <w:tcW w:w="3146" w:type="dxa"/>
          </w:tcPr>
          <w:p w14:paraId="6D714C5E" w14:textId="1710613D" w:rsidR="00E95512" w:rsidRPr="001A4B94" w:rsidRDefault="00E95512" w:rsidP="00E95512">
            <w:pPr>
              <w:pStyle w:val="TableParagraph"/>
              <w:spacing w:before="9" w:line="154" w:lineRule="exact"/>
              <w:ind w:left="20"/>
              <w:rPr>
                <w:sz w:val="14"/>
                <w:lang w:val="tr-TR"/>
              </w:rPr>
            </w:pPr>
            <w:r w:rsidRPr="001A4B94">
              <w:rPr>
                <w:sz w:val="14"/>
                <w:lang w:val="tr-TR"/>
              </w:rPr>
              <w:t xml:space="preserve">Tahsisat daha sonra belirlenecek </w:t>
            </w:r>
          </w:p>
        </w:tc>
        <w:tc>
          <w:tcPr>
            <w:tcW w:w="960" w:type="dxa"/>
          </w:tcPr>
          <w:p w14:paraId="2E8B95BB" w14:textId="77777777" w:rsidR="00E95512" w:rsidRPr="001A4B94" w:rsidRDefault="00E95512" w:rsidP="00E95512">
            <w:pPr>
              <w:pStyle w:val="TableParagraph"/>
              <w:spacing w:before="9" w:line="154" w:lineRule="exact"/>
              <w:ind w:right="4"/>
              <w:jc w:val="right"/>
              <w:rPr>
                <w:sz w:val="14"/>
                <w:lang w:val="tr-TR"/>
              </w:rPr>
            </w:pPr>
            <w:r w:rsidRPr="001A4B94">
              <w:rPr>
                <w:sz w:val="14"/>
                <w:lang w:val="tr-TR"/>
              </w:rPr>
              <w:t>100</w:t>
            </w:r>
          </w:p>
        </w:tc>
        <w:tc>
          <w:tcPr>
            <w:tcW w:w="703" w:type="dxa"/>
            <w:vMerge/>
            <w:tcBorders>
              <w:top w:val="nil"/>
            </w:tcBorders>
          </w:tcPr>
          <w:p w14:paraId="3BFBE9D8" w14:textId="77777777" w:rsidR="00E95512" w:rsidRPr="001A4B94" w:rsidRDefault="00E95512" w:rsidP="00E95512">
            <w:pPr>
              <w:rPr>
                <w:sz w:val="2"/>
                <w:szCs w:val="2"/>
                <w:lang w:val="tr-TR"/>
              </w:rPr>
            </w:pPr>
          </w:p>
        </w:tc>
        <w:tc>
          <w:tcPr>
            <w:tcW w:w="2898" w:type="dxa"/>
            <w:tcBorders>
              <w:bottom w:val="thinThickMediumGap" w:sz="3" w:space="0" w:color="000000"/>
            </w:tcBorders>
          </w:tcPr>
          <w:p w14:paraId="4A46E52D" w14:textId="77777777" w:rsidR="00E95512" w:rsidRPr="001A4B94" w:rsidRDefault="00E95512" w:rsidP="00E95512">
            <w:pPr>
              <w:pStyle w:val="TableParagraph"/>
              <w:rPr>
                <w:sz w:val="12"/>
                <w:lang w:val="tr-TR"/>
              </w:rPr>
            </w:pPr>
          </w:p>
        </w:tc>
        <w:tc>
          <w:tcPr>
            <w:tcW w:w="960" w:type="dxa"/>
            <w:tcBorders>
              <w:bottom w:val="thinThickMediumGap" w:sz="3" w:space="0" w:color="000000"/>
            </w:tcBorders>
          </w:tcPr>
          <w:p w14:paraId="1CD2C3CB" w14:textId="77777777" w:rsidR="00E95512" w:rsidRPr="001A4B94" w:rsidRDefault="00E95512" w:rsidP="00E95512">
            <w:pPr>
              <w:pStyle w:val="TableParagraph"/>
              <w:rPr>
                <w:sz w:val="12"/>
                <w:lang w:val="tr-TR"/>
              </w:rPr>
            </w:pPr>
          </w:p>
        </w:tc>
      </w:tr>
      <w:tr w:rsidR="00E95512" w:rsidRPr="001A4B94" w14:paraId="4FEB2A2B" w14:textId="77777777" w:rsidTr="00D047D2">
        <w:trPr>
          <w:trHeight w:val="220"/>
        </w:trPr>
        <w:tc>
          <w:tcPr>
            <w:tcW w:w="547" w:type="dxa"/>
            <w:vMerge/>
            <w:tcBorders>
              <w:top w:val="nil"/>
            </w:tcBorders>
          </w:tcPr>
          <w:p w14:paraId="1CDF2B70" w14:textId="77777777" w:rsidR="00E95512" w:rsidRPr="001A4B94" w:rsidRDefault="00E95512" w:rsidP="00E95512">
            <w:pPr>
              <w:rPr>
                <w:sz w:val="2"/>
                <w:szCs w:val="2"/>
                <w:lang w:val="tr-TR"/>
              </w:rPr>
            </w:pPr>
          </w:p>
        </w:tc>
        <w:tc>
          <w:tcPr>
            <w:tcW w:w="3146" w:type="dxa"/>
          </w:tcPr>
          <w:p w14:paraId="38921AF0" w14:textId="018EF621" w:rsidR="00E95512" w:rsidRPr="001A4B94" w:rsidRDefault="00E95512" w:rsidP="00E95512">
            <w:pPr>
              <w:pStyle w:val="TableParagraph"/>
              <w:spacing w:before="27"/>
              <w:ind w:right="77"/>
              <w:jc w:val="right"/>
              <w:rPr>
                <w:b/>
                <w:i/>
                <w:sz w:val="14"/>
                <w:lang w:val="tr-TR"/>
              </w:rPr>
            </w:pPr>
            <w:r w:rsidRPr="001A4B94">
              <w:rPr>
                <w:b/>
                <w:i/>
                <w:sz w:val="14"/>
                <w:lang w:val="tr-TR"/>
              </w:rPr>
              <w:t xml:space="preserve">Ara Toplam </w:t>
            </w:r>
          </w:p>
        </w:tc>
        <w:tc>
          <w:tcPr>
            <w:tcW w:w="960" w:type="dxa"/>
          </w:tcPr>
          <w:p w14:paraId="58204C51" w14:textId="352F810B" w:rsidR="00E95512" w:rsidRPr="001A4B94" w:rsidRDefault="00E95512" w:rsidP="00E95512">
            <w:pPr>
              <w:pStyle w:val="TableParagraph"/>
              <w:spacing w:before="35"/>
              <w:ind w:right="44"/>
              <w:jc w:val="right"/>
              <w:rPr>
                <w:b/>
                <w:sz w:val="14"/>
                <w:lang w:val="tr-TR"/>
              </w:rPr>
            </w:pPr>
            <w:r w:rsidRPr="001A4B94">
              <w:rPr>
                <w:b/>
                <w:sz w:val="14"/>
                <w:lang w:val="tr-TR"/>
              </w:rPr>
              <w:t>1.300</w:t>
            </w:r>
          </w:p>
        </w:tc>
        <w:tc>
          <w:tcPr>
            <w:tcW w:w="703" w:type="dxa"/>
            <w:vMerge/>
            <w:tcBorders>
              <w:top w:val="nil"/>
            </w:tcBorders>
          </w:tcPr>
          <w:p w14:paraId="6A1CA52D" w14:textId="77777777" w:rsidR="00E95512" w:rsidRPr="001A4B94" w:rsidRDefault="00E95512" w:rsidP="00E95512">
            <w:pPr>
              <w:rPr>
                <w:sz w:val="2"/>
                <w:szCs w:val="2"/>
                <w:lang w:val="tr-TR"/>
              </w:rPr>
            </w:pPr>
          </w:p>
        </w:tc>
        <w:tc>
          <w:tcPr>
            <w:tcW w:w="2898" w:type="dxa"/>
            <w:tcBorders>
              <w:top w:val="thickThinMediumGap" w:sz="3" w:space="0" w:color="000000"/>
            </w:tcBorders>
          </w:tcPr>
          <w:p w14:paraId="67F9A2CF" w14:textId="0F19DC3D" w:rsidR="00E95512" w:rsidRPr="001A4B94" w:rsidRDefault="00E95512" w:rsidP="00E95512">
            <w:pPr>
              <w:pStyle w:val="TableParagraph"/>
              <w:spacing w:before="27"/>
              <w:ind w:left="19"/>
              <w:rPr>
                <w:b/>
                <w:i/>
                <w:sz w:val="14"/>
                <w:lang w:val="tr-TR"/>
              </w:rPr>
            </w:pPr>
            <w:r w:rsidRPr="001A4B94">
              <w:rPr>
                <w:b/>
                <w:i/>
                <w:sz w:val="14"/>
                <w:lang w:val="tr-TR"/>
              </w:rPr>
              <w:t>Ara Toplam</w:t>
            </w:r>
          </w:p>
        </w:tc>
        <w:tc>
          <w:tcPr>
            <w:tcW w:w="960" w:type="dxa"/>
            <w:tcBorders>
              <w:top w:val="thickThinMediumGap" w:sz="3" w:space="0" w:color="000000"/>
            </w:tcBorders>
          </w:tcPr>
          <w:p w14:paraId="6EE7DBE1" w14:textId="2F145D96" w:rsidR="00E95512" w:rsidRPr="001A4B94" w:rsidRDefault="00E95512" w:rsidP="00E95512">
            <w:pPr>
              <w:pStyle w:val="TableParagraph"/>
              <w:spacing w:before="35"/>
              <w:ind w:right="44"/>
              <w:jc w:val="right"/>
              <w:rPr>
                <w:b/>
                <w:sz w:val="14"/>
                <w:lang w:val="tr-TR"/>
              </w:rPr>
            </w:pPr>
            <w:r w:rsidRPr="001A4B94">
              <w:rPr>
                <w:b/>
                <w:sz w:val="14"/>
                <w:lang w:val="tr-TR"/>
              </w:rPr>
              <w:t>1.301</w:t>
            </w:r>
          </w:p>
        </w:tc>
      </w:tr>
      <w:tr w:rsidR="00E95512" w:rsidRPr="001A4B94" w14:paraId="4D25D14B" w14:textId="77777777" w:rsidTr="00D047D2">
        <w:trPr>
          <w:trHeight w:val="280"/>
        </w:trPr>
        <w:tc>
          <w:tcPr>
            <w:tcW w:w="547" w:type="dxa"/>
            <w:vMerge w:val="restart"/>
          </w:tcPr>
          <w:p w14:paraId="0BBD8EF6" w14:textId="77777777" w:rsidR="00E95512" w:rsidRPr="001A4B94" w:rsidRDefault="00E95512" w:rsidP="00E95512">
            <w:pPr>
              <w:pStyle w:val="TableParagraph"/>
              <w:rPr>
                <w:sz w:val="16"/>
                <w:lang w:val="tr-TR"/>
              </w:rPr>
            </w:pPr>
          </w:p>
          <w:p w14:paraId="022236F5" w14:textId="77777777" w:rsidR="00E95512" w:rsidRPr="001A4B94" w:rsidRDefault="00E95512" w:rsidP="00E95512">
            <w:pPr>
              <w:pStyle w:val="TableParagraph"/>
              <w:rPr>
                <w:sz w:val="16"/>
                <w:lang w:val="tr-TR"/>
              </w:rPr>
            </w:pPr>
          </w:p>
          <w:p w14:paraId="75A30255" w14:textId="77777777" w:rsidR="00E95512" w:rsidRPr="001A4B94" w:rsidRDefault="00E95512" w:rsidP="00E95512">
            <w:pPr>
              <w:pStyle w:val="TableParagraph"/>
              <w:rPr>
                <w:sz w:val="16"/>
                <w:lang w:val="tr-TR"/>
              </w:rPr>
            </w:pPr>
          </w:p>
          <w:p w14:paraId="099D72F7" w14:textId="77777777" w:rsidR="00E95512" w:rsidRPr="001A4B94" w:rsidRDefault="00E95512" w:rsidP="00E95512">
            <w:pPr>
              <w:pStyle w:val="TableParagraph"/>
              <w:spacing w:before="6"/>
              <w:rPr>
                <w:sz w:val="23"/>
                <w:lang w:val="tr-TR"/>
              </w:rPr>
            </w:pPr>
          </w:p>
          <w:p w14:paraId="7850307D" w14:textId="5F20828E" w:rsidR="00E95512" w:rsidRPr="001A4B94" w:rsidRDefault="00E95512" w:rsidP="00E95512">
            <w:pPr>
              <w:pStyle w:val="TableParagraph"/>
              <w:spacing w:before="1"/>
              <w:ind w:left="19"/>
              <w:rPr>
                <w:b/>
                <w:sz w:val="14"/>
                <w:lang w:val="tr-TR"/>
              </w:rPr>
            </w:pPr>
            <w:r w:rsidRPr="001A4B94">
              <w:rPr>
                <w:b/>
                <w:sz w:val="14"/>
                <w:lang w:val="tr-TR"/>
              </w:rPr>
              <w:t>2014 MY</w:t>
            </w:r>
          </w:p>
        </w:tc>
        <w:tc>
          <w:tcPr>
            <w:tcW w:w="3146" w:type="dxa"/>
          </w:tcPr>
          <w:p w14:paraId="3761258B" w14:textId="0A64B130" w:rsidR="00E95512" w:rsidRPr="001A4B94" w:rsidRDefault="00E95512" w:rsidP="00E95512">
            <w:pPr>
              <w:pStyle w:val="TableParagraph"/>
              <w:spacing w:before="67"/>
              <w:ind w:left="20"/>
              <w:rPr>
                <w:b/>
                <w:i/>
                <w:sz w:val="14"/>
                <w:lang w:val="tr-TR"/>
              </w:rPr>
            </w:pPr>
            <w:r w:rsidRPr="001A4B94">
              <w:rPr>
                <w:b/>
                <w:i/>
                <w:sz w:val="14"/>
                <w:lang w:val="tr-TR"/>
              </w:rPr>
              <w:t>Kalkınma Politikası Kredisi:</w:t>
            </w:r>
          </w:p>
        </w:tc>
        <w:tc>
          <w:tcPr>
            <w:tcW w:w="960" w:type="dxa"/>
          </w:tcPr>
          <w:p w14:paraId="24EA2256" w14:textId="77777777" w:rsidR="00E95512" w:rsidRPr="001A4B94" w:rsidRDefault="00E95512" w:rsidP="00E95512">
            <w:pPr>
              <w:pStyle w:val="TableParagraph"/>
              <w:rPr>
                <w:sz w:val="14"/>
                <w:lang w:val="tr-TR"/>
              </w:rPr>
            </w:pPr>
          </w:p>
        </w:tc>
        <w:tc>
          <w:tcPr>
            <w:tcW w:w="703" w:type="dxa"/>
            <w:vMerge w:val="restart"/>
          </w:tcPr>
          <w:p w14:paraId="5BEBD40E" w14:textId="77777777" w:rsidR="00E95512" w:rsidRPr="001A4B94" w:rsidRDefault="00E95512" w:rsidP="00E95512">
            <w:pPr>
              <w:pStyle w:val="TableParagraph"/>
              <w:rPr>
                <w:sz w:val="16"/>
                <w:lang w:val="tr-TR"/>
              </w:rPr>
            </w:pPr>
          </w:p>
          <w:p w14:paraId="01330D55" w14:textId="77777777" w:rsidR="00E95512" w:rsidRPr="001A4B94" w:rsidRDefault="00E95512" w:rsidP="00E95512">
            <w:pPr>
              <w:pStyle w:val="TableParagraph"/>
              <w:rPr>
                <w:sz w:val="16"/>
                <w:lang w:val="tr-TR"/>
              </w:rPr>
            </w:pPr>
          </w:p>
          <w:p w14:paraId="1E932D1A" w14:textId="77777777" w:rsidR="00E95512" w:rsidRPr="001A4B94" w:rsidRDefault="00E95512" w:rsidP="00E95512">
            <w:pPr>
              <w:pStyle w:val="TableParagraph"/>
              <w:rPr>
                <w:sz w:val="16"/>
                <w:lang w:val="tr-TR"/>
              </w:rPr>
            </w:pPr>
          </w:p>
          <w:p w14:paraId="0F361345" w14:textId="77777777" w:rsidR="00E95512" w:rsidRPr="001A4B94" w:rsidRDefault="00E95512" w:rsidP="00E95512">
            <w:pPr>
              <w:pStyle w:val="TableParagraph"/>
              <w:spacing w:before="6"/>
              <w:rPr>
                <w:sz w:val="23"/>
                <w:lang w:val="tr-TR"/>
              </w:rPr>
            </w:pPr>
          </w:p>
          <w:p w14:paraId="6B8C93E1" w14:textId="288DEE5C" w:rsidR="00E95512" w:rsidRPr="001A4B94" w:rsidRDefault="00E95512" w:rsidP="00E95512">
            <w:pPr>
              <w:pStyle w:val="TableParagraph"/>
              <w:spacing w:before="1"/>
              <w:ind w:left="22"/>
              <w:rPr>
                <w:b/>
                <w:sz w:val="14"/>
                <w:lang w:val="tr-TR"/>
              </w:rPr>
            </w:pPr>
            <w:r w:rsidRPr="001A4B94">
              <w:rPr>
                <w:b/>
                <w:sz w:val="14"/>
                <w:lang w:val="tr-TR"/>
              </w:rPr>
              <w:t>2014 MY</w:t>
            </w:r>
          </w:p>
        </w:tc>
        <w:tc>
          <w:tcPr>
            <w:tcW w:w="2898" w:type="dxa"/>
          </w:tcPr>
          <w:p w14:paraId="0B11FDD3" w14:textId="41A0181B" w:rsidR="00E95512" w:rsidRPr="001A4B94" w:rsidRDefault="00E95512" w:rsidP="00E95512">
            <w:pPr>
              <w:pStyle w:val="TableParagraph"/>
              <w:spacing w:before="67"/>
              <w:ind w:left="19"/>
              <w:rPr>
                <w:b/>
                <w:i/>
                <w:sz w:val="14"/>
                <w:lang w:val="tr-TR"/>
              </w:rPr>
            </w:pPr>
            <w:r w:rsidRPr="001A4B94">
              <w:rPr>
                <w:b/>
                <w:i/>
                <w:sz w:val="14"/>
                <w:lang w:val="tr-TR"/>
              </w:rPr>
              <w:t>Kalkınma Politikası Kredisi:</w:t>
            </w:r>
          </w:p>
        </w:tc>
        <w:tc>
          <w:tcPr>
            <w:tcW w:w="960" w:type="dxa"/>
          </w:tcPr>
          <w:p w14:paraId="4C434E76" w14:textId="77777777" w:rsidR="00E95512" w:rsidRPr="001A4B94" w:rsidRDefault="00E95512" w:rsidP="00E95512">
            <w:pPr>
              <w:pStyle w:val="TableParagraph"/>
              <w:rPr>
                <w:sz w:val="14"/>
                <w:lang w:val="tr-TR"/>
              </w:rPr>
            </w:pPr>
          </w:p>
        </w:tc>
      </w:tr>
      <w:tr w:rsidR="00B34125" w:rsidRPr="001A4B94" w14:paraId="3C9BB439" w14:textId="77777777" w:rsidTr="00D047D2">
        <w:trPr>
          <w:trHeight w:val="160"/>
        </w:trPr>
        <w:tc>
          <w:tcPr>
            <w:tcW w:w="547" w:type="dxa"/>
            <w:vMerge/>
            <w:tcBorders>
              <w:top w:val="nil"/>
            </w:tcBorders>
          </w:tcPr>
          <w:p w14:paraId="3EDB0E93" w14:textId="77777777" w:rsidR="00B34125" w:rsidRPr="001A4B94" w:rsidRDefault="00B34125" w:rsidP="00E263AF">
            <w:pPr>
              <w:rPr>
                <w:sz w:val="2"/>
                <w:szCs w:val="2"/>
                <w:lang w:val="tr-TR"/>
              </w:rPr>
            </w:pPr>
          </w:p>
        </w:tc>
        <w:tc>
          <w:tcPr>
            <w:tcW w:w="3146" w:type="dxa"/>
          </w:tcPr>
          <w:p w14:paraId="74CAFF8E" w14:textId="09E1A398" w:rsidR="00B34125" w:rsidRPr="001A4B94" w:rsidRDefault="00C60EE2" w:rsidP="00E263AF">
            <w:pPr>
              <w:pStyle w:val="TableParagraph"/>
              <w:spacing w:before="11" w:line="144" w:lineRule="exact"/>
              <w:ind w:left="20"/>
              <w:rPr>
                <w:sz w:val="14"/>
                <w:lang w:val="tr-TR"/>
              </w:rPr>
            </w:pPr>
            <w:r w:rsidRPr="001A4B94">
              <w:rPr>
                <w:sz w:val="14"/>
                <w:lang w:val="tr-TR"/>
              </w:rPr>
              <w:t>Kalkınma Politikası Kredisi –</w:t>
            </w:r>
            <w:r w:rsidR="00B34125" w:rsidRPr="001A4B94">
              <w:rPr>
                <w:sz w:val="14"/>
                <w:lang w:val="tr-TR"/>
              </w:rPr>
              <w:t xml:space="preserve"> </w:t>
            </w:r>
            <w:r w:rsidRPr="001A4B94">
              <w:rPr>
                <w:sz w:val="14"/>
                <w:lang w:val="tr-TR"/>
              </w:rPr>
              <w:t>daha sonra belirlenecek</w:t>
            </w:r>
          </w:p>
        </w:tc>
        <w:tc>
          <w:tcPr>
            <w:tcW w:w="960" w:type="dxa"/>
          </w:tcPr>
          <w:p w14:paraId="2ABAE8D7" w14:textId="77777777" w:rsidR="00B34125" w:rsidRPr="001A4B94" w:rsidRDefault="00B34125" w:rsidP="00E263AF">
            <w:pPr>
              <w:pStyle w:val="TableParagraph"/>
              <w:spacing w:before="11" w:line="144" w:lineRule="exact"/>
              <w:ind w:right="4"/>
              <w:jc w:val="right"/>
              <w:rPr>
                <w:sz w:val="14"/>
                <w:lang w:val="tr-TR"/>
              </w:rPr>
            </w:pPr>
            <w:r w:rsidRPr="001A4B94">
              <w:rPr>
                <w:sz w:val="14"/>
                <w:lang w:val="tr-TR"/>
              </w:rPr>
              <w:t>350</w:t>
            </w:r>
          </w:p>
        </w:tc>
        <w:tc>
          <w:tcPr>
            <w:tcW w:w="703" w:type="dxa"/>
            <w:vMerge/>
            <w:tcBorders>
              <w:top w:val="nil"/>
            </w:tcBorders>
          </w:tcPr>
          <w:p w14:paraId="5F835C7E" w14:textId="77777777" w:rsidR="00B34125" w:rsidRPr="001A4B94" w:rsidRDefault="00B34125" w:rsidP="00E263AF">
            <w:pPr>
              <w:rPr>
                <w:sz w:val="2"/>
                <w:szCs w:val="2"/>
                <w:lang w:val="tr-TR"/>
              </w:rPr>
            </w:pPr>
          </w:p>
        </w:tc>
        <w:tc>
          <w:tcPr>
            <w:tcW w:w="2898" w:type="dxa"/>
          </w:tcPr>
          <w:p w14:paraId="4D802630" w14:textId="7B58AEA1" w:rsidR="00B34125" w:rsidRPr="001A4B94" w:rsidRDefault="00B34125" w:rsidP="00E263AF">
            <w:pPr>
              <w:pStyle w:val="TableParagraph"/>
              <w:spacing w:before="11" w:line="144" w:lineRule="exact"/>
              <w:ind w:left="19"/>
              <w:rPr>
                <w:sz w:val="14"/>
                <w:lang w:val="tr-TR"/>
              </w:rPr>
            </w:pPr>
            <w:r w:rsidRPr="001A4B94">
              <w:rPr>
                <w:sz w:val="14"/>
                <w:lang w:val="tr-TR"/>
              </w:rPr>
              <w:t>(</w:t>
            </w:r>
            <w:r w:rsidR="00D047D2" w:rsidRPr="001A4B94">
              <w:rPr>
                <w:sz w:val="14"/>
                <w:lang w:val="tr-TR"/>
              </w:rPr>
              <w:t>2015 MY’a taşınmıştır</w:t>
            </w:r>
            <w:r w:rsidRPr="001A4B94">
              <w:rPr>
                <w:sz w:val="14"/>
                <w:lang w:val="tr-TR"/>
              </w:rPr>
              <w:t>)</w:t>
            </w:r>
          </w:p>
        </w:tc>
        <w:tc>
          <w:tcPr>
            <w:tcW w:w="960" w:type="dxa"/>
          </w:tcPr>
          <w:p w14:paraId="4845E62A" w14:textId="77777777" w:rsidR="00B34125" w:rsidRPr="001A4B94" w:rsidRDefault="00B34125" w:rsidP="00E263AF">
            <w:pPr>
              <w:pStyle w:val="TableParagraph"/>
              <w:rPr>
                <w:sz w:val="10"/>
                <w:lang w:val="tr-TR"/>
              </w:rPr>
            </w:pPr>
          </w:p>
        </w:tc>
      </w:tr>
      <w:tr w:rsidR="00B34125" w:rsidRPr="001A4B94" w14:paraId="55B7C73F" w14:textId="77777777" w:rsidTr="00D047D2">
        <w:trPr>
          <w:trHeight w:val="260"/>
        </w:trPr>
        <w:tc>
          <w:tcPr>
            <w:tcW w:w="547" w:type="dxa"/>
            <w:vMerge/>
            <w:tcBorders>
              <w:top w:val="nil"/>
            </w:tcBorders>
          </w:tcPr>
          <w:p w14:paraId="3C5DB5D1" w14:textId="77777777" w:rsidR="00B34125" w:rsidRPr="001A4B94" w:rsidRDefault="00B34125" w:rsidP="00E263AF">
            <w:pPr>
              <w:rPr>
                <w:sz w:val="2"/>
                <w:szCs w:val="2"/>
                <w:lang w:val="tr-TR"/>
              </w:rPr>
            </w:pPr>
          </w:p>
        </w:tc>
        <w:tc>
          <w:tcPr>
            <w:tcW w:w="3146" w:type="dxa"/>
          </w:tcPr>
          <w:p w14:paraId="7214D4DC" w14:textId="62BA1C73" w:rsidR="00B34125" w:rsidRPr="001A4B94" w:rsidRDefault="00813BE4" w:rsidP="00E263AF">
            <w:pPr>
              <w:pStyle w:val="TableParagraph"/>
              <w:spacing w:before="45"/>
              <w:ind w:left="20"/>
              <w:rPr>
                <w:b/>
                <w:i/>
                <w:sz w:val="14"/>
                <w:lang w:val="tr-TR"/>
              </w:rPr>
            </w:pPr>
            <w:r w:rsidRPr="001A4B94">
              <w:rPr>
                <w:b/>
                <w:i/>
                <w:sz w:val="14"/>
                <w:lang w:val="tr-TR"/>
              </w:rPr>
              <w:t>Yatırım  Projesi Finansmanı</w:t>
            </w:r>
            <w:r w:rsidR="00B34125" w:rsidRPr="001A4B94">
              <w:rPr>
                <w:b/>
                <w:i/>
                <w:sz w:val="14"/>
                <w:lang w:val="tr-TR"/>
              </w:rPr>
              <w:t>:</w:t>
            </w:r>
          </w:p>
        </w:tc>
        <w:tc>
          <w:tcPr>
            <w:tcW w:w="960" w:type="dxa"/>
          </w:tcPr>
          <w:p w14:paraId="2436F622" w14:textId="77777777" w:rsidR="00B34125" w:rsidRPr="001A4B94" w:rsidRDefault="00B34125" w:rsidP="00E263AF">
            <w:pPr>
              <w:pStyle w:val="TableParagraph"/>
              <w:rPr>
                <w:sz w:val="14"/>
                <w:lang w:val="tr-TR"/>
              </w:rPr>
            </w:pPr>
          </w:p>
        </w:tc>
        <w:tc>
          <w:tcPr>
            <w:tcW w:w="703" w:type="dxa"/>
            <w:vMerge/>
            <w:tcBorders>
              <w:top w:val="nil"/>
            </w:tcBorders>
          </w:tcPr>
          <w:p w14:paraId="6B8D33B7" w14:textId="77777777" w:rsidR="00B34125" w:rsidRPr="001A4B94" w:rsidRDefault="00B34125" w:rsidP="00E263AF">
            <w:pPr>
              <w:rPr>
                <w:sz w:val="2"/>
                <w:szCs w:val="2"/>
                <w:lang w:val="tr-TR"/>
              </w:rPr>
            </w:pPr>
          </w:p>
        </w:tc>
        <w:tc>
          <w:tcPr>
            <w:tcW w:w="2898" w:type="dxa"/>
          </w:tcPr>
          <w:p w14:paraId="2305EA9E" w14:textId="19564D23" w:rsidR="00B34125" w:rsidRPr="001A4B94" w:rsidRDefault="003E7230" w:rsidP="00E263AF">
            <w:pPr>
              <w:pStyle w:val="TableParagraph"/>
              <w:spacing w:before="45"/>
              <w:ind w:left="19"/>
              <w:rPr>
                <w:b/>
                <w:i/>
                <w:sz w:val="14"/>
                <w:lang w:val="tr-TR"/>
              </w:rPr>
            </w:pPr>
            <w:r w:rsidRPr="001A4B94">
              <w:rPr>
                <w:b/>
                <w:i/>
                <w:sz w:val="14"/>
                <w:lang w:val="tr-TR"/>
              </w:rPr>
              <w:t>Yatırım  Projesi Finansmanı</w:t>
            </w:r>
            <w:r w:rsidR="00B34125" w:rsidRPr="001A4B94">
              <w:rPr>
                <w:b/>
                <w:i/>
                <w:sz w:val="14"/>
                <w:lang w:val="tr-TR"/>
              </w:rPr>
              <w:t>:</w:t>
            </w:r>
          </w:p>
        </w:tc>
        <w:tc>
          <w:tcPr>
            <w:tcW w:w="960" w:type="dxa"/>
          </w:tcPr>
          <w:p w14:paraId="3506820C" w14:textId="77777777" w:rsidR="00B34125" w:rsidRPr="001A4B94" w:rsidRDefault="00B34125" w:rsidP="00E263AF">
            <w:pPr>
              <w:pStyle w:val="TableParagraph"/>
              <w:rPr>
                <w:sz w:val="14"/>
                <w:lang w:val="tr-TR"/>
              </w:rPr>
            </w:pPr>
          </w:p>
        </w:tc>
      </w:tr>
      <w:tr w:rsidR="00B34125" w:rsidRPr="001A4B94" w14:paraId="69BDE1E5" w14:textId="77777777" w:rsidTr="00D047D2">
        <w:trPr>
          <w:trHeight w:val="160"/>
        </w:trPr>
        <w:tc>
          <w:tcPr>
            <w:tcW w:w="547" w:type="dxa"/>
            <w:vMerge/>
            <w:tcBorders>
              <w:top w:val="nil"/>
            </w:tcBorders>
          </w:tcPr>
          <w:p w14:paraId="0663A145" w14:textId="77777777" w:rsidR="00B34125" w:rsidRPr="001A4B94" w:rsidRDefault="00B34125" w:rsidP="00E263AF">
            <w:pPr>
              <w:rPr>
                <w:sz w:val="2"/>
                <w:szCs w:val="2"/>
                <w:lang w:val="tr-TR"/>
              </w:rPr>
            </w:pPr>
          </w:p>
        </w:tc>
        <w:tc>
          <w:tcPr>
            <w:tcW w:w="3146" w:type="dxa"/>
          </w:tcPr>
          <w:p w14:paraId="372E7E54" w14:textId="2C7E36CB" w:rsidR="00B34125" w:rsidRPr="001A4B94" w:rsidRDefault="00C60EE2" w:rsidP="00E263AF">
            <w:pPr>
              <w:pStyle w:val="TableParagraph"/>
              <w:spacing w:before="10" w:line="144" w:lineRule="exact"/>
              <w:ind w:left="20"/>
              <w:rPr>
                <w:sz w:val="14"/>
                <w:lang w:val="tr-TR"/>
              </w:rPr>
            </w:pPr>
            <w:r w:rsidRPr="001A4B94">
              <w:rPr>
                <w:sz w:val="14"/>
                <w:lang w:val="tr-TR"/>
              </w:rPr>
              <w:t>Finansmana Erişim Alanları</w:t>
            </w:r>
            <w:r w:rsidR="00B34125" w:rsidRPr="001A4B94">
              <w:rPr>
                <w:sz w:val="14"/>
                <w:lang w:val="tr-TR"/>
              </w:rPr>
              <w:t xml:space="preserve">: </w:t>
            </w:r>
            <w:r w:rsidRPr="001A4B94">
              <w:rPr>
                <w:sz w:val="14"/>
                <w:lang w:val="tr-TR"/>
              </w:rPr>
              <w:t>KOBİ’ler veya ihracatçılar</w:t>
            </w:r>
          </w:p>
        </w:tc>
        <w:tc>
          <w:tcPr>
            <w:tcW w:w="960" w:type="dxa"/>
            <w:vMerge w:val="restart"/>
          </w:tcPr>
          <w:p w14:paraId="0DB12114" w14:textId="77777777" w:rsidR="00B34125" w:rsidRPr="001A4B94" w:rsidRDefault="00B34125" w:rsidP="00E263AF">
            <w:pPr>
              <w:pStyle w:val="TableParagraph"/>
              <w:rPr>
                <w:sz w:val="16"/>
                <w:lang w:val="tr-TR"/>
              </w:rPr>
            </w:pPr>
          </w:p>
          <w:p w14:paraId="5F4EB775" w14:textId="77777777" w:rsidR="00B34125" w:rsidRPr="001A4B94" w:rsidRDefault="00B34125" w:rsidP="00E263AF">
            <w:pPr>
              <w:pStyle w:val="TableParagraph"/>
              <w:spacing w:before="107"/>
              <w:ind w:right="4"/>
              <w:jc w:val="right"/>
              <w:rPr>
                <w:sz w:val="14"/>
                <w:lang w:val="tr-TR"/>
              </w:rPr>
            </w:pPr>
            <w:r w:rsidRPr="001A4B94">
              <w:rPr>
                <w:sz w:val="14"/>
                <w:lang w:val="tr-TR"/>
              </w:rPr>
              <w:t>700</w:t>
            </w:r>
          </w:p>
        </w:tc>
        <w:tc>
          <w:tcPr>
            <w:tcW w:w="703" w:type="dxa"/>
            <w:vMerge/>
            <w:tcBorders>
              <w:top w:val="nil"/>
            </w:tcBorders>
          </w:tcPr>
          <w:p w14:paraId="69E0F05F" w14:textId="77777777" w:rsidR="00B34125" w:rsidRPr="001A4B94" w:rsidRDefault="00B34125" w:rsidP="00E263AF">
            <w:pPr>
              <w:rPr>
                <w:sz w:val="2"/>
                <w:szCs w:val="2"/>
                <w:lang w:val="tr-TR"/>
              </w:rPr>
            </w:pPr>
          </w:p>
        </w:tc>
        <w:tc>
          <w:tcPr>
            <w:tcW w:w="2898" w:type="dxa"/>
          </w:tcPr>
          <w:p w14:paraId="757269CA" w14:textId="17ED8B45" w:rsidR="00B34125" w:rsidRPr="001A4B94" w:rsidRDefault="00D047D2" w:rsidP="00E263AF">
            <w:pPr>
              <w:pStyle w:val="TableParagraph"/>
              <w:spacing w:before="10" w:line="144" w:lineRule="exact"/>
              <w:ind w:left="19"/>
              <w:rPr>
                <w:sz w:val="14"/>
                <w:lang w:val="tr-TR"/>
              </w:rPr>
            </w:pPr>
            <w:r w:rsidRPr="001A4B94">
              <w:rPr>
                <w:sz w:val="14"/>
                <w:lang w:val="tr-TR"/>
              </w:rPr>
              <w:t xml:space="preserve">Yenilenebilir Enerji Entegrasyon </w:t>
            </w:r>
          </w:p>
        </w:tc>
        <w:tc>
          <w:tcPr>
            <w:tcW w:w="960" w:type="dxa"/>
          </w:tcPr>
          <w:p w14:paraId="41515F32" w14:textId="77777777" w:rsidR="00B34125" w:rsidRPr="001A4B94" w:rsidRDefault="00B34125" w:rsidP="00E263AF">
            <w:pPr>
              <w:pStyle w:val="TableParagraph"/>
              <w:spacing w:before="10" w:line="144" w:lineRule="exact"/>
              <w:jc w:val="right"/>
              <w:rPr>
                <w:sz w:val="14"/>
                <w:lang w:val="tr-TR"/>
              </w:rPr>
            </w:pPr>
            <w:r w:rsidRPr="001A4B94">
              <w:rPr>
                <w:sz w:val="14"/>
                <w:lang w:val="tr-TR"/>
              </w:rPr>
              <w:t>300</w:t>
            </w:r>
          </w:p>
        </w:tc>
      </w:tr>
      <w:tr w:rsidR="00B34125" w:rsidRPr="001A4B94" w14:paraId="2E81024E" w14:textId="77777777" w:rsidTr="00D047D2">
        <w:trPr>
          <w:trHeight w:val="160"/>
        </w:trPr>
        <w:tc>
          <w:tcPr>
            <w:tcW w:w="547" w:type="dxa"/>
            <w:vMerge/>
            <w:tcBorders>
              <w:top w:val="nil"/>
            </w:tcBorders>
          </w:tcPr>
          <w:p w14:paraId="348FFB23" w14:textId="77777777" w:rsidR="00B34125" w:rsidRPr="001A4B94" w:rsidRDefault="00B34125" w:rsidP="00E263AF">
            <w:pPr>
              <w:rPr>
                <w:sz w:val="2"/>
                <w:szCs w:val="2"/>
                <w:lang w:val="tr-TR"/>
              </w:rPr>
            </w:pPr>
          </w:p>
        </w:tc>
        <w:tc>
          <w:tcPr>
            <w:tcW w:w="3146" w:type="dxa"/>
          </w:tcPr>
          <w:p w14:paraId="12A24B9A" w14:textId="4419A90F" w:rsidR="00B34125" w:rsidRPr="001A4B94" w:rsidRDefault="00C60EE2" w:rsidP="00E263AF">
            <w:pPr>
              <w:pStyle w:val="TableParagraph"/>
              <w:spacing w:before="13" w:line="142" w:lineRule="exact"/>
              <w:ind w:left="20"/>
              <w:rPr>
                <w:sz w:val="14"/>
                <w:lang w:val="tr-TR"/>
              </w:rPr>
            </w:pPr>
            <w:r w:rsidRPr="001A4B94">
              <w:rPr>
                <w:sz w:val="14"/>
                <w:lang w:val="tr-TR"/>
              </w:rPr>
              <w:t xml:space="preserve">Eğitim Alanları </w:t>
            </w:r>
            <w:r w:rsidR="00B34125" w:rsidRPr="001A4B94">
              <w:rPr>
                <w:sz w:val="14"/>
                <w:lang w:val="tr-TR"/>
              </w:rPr>
              <w:t xml:space="preserve">/ </w:t>
            </w:r>
            <w:r w:rsidRPr="001A4B94">
              <w:rPr>
                <w:sz w:val="14"/>
                <w:lang w:val="tr-TR"/>
              </w:rPr>
              <w:t xml:space="preserve">İstihdam </w:t>
            </w:r>
          </w:p>
        </w:tc>
        <w:tc>
          <w:tcPr>
            <w:tcW w:w="960" w:type="dxa"/>
            <w:vMerge/>
            <w:tcBorders>
              <w:top w:val="nil"/>
            </w:tcBorders>
          </w:tcPr>
          <w:p w14:paraId="773B1D45" w14:textId="77777777" w:rsidR="00B34125" w:rsidRPr="001A4B94" w:rsidRDefault="00B34125" w:rsidP="00E263AF">
            <w:pPr>
              <w:rPr>
                <w:sz w:val="2"/>
                <w:szCs w:val="2"/>
                <w:lang w:val="tr-TR"/>
              </w:rPr>
            </w:pPr>
          </w:p>
        </w:tc>
        <w:tc>
          <w:tcPr>
            <w:tcW w:w="703" w:type="dxa"/>
            <w:vMerge/>
            <w:tcBorders>
              <w:top w:val="nil"/>
            </w:tcBorders>
          </w:tcPr>
          <w:p w14:paraId="31DEE777" w14:textId="77777777" w:rsidR="00B34125" w:rsidRPr="001A4B94" w:rsidRDefault="00B34125" w:rsidP="00E263AF">
            <w:pPr>
              <w:rPr>
                <w:sz w:val="2"/>
                <w:szCs w:val="2"/>
                <w:lang w:val="tr-TR"/>
              </w:rPr>
            </w:pPr>
          </w:p>
        </w:tc>
        <w:tc>
          <w:tcPr>
            <w:tcW w:w="2898" w:type="dxa"/>
          </w:tcPr>
          <w:p w14:paraId="4F627C66" w14:textId="77777777" w:rsidR="00B34125" w:rsidRPr="001A4B94" w:rsidRDefault="00B34125" w:rsidP="00E263AF">
            <w:pPr>
              <w:pStyle w:val="TableParagraph"/>
              <w:rPr>
                <w:sz w:val="10"/>
                <w:lang w:val="tr-TR"/>
              </w:rPr>
            </w:pPr>
          </w:p>
        </w:tc>
        <w:tc>
          <w:tcPr>
            <w:tcW w:w="960" w:type="dxa"/>
          </w:tcPr>
          <w:p w14:paraId="104B296D" w14:textId="77777777" w:rsidR="00B34125" w:rsidRPr="001A4B94" w:rsidRDefault="00B34125" w:rsidP="00E263AF">
            <w:pPr>
              <w:pStyle w:val="TableParagraph"/>
              <w:rPr>
                <w:sz w:val="10"/>
                <w:lang w:val="tr-TR"/>
              </w:rPr>
            </w:pPr>
          </w:p>
        </w:tc>
      </w:tr>
      <w:tr w:rsidR="00B34125" w:rsidRPr="001A4B94" w14:paraId="3995E3CA" w14:textId="77777777" w:rsidTr="00D047D2">
        <w:trPr>
          <w:trHeight w:val="360"/>
        </w:trPr>
        <w:tc>
          <w:tcPr>
            <w:tcW w:w="547" w:type="dxa"/>
            <w:vMerge/>
            <w:tcBorders>
              <w:top w:val="nil"/>
            </w:tcBorders>
          </w:tcPr>
          <w:p w14:paraId="26423DA8" w14:textId="77777777" w:rsidR="00B34125" w:rsidRPr="001A4B94" w:rsidRDefault="00B34125" w:rsidP="00E263AF">
            <w:pPr>
              <w:rPr>
                <w:sz w:val="2"/>
                <w:szCs w:val="2"/>
                <w:lang w:val="tr-TR"/>
              </w:rPr>
            </w:pPr>
          </w:p>
        </w:tc>
        <w:tc>
          <w:tcPr>
            <w:tcW w:w="3146" w:type="dxa"/>
          </w:tcPr>
          <w:p w14:paraId="56442F45" w14:textId="2303255C" w:rsidR="00B34125" w:rsidRPr="001A4B94" w:rsidRDefault="00C60EE2" w:rsidP="00E263AF">
            <w:pPr>
              <w:pStyle w:val="TableParagraph"/>
              <w:spacing w:before="11"/>
              <w:ind w:left="20"/>
              <w:rPr>
                <w:sz w:val="14"/>
                <w:lang w:val="tr-TR"/>
              </w:rPr>
            </w:pPr>
            <w:r w:rsidRPr="001A4B94">
              <w:rPr>
                <w:sz w:val="14"/>
                <w:lang w:val="tr-TR"/>
              </w:rPr>
              <w:t xml:space="preserve">Sürdürülebilir Şehirler Alanları </w:t>
            </w:r>
            <w:r w:rsidR="00B34125" w:rsidRPr="001A4B94">
              <w:rPr>
                <w:sz w:val="14"/>
                <w:lang w:val="tr-TR"/>
              </w:rPr>
              <w:t xml:space="preserve"> / </w:t>
            </w:r>
            <w:r w:rsidRPr="001A4B94">
              <w:rPr>
                <w:sz w:val="14"/>
                <w:lang w:val="tr-TR"/>
              </w:rPr>
              <w:t xml:space="preserve">Afet </w:t>
            </w:r>
            <w:r w:rsidR="00B34125" w:rsidRPr="001A4B94">
              <w:rPr>
                <w:sz w:val="14"/>
                <w:lang w:val="tr-TR"/>
              </w:rPr>
              <w:t xml:space="preserve">/ </w:t>
            </w:r>
            <w:r w:rsidRPr="001A4B94">
              <w:rPr>
                <w:sz w:val="14"/>
                <w:lang w:val="tr-TR"/>
              </w:rPr>
              <w:t xml:space="preserve">Havza </w:t>
            </w:r>
            <w:r w:rsidR="00B34125" w:rsidRPr="001A4B94">
              <w:rPr>
                <w:sz w:val="14"/>
                <w:lang w:val="tr-TR"/>
              </w:rPr>
              <w:t>/</w:t>
            </w:r>
          </w:p>
          <w:p w14:paraId="10D650B9" w14:textId="68BF83CD" w:rsidR="00B34125" w:rsidRPr="001A4B94" w:rsidRDefault="00B34125" w:rsidP="00E263AF">
            <w:pPr>
              <w:pStyle w:val="TableParagraph"/>
              <w:spacing w:before="30" w:line="141" w:lineRule="exact"/>
              <w:ind w:left="20"/>
              <w:rPr>
                <w:sz w:val="14"/>
                <w:lang w:val="tr-TR"/>
              </w:rPr>
            </w:pPr>
            <w:r w:rsidRPr="001A4B94">
              <w:rPr>
                <w:sz w:val="14"/>
                <w:lang w:val="tr-TR"/>
              </w:rPr>
              <w:t>Ener</w:t>
            </w:r>
            <w:r w:rsidR="00C60EE2" w:rsidRPr="001A4B94">
              <w:rPr>
                <w:sz w:val="14"/>
                <w:lang w:val="tr-TR"/>
              </w:rPr>
              <w:t>ji</w:t>
            </w:r>
          </w:p>
        </w:tc>
        <w:tc>
          <w:tcPr>
            <w:tcW w:w="960" w:type="dxa"/>
            <w:vMerge/>
            <w:tcBorders>
              <w:top w:val="nil"/>
            </w:tcBorders>
          </w:tcPr>
          <w:p w14:paraId="08E376D8" w14:textId="77777777" w:rsidR="00B34125" w:rsidRPr="001A4B94" w:rsidRDefault="00B34125" w:rsidP="00E263AF">
            <w:pPr>
              <w:rPr>
                <w:sz w:val="2"/>
                <w:szCs w:val="2"/>
                <w:lang w:val="tr-TR"/>
              </w:rPr>
            </w:pPr>
          </w:p>
        </w:tc>
        <w:tc>
          <w:tcPr>
            <w:tcW w:w="703" w:type="dxa"/>
            <w:vMerge/>
            <w:tcBorders>
              <w:top w:val="nil"/>
            </w:tcBorders>
          </w:tcPr>
          <w:p w14:paraId="1952E156" w14:textId="77777777" w:rsidR="00B34125" w:rsidRPr="001A4B94" w:rsidRDefault="00B34125" w:rsidP="00E263AF">
            <w:pPr>
              <w:rPr>
                <w:sz w:val="2"/>
                <w:szCs w:val="2"/>
                <w:lang w:val="tr-TR"/>
              </w:rPr>
            </w:pPr>
          </w:p>
        </w:tc>
        <w:tc>
          <w:tcPr>
            <w:tcW w:w="2898" w:type="dxa"/>
          </w:tcPr>
          <w:p w14:paraId="1B9B61CF" w14:textId="77777777" w:rsidR="00B34125" w:rsidRPr="001A4B94" w:rsidRDefault="00B34125" w:rsidP="00E263AF">
            <w:pPr>
              <w:pStyle w:val="TableParagraph"/>
              <w:rPr>
                <w:sz w:val="14"/>
                <w:lang w:val="tr-TR"/>
              </w:rPr>
            </w:pPr>
          </w:p>
        </w:tc>
        <w:tc>
          <w:tcPr>
            <w:tcW w:w="960" w:type="dxa"/>
          </w:tcPr>
          <w:p w14:paraId="3303F334" w14:textId="77777777" w:rsidR="00B34125" w:rsidRPr="001A4B94" w:rsidRDefault="00B34125" w:rsidP="00E263AF">
            <w:pPr>
              <w:pStyle w:val="TableParagraph"/>
              <w:rPr>
                <w:sz w:val="14"/>
                <w:lang w:val="tr-TR"/>
              </w:rPr>
            </w:pPr>
          </w:p>
        </w:tc>
      </w:tr>
      <w:tr w:rsidR="00B34125" w:rsidRPr="001A4B94" w14:paraId="12FD9EE7" w14:textId="77777777" w:rsidTr="00D047D2">
        <w:trPr>
          <w:trHeight w:val="260"/>
        </w:trPr>
        <w:tc>
          <w:tcPr>
            <w:tcW w:w="547" w:type="dxa"/>
            <w:vMerge/>
            <w:tcBorders>
              <w:top w:val="nil"/>
            </w:tcBorders>
          </w:tcPr>
          <w:p w14:paraId="46508450" w14:textId="77777777" w:rsidR="00B34125" w:rsidRPr="001A4B94" w:rsidRDefault="00B34125" w:rsidP="00E263AF">
            <w:pPr>
              <w:rPr>
                <w:sz w:val="2"/>
                <w:szCs w:val="2"/>
                <w:lang w:val="tr-TR"/>
              </w:rPr>
            </w:pPr>
          </w:p>
        </w:tc>
        <w:tc>
          <w:tcPr>
            <w:tcW w:w="3146" w:type="dxa"/>
          </w:tcPr>
          <w:p w14:paraId="19F0D94A" w14:textId="1C123371" w:rsidR="00B34125" w:rsidRPr="001A4B94" w:rsidRDefault="00C60EE2" w:rsidP="00E263AF">
            <w:pPr>
              <w:pStyle w:val="TableParagraph"/>
              <w:spacing w:before="56"/>
              <w:ind w:right="77"/>
              <w:jc w:val="right"/>
              <w:rPr>
                <w:b/>
                <w:i/>
                <w:sz w:val="14"/>
                <w:lang w:val="tr-TR"/>
              </w:rPr>
            </w:pPr>
            <w:r w:rsidRPr="001A4B94">
              <w:rPr>
                <w:b/>
                <w:i/>
                <w:sz w:val="14"/>
                <w:lang w:val="tr-TR"/>
              </w:rPr>
              <w:t>Ara Toplam</w:t>
            </w:r>
          </w:p>
        </w:tc>
        <w:tc>
          <w:tcPr>
            <w:tcW w:w="960" w:type="dxa"/>
          </w:tcPr>
          <w:p w14:paraId="47CCB8C2" w14:textId="2289839A" w:rsidR="00B34125" w:rsidRPr="001A4B94" w:rsidRDefault="00B34125" w:rsidP="00E263AF">
            <w:pPr>
              <w:pStyle w:val="TableParagraph"/>
              <w:spacing w:before="56"/>
              <w:ind w:right="64"/>
              <w:jc w:val="right"/>
              <w:rPr>
                <w:b/>
                <w:i/>
                <w:sz w:val="14"/>
                <w:lang w:val="tr-TR"/>
              </w:rPr>
            </w:pPr>
            <w:r w:rsidRPr="001A4B94">
              <w:rPr>
                <w:b/>
                <w:i/>
                <w:sz w:val="14"/>
                <w:lang w:val="tr-TR"/>
              </w:rPr>
              <w:t>1</w:t>
            </w:r>
            <w:r w:rsidR="00F17156" w:rsidRPr="001A4B94">
              <w:rPr>
                <w:b/>
                <w:i/>
                <w:sz w:val="14"/>
                <w:lang w:val="tr-TR"/>
              </w:rPr>
              <w:t>.</w:t>
            </w:r>
            <w:r w:rsidRPr="001A4B94">
              <w:rPr>
                <w:b/>
                <w:i/>
                <w:sz w:val="14"/>
                <w:lang w:val="tr-TR"/>
              </w:rPr>
              <w:t>050</w:t>
            </w:r>
          </w:p>
        </w:tc>
        <w:tc>
          <w:tcPr>
            <w:tcW w:w="703" w:type="dxa"/>
            <w:vMerge/>
            <w:tcBorders>
              <w:top w:val="nil"/>
            </w:tcBorders>
          </w:tcPr>
          <w:p w14:paraId="13D8D241" w14:textId="77777777" w:rsidR="00B34125" w:rsidRPr="001A4B94" w:rsidRDefault="00B34125" w:rsidP="00E263AF">
            <w:pPr>
              <w:rPr>
                <w:sz w:val="2"/>
                <w:szCs w:val="2"/>
                <w:lang w:val="tr-TR"/>
              </w:rPr>
            </w:pPr>
          </w:p>
        </w:tc>
        <w:tc>
          <w:tcPr>
            <w:tcW w:w="2898" w:type="dxa"/>
          </w:tcPr>
          <w:p w14:paraId="0006D10C" w14:textId="4BB81EE8" w:rsidR="00B34125" w:rsidRPr="001A4B94" w:rsidRDefault="00D047D2" w:rsidP="00E263AF">
            <w:pPr>
              <w:pStyle w:val="TableParagraph"/>
              <w:spacing w:before="12"/>
              <w:ind w:left="19"/>
              <w:rPr>
                <w:b/>
                <w:i/>
                <w:sz w:val="14"/>
                <w:lang w:val="tr-TR"/>
              </w:rPr>
            </w:pPr>
            <w:r w:rsidRPr="001A4B94">
              <w:rPr>
                <w:b/>
                <w:i/>
                <w:sz w:val="14"/>
                <w:lang w:val="tr-TR"/>
              </w:rPr>
              <w:t>Ara Toplam</w:t>
            </w:r>
          </w:p>
        </w:tc>
        <w:tc>
          <w:tcPr>
            <w:tcW w:w="960" w:type="dxa"/>
          </w:tcPr>
          <w:p w14:paraId="208E6D23" w14:textId="77777777" w:rsidR="00B34125" w:rsidRPr="001A4B94" w:rsidRDefault="00B34125" w:rsidP="00E263AF">
            <w:pPr>
              <w:pStyle w:val="TableParagraph"/>
              <w:spacing w:before="56"/>
              <w:ind w:right="56"/>
              <w:jc w:val="right"/>
              <w:rPr>
                <w:b/>
                <w:i/>
                <w:sz w:val="14"/>
                <w:lang w:val="tr-TR"/>
              </w:rPr>
            </w:pPr>
            <w:r w:rsidRPr="001A4B94">
              <w:rPr>
                <w:b/>
                <w:i/>
                <w:sz w:val="14"/>
                <w:lang w:val="tr-TR"/>
              </w:rPr>
              <w:t>300</w:t>
            </w:r>
          </w:p>
        </w:tc>
      </w:tr>
      <w:tr w:rsidR="00B34125" w:rsidRPr="001A4B94" w14:paraId="6271EFA6" w14:textId="77777777" w:rsidTr="00D047D2">
        <w:trPr>
          <w:trHeight w:val="240"/>
        </w:trPr>
        <w:tc>
          <w:tcPr>
            <w:tcW w:w="5356" w:type="dxa"/>
            <w:gridSpan w:val="4"/>
            <w:shd w:val="clear" w:color="auto" w:fill="F2F2F2"/>
          </w:tcPr>
          <w:p w14:paraId="26C5B419" w14:textId="77777777" w:rsidR="00B34125" w:rsidRPr="001A4B94" w:rsidRDefault="00B34125" w:rsidP="00E263AF">
            <w:pPr>
              <w:pStyle w:val="TableParagraph"/>
              <w:rPr>
                <w:sz w:val="14"/>
                <w:lang w:val="tr-TR"/>
              </w:rPr>
            </w:pPr>
          </w:p>
        </w:tc>
        <w:tc>
          <w:tcPr>
            <w:tcW w:w="2898" w:type="dxa"/>
            <w:shd w:val="clear" w:color="auto" w:fill="F2F2F2"/>
          </w:tcPr>
          <w:p w14:paraId="099AF50F" w14:textId="4613ACFD" w:rsidR="00B34125" w:rsidRPr="001A4B94" w:rsidRDefault="00D047D2" w:rsidP="00E263AF">
            <w:pPr>
              <w:pStyle w:val="TableParagraph"/>
              <w:spacing w:before="46"/>
              <w:ind w:right="23"/>
              <w:jc w:val="right"/>
              <w:rPr>
                <w:b/>
                <w:sz w:val="14"/>
                <w:lang w:val="tr-TR"/>
              </w:rPr>
            </w:pPr>
            <w:r w:rsidRPr="001A4B94">
              <w:rPr>
                <w:b/>
                <w:i/>
                <w:sz w:val="14"/>
                <w:lang w:val="tr-TR"/>
              </w:rPr>
              <w:t>Ara Toplam</w:t>
            </w:r>
            <w:r w:rsidRPr="001A4B94">
              <w:rPr>
                <w:b/>
                <w:sz w:val="14"/>
                <w:lang w:val="tr-TR"/>
              </w:rPr>
              <w:t xml:space="preserve"> 2012-14 MY </w:t>
            </w:r>
          </w:p>
        </w:tc>
        <w:tc>
          <w:tcPr>
            <w:tcW w:w="960" w:type="dxa"/>
            <w:shd w:val="clear" w:color="auto" w:fill="F2F2F2"/>
          </w:tcPr>
          <w:p w14:paraId="18B7E8FD" w14:textId="4B250FCD" w:rsidR="00B34125" w:rsidRPr="001A4B94" w:rsidRDefault="00B34125" w:rsidP="00E263AF">
            <w:pPr>
              <w:pStyle w:val="TableParagraph"/>
              <w:spacing w:before="46"/>
              <w:ind w:right="44"/>
              <w:jc w:val="right"/>
              <w:rPr>
                <w:b/>
                <w:sz w:val="14"/>
                <w:lang w:val="tr-TR"/>
              </w:rPr>
            </w:pPr>
            <w:r w:rsidRPr="001A4B94">
              <w:rPr>
                <w:b/>
                <w:sz w:val="14"/>
                <w:lang w:val="tr-TR"/>
              </w:rPr>
              <w:t>2</w:t>
            </w:r>
            <w:r w:rsidR="00214C03" w:rsidRPr="001A4B94">
              <w:rPr>
                <w:b/>
                <w:sz w:val="14"/>
                <w:lang w:val="tr-TR"/>
              </w:rPr>
              <w:t>.</w:t>
            </w:r>
            <w:r w:rsidRPr="001A4B94">
              <w:rPr>
                <w:b/>
                <w:sz w:val="14"/>
                <w:lang w:val="tr-TR"/>
              </w:rPr>
              <w:t>701</w:t>
            </w:r>
          </w:p>
        </w:tc>
      </w:tr>
      <w:tr w:rsidR="00E95512" w:rsidRPr="001A4B94" w14:paraId="7BC48677" w14:textId="77777777" w:rsidTr="00D047D2">
        <w:trPr>
          <w:trHeight w:val="280"/>
        </w:trPr>
        <w:tc>
          <w:tcPr>
            <w:tcW w:w="547" w:type="dxa"/>
            <w:vMerge w:val="restart"/>
          </w:tcPr>
          <w:p w14:paraId="4803A6EB" w14:textId="77777777" w:rsidR="00E95512" w:rsidRPr="001A4B94" w:rsidRDefault="00E95512" w:rsidP="00E95512">
            <w:pPr>
              <w:pStyle w:val="TableParagraph"/>
              <w:rPr>
                <w:sz w:val="16"/>
                <w:lang w:val="tr-TR"/>
              </w:rPr>
            </w:pPr>
          </w:p>
          <w:p w14:paraId="4F2769A0" w14:textId="77777777" w:rsidR="00E95512" w:rsidRPr="001A4B94" w:rsidRDefault="00E95512" w:rsidP="00E95512">
            <w:pPr>
              <w:pStyle w:val="TableParagraph"/>
              <w:rPr>
                <w:sz w:val="16"/>
                <w:lang w:val="tr-TR"/>
              </w:rPr>
            </w:pPr>
          </w:p>
          <w:p w14:paraId="360BFA50" w14:textId="77777777" w:rsidR="00E95512" w:rsidRPr="001A4B94" w:rsidRDefault="00E95512" w:rsidP="00E95512">
            <w:pPr>
              <w:pStyle w:val="TableParagraph"/>
              <w:rPr>
                <w:sz w:val="16"/>
                <w:lang w:val="tr-TR"/>
              </w:rPr>
            </w:pPr>
          </w:p>
          <w:p w14:paraId="048EAB14" w14:textId="77777777" w:rsidR="00E95512" w:rsidRPr="001A4B94" w:rsidRDefault="00E95512" w:rsidP="00E95512">
            <w:pPr>
              <w:pStyle w:val="TableParagraph"/>
              <w:rPr>
                <w:sz w:val="16"/>
                <w:lang w:val="tr-TR"/>
              </w:rPr>
            </w:pPr>
          </w:p>
          <w:p w14:paraId="7045D3D6" w14:textId="77777777" w:rsidR="00E95512" w:rsidRPr="001A4B94" w:rsidRDefault="00E95512" w:rsidP="00E95512">
            <w:pPr>
              <w:pStyle w:val="TableParagraph"/>
              <w:rPr>
                <w:sz w:val="16"/>
                <w:lang w:val="tr-TR"/>
              </w:rPr>
            </w:pPr>
          </w:p>
          <w:p w14:paraId="41DCB413" w14:textId="77777777" w:rsidR="00E95512" w:rsidRPr="001A4B94" w:rsidRDefault="00E95512" w:rsidP="00E95512">
            <w:pPr>
              <w:pStyle w:val="TableParagraph"/>
              <w:spacing w:before="2"/>
              <w:rPr>
                <w:sz w:val="17"/>
                <w:lang w:val="tr-TR"/>
              </w:rPr>
            </w:pPr>
          </w:p>
          <w:p w14:paraId="4AF51624" w14:textId="20D9442C" w:rsidR="00E95512" w:rsidRPr="001A4B94" w:rsidRDefault="00E95512" w:rsidP="00E95512">
            <w:pPr>
              <w:pStyle w:val="TableParagraph"/>
              <w:ind w:left="19"/>
              <w:rPr>
                <w:b/>
                <w:sz w:val="14"/>
                <w:lang w:val="tr-TR"/>
              </w:rPr>
            </w:pPr>
            <w:r w:rsidRPr="001A4B94">
              <w:rPr>
                <w:b/>
                <w:sz w:val="14"/>
                <w:lang w:val="tr-TR"/>
              </w:rPr>
              <w:t>2015 MY</w:t>
            </w:r>
          </w:p>
        </w:tc>
        <w:tc>
          <w:tcPr>
            <w:tcW w:w="3146" w:type="dxa"/>
          </w:tcPr>
          <w:p w14:paraId="375F49BB" w14:textId="55C6156B" w:rsidR="00E95512" w:rsidRPr="001A4B94" w:rsidRDefault="00E95512" w:rsidP="00E95512">
            <w:pPr>
              <w:pStyle w:val="TableParagraph"/>
              <w:spacing w:before="69"/>
              <w:ind w:left="20"/>
              <w:rPr>
                <w:b/>
                <w:i/>
                <w:sz w:val="14"/>
                <w:lang w:val="tr-TR"/>
              </w:rPr>
            </w:pPr>
            <w:r w:rsidRPr="001A4B94">
              <w:rPr>
                <w:b/>
                <w:i/>
                <w:sz w:val="14"/>
                <w:lang w:val="tr-TR"/>
              </w:rPr>
              <w:t>Kalkınma Politikası Kredisi:</w:t>
            </w:r>
          </w:p>
        </w:tc>
        <w:tc>
          <w:tcPr>
            <w:tcW w:w="960" w:type="dxa"/>
          </w:tcPr>
          <w:p w14:paraId="5D9C5EED" w14:textId="77777777" w:rsidR="00E95512" w:rsidRPr="001A4B94" w:rsidRDefault="00E95512" w:rsidP="00E95512">
            <w:pPr>
              <w:pStyle w:val="TableParagraph"/>
              <w:rPr>
                <w:sz w:val="14"/>
                <w:lang w:val="tr-TR"/>
              </w:rPr>
            </w:pPr>
          </w:p>
        </w:tc>
        <w:tc>
          <w:tcPr>
            <w:tcW w:w="703" w:type="dxa"/>
            <w:vMerge w:val="restart"/>
          </w:tcPr>
          <w:p w14:paraId="03EF68E1" w14:textId="77777777" w:rsidR="00E95512" w:rsidRPr="001A4B94" w:rsidRDefault="00E95512" w:rsidP="00E95512">
            <w:pPr>
              <w:pStyle w:val="TableParagraph"/>
              <w:rPr>
                <w:sz w:val="16"/>
                <w:lang w:val="tr-TR"/>
              </w:rPr>
            </w:pPr>
          </w:p>
          <w:p w14:paraId="129741D4" w14:textId="77777777" w:rsidR="00E95512" w:rsidRPr="001A4B94" w:rsidRDefault="00E95512" w:rsidP="00E95512">
            <w:pPr>
              <w:pStyle w:val="TableParagraph"/>
              <w:rPr>
                <w:sz w:val="16"/>
                <w:lang w:val="tr-TR"/>
              </w:rPr>
            </w:pPr>
          </w:p>
          <w:p w14:paraId="4FC51D6F" w14:textId="77777777" w:rsidR="00E95512" w:rsidRPr="001A4B94" w:rsidRDefault="00E95512" w:rsidP="00E95512">
            <w:pPr>
              <w:pStyle w:val="TableParagraph"/>
              <w:rPr>
                <w:sz w:val="16"/>
                <w:lang w:val="tr-TR"/>
              </w:rPr>
            </w:pPr>
          </w:p>
          <w:p w14:paraId="580706BC" w14:textId="77777777" w:rsidR="00E95512" w:rsidRPr="001A4B94" w:rsidRDefault="00E95512" w:rsidP="00E95512">
            <w:pPr>
              <w:pStyle w:val="TableParagraph"/>
              <w:rPr>
                <w:sz w:val="16"/>
                <w:lang w:val="tr-TR"/>
              </w:rPr>
            </w:pPr>
          </w:p>
          <w:p w14:paraId="209A4B37" w14:textId="77777777" w:rsidR="00E95512" w:rsidRPr="001A4B94" w:rsidRDefault="00E95512" w:rsidP="00E95512">
            <w:pPr>
              <w:pStyle w:val="TableParagraph"/>
              <w:rPr>
                <w:sz w:val="16"/>
                <w:lang w:val="tr-TR"/>
              </w:rPr>
            </w:pPr>
          </w:p>
          <w:p w14:paraId="5A444C8E" w14:textId="77777777" w:rsidR="00E95512" w:rsidRPr="001A4B94" w:rsidRDefault="00E95512" w:rsidP="00E95512">
            <w:pPr>
              <w:pStyle w:val="TableParagraph"/>
              <w:spacing w:before="2"/>
              <w:rPr>
                <w:sz w:val="17"/>
                <w:lang w:val="tr-TR"/>
              </w:rPr>
            </w:pPr>
          </w:p>
          <w:p w14:paraId="0516EA04" w14:textId="0939B9AF" w:rsidR="00E95512" w:rsidRPr="001A4B94" w:rsidRDefault="00E95512" w:rsidP="00E95512">
            <w:pPr>
              <w:pStyle w:val="TableParagraph"/>
              <w:ind w:left="22"/>
              <w:rPr>
                <w:b/>
                <w:sz w:val="14"/>
                <w:lang w:val="tr-TR"/>
              </w:rPr>
            </w:pPr>
            <w:r w:rsidRPr="001A4B94">
              <w:rPr>
                <w:b/>
                <w:sz w:val="14"/>
                <w:lang w:val="tr-TR"/>
              </w:rPr>
              <w:t>2015 MY</w:t>
            </w:r>
          </w:p>
        </w:tc>
        <w:tc>
          <w:tcPr>
            <w:tcW w:w="2898" w:type="dxa"/>
          </w:tcPr>
          <w:p w14:paraId="5B1C5FEB" w14:textId="0D02E9C1" w:rsidR="00E95512" w:rsidRPr="001A4B94" w:rsidRDefault="00E95512" w:rsidP="00E95512">
            <w:pPr>
              <w:pStyle w:val="TableParagraph"/>
              <w:spacing w:before="69"/>
              <w:ind w:left="19"/>
              <w:rPr>
                <w:b/>
                <w:i/>
                <w:sz w:val="14"/>
                <w:lang w:val="tr-TR"/>
              </w:rPr>
            </w:pPr>
            <w:r w:rsidRPr="001A4B94">
              <w:rPr>
                <w:b/>
                <w:i/>
                <w:sz w:val="14"/>
                <w:lang w:val="tr-TR"/>
              </w:rPr>
              <w:t>Kalkınma Politikası Kredisi:</w:t>
            </w:r>
          </w:p>
        </w:tc>
        <w:tc>
          <w:tcPr>
            <w:tcW w:w="960" w:type="dxa"/>
          </w:tcPr>
          <w:p w14:paraId="6A989CCE" w14:textId="77777777" w:rsidR="00E95512" w:rsidRPr="001A4B94" w:rsidRDefault="00E95512" w:rsidP="00E95512">
            <w:pPr>
              <w:pStyle w:val="TableParagraph"/>
              <w:rPr>
                <w:sz w:val="14"/>
                <w:lang w:val="tr-TR"/>
              </w:rPr>
            </w:pPr>
          </w:p>
        </w:tc>
      </w:tr>
      <w:tr w:rsidR="00E95512" w:rsidRPr="001A4B94" w14:paraId="2CA77991" w14:textId="77777777" w:rsidTr="00D047D2">
        <w:trPr>
          <w:trHeight w:val="160"/>
        </w:trPr>
        <w:tc>
          <w:tcPr>
            <w:tcW w:w="547" w:type="dxa"/>
            <w:vMerge/>
            <w:tcBorders>
              <w:top w:val="nil"/>
            </w:tcBorders>
          </w:tcPr>
          <w:p w14:paraId="3D677832" w14:textId="77777777" w:rsidR="00E95512" w:rsidRPr="001A4B94" w:rsidRDefault="00E95512" w:rsidP="00E95512">
            <w:pPr>
              <w:rPr>
                <w:sz w:val="2"/>
                <w:szCs w:val="2"/>
                <w:lang w:val="tr-TR"/>
              </w:rPr>
            </w:pPr>
          </w:p>
        </w:tc>
        <w:tc>
          <w:tcPr>
            <w:tcW w:w="3146" w:type="dxa"/>
          </w:tcPr>
          <w:p w14:paraId="457ADE78" w14:textId="2D289698" w:rsidR="00E95512" w:rsidRPr="001A4B94" w:rsidRDefault="00E95512" w:rsidP="00E95512">
            <w:pPr>
              <w:pStyle w:val="TableParagraph"/>
              <w:spacing w:before="9" w:line="145" w:lineRule="exact"/>
              <w:ind w:left="20"/>
              <w:rPr>
                <w:sz w:val="14"/>
                <w:lang w:val="tr-TR"/>
              </w:rPr>
            </w:pPr>
            <w:r w:rsidRPr="001A4B94">
              <w:rPr>
                <w:sz w:val="14"/>
                <w:lang w:val="tr-TR"/>
              </w:rPr>
              <w:t>Paylaşılan Büyümenin Sürdürülmesi DPL- 1</w:t>
            </w:r>
          </w:p>
        </w:tc>
        <w:tc>
          <w:tcPr>
            <w:tcW w:w="960" w:type="dxa"/>
          </w:tcPr>
          <w:p w14:paraId="15B5864D" w14:textId="77777777" w:rsidR="00E95512" w:rsidRPr="001A4B94" w:rsidRDefault="00E95512" w:rsidP="00E95512">
            <w:pPr>
              <w:pStyle w:val="TableParagraph"/>
              <w:spacing w:before="9" w:line="145" w:lineRule="exact"/>
              <w:ind w:right="4"/>
              <w:jc w:val="right"/>
              <w:rPr>
                <w:sz w:val="14"/>
                <w:lang w:val="tr-TR"/>
              </w:rPr>
            </w:pPr>
            <w:r w:rsidRPr="001A4B94">
              <w:rPr>
                <w:sz w:val="14"/>
                <w:lang w:val="tr-TR"/>
              </w:rPr>
              <w:t>500</w:t>
            </w:r>
          </w:p>
        </w:tc>
        <w:tc>
          <w:tcPr>
            <w:tcW w:w="703" w:type="dxa"/>
            <w:vMerge/>
            <w:tcBorders>
              <w:top w:val="nil"/>
            </w:tcBorders>
          </w:tcPr>
          <w:p w14:paraId="6FEDF03E" w14:textId="77777777" w:rsidR="00E95512" w:rsidRPr="001A4B94" w:rsidRDefault="00E95512" w:rsidP="00E95512">
            <w:pPr>
              <w:rPr>
                <w:sz w:val="2"/>
                <w:szCs w:val="2"/>
                <w:lang w:val="tr-TR"/>
              </w:rPr>
            </w:pPr>
          </w:p>
        </w:tc>
        <w:tc>
          <w:tcPr>
            <w:tcW w:w="2898" w:type="dxa"/>
          </w:tcPr>
          <w:p w14:paraId="1626642D" w14:textId="3B615A0A" w:rsidR="00E95512" w:rsidRPr="001A4B94" w:rsidRDefault="00E95512" w:rsidP="00E95512">
            <w:pPr>
              <w:pStyle w:val="TableParagraph"/>
              <w:spacing w:before="9" w:line="145" w:lineRule="exact"/>
              <w:ind w:left="19"/>
              <w:rPr>
                <w:sz w:val="14"/>
                <w:lang w:val="tr-TR"/>
              </w:rPr>
            </w:pPr>
            <w:r w:rsidRPr="001A4B94">
              <w:rPr>
                <w:sz w:val="14"/>
                <w:lang w:val="tr-TR"/>
              </w:rPr>
              <w:t>Paylaşılan Büyümenin Sürdürülmesi DPL- 1</w:t>
            </w:r>
          </w:p>
        </w:tc>
        <w:tc>
          <w:tcPr>
            <w:tcW w:w="960" w:type="dxa"/>
          </w:tcPr>
          <w:p w14:paraId="59DDCA51" w14:textId="77777777" w:rsidR="00E95512" w:rsidRPr="001A4B94" w:rsidRDefault="00E95512" w:rsidP="00E95512">
            <w:pPr>
              <w:pStyle w:val="TableParagraph"/>
              <w:spacing w:before="9" w:line="145" w:lineRule="exact"/>
              <w:jc w:val="right"/>
              <w:rPr>
                <w:sz w:val="14"/>
                <w:lang w:val="tr-TR"/>
              </w:rPr>
            </w:pPr>
            <w:r w:rsidRPr="001A4B94">
              <w:rPr>
                <w:sz w:val="14"/>
                <w:lang w:val="tr-TR"/>
              </w:rPr>
              <w:t>500</w:t>
            </w:r>
          </w:p>
        </w:tc>
      </w:tr>
      <w:tr w:rsidR="00E95512" w:rsidRPr="001A4B94" w14:paraId="1A91F1DE" w14:textId="77777777" w:rsidTr="00D047D2">
        <w:trPr>
          <w:trHeight w:val="260"/>
        </w:trPr>
        <w:tc>
          <w:tcPr>
            <w:tcW w:w="547" w:type="dxa"/>
            <w:vMerge/>
            <w:tcBorders>
              <w:top w:val="nil"/>
            </w:tcBorders>
          </w:tcPr>
          <w:p w14:paraId="2FEF77FC" w14:textId="77777777" w:rsidR="00E95512" w:rsidRPr="001A4B94" w:rsidRDefault="00E95512" w:rsidP="00E95512">
            <w:pPr>
              <w:rPr>
                <w:sz w:val="2"/>
                <w:szCs w:val="2"/>
                <w:lang w:val="tr-TR"/>
              </w:rPr>
            </w:pPr>
          </w:p>
        </w:tc>
        <w:tc>
          <w:tcPr>
            <w:tcW w:w="3146" w:type="dxa"/>
          </w:tcPr>
          <w:p w14:paraId="10DABCE4" w14:textId="213119BD" w:rsidR="00E95512" w:rsidRPr="001A4B94" w:rsidRDefault="00E95512" w:rsidP="00E95512">
            <w:pPr>
              <w:pStyle w:val="TableParagraph"/>
              <w:spacing w:before="55"/>
              <w:ind w:left="20"/>
              <w:rPr>
                <w:b/>
                <w:i/>
                <w:sz w:val="14"/>
                <w:lang w:val="tr-TR"/>
              </w:rPr>
            </w:pPr>
            <w:r w:rsidRPr="001A4B94">
              <w:rPr>
                <w:b/>
                <w:i/>
                <w:sz w:val="14"/>
                <w:lang w:val="tr-TR"/>
              </w:rPr>
              <w:t>Yatırım  Projesi Finansmanı:</w:t>
            </w:r>
          </w:p>
        </w:tc>
        <w:tc>
          <w:tcPr>
            <w:tcW w:w="960" w:type="dxa"/>
          </w:tcPr>
          <w:p w14:paraId="328D2F1A" w14:textId="77777777" w:rsidR="00E95512" w:rsidRPr="001A4B94" w:rsidRDefault="00E95512" w:rsidP="00E95512">
            <w:pPr>
              <w:pStyle w:val="TableParagraph"/>
              <w:rPr>
                <w:sz w:val="14"/>
                <w:lang w:val="tr-TR"/>
              </w:rPr>
            </w:pPr>
          </w:p>
        </w:tc>
        <w:tc>
          <w:tcPr>
            <w:tcW w:w="703" w:type="dxa"/>
            <w:vMerge/>
            <w:tcBorders>
              <w:top w:val="nil"/>
            </w:tcBorders>
          </w:tcPr>
          <w:p w14:paraId="6D54BBBA" w14:textId="77777777" w:rsidR="00E95512" w:rsidRPr="001A4B94" w:rsidRDefault="00E95512" w:rsidP="00E95512">
            <w:pPr>
              <w:rPr>
                <w:sz w:val="2"/>
                <w:szCs w:val="2"/>
                <w:lang w:val="tr-TR"/>
              </w:rPr>
            </w:pPr>
          </w:p>
        </w:tc>
        <w:tc>
          <w:tcPr>
            <w:tcW w:w="2898" w:type="dxa"/>
          </w:tcPr>
          <w:p w14:paraId="66B2D31E" w14:textId="1380A943" w:rsidR="00E95512" w:rsidRPr="001A4B94" w:rsidRDefault="00E95512" w:rsidP="00E95512">
            <w:pPr>
              <w:pStyle w:val="TableParagraph"/>
              <w:spacing w:before="55"/>
              <w:ind w:left="19"/>
              <w:rPr>
                <w:b/>
                <w:i/>
                <w:sz w:val="14"/>
                <w:lang w:val="tr-TR"/>
              </w:rPr>
            </w:pPr>
            <w:r w:rsidRPr="001A4B94">
              <w:rPr>
                <w:b/>
                <w:i/>
                <w:sz w:val="14"/>
                <w:lang w:val="tr-TR"/>
              </w:rPr>
              <w:t>Yatırım  Projesi Finansmanı:</w:t>
            </w:r>
          </w:p>
        </w:tc>
        <w:tc>
          <w:tcPr>
            <w:tcW w:w="960" w:type="dxa"/>
          </w:tcPr>
          <w:p w14:paraId="755A0C2C" w14:textId="77777777" w:rsidR="00E95512" w:rsidRPr="001A4B94" w:rsidRDefault="00E95512" w:rsidP="00E95512">
            <w:pPr>
              <w:pStyle w:val="TableParagraph"/>
              <w:rPr>
                <w:sz w:val="14"/>
                <w:lang w:val="tr-TR"/>
              </w:rPr>
            </w:pPr>
          </w:p>
        </w:tc>
      </w:tr>
      <w:tr w:rsidR="00E95512" w:rsidRPr="001A4B94" w14:paraId="4E3C7C6C" w14:textId="77777777" w:rsidTr="00D047D2">
        <w:trPr>
          <w:trHeight w:val="360"/>
        </w:trPr>
        <w:tc>
          <w:tcPr>
            <w:tcW w:w="547" w:type="dxa"/>
            <w:vMerge/>
            <w:tcBorders>
              <w:top w:val="nil"/>
            </w:tcBorders>
          </w:tcPr>
          <w:p w14:paraId="6BF88B1E" w14:textId="77777777" w:rsidR="00E95512" w:rsidRPr="001A4B94" w:rsidRDefault="00E95512" w:rsidP="00E95512">
            <w:pPr>
              <w:rPr>
                <w:sz w:val="2"/>
                <w:szCs w:val="2"/>
                <w:lang w:val="tr-TR"/>
              </w:rPr>
            </w:pPr>
          </w:p>
        </w:tc>
        <w:tc>
          <w:tcPr>
            <w:tcW w:w="3146" w:type="dxa"/>
          </w:tcPr>
          <w:p w14:paraId="38FDE3F4" w14:textId="639329D0" w:rsidR="00E95512" w:rsidRPr="001A4B94" w:rsidRDefault="00E95512" w:rsidP="00E95512">
            <w:pPr>
              <w:pStyle w:val="TableParagraph"/>
              <w:spacing w:before="9"/>
              <w:ind w:left="20"/>
              <w:rPr>
                <w:sz w:val="14"/>
                <w:lang w:val="tr-TR"/>
              </w:rPr>
            </w:pPr>
            <w:r w:rsidRPr="001A4B94">
              <w:rPr>
                <w:sz w:val="14"/>
                <w:lang w:val="tr-TR"/>
              </w:rPr>
              <w:t xml:space="preserve">Gaz Sektörü Geliştirme (BOTAS) Ek Finansman </w:t>
            </w:r>
          </w:p>
          <w:p w14:paraId="7F1ECA66" w14:textId="3136D20A" w:rsidR="00E95512" w:rsidRPr="001A4B94" w:rsidRDefault="00E95512" w:rsidP="00E95512">
            <w:pPr>
              <w:pStyle w:val="TableParagraph"/>
              <w:spacing w:before="30" w:line="143" w:lineRule="exact"/>
              <w:ind w:left="20"/>
              <w:rPr>
                <w:sz w:val="14"/>
                <w:lang w:val="tr-TR"/>
              </w:rPr>
            </w:pPr>
          </w:p>
        </w:tc>
        <w:tc>
          <w:tcPr>
            <w:tcW w:w="960" w:type="dxa"/>
          </w:tcPr>
          <w:p w14:paraId="5B47A530" w14:textId="77777777" w:rsidR="00E95512" w:rsidRPr="001A4B94" w:rsidRDefault="00E95512" w:rsidP="00E95512">
            <w:pPr>
              <w:pStyle w:val="TableParagraph"/>
              <w:spacing w:before="101"/>
              <w:ind w:right="4"/>
              <w:jc w:val="right"/>
              <w:rPr>
                <w:sz w:val="14"/>
                <w:lang w:val="tr-TR"/>
              </w:rPr>
            </w:pPr>
            <w:r w:rsidRPr="001A4B94">
              <w:rPr>
                <w:sz w:val="14"/>
                <w:lang w:val="tr-TR"/>
              </w:rPr>
              <w:t>400</w:t>
            </w:r>
          </w:p>
        </w:tc>
        <w:tc>
          <w:tcPr>
            <w:tcW w:w="703" w:type="dxa"/>
            <w:vMerge/>
            <w:tcBorders>
              <w:top w:val="nil"/>
            </w:tcBorders>
          </w:tcPr>
          <w:p w14:paraId="6698FF46" w14:textId="77777777" w:rsidR="00E95512" w:rsidRPr="001A4B94" w:rsidRDefault="00E95512" w:rsidP="00E95512">
            <w:pPr>
              <w:rPr>
                <w:sz w:val="2"/>
                <w:szCs w:val="2"/>
                <w:lang w:val="tr-TR"/>
              </w:rPr>
            </w:pPr>
          </w:p>
        </w:tc>
        <w:tc>
          <w:tcPr>
            <w:tcW w:w="2898" w:type="dxa"/>
          </w:tcPr>
          <w:p w14:paraId="2D2C973F" w14:textId="20BC37F1" w:rsidR="00E95512" w:rsidRPr="001A4B94" w:rsidRDefault="00E95512" w:rsidP="00E95512">
            <w:pPr>
              <w:pStyle w:val="TableParagraph"/>
              <w:spacing w:before="30" w:line="143" w:lineRule="exact"/>
              <w:ind w:left="19"/>
              <w:rPr>
                <w:sz w:val="14"/>
                <w:lang w:val="tr-TR"/>
              </w:rPr>
            </w:pPr>
            <w:r w:rsidRPr="001A4B94">
              <w:rPr>
                <w:sz w:val="14"/>
                <w:lang w:val="tr-TR"/>
              </w:rPr>
              <w:t>Gaz Sektörü Geliştirme (BOTAS) Ek Finansman</w:t>
            </w:r>
          </w:p>
        </w:tc>
        <w:tc>
          <w:tcPr>
            <w:tcW w:w="960" w:type="dxa"/>
          </w:tcPr>
          <w:p w14:paraId="22B3291A" w14:textId="77777777" w:rsidR="00E95512" w:rsidRPr="001A4B94" w:rsidRDefault="00E95512" w:rsidP="00E95512">
            <w:pPr>
              <w:pStyle w:val="TableParagraph"/>
              <w:spacing w:before="101"/>
              <w:jc w:val="right"/>
              <w:rPr>
                <w:sz w:val="14"/>
                <w:lang w:val="tr-TR"/>
              </w:rPr>
            </w:pPr>
            <w:r w:rsidRPr="001A4B94">
              <w:rPr>
                <w:sz w:val="14"/>
                <w:lang w:val="tr-TR"/>
              </w:rPr>
              <w:t>400</w:t>
            </w:r>
          </w:p>
        </w:tc>
      </w:tr>
      <w:tr w:rsidR="00E95512" w:rsidRPr="001A4B94" w14:paraId="4D24C253" w14:textId="77777777" w:rsidTr="00D047D2">
        <w:trPr>
          <w:trHeight w:val="160"/>
        </w:trPr>
        <w:tc>
          <w:tcPr>
            <w:tcW w:w="547" w:type="dxa"/>
            <w:vMerge/>
            <w:tcBorders>
              <w:top w:val="nil"/>
            </w:tcBorders>
          </w:tcPr>
          <w:p w14:paraId="017E1AFF" w14:textId="77777777" w:rsidR="00E95512" w:rsidRPr="001A4B94" w:rsidRDefault="00E95512" w:rsidP="00E95512">
            <w:pPr>
              <w:rPr>
                <w:sz w:val="2"/>
                <w:szCs w:val="2"/>
                <w:lang w:val="tr-TR"/>
              </w:rPr>
            </w:pPr>
          </w:p>
        </w:tc>
        <w:tc>
          <w:tcPr>
            <w:tcW w:w="3146" w:type="dxa"/>
          </w:tcPr>
          <w:p w14:paraId="5DDE615B" w14:textId="04A467D0" w:rsidR="00E95512" w:rsidRPr="001A4B94" w:rsidRDefault="00E95512" w:rsidP="00E95512">
            <w:pPr>
              <w:pStyle w:val="TableParagraph"/>
              <w:spacing w:before="10" w:line="144" w:lineRule="exact"/>
              <w:ind w:left="20"/>
              <w:rPr>
                <w:sz w:val="14"/>
                <w:lang w:val="tr-TR"/>
              </w:rPr>
            </w:pPr>
            <w:r w:rsidRPr="001A4B94">
              <w:rPr>
                <w:sz w:val="14"/>
                <w:lang w:val="tr-TR"/>
              </w:rPr>
              <w:t xml:space="preserve">Yenilikçi Finansmana Erişim </w:t>
            </w:r>
          </w:p>
        </w:tc>
        <w:tc>
          <w:tcPr>
            <w:tcW w:w="960" w:type="dxa"/>
          </w:tcPr>
          <w:p w14:paraId="3749CD28" w14:textId="77777777" w:rsidR="00E95512" w:rsidRPr="001A4B94" w:rsidRDefault="00E95512" w:rsidP="00E95512">
            <w:pPr>
              <w:pStyle w:val="TableParagraph"/>
              <w:spacing w:before="10" w:line="144" w:lineRule="exact"/>
              <w:ind w:right="4"/>
              <w:jc w:val="right"/>
              <w:rPr>
                <w:sz w:val="14"/>
                <w:lang w:val="tr-TR"/>
              </w:rPr>
            </w:pPr>
            <w:r w:rsidRPr="001A4B94">
              <w:rPr>
                <w:sz w:val="14"/>
                <w:lang w:val="tr-TR"/>
              </w:rPr>
              <w:t>250</w:t>
            </w:r>
          </w:p>
        </w:tc>
        <w:tc>
          <w:tcPr>
            <w:tcW w:w="703" w:type="dxa"/>
            <w:vMerge/>
            <w:tcBorders>
              <w:top w:val="nil"/>
            </w:tcBorders>
          </w:tcPr>
          <w:p w14:paraId="25504875" w14:textId="77777777" w:rsidR="00E95512" w:rsidRPr="001A4B94" w:rsidRDefault="00E95512" w:rsidP="00E95512">
            <w:pPr>
              <w:rPr>
                <w:sz w:val="2"/>
                <w:szCs w:val="2"/>
                <w:lang w:val="tr-TR"/>
              </w:rPr>
            </w:pPr>
          </w:p>
        </w:tc>
        <w:tc>
          <w:tcPr>
            <w:tcW w:w="2898" w:type="dxa"/>
          </w:tcPr>
          <w:p w14:paraId="13F86A94" w14:textId="63897507" w:rsidR="00E95512" w:rsidRPr="001A4B94" w:rsidRDefault="00E95512" w:rsidP="00E95512">
            <w:pPr>
              <w:pStyle w:val="TableParagraph"/>
              <w:spacing w:before="10" w:line="144" w:lineRule="exact"/>
              <w:ind w:left="19"/>
              <w:rPr>
                <w:sz w:val="14"/>
                <w:lang w:val="tr-TR"/>
              </w:rPr>
            </w:pPr>
            <w:r w:rsidRPr="001A4B94">
              <w:rPr>
                <w:sz w:val="14"/>
                <w:lang w:val="tr-TR"/>
              </w:rPr>
              <w:t>Yenilikçi Finansmana Erişim</w:t>
            </w:r>
          </w:p>
        </w:tc>
        <w:tc>
          <w:tcPr>
            <w:tcW w:w="960" w:type="dxa"/>
          </w:tcPr>
          <w:p w14:paraId="3C1D5A7A" w14:textId="77777777" w:rsidR="00E95512" w:rsidRPr="001A4B94" w:rsidRDefault="00E95512" w:rsidP="00E95512">
            <w:pPr>
              <w:pStyle w:val="TableParagraph"/>
              <w:spacing w:before="10" w:line="144" w:lineRule="exact"/>
              <w:jc w:val="right"/>
              <w:rPr>
                <w:sz w:val="14"/>
                <w:lang w:val="tr-TR"/>
              </w:rPr>
            </w:pPr>
            <w:r w:rsidRPr="001A4B94">
              <w:rPr>
                <w:sz w:val="14"/>
                <w:lang w:val="tr-TR"/>
              </w:rPr>
              <w:t>250</w:t>
            </w:r>
          </w:p>
        </w:tc>
      </w:tr>
      <w:tr w:rsidR="00E95512" w:rsidRPr="001A4B94" w14:paraId="685B7812" w14:textId="77777777" w:rsidTr="00D047D2">
        <w:trPr>
          <w:trHeight w:val="160"/>
        </w:trPr>
        <w:tc>
          <w:tcPr>
            <w:tcW w:w="547" w:type="dxa"/>
            <w:vMerge/>
            <w:tcBorders>
              <w:top w:val="nil"/>
            </w:tcBorders>
          </w:tcPr>
          <w:p w14:paraId="163FD959" w14:textId="77777777" w:rsidR="00E95512" w:rsidRPr="001A4B94" w:rsidRDefault="00E95512" w:rsidP="00E95512">
            <w:pPr>
              <w:rPr>
                <w:sz w:val="2"/>
                <w:szCs w:val="2"/>
                <w:lang w:val="tr-TR"/>
              </w:rPr>
            </w:pPr>
          </w:p>
        </w:tc>
        <w:tc>
          <w:tcPr>
            <w:tcW w:w="3146" w:type="dxa"/>
          </w:tcPr>
          <w:p w14:paraId="2A81F417" w14:textId="16ADE191" w:rsidR="00E95512" w:rsidRPr="001A4B94" w:rsidRDefault="00E95512" w:rsidP="00E95512">
            <w:pPr>
              <w:pStyle w:val="TableParagraph"/>
              <w:spacing w:before="13" w:line="142" w:lineRule="exact"/>
              <w:ind w:left="20"/>
              <w:rPr>
                <w:sz w:val="14"/>
                <w:lang w:val="tr-TR"/>
              </w:rPr>
            </w:pPr>
            <w:r w:rsidRPr="001A4B94">
              <w:rPr>
                <w:sz w:val="14"/>
                <w:lang w:val="tr-TR"/>
              </w:rPr>
              <w:t xml:space="preserve">Su Havzaları Yönetim ve Rehabilitasyon </w:t>
            </w:r>
          </w:p>
        </w:tc>
        <w:tc>
          <w:tcPr>
            <w:tcW w:w="960" w:type="dxa"/>
          </w:tcPr>
          <w:p w14:paraId="567DD824" w14:textId="77777777" w:rsidR="00E95512" w:rsidRPr="001A4B94" w:rsidRDefault="00E95512" w:rsidP="00E95512">
            <w:pPr>
              <w:pStyle w:val="TableParagraph"/>
              <w:spacing w:before="13" w:line="142" w:lineRule="exact"/>
              <w:ind w:right="8"/>
              <w:jc w:val="right"/>
              <w:rPr>
                <w:sz w:val="14"/>
                <w:lang w:val="tr-TR"/>
              </w:rPr>
            </w:pPr>
            <w:r w:rsidRPr="001A4B94">
              <w:rPr>
                <w:sz w:val="14"/>
                <w:lang w:val="tr-TR"/>
              </w:rPr>
              <w:t>50</w:t>
            </w:r>
          </w:p>
        </w:tc>
        <w:tc>
          <w:tcPr>
            <w:tcW w:w="703" w:type="dxa"/>
            <w:vMerge/>
            <w:tcBorders>
              <w:top w:val="nil"/>
            </w:tcBorders>
          </w:tcPr>
          <w:p w14:paraId="34D9C95A" w14:textId="77777777" w:rsidR="00E95512" w:rsidRPr="001A4B94" w:rsidRDefault="00E95512" w:rsidP="00E95512">
            <w:pPr>
              <w:rPr>
                <w:sz w:val="2"/>
                <w:szCs w:val="2"/>
                <w:lang w:val="tr-TR"/>
              </w:rPr>
            </w:pPr>
          </w:p>
        </w:tc>
        <w:tc>
          <w:tcPr>
            <w:tcW w:w="2898" w:type="dxa"/>
          </w:tcPr>
          <w:p w14:paraId="220E473B" w14:textId="77777777" w:rsidR="00E95512" w:rsidRPr="001A4B94" w:rsidRDefault="00E95512" w:rsidP="00E95512">
            <w:pPr>
              <w:pStyle w:val="TableParagraph"/>
              <w:rPr>
                <w:sz w:val="10"/>
                <w:lang w:val="tr-TR"/>
              </w:rPr>
            </w:pPr>
          </w:p>
        </w:tc>
        <w:tc>
          <w:tcPr>
            <w:tcW w:w="960" w:type="dxa"/>
          </w:tcPr>
          <w:p w14:paraId="18CF6B7E" w14:textId="77777777" w:rsidR="00E95512" w:rsidRPr="001A4B94" w:rsidRDefault="00E95512" w:rsidP="00E95512">
            <w:pPr>
              <w:pStyle w:val="TableParagraph"/>
              <w:rPr>
                <w:sz w:val="10"/>
                <w:lang w:val="tr-TR"/>
              </w:rPr>
            </w:pPr>
          </w:p>
        </w:tc>
      </w:tr>
      <w:tr w:rsidR="00E95512" w:rsidRPr="001A4B94" w14:paraId="766FE9BB" w14:textId="77777777" w:rsidTr="00D047D2">
        <w:trPr>
          <w:trHeight w:val="180"/>
        </w:trPr>
        <w:tc>
          <w:tcPr>
            <w:tcW w:w="547" w:type="dxa"/>
            <w:vMerge/>
            <w:tcBorders>
              <w:top w:val="nil"/>
            </w:tcBorders>
          </w:tcPr>
          <w:p w14:paraId="181A2654" w14:textId="77777777" w:rsidR="00E95512" w:rsidRPr="001A4B94" w:rsidRDefault="00E95512" w:rsidP="00E95512">
            <w:pPr>
              <w:rPr>
                <w:sz w:val="2"/>
                <w:szCs w:val="2"/>
                <w:lang w:val="tr-TR"/>
              </w:rPr>
            </w:pPr>
          </w:p>
        </w:tc>
        <w:tc>
          <w:tcPr>
            <w:tcW w:w="3146" w:type="dxa"/>
          </w:tcPr>
          <w:p w14:paraId="3E3D2B8C" w14:textId="513544CA" w:rsidR="00E95512" w:rsidRPr="001A4B94" w:rsidRDefault="00E95512" w:rsidP="00E95512">
            <w:pPr>
              <w:pStyle w:val="TableParagraph"/>
              <w:spacing w:before="11" w:line="155" w:lineRule="exact"/>
              <w:ind w:left="20"/>
              <w:rPr>
                <w:sz w:val="14"/>
                <w:lang w:val="tr-TR"/>
              </w:rPr>
            </w:pPr>
            <w:r w:rsidRPr="001A4B94">
              <w:rPr>
                <w:sz w:val="14"/>
                <w:lang w:val="tr-TR"/>
              </w:rPr>
              <w:t>Jeotermal Enerji Geliştirme (+ CTF)</w:t>
            </w:r>
          </w:p>
        </w:tc>
        <w:tc>
          <w:tcPr>
            <w:tcW w:w="960" w:type="dxa"/>
          </w:tcPr>
          <w:p w14:paraId="4BBC7B31" w14:textId="77777777" w:rsidR="00E95512" w:rsidRPr="001A4B94" w:rsidRDefault="00E95512" w:rsidP="00E95512">
            <w:pPr>
              <w:pStyle w:val="TableParagraph"/>
              <w:spacing w:before="11" w:line="155" w:lineRule="exact"/>
              <w:ind w:right="4"/>
              <w:jc w:val="right"/>
              <w:rPr>
                <w:sz w:val="14"/>
                <w:lang w:val="tr-TR"/>
              </w:rPr>
            </w:pPr>
            <w:r w:rsidRPr="001A4B94">
              <w:rPr>
                <w:sz w:val="14"/>
                <w:lang w:val="tr-TR"/>
              </w:rPr>
              <w:t>300</w:t>
            </w:r>
          </w:p>
        </w:tc>
        <w:tc>
          <w:tcPr>
            <w:tcW w:w="703" w:type="dxa"/>
            <w:vMerge/>
            <w:tcBorders>
              <w:top w:val="nil"/>
            </w:tcBorders>
          </w:tcPr>
          <w:p w14:paraId="18CEDEC5" w14:textId="77777777" w:rsidR="00E95512" w:rsidRPr="001A4B94" w:rsidRDefault="00E95512" w:rsidP="00E95512">
            <w:pPr>
              <w:rPr>
                <w:sz w:val="2"/>
                <w:szCs w:val="2"/>
                <w:lang w:val="tr-TR"/>
              </w:rPr>
            </w:pPr>
          </w:p>
        </w:tc>
        <w:tc>
          <w:tcPr>
            <w:tcW w:w="2898" w:type="dxa"/>
          </w:tcPr>
          <w:p w14:paraId="5344E87B" w14:textId="77777777" w:rsidR="00E95512" w:rsidRPr="001A4B94" w:rsidRDefault="00E95512" w:rsidP="00E95512">
            <w:pPr>
              <w:pStyle w:val="TableParagraph"/>
              <w:rPr>
                <w:sz w:val="12"/>
                <w:lang w:val="tr-TR"/>
              </w:rPr>
            </w:pPr>
          </w:p>
        </w:tc>
        <w:tc>
          <w:tcPr>
            <w:tcW w:w="960" w:type="dxa"/>
          </w:tcPr>
          <w:p w14:paraId="1597AA60" w14:textId="77777777" w:rsidR="00E95512" w:rsidRPr="001A4B94" w:rsidRDefault="00E95512" w:rsidP="00E95512">
            <w:pPr>
              <w:pStyle w:val="TableParagraph"/>
              <w:rPr>
                <w:sz w:val="12"/>
                <w:lang w:val="tr-TR"/>
              </w:rPr>
            </w:pPr>
          </w:p>
        </w:tc>
      </w:tr>
      <w:tr w:rsidR="00E95512" w:rsidRPr="001A4B94" w14:paraId="42E1EEC3" w14:textId="77777777" w:rsidTr="00D047D2">
        <w:trPr>
          <w:trHeight w:val="180"/>
        </w:trPr>
        <w:tc>
          <w:tcPr>
            <w:tcW w:w="547" w:type="dxa"/>
            <w:vMerge/>
            <w:tcBorders>
              <w:top w:val="nil"/>
            </w:tcBorders>
          </w:tcPr>
          <w:p w14:paraId="3E66A85D" w14:textId="77777777" w:rsidR="00E95512" w:rsidRPr="001A4B94" w:rsidRDefault="00E95512" w:rsidP="00E95512">
            <w:pPr>
              <w:rPr>
                <w:sz w:val="2"/>
                <w:szCs w:val="2"/>
                <w:lang w:val="tr-TR"/>
              </w:rPr>
            </w:pPr>
          </w:p>
        </w:tc>
        <w:tc>
          <w:tcPr>
            <w:tcW w:w="3146" w:type="dxa"/>
          </w:tcPr>
          <w:p w14:paraId="0355D453" w14:textId="2B4ABBAF" w:rsidR="00E95512" w:rsidRPr="001A4B94" w:rsidRDefault="00E95512" w:rsidP="00E95512">
            <w:pPr>
              <w:pStyle w:val="TableParagraph"/>
              <w:spacing w:before="10" w:line="155" w:lineRule="exact"/>
              <w:ind w:left="20"/>
              <w:rPr>
                <w:sz w:val="14"/>
                <w:lang w:val="tr-TR"/>
              </w:rPr>
            </w:pPr>
            <w:r w:rsidRPr="001A4B94">
              <w:rPr>
                <w:sz w:val="14"/>
                <w:lang w:val="tr-TR"/>
              </w:rPr>
              <w:t xml:space="preserve">Sürdürülebilir Şehirler </w:t>
            </w:r>
          </w:p>
        </w:tc>
        <w:tc>
          <w:tcPr>
            <w:tcW w:w="960" w:type="dxa"/>
          </w:tcPr>
          <w:p w14:paraId="0EBF3425" w14:textId="77777777" w:rsidR="00E95512" w:rsidRPr="001A4B94" w:rsidRDefault="00E95512" w:rsidP="00E95512">
            <w:pPr>
              <w:pStyle w:val="TableParagraph"/>
              <w:spacing w:before="10" w:line="155" w:lineRule="exact"/>
              <w:ind w:right="4"/>
              <w:jc w:val="right"/>
              <w:rPr>
                <w:sz w:val="14"/>
                <w:lang w:val="tr-TR"/>
              </w:rPr>
            </w:pPr>
            <w:r w:rsidRPr="001A4B94">
              <w:rPr>
                <w:sz w:val="14"/>
                <w:lang w:val="tr-TR"/>
              </w:rPr>
              <w:t>300</w:t>
            </w:r>
          </w:p>
        </w:tc>
        <w:tc>
          <w:tcPr>
            <w:tcW w:w="703" w:type="dxa"/>
            <w:vMerge/>
            <w:tcBorders>
              <w:top w:val="nil"/>
            </w:tcBorders>
          </w:tcPr>
          <w:p w14:paraId="58402790" w14:textId="77777777" w:rsidR="00E95512" w:rsidRPr="001A4B94" w:rsidRDefault="00E95512" w:rsidP="00E95512">
            <w:pPr>
              <w:rPr>
                <w:sz w:val="2"/>
                <w:szCs w:val="2"/>
                <w:lang w:val="tr-TR"/>
              </w:rPr>
            </w:pPr>
          </w:p>
        </w:tc>
        <w:tc>
          <w:tcPr>
            <w:tcW w:w="2898" w:type="dxa"/>
          </w:tcPr>
          <w:p w14:paraId="303A9B07" w14:textId="77777777" w:rsidR="00E95512" w:rsidRPr="001A4B94" w:rsidRDefault="00E95512" w:rsidP="00E95512">
            <w:pPr>
              <w:pStyle w:val="TableParagraph"/>
              <w:rPr>
                <w:sz w:val="12"/>
                <w:lang w:val="tr-TR"/>
              </w:rPr>
            </w:pPr>
          </w:p>
        </w:tc>
        <w:tc>
          <w:tcPr>
            <w:tcW w:w="960" w:type="dxa"/>
          </w:tcPr>
          <w:p w14:paraId="535A1B9B" w14:textId="77777777" w:rsidR="00E95512" w:rsidRPr="001A4B94" w:rsidRDefault="00E95512" w:rsidP="00E95512">
            <w:pPr>
              <w:pStyle w:val="TableParagraph"/>
              <w:rPr>
                <w:sz w:val="12"/>
                <w:lang w:val="tr-TR"/>
              </w:rPr>
            </w:pPr>
          </w:p>
        </w:tc>
      </w:tr>
      <w:tr w:rsidR="00E95512" w:rsidRPr="001A4B94" w14:paraId="270E3C9B" w14:textId="77777777" w:rsidTr="00D047D2">
        <w:trPr>
          <w:trHeight w:val="180"/>
        </w:trPr>
        <w:tc>
          <w:tcPr>
            <w:tcW w:w="547" w:type="dxa"/>
            <w:vMerge/>
            <w:tcBorders>
              <w:top w:val="nil"/>
            </w:tcBorders>
          </w:tcPr>
          <w:p w14:paraId="7091866E" w14:textId="77777777" w:rsidR="00E95512" w:rsidRPr="001A4B94" w:rsidRDefault="00E95512" w:rsidP="00E95512">
            <w:pPr>
              <w:rPr>
                <w:sz w:val="2"/>
                <w:szCs w:val="2"/>
                <w:lang w:val="tr-TR"/>
              </w:rPr>
            </w:pPr>
          </w:p>
        </w:tc>
        <w:tc>
          <w:tcPr>
            <w:tcW w:w="3146" w:type="dxa"/>
          </w:tcPr>
          <w:p w14:paraId="19DF10C4" w14:textId="6FD186FD" w:rsidR="00E95512" w:rsidRPr="001A4B94" w:rsidRDefault="00E95512" w:rsidP="00E95512">
            <w:pPr>
              <w:pStyle w:val="TableParagraph"/>
              <w:spacing w:before="9" w:line="156" w:lineRule="exact"/>
              <w:ind w:left="20"/>
              <w:rPr>
                <w:sz w:val="14"/>
                <w:lang w:val="tr-TR"/>
              </w:rPr>
            </w:pPr>
            <w:r w:rsidRPr="001A4B94">
              <w:rPr>
                <w:sz w:val="14"/>
                <w:lang w:val="tr-TR"/>
              </w:rPr>
              <w:t>Uzun Vadeli Finansman Garantisi – 300 milyon $ (daha sonra belirlenecek)</w:t>
            </w:r>
          </w:p>
        </w:tc>
        <w:tc>
          <w:tcPr>
            <w:tcW w:w="960" w:type="dxa"/>
          </w:tcPr>
          <w:p w14:paraId="1D92EAC6" w14:textId="77777777" w:rsidR="00E95512" w:rsidRPr="001A4B94" w:rsidRDefault="00E95512" w:rsidP="00E95512">
            <w:pPr>
              <w:pStyle w:val="TableParagraph"/>
              <w:rPr>
                <w:sz w:val="12"/>
                <w:lang w:val="tr-TR"/>
              </w:rPr>
            </w:pPr>
          </w:p>
        </w:tc>
        <w:tc>
          <w:tcPr>
            <w:tcW w:w="703" w:type="dxa"/>
            <w:vMerge/>
            <w:tcBorders>
              <w:top w:val="nil"/>
            </w:tcBorders>
          </w:tcPr>
          <w:p w14:paraId="284570EB" w14:textId="77777777" w:rsidR="00E95512" w:rsidRPr="001A4B94" w:rsidRDefault="00E95512" w:rsidP="00E95512">
            <w:pPr>
              <w:rPr>
                <w:sz w:val="2"/>
                <w:szCs w:val="2"/>
                <w:lang w:val="tr-TR"/>
              </w:rPr>
            </w:pPr>
          </w:p>
        </w:tc>
        <w:tc>
          <w:tcPr>
            <w:tcW w:w="2898" w:type="dxa"/>
          </w:tcPr>
          <w:p w14:paraId="0B09A9B0" w14:textId="77777777" w:rsidR="00E95512" w:rsidRPr="001A4B94" w:rsidRDefault="00E95512" w:rsidP="00E95512">
            <w:pPr>
              <w:pStyle w:val="TableParagraph"/>
              <w:rPr>
                <w:sz w:val="12"/>
                <w:lang w:val="tr-TR"/>
              </w:rPr>
            </w:pPr>
          </w:p>
        </w:tc>
        <w:tc>
          <w:tcPr>
            <w:tcW w:w="960" w:type="dxa"/>
          </w:tcPr>
          <w:p w14:paraId="0CBF6EE7" w14:textId="77777777" w:rsidR="00E95512" w:rsidRPr="001A4B94" w:rsidRDefault="00E95512" w:rsidP="00E95512">
            <w:pPr>
              <w:pStyle w:val="TableParagraph"/>
              <w:rPr>
                <w:sz w:val="12"/>
                <w:lang w:val="tr-TR"/>
              </w:rPr>
            </w:pPr>
          </w:p>
        </w:tc>
      </w:tr>
      <w:tr w:rsidR="00E95512" w:rsidRPr="001A4B94" w14:paraId="0B1958CF" w14:textId="77777777" w:rsidTr="00D047D2">
        <w:trPr>
          <w:trHeight w:val="240"/>
        </w:trPr>
        <w:tc>
          <w:tcPr>
            <w:tcW w:w="547" w:type="dxa"/>
            <w:vMerge/>
            <w:tcBorders>
              <w:top w:val="nil"/>
            </w:tcBorders>
          </w:tcPr>
          <w:p w14:paraId="6837D1FC" w14:textId="77777777" w:rsidR="00E95512" w:rsidRPr="001A4B94" w:rsidRDefault="00E95512" w:rsidP="00E95512">
            <w:pPr>
              <w:rPr>
                <w:sz w:val="2"/>
                <w:szCs w:val="2"/>
                <w:lang w:val="tr-TR"/>
              </w:rPr>
            </w:pPr>
          </w:p>
        </w:tc>
        <w:tc>
          <w:tcPr>
            <w:tcW w:w="3146" w:type="dxa"/>
          </w:tcPr>
          <w:p w14:paraId="407F9BEB" w14:textId="01873FF8" w:rsidR="00E95512" w:rsidRPr="001A4B94" w:rsidRDefault="00E95512" w:rsidP="00E95512">
            <w:pPr>
              <w:pStyle w:val="TableParagraph"/>
              <w:spacing w:before="33"/>
              <w:ind w:right="77"/>
              <w:jc w:val="right"/>
              <w:rPr>
                <w:b/>
                <w:i/>
                <w:sz w:val="14"/>
                <w:lang w:val="tr-TR"/>
              </w:rPr>
            </w:pPr>
            <w:r w:rsidRPr="001A4B94">
              <w:rPr>
                <w:b/>
                <w:i/>
                <w:sz w:val="14"/>
                <w:lang w:val="tr-TR"/>
              </w:rPr>
              <w:t>Ara Toplam</w:t>
            </w:r>
          </w:p>
        </w:tc>
        <w:tc>
          <w:tcPr>
            <w:tcW w:w="960" w:type="dxa"/>
          </w:tcPr>
          <w:p w14:paraId="7A8D6B5F" w14:textId="0016C341" w:rsidR="00E95512" w:rsidRPr="001A4B94" w:rsidRDefault="00E95512" w:rsidP="00E95512">
            <w:pPr>
              <w:pStyle w:val="TableParagraph"/>
              <w:spacing w:before="45"/>
              <w:ind w:right="44"/>
              <w:jc w:val="right"/>
              <w:rPr>
                <w:b/>
                <w:sz w:val="14"/>
                <w:lang w:val="tr-TR"/>
              </w:rPr>
            </w:pPr>
            <w:r w:rsidRPr="001A4B94">
              <w:rPr>
                <w:b/>
                <w:sz w:val="14"/>
                <w:lang w:val="tr-TR"/>
              </w:rPr>
              <w:t>1.800</w:t>
            </w:r>
          </w:p>
        </w:tc>
        <w:tc>
          <w:tcPr>
            <w:tcW w:w="703" w:type="dxa"/>
            <w:vMerge/>
            <w:tcBorders>
              <w:top w:val="nil"/>
            </w:tcBorders>
          </w:tcPr>
          <w:p w14:paraId="1E5D1606" w14:textId="77777777" w:rsidR="00E95512" w:rsidRPr="001A4B94" w:rsidRDefault="00E95512" w:rsidP="00E95512">
            <w:pPr>
              <w:rPr>
                <w:sz w:val="2"/>
                <w:szCs w:val="2"/>
                <w:lang w:val="tr-TR"/>
              </w:rPr>
            </w:pPr>
          </w:p>
        </w:tc>
        <w:tc>
          <w:tcPr>
            <w:tcW w:w="2898" w:type="dxa"/>
          </w:tcPr>
          <w:p w14:paraId="7422970E" w14:textId="4BE4B8E8" w:rsidR="00E95512" w:rsidRPr="001A4B94" w:rsidRDefault="00E95512" w:rsidP="00E95512">
            <w:pPr>
              <w:pStyle w:val="TableParagraph"/>
              <w:spacing w:before="33"/>
              <w:ind w:left="19"/>
              <w:rPr>
                <w:b/>
                <w:i/>
                <w:sz w:val="14"/>
                <w:lang w:val="tr-TR"/>
              </w:rPr>
            </w:pPr>
            <w:r w:rsidRPr="001A4B94">
              <w:rPr>
                <w:b/>
                <w:i/>
                <w:sz w:val="14"/>
                <w:lang w:val="tr-TR"/>
              </w:rPr>
              <w:t>Ara Toplam</w:t>
            </w:r>
          </w:p>
        </w:tc>
        <w:tc>
          <w:tcPr>
            <w:tcW w:w="960" w:type="dxa"/>
          </w:tcPr>
          <w:p w14:paraId="6E09DABC" w14:textId="0E303072" w:rsidR="00E95512" w:rsidRPr="001A4B94" w:rsidRDefault="00E95512" w:rsidP="00E95512">
            <w:pPr>
              <w:pStyle w:val="TableParagraph"/>
              <w:spacing w:before="45"/>
              <w:ind w:right="44"/>
              <w:jc w:val="right"/>
              <w:rPr>
                <w:b/>
                <w:sz w:val="14"/>
                <w:lang w:val="tr-TR"/>
              </w:rPr>
            </w:pPr>
            <w:r w:rsidRPr="001A4B94">
              <w:rPr>
                <w:b/>
                <w:sz w:val="14"/>
                <w:lang w:val="tr-TR"/>
              </w:rPr>
              <w:t>1.150</w:t>
            </w:r>
          </w:p>
        </w:tc>
      </w:tr>
      <w:tr w:rsidR="00E95512" w:rsidRPr="001A4B94" w14:paraId="0A30BA6C" w14:textId="77777777" w:rsidTr="00D047D2">
        <w:trPr>
          <w:trHeight w:val="300"/>
        </w:trPr>
        <w:tc>
          <w:tcPr>
            <w:tcW w:w="547" w:type="dxa"/>
            <w:vMerge w:val="restart"/>
          </w:tcPr>
          <w:p w14:paraId="6670B013" w14:textId="77777777" w:rsidR="00E95512" w:rsidRPr="001A4B94" w:rsidRDefault="00E95512" w:rsidP="00E95512">
            <w:pPr>
              <w:pStyle w:val="TableParagraph"/>
              <w:rPr>
                <w:sz w:val="16"/>
                <w:lang w:val="tr-TR"/>
              </w:rPr>
            </w:pPr>
          </w:p>
          <w:p w14:paraId="0C1FAF8F" w14:textId="77777777" w:rsidR="00E95512" w:rsidRPr="001A4B94" w:rsidRDefault="00E95512" w:rsidP="00E95512">
            <w:pPr>
              <w:pStyle w:val="TableParagraph"/>
              <w:rPr>
                <w:sz w:val="16"/>
                <w:lang w:val="tr-TR"/>
              </w:rPr>
            </w:pPr>
          </w:p>
          <w:p w14:paraId="369EAE95" w14:textId="77777777" w:rsidR="00E95512" w:rsidRPr="001A4B94" w:rsidRDefault="00E95512" w:rsidP="00E95512">
            <w:pPr>
              <w:pStyle w:val="TableParagraph"/>
              <w:rPr>
                <w:sz w:val="16"/>
                <w:lang w:val="tr-TR"/>
              </w:rPr>
            </w:pPr>
          </w:p>
          <w:p w14:paraId="009C555C" w14:textId="77777777" w:rsidR="00E95512" w:rsidRPr="001A4B94" w:rsidRDefault="00E95512" w:rsidP="00E95512">
            <w:pPr>
              <w:pStyle w:val="TableParagraph"/>
              <w:rPr>
                <w:sz w:val="16"/>
                <w:lang w:val="tr-TR"/>
              </w:rPr>
            </w:pPr>
          </w:p>
          <w:p w14:paraId="08836BFD" w14:textId="77777777" w:rsidR="00E95512" w:rsidRPr="001A4B94" w:rsidRDefault="00E95512" w:rsidP="00E95512">
            <w:pPr>
              <w:pStyle w:val="TableParagraph"/>
              <w:rPr>
                <w:sz w:val="16"/>
                <w:lang w:val="tr-TR"/>
              </w:rPr>
            </w:pPr>
          </w:p>
          <w:p w14:paraId="34D279EA" w14:textId="77777777" w:rsidR="00E95512" w:rsidRPr="001A4B94" w:rsidRDefault="00E95512" w:rsidP="00E95512">
            <w:pPr>
              <w:pStyle w:val="TableParagraph"/>
              <w:spacing w:before="11"/>
              <w:rPr>
                <w:sz w:val="14"/>
                <w:lang w:val="tr-TR"/>
              </w:rPr>
            </w:pPr>
          </w:p>
          <w:p w14:paraId="099BE369" w14:textId="52F6BD42" w:rsidR="00E95512" w:rsidRPr="001A4B94" w:rsidRDefault="00E95512" w:rsidP="00E95512">
            <w:pPr>
              <w:pStyle w:val="TableParagraph"/>
              <w:ind w:left="19"/>
              <w:rPr>
                <w:b/>
                <w:sz w:val="14"/>
                <w:lang w:val="tr-TR"/>
              </w:rPr>
            </w:pPr>
            <w:r w:rsidRPr="001A4B94">
              <w:rPr>
                <w:b/>
                <w:sz w:val="14"/>
                <w:lang w:val="tr-TR"/>
              </w:rPr>
              <w:t>2016 MY</w:t>
            </w:r>
          </w:p>
        </w:tc>
        <w:tc>
          <w:tcPr>
            <w:tcW w:w="3146" w:type="dxa"/>
          </w:tcPr>
          <w:p w14:paraId="3C6FE35D" w14:textId="3914949F" w:rsidR="00E95512" w:rsidRPr="001A4B94" w:rsidRDefault="00E95512" w:rsidP="00E95512">
            <w:pPr>
              <w:pStyle w:val="TableParagraph"/>
              <w:spacing w:before="68"/>
              <w:ind w:left="20"/>
              <w:rPr>
                <w:b/>
                <w:i/>
                <w:sz w:val="14"/>
                <w:lang w:val="tr-TR"/>
              </w:rPr>
            </w:pPr>
            <w:r w:rsidRPr="001A4B94">
              <w:rPr>
                <w:b/>
                <w:i/>
                <w:sz w:val="14"/>
                <w:lang w:val="tr-TR"/>
              </w:rPr>
              <w:t>Kalkınma Politikası Kredisi:</w:t>
            </w:r>
          </w:p>
        </w:tc>
        <w:tc>
          <w:tcPr>
            <w:tcW w:w="960" w:type="dxa"/>
          </w:tcPr>
          <w:p w14:paraId="2B722910" w14:textId="77777777" w:rsidR="00E95512" w:rsidRPr="001A4B94" w:rsidRDefault="00E95512" w:rsidP="00E95512">
            <w:pPr>
              <w:pStyle w:val="TableParagraph"/>
              <w:rPr>
                <w:sz w:val="14"/>
                <w:lang w:val="tr-TR"/>
              </w:rPr>
            </w:pPr>
          </w:p>
        </w:tc>
        <w:tc>
          <w:tcPr>
            <w:tcW w:w="703" w:type="dxa"/>
            <w:vMerge w:val="restart"/>
          </w:tcPr>
          <w:p w14:paraId="209611ED" w14:textId="77777777" w:rsidR="00E95512" w:rsidRPr="001A4B94" w:rsidRDefault="00E95512" w:rsidP="00E95512">
            <w:pPr>
              <w:pStyle w:val="TableParagraph"/>
              <w:rPr>
                <w:sz w:val="16"/>
                <w:lang w:val="tr-TR"/>
              </w:rPr>
            </w:pPr>
          </w:p>
          <w:p w14:paraId="383A6C97" w14:textId="77777777" w:rsidR="00E95512" w:rsidRPr="001A4B94" w:rsidRDefault="00E95512" w:rsidP="00E95512">
            <w:pPr>
              <w:pStyle w:val="TableParagraph"/>
              <w:rPr>
                <w:sz w:val="16"/>
                <w:lang w:val="tr-TR"/>
              </w:rPr>
            </w:pPr>
          </w:p>
          <w:p w14:paraId="3464BF3D" w14:textId="77777777" w:rsidR="00E95512" w:rsidRPr="001A4B94" w:rsidRDefault="00E95512" w:rsidP="00E95512">
            <w:pPr>
              <w:pStyle w:val="TableParagraph"/>
              <w:rPr>
                <w:sz w:val="16"/>
                <w:lang w:val="tr-TR"/>
              </w:rPr>
            </w:pPr>
          </w:p>
          <w:p w14:paraId="18094D98" w14:textId="77777777" w:rsidR="00E95512" w:rsidRPr="001A4B94" w:rsidRDefault="00E95512" w:rsidP="00E95512">
            <w:pPr>
              <w:pStyle w:val="TableParagraph"/>
              <w:rPr>
                <w:sz w:val="16"/>
                <w:lang w:val="tr-TR"/>
              </w:rPr>
            </w:pPr>
          </w:p>
          <w:p w14:paraId="37F2902B" w14:textId="77777777" w:rsidR="00E95512" w:rsidRPr="001A4B94" w:rsidRDefault="00E95512" w:rsidP="00E95512">
            <w:pPr>
              <w:pStyle w:val="TableParagraph"/>
              <w:rPr>
                <w:sz w:val="16"/>
                <w:lang w:val="tr-TR"/>
              </w:rPr>
            </w:pPr>
          </w:p>
          <w:p w14:paraId="6F919431" w14:textId="77777777" w:rsidR="00E95512" w:rsidRPr="001A4B94" w:rsidRDefault="00E95512" w:rsidP="00E95512">
            <w:pPr>
              <w:pStyle w:val="TableParagraph"/>
              <w:spacing w:before="11"/>
              <w:rPr>
                <w:sz w:val="14"/>
                <w:lang w:val="tr-TR"/>
              </w:rPr>
            </w:pPr>
          </w:p>
          <w:p w14:paraId="63094A4A" w14:textId="3EEEFC16" w:rsidR="00E95512" w:rsidRPr="001A4B94" w:rsidRDefault="00E95512" w:rsidP="00E95512">
            <w:pPr>
              <w:pStyle w:val="TableParagraph"/>
              <w:ind w:left="22"/>
              <w:rPr>
                <w:b/>
                <w:sz w:val="14"/>
                <w:lang w:val="tr-TR"/>
              </w:rPr>
            </w:pPr>
            <w:r w:rsidRPr="001A4B94">
              <w:rPr>
                <w:b/>
                <w:sz w:val="14"/>
                <w:lang w:val="tr-TR"/>
              </w:rPr>
              <w:t>2016 MY</w:t>
            </w:r>
          </w:p>
        </w:tc>
        <w:tc>
          <w:tcPr>
            <w:tcW w:w="2898" w:type="dxa"/>
          </w:tcPr>
          <w:p w14:paraId="7673F017" w14:textId="77777777" w:rsidR="00E95512" w:rsidRPr="001A4B94" w:rsidRDefault="00E95512" w:rsidP="00E95512">
            <w:pPr>
              <w:pStyle w:val="TableParagraph"/>
              <w:rPr>
                <w:sz w:val="14"/>
                <w:lang w:val="tr-TR"/>
              </w:rPr>
            </w:pPr>
          </w:p>
        </w:tc>
        <w:tc>
          <w:tcPr>
            <w:tcW w:w="960" w:type="dxa"/>
          </w:tcPr>
          <w:p w14:paraId="58CEA22F" w14:textId="77777777" w:rsidR="00E95512" w:rsidRPr="001A4B94" w:rsidRDefault="00E95512" w:rsidP="00E95512">
            <w:pPr>
              <w:pStyle w:val="TableParagraph"/>
              <w:rPr>
                <w:sz w:val="14"/>
                <w:lang w:val="tr-TR"/>
              </w:rPr>
            </w:pPr>
          </w:p>
        </w:tc>
      </w:tr>
      <w:tr w:rsidR="00B34125" w:rsidRPr="001A4B94" w14:paraId="122D8538" w14:textId="77777777" w:rsidTr="00D047D2">
        <w:trPr>
          <w:trHeight w:val="160"/>
        </w:trPr>
        <w:tc>
          <w:tcPr>
            <w:tcW w:w="547" w:type="dxa"/>
            <w:vMerge/>
            <w:tcBorders>
              <w:top w:val="nil"/>
            </w:tcBorders>
          </w:tcPr>
          <w:p w14:paraId="0A6C7071" w14:textId="77777777" w:rsidR="00B34125" w:rsidRPr="001A4B94" w:rsidRDefault="00B34125" w:rsidP="00E263AF">
            <w:pPr>
              <w:rPr>
                <w:sz w:val="2"/>
                <w:szCs w:val="2"/>
                <w:lang w:val="tr-TR"/>
              </w:rPr>
            </w:pPr>
          </w:p>
        </w:tc>
        <w:tc>
          <w:tcPr>
            <w:tcW w:w="3146" w:type="dxa"/>
          </w:tcPr>
          <w:p w14:paraId="7D226328" w14:textId="36F8F17A" w:rsidR="00B34125" w:rsidRPr="001A4B94" w:rsidRDefault="00F17156" w:rsidP="00E263AF">
            <w:pPr>
              <w:pStyle w:val="TableParagraph"/>
              <w:spacing w:before="9" w:line="146" w:lineRule="exact"/>
              <w:ind w:left="20"/>
              <w:rPr>
                <w:sz w:val="14"/>
                <w:lang w:val="tr-TR"/>
              </w:rPr>
            </w:pPr>
            <w:r w:rsidRPr="001A4B94">
              <w:rPr>
                <w:sz w:val="14"/>
                <w:lang w:val="tr-TR"/>
              </w:rPr>
              <w:t xml:space="preserve">Paylaşılan Büyümenin Sürdürülmesi DPL </w:t>
            </w:r>
            <w:r w:rsidR="00B34125" w:rsidRPr="001A4B94">
              <w:rPr>
                <w:sz w:val="14"/>
                <w:lang w:val="tr-TR"/>
              </w:rPr>
              <w:t>-2</w:t>
            </w:r>
          </w:p>
        </w:tc>
        <w:tc>
          <w:tcPr>
            <w:tcW w:w="960" w:type="dxa"/>
          </w:tcPr>
          <w:p w14:paraId="2B42FA02" w14:textId="77777777" w:rsidR="00B34125" w:rsidRPr="001A4B94" w:rsidRDefault="00B34125" w:rsidP="00E263AF">
            <w:pPr>
              <w:pStyle w:val="TableParagraph"/>
              <w:spacing w:before="9" w:line="146" w:lineRule="exact"/>
              <w:ind w:right="4"/>
              <w:jc w:val="right"/>
              <w:rPr>
                <w:sz w:val="14"/>
                <w:lang w:val="tr-TR"/>
              </w:rPr>
            </w:pPr>
            <w:r w:rsidRPr="001A4B94">
              <w:rPr>
                <w:sz w:val="14"/>
                <w:lang w:val="tr-TR"/>
              </w:rPr>
              <w:t>500</w:t>
            </w:r>
          </w:p>
        </w:tc>
        <w:tc>
          <w:tcPr>
            <w:tcW w:w="703" w:type="dxa"/>
            <w:vMerge/>
            <w:tcBorders>
              <w:top w:val="nil"/>
            </w:tcBorders>
          </w:tcPr>
          <w:p w14:paraId="437DD799" w14:textId="77777777" w:rsidR="00B34125" w:rsidRPr="001A4B94" w:rsidRDefault="00B34125" w:rsidP="00E263AF">
            <w:pPr>
              <w:rPr>
                <w:sz w:val="2"/>
                <w:szCs w:val="2"/>
                <w:lang w:val="tr-TR"/>
              </w:rPr>
            </w:pPr>
          </w:p>
        </w:tc>
        <w:tc>
          <w:tcPr>
            <w:tcW w:w="2898" w:type="dxa"/>
          </w:tcPr>
          <w:p w14:paraId="4DC4DD40" w14:textId="059E5A9E" w:rsidR="00B34125" w:rsidRPr="001A4B94" w:rsidRDefault="00B34125" w:rsidP="00E263AF">
            <w:pPr>
              <w:pStyle w:val="TableParagraph"/>
              <w:spacing w:before="9" w:line="146" w:lineRule="exact"/>
              <w:ind w:left="19"/>
              <w:rPr>
                <w:sz w:val="14"/>
                <w:lang w:val="tr-TR"/>
              </w:rPr>
            </w:pPr>
            <w:r w:rsidRPr="001A4B94">
              <w:rPr>
                <w:sz w:val="14"/>
                <w:lang w:val="tr-TR"/>
              </w:rPr>
              <w:t>(</w:t>
            </w:r>
            <w:r w:rsidR="00D047D2" w:rsidRPr="001A4B94">
              <w:rPr>
                <w:sz w:val="14"/>
                <w:lang w:val="tr-TR"/>
              </w:rPr>
              <w:t>2017 MY’a taşınmıştır</w:t>
            </w:r>
            <w:r w:rsidRPr="001A4B94">
              <w:rPr>
                <w:sz w:val="14"/>
                <w:lang w:val="tr-TR"/>
              </w:rPr>
              <w:t>)</w:t>
            </w:r>
          </w:p>
        </w:tc>
        <w:tc>
          <w:tcPr>
            <w:tcW w:w="960" w:type="dxa"/>
          </w:tcPr>
          <w:p w14:paraId="1468C3D5" w14:textId="77777777" w:rsidR="00B34125" w:rsidRPr="001A4B94" w:rsidRDefault="00B34125" w:rsidP="00E263AF">
            <w:pPr>
              <w:pStyle w:val="TableParagraph"/>
              <w:rPr>
                <w:sz w:val="10"/>
                <w:lang w:val="tr-TR"/>
              </w:rPr>
            </w:pPr>
          </w:p>
        </w:tc>
      </w:tr>
      <w:tr w:rsidR="00B34125" w:rsidRPr="001A4B94" w14:paraId="08589559" w14:textId="77777777" w:rsidTr="00D047D2">
        <w:trPr>
          <w:trHeight w:val="260"/>
        </w:trPr>
        <w:tc>
          <w:tcPr>
            <w:tcW w:w="547" w:type="dxa"/>
            <w:vMerge/>
            <w:tcBorders>
              <w:top w:val="nil"/>
            </w:tcBorders>
          </w:tcPr>
          <w:p w14:paraId="775C69B7" w14:textId="77777777" w:rsidR="00B34125" w:rsidRPr="001A4B94" w:rsidRDefault="00B34125" w:rsidP="00E263AF">
            <w:pPr>
              <w:rPr>
                <w:sz w:val="2"/>
                <w:szCs w:val="2"/>
                <w:lang w:val="tr-TR"/>
              </w:rPr>
            </w:pPr>
          </w:p>
        </w:tc>
        <w:tc>
          <w:tcPr>
            <w:tcW w:w="3146" w:type="dxa"/>
          </w:tcPr>
          <w:p w14:paraId="2F509069" w14:textId="37E6EBB1" w:rsidR="00B34125" w:rsidRPr="001A4B94" w:rsidRDefault="00813BE4" w:rsidP="00E263AF">
            <w:pPr>
              <w:pStyle w:val="TableParagraph"/>
              <w:spacing w:before="43"/>
              <w:ind w:left="20"/>
              <w:rPr>
                <w:b/>
                <w:i/>
                <w:sz w:val="14"/>
                <w:lang w:val="tr-TR"/>
              </w:rPr>
            </w:pPr>
            <w:r w:rsidRPr="001A4B94">
              <w:rPr>
                <w:b/>
                <w:i/>
                <w:sz w:val="14"/>
                <w:lang w:val="tr-TR"/>
              </w:rPr>
              <w:t>Yatırım  Projesi Finansmanı</w:t>
            </w:r>
            <w:r w:rsidR="00B34125" w:rsidRPr="001A4B94">
              <w:rPr>
                <w:b/>
                <w:i/>
                <w:sz w:val="14"/>
                <w:lang w:val="tr-TR"/>
              </w:rPr>
              <w:t>:</w:t>
            </w:r>
          </w:p>
        </w:tc>
        <w:tc>
          <w:tcPr>
            <w:tcW w:w="960" w:type="dxa"/>
          </w:tcPr>
          <w:p w14:paraId="40C0DA98" w14:textId="77777777" w:rsidR="00B34125" w:rsidRPr="001A4B94" w:rsidRDefault="00B34125" w:rsidP="00E263AF">
            <w:pPr>
              <w:pStyle w:val="TableParagraph"/>
              <w:rPr>
                <w:sz w:val="14"/>
                <w:lang w:val="tr-TR"/>
              </w:rPr>
            </w:pPr>
          </w:p>
        </w:tc>
        <w:tc>
          <w:tcPr>
            <w:tcW w:w="703" w:type="dxa"/>
            <w:vMerge/>
            <w:tcBorders>
              <w:top w:val="nil"/>
            </w:tcBorders>
          </w:tcPr>
          <w:p w14:paraId="418ED9E0" w14:textId="77777777" w:rsidR="00B34125" w:rsidRPr="001A4B94" w:rsidRDefault="00B34125" w:rsidP="00E263AF">
            <w:pPr>
              <w:rPr>
                <w:sz w:val="2"/>
                <w:szCs w:val="2"/>
                <w:lang w:val="tr-TR"/>
              </w:rPr>
            </w:pPr>
          </w:p>
        </w:tc>
        <w:tc>
          <w:tcPr>
            <w:tcW w:w="2898" w:type="dxa"/>
          </w:tcPr>
          <w:p w14:paraId="20494C5B" w14:textId="77777777" w:rsidR="00B34125" w:rsidRPr="001A4B94" w:rsidRDefault="00B34125" w:rsidP="00E263AF">
            <w:pPr>
              <w:pStyle w:val="TableParagraph"/>
              <w:rPr>
                <w:sz w:val="14"/>
                <w:lang w:val="tr-TR"/>
              </w:rPr>
            </w:pPr>
          </w:p>
        </w:tc>
        <w:tc>
          <w:tcPr>
            <w:tcW w:w="960" w:type="dxa"/>
          </w:tcPr>
          <w:p w14:paraId="3702FAB4" w14:textId="77777777" w:rsidR="00B34125" w:rsidRPr="001A4B94" w:rsidRDefault="00B34125" w:rsidP="00E263AF">
            <w:pPr>
              <w:pStyle w:val="TableParagraph"/>
              <w:rPr>
                <w:sz w:val="14"/>
                <w:lang w:val="tr-TR"/>
              </w:rPr>
            </w:pPr>
          </w:p>
        </w:tc>
      </w:tr>
      <w:tr w:rsidR="00B34125" w:rsidRPr="001A4B94" w14:paraId="3A01064F" w14:textId="77777777" w:rsidTr="00D047D2">
        <w:trPr>
          <w:trHeight w:val="180"/>
        </w:trPr>
        <w:tc>
          <w:tcPr>
            <w:tcW w:w="547" w:type="dxa"/>
            <w:vMerge/>
            <w:tcBorders>
              <w:top w:val="nil"/>
            </w:tcBorders>
          </w:tcPr>
          <w:p w14:paraId="49663586" w14:textId="77777777" w:rsidR="00B34125" w:rsidRPr="001A4B94" w:rsidRDefault="00B34125" w:rsidP="00E263AF">
            <w:pPr>
              <w:rPr>
                <w:sz w:val="2"/>
                <w:szCs w:val="2"/>
                <w:lang w:val="tr-TR"/>
              </w:rPr>
            </w:pPr>
          </w:p>
        </w:tc>
        <w:tc>
          <w:tcPr>
            <w:tcW w:w="3146" w:type="dxa"/>
          </w:tcPr>
          <w:p w14:paraId="71202660" w14:textId="478AA512" w:rsidR="00B34125" w:rsidRPr="001A4B94" w:rsidRDefault="00F17156" w:rsidP="00E263AF">
            <w:pPr>
              <w:pStyle w:val="TableParagraph"/>
              <w:spacing w:before="12" w:line="153" w:lineRule="exact"/>
              <w:ind w:left="20"/>
              <w:rPr>
                <w:sz w:val="14"/>
                <w:lang w:val="tr-TR"/>
              </w:rPr>
            </w:pPr>
            <w:r w:rsidRPr="001A4B94">
              <w:rPr>
                <w:sz w:val="14"/>
                <w:lang w:val="tr-TR"/>
              </w:rPr>
              <w:t xml:space="preserve">Doğal Afet </w:t>
            </w:r>
            <w:r w:rsidR="00B34125" w:rsidRPr="001A4B94">
              <w:rPr>
                <w:sz w:val="14"/>
                <w:lang w:val="tr-TR"/>
              </w:rPr>
              <w:t xml:space="preserve"> </w:t>
            </w:r>
            <w:r w:rsidRPr="001A4B94">
              <w:rPr>
                <w:sz w:val="14"/>
                <w:lang w:val="tr-TR"/>
              </w:rPr>
              <w:t xml:space="preserve">Riski Azaltma </w:t>
            </w:r>
          </w:p>
        </w:tc>
        <w:tc>
          <w:tcPr>
            <w:tcW w:w="960" w:type="dxa"/>
          </w:tcPr>
          <w:p w14:paraId="796D22C3" w14:textId="77777777" w:rsidR="00B34125" w:rsidRPr="001A4B94" w:rsidRDefault="00B34125" w:rsidP="00E263AF">
            <w:pPr>
              <w:pStyle w:val="TableParagraph"/>
              <w:spacing w:before="12" w:line="153" w:lineRule="exact"/>
              <w:ind w:right="4"/>
              <w:jc w:val="right"/>
              <w:rPr>
                <w:sz w:val="14"/>
                <w:lang w:val="tr-TR"/>
              </w:rPr>
            </w:pPr>
            <w:r w:rsidRPr="001A4B94">
              <w:rPr>
                <w:sz w:val="14"/>
                <w:lang w:val="tr-TR"/>
              </w:rPr>
              <w:t>300</w:t>
            </w:r>
          </w:p>
        </w:tc>
        <w:tc>
          <w:tcPr>
            <w:tcW w:w="703" w:type="dxa"/>
            <w:vMerge/>
            <w:tcBorders>
              <w:top w:val="nil"/>
            </w:tcBorders>
          </w:tcPr>
          <w:p w14:paraId="6ADB96A3" w14:textId="77777777" w:rsidR="00B34125" w:rsidRPr="001A4B94" w:rsidRDefault="00B34125" w:rsidP="00E263AF">
            <w:pPr>
              <w:rPr>
                <w:sz w:val="2"/>
                <w:szCs w:val="2"/>
                <w:lang w:val="tr-TR"/>
              </w:rPr>
            </w:pPr>
          </w:p>
        </w:tc>
        <w:tc>
          <w:tcPr>
            <w:tcW w:w="2898" w:type="dxa"/>
          </w:tcPr>
          <w:p w14:paraId="052ED88A" w14:textId="77777777" w:rsidR="00B34125" w:rsidRPr="001A4B94" w:rsidRDefault="00B34125" w:rsidP="00E263AF">
            <w:pPr>
              <w:pStyle w:val="TableParagraph"/>
              <w:rPr>
                <w:sz w:val="12"/>
                <w:lang w:val="tr-TR"/>
              </w:rPr>
            </w:pPr>
          </w:p>
        </w:tc>
        <w:tc>
          <w:tcPr>
            <w:tcW w:w="960" w:type="dxa"/>
          </w:tcPr>
          <w:p w14:paraId="7135DA35" w14:textId="77777777" w:rsidR="00B34125" w:rsidRPr="001A4B94" w:rsidRDefault="00B34125" w:rsidP="00E263AF">
            <w:pPr>
              <w:pStyle w:val="TableParagraph"/>
              <w:rPr>
                <w:sz w:val="12"/>
                <w:lang w:val="tr-TR"/>
              </w:rPr>
            </w:pPr>
          </w:p>
        </w:tc>
      </w:tr>
      <w:tr w:rsidR="00B34125" w:rsidRPr="001A4B94" w14:paraId="54D0EE39" w14:textId="77777777" w:rsidTr="00D047D2">
        <w:trPr>
          <w:trHeight w:val="160"/>
        </w:trPr>
        <w:tc>
          <w:tcPr>
            <w:tcW w:w="547" w:type="dxa"/>
            <w:vMerge/>
            <w:tcBorders>
              <w:top w:val="nil"/>
            </w:tcBorders>
          </w:tcPr>
          <w:p w14:paraId="545BE3A2" w14:textId="77777777" w:rsidR="00B34125" w:rsidRPr="001A4B94" w:rsidRDefault="00B34125" w:rsidP="00E263AF">
            <w:pPr>
              <w:rPr>
                <w:sz w:val="2"/>
                <w:szCs w:val="2"/>
                <w:lang w:val="tr-TR"/>
              </w:rPr>
            </w:pPr>
          </w:p>
        </w:tc>
        <w:tc>
          <w:tcPr>
            <w:tcW w:w="3146" w:type="dxa"/>
          </w:tcPr>
          <w:p w14:paraId="64389D02" w14:textId="14759F9A" w:rsidR="00B34125" w:rsidRPr="001A4B94" w:rsidRDefault="00F17156" w:rsidP="00E263AF">
            <w:pPr>
              <w:pStyle w:val="TableParagraph"/>
              <w:spacing w:before="12" w:line="143" w:lineRule="exact"/>
              <w:ind w:left="20"/>
              <w:rPr>
                <w:sz w:val="14"/>
                <w:lang w:val="tr-TR"/>
              </w:rPr>
            </w:pPr>
            <w:r w:rsidRPr="001A4B94">
              <w:rPr>
                <w:sz w:val="14"/>
                <w:lang w:val="tr-TR"/>
              </w:rPr>
              <w:t xml:space="preserve">Sağlık </w:t>
            </w:r>
          </w:p>
        </w:tc>
        <w:tc>
          <w:tcPr>
            <w:tcW w:w="960" w:type="dxa"/>
          </w:tcPr>
          <w:p w14:paraId="6AEC49CA" w14:textId="77777777" w:rsidR="00B34125" w:rsidRPr="001A4B94" w:rsidRDefault="00B34125" w:rsidP="00E263AF">
            <w:pPr>
              <w:pStyle w:val="TableParagraph"/>
              <w:spacing w:before="12" w:line="143" w:lineRule="exact"/>
              <w:ind w:right="4"/>
              <w:jc w:val="right"/>
              <w:rPr>
                <w:sz w:val="14"/>
                <w:lang w:val="tr-TR"/>
              </w:rPr>
            </w:pPr>
            <w:r w:rsidRPr="001A4B94">
              <w:rPr>
                <w:sz w:val="14"/>
                <w:lang w:val="tr-TR"/>
              </w:rPr>
              <w:t>100</w:t>
            </w:r>
          </w:p>
        </w:tc>
        <w:tc>
          <w:tcPr>
            <w:tcW w:w="703" w:type="dxa"/>
            <w:vMerge/>
            <w:tcBorders>
              <w:top w:val="nil"/>
            </w:tcBorders>
          </w:tcPr>
          <w:p w14:paraId="05D7B216" w14:textId="77777777" w:rsidR="00B34125" w:rsidRPr="001A4B94" w:rsidRDefault="00B34125" w:rsidP="00E263AF">
            <w:pPr>
              <w:rPr>
                <w:sz w:val="2"/>
                <w:szCs w:val="2"/>
                <w:lang w:val="tr-TR"/>
              </w:rPr>
            </w:pPr>
          </w:p>
        </w:tc>
        <w:tc>
          <w:tcPr>
            <w:tcW w:w="2898" w:type="dxa"/>
          </w:tcPr>
          <w:p w14:paraId="3ED7B874" w14:textId="24601F00" w:rsidR="00B34125" w:rsidRPr="001A4B94" w:rsidRDefault="00D047D2" w:rsidP="00E263AF">
            <w:pPr>
              <w:pStyle w:val="TableParagraph"/>
              <w:spacing w:before="12" w:line="143" w:lineRule="exact"/>
              <w:ind w:left="19"/>
              <w:rPr>
                <w:sz w:val="14"/>
                <w:lang w:val="tr-TR"/>
              </w:rPr>
            </w:pPr>
            <w:r w:rsidRPr="001A4B94">
              <w:rPr>
                <w:sz w:val="14"/>
                <w:lang w:val="tr-TR"/>
              </w:rPr>
              <w:t xml:space="preserve">Sağlık Sisteminin Güçlendirilmesi ve Desteklenmesi </w:t>
            </w:r>
          </w:p>
        </w:tc>
        <w:tc>
          <w:tcPr>
            <w:tcW w:w="960" w:type="dxa"/>
          </w:tcPr>
          <w:p w14:paraId="74CC1866" w14:textId="77777777" w:rsidR="00B34125" w:rsidRPr="001A4B94" w:rsidRDefault="00B34125" w:rsidP="00E263AF">
            <w:pPr>
              <w:pStyle w:val="TableParagraph"/>
              <w:spacing w:before="12" w:line="143" w:lineRule="exact"/>
              <w:jc w:val="right"/>
              <w:rPr>
                <w:sz w:val="14"/>
                <w:lang w:val="tr-TR"/>
              </w:rPr>
            </w:pPr>
            <w:r w:rsidRPr="001A4B94">
              <w:rPr>
                <w:sz w:val="14"/>
                <w:lang w:val="tr-TR"/>
              </w:rPr>
              <w:t>134</w:t>
            </w:r>
          </w:p>
        </w:tc>
      </w:tr>
      <w:tr w:rsidR="00B34125" w:rsidRPr="001A4B94" w14:paraId="36A808D3" w14:textId="77777777" w:rsidTr="00D047D2">
        <w:trPr>
          <w:trHeight w:val="440"/>
        </w:trPr>
        <w:tc>
          <w:tcPr>
            <w:tcW w:w="547" w:type="dxa"/>
            <w:vMerge/>
            <w:tcBorders>
              <w:top w:val="nil"/>
            </w:tcBorders>
          </w:tcPr>
          <w:p w14:paraId="6E4FF392" w14:textId="77777777" w:rsidR="00B34125" w:rsidRPr="001A4B94" w:rsidRDefault="00B34125" w:rsidP="00E263AF">
            <w:pPr>
              <w:rPr>
                <w:sz w:val="2"/>
                <w:szCs w:val="2"/>
                <w:lang w:val="tr-TR"/>
              </w:rPr>
            </w:pPr>
          </w:p>
        </w:tc>
        <w:tc>
          <w:tcPr>
            <w:tcW w:w="3146" w:type="dxa"/>
          </w:tcPr>
          <w:p w14:paraId="0C401357" w14:textId="77777777" w:rsidR="00B34125" w:rsidRPr="001A4B94" w:rsidRDefault="00B34125" w:rsidP="00E263AF">
            <w:pPr>
              <w:pStyle w:val="TableParagraph"/>
              <w:spacing w:before="8"/>
              <w:rPr>
                <w:sz w:val="12"/>
                <w:lang w:val="tr-TR"/>
              </w:rPr>
            </w:pPr>
          </w:p>
          <w:p w14:paraId="1132A848" w14:textId="4E859DC5" w:rsidR="00B34125" w:rsidRPr="001A4B94" w:rsidRDefault="00F17156" w:rsidP="00E263AF">
            <w:pPr>
              <w:pStyle w:val="TableParagraph"/>
              <w:ind w:left="20"/>
              <w:rPr>
                <w:sz w:val="14"/>
                <w:lang w:val="tr-TR"/>
              </w:rPr>
            </w:pPr>
            <w:r w:rsidRPr="001A4B94">
              <w:rPr>
                <w:sz w:val="14"/>
                <w:lang w:val="tr-TR"/>
              </w:rPr>
              <w:t xml:space="preserve">Finansal Sektör Operasyonu </w:t>
            </w:r>
          </w:p>
        </w:tc>
        <w:tc>
          <w:tcPr>
            <w:tcW w:w="960" w:type="dxa"/>
          </w:tcPr>
          <w:p w14:paraId="5F6E840F" w14:textId="77777777" w:rsidR="00B34125" w:rsidRPr="001A4B94" w:rsidRDefault="00B34125" w:rsidP="00E263AF">
            <w:pPr>
              <w:pStyle w:val="TableParagraph"/>
              <w:spacing w:before="8"/>
              <w:rPr>
                <w:sz w:val="12"/>
                <w:lang w:val="tr-TR"/>
              </w:rPr>
            </w:pPr>
          </w:p>
          <w:p w14:paraId="2DCD0C3E" w14:textId="77777777" w:rsidR="00B34125" w:rsidRPr="001A4B94" w:rsidRDefault="00B34125" w:rsidP="00E263AF">
            <w:pPr>
              <w:pStyle w:val="TableParagraph"/>
              <w:ind w:right="4"/>
              <w:jc w:val="right"/>
              <w:rPr>
                <w:sz w:val="14"/>
                <w:lang w:val="tr-TR"/>
              </w:rPr>
            </w:pPr>
            <w:r w:rsidRPr="001A4B94">
              <w:rPr>
                <w:sz w:val="14"/>
                <w:lang w:val="tr-TR"/>
              </w:rPr>
              <w:t>300</w:t>
            </w:r>
          </w:p>
        </w:tc>
        <w:tc>
          <w:tcPr>
            <w:tcW w:w="703" w:type="dxa"/>
            <w:vMerge/>
            <w:tcBorders>
              <w:top w:val="nil"/>
            </w:tcBorders>
          </w:tcPr>
          <w:p w14:paraId="2E5B635E" w14:textId="77777777" w:rsidR="00B34125" w:rsidRPr="001A4B94" w:rsidRDefault="00B34125" w:rsidP="00E263AF">
            <w:pPr>
              <w:rPr>
                <w:sz w:val="2"/>
                <w:szCs w:val="2"/>
                <w:lang w:val="tr-TR"/>
              </w:rPr>
            </w:pPr>
          </w:p>
        </w:tc>
        <w:tc>
          <w:tcPr>
            <w:tcW w:w="2898" w:type="dxa"/>
          </w:tcPr>
          <w:p w14:paraId="02FFD383" w14:textId="419FBF0D" w:rsidR="00B34125" w:rsidRPr="001A4B94" w:rsidRDefault="00214C03" w:rsidP="00E263AF">
            <w:pPr>
              <w:pStyle w:val="TableParagraph"/>
              <w:spacing w:before="39" w:line="180" w:lineRule="atLeast"/>
              <w:ind w:left="19" w:right="229"/>
              <w:rPr>
                <w:sz w:val="14"/>
                <w:lang w:val="tr-TR"/>
              </w:rPr>
            </w:pPr>
            <w:r w:rsidRPr="001A4B94">
              <w:rPr>
                <w:sz w:val="14"/>
                <w:lang w:val="tr-TR"/>
              </w:rPr>
              <w:t xml:space="preserve">Mikro, Küçük, Orta Ölçekli İşletmeler ve Büyük İşletmeler Tedarik Zinciri Finansmanı </w:t>
            </w:r>
          </w:p>
        </w:tc>
        <w:tc>
          <w:tcPr>
            <w:tcW w:w="960" w:type="dxa"/>
          </w:tcPr>
          <w:p w14:paraId="2B61EB35" w14:textId="77777777" w:rsidR="00B34125" w:rsidRPr="001A4B94" w:rsidRDefault="00B34125" w:rsidP="00E263AF">
            <w:pPr>
              <w:pStyle w:val="TableParagraph"/>
              <w:spacing w:before="8"/>
              <w:rPr>
                <w:sz w:val="12"/>
                <w:lang w:val="tr-TR"/>
              </w:rPr>
            </w:pPr>
          </w:p>
          <w:p w14:paraId="668926F2" w14:textId="77777777" w:rsidR="00B34125" w:rsidRPr="001A4B94" w:rsidRDefault="00B34125" w:rsidP="00E263AF">
            <w:pPr>
              <w:pStyle w:val="TableParagraph"/>
              <w:jc w:val="right"/>
              <w:rPr>
                <w:sz w:val="14"/>
                <w:lang w:val="tr-TR"/>
              </w:rPr>
            </w:pPr>
            <w:r w:rsidRPr="001A4B94">
              <w:rPr>
                <w:sz w:val="14"/>
                <w:lang w:val="tr-TR"/>
              </w:rPr>
              <w:t>200</w:t>
            </w:r>
          </w:p>
        </w:tc>
      </w:tr>
      <w:tr w:rsidR="00B34125" w:rsidRPr="001A4B94" w14:paraId="41C27A90" w14:textId="77777777" w:rsidTr="00D047D2">
        <w:trPr>
          <w:trHeight w:val="440"/>
        </w:trPr>
        <w:tc>
          <w:tcPr>
            <w:tcW w:w="547" w:type="dxa"/>
            <w:vMerge/>
            <w:tcBorders>
              <w:top w:val="nil"/>
            </w:tcBorders>
          </w:tcPr>
          <w:p w14:paraId="67676A9B" w14:textId="77777777" w:rsidR="00B34125" w:rsidRPr="001A4B94" w:rsidRDefault="00B34125" w:rsidP="00E263AF">
            <w:pPr>
              <w:rPr>
                <w:sz w:val="2"/>
                <w:szCs w:val="2"/>
                <w:lang w:val="tr-TR"/>
              </w:rPr>
            </w:pPr>
          </w:p>
        </w:tc>
        <w:tc>
          <w:tcPr>
            <w:tcW w:w="3146" w:type="dxa"/>
          </w:tcPr>
          <w:p w14:paraId="0571A1FD" w14:textId="77777777" w:rsidR="00B34125" w:rsidRPr="001A4B94" w:rsidRDefault="00B34125" w:rsidP="00E263AF">
            <w:pPr>
              <w:pStyle w:val="TableParagraph"/>
              <w:rPr>
                <w:sz w:val="14"/>
                <w:lang w:val="tr-TR"/>
              </w:rPr>
            </w:pPr>
          </w:p>
        </w:tc>
        <w:tc>
          <w:tcPr>
            <w:tcW w:w="960" w:type="dxa"/>
          </w:tcPr>
          <w:p w14:paraId="73602D0A" w14:textId="77777777" w:rsidR="00B34125" w:rsidRPr="001A4B94" w:rsidRDefault="00B34125" w:rsidP="00E263AF">
            <w:pPr>
              <w:pStyle w:val="TableParagraph"/>
              <w:rPr>
                <w:sz w:val="14"/>
                <w:lang w:val="tr-TR"/>
              </w:rPr>
            </w:pPr>
          </w:p>
        </w:tc>
        <w:tc>
          <w:tcPr>
            <w:tcW w:w="703" w:type="dxa"/>
            <w:vMerge/>
            <w:tcBorders>
              <w:top w:val="nil"/>
            </w:tcBorders>
          </w:tcPr>
          <w:p w14:paraId="4BACD96F" w14:textId="77777777" w:rsidR="00B34125" w:rsidRPr="001A4B94" w:rsidRDefault="00B34125" w:rsidP="00E263AF">
            <w:pPr>
              <w:rPr>
                <w:sz w:val="2"/>
                <w:szCs w:val="2"/>
                <w:lang w:val="tr-TR"/>
              </w:rPr>
            </w:pPr>
          </w:p>
        </w:tc>
        <w:tc>
          <w:tcPr>
            <w:tcW w:w="2898" w:type="dxa"/>
          </w:tcPr>
          <w:p w14:paraId="411E5A74" w14:textId="37347373" w:rsidR="00B34125" w:rsidRPr="001A4B94" w:rsidRDefault="00214C03" w:rsidP="00E263AF">
            <w:pPr>
              <w:pStyle w:val="TableParagraph"/>
              <w:spacing w:before="57" w:line="280" w:lineRule="auto"/>
              <w:ind w:left="19" w:right="206"/>
              <w:rPr>
                <w:sz w:val="14"/>
                <w:lang w:val="tr-TR"/>
              </w:rPr>
            </w:pPr>
            <w:r w:rsidRPr="001A4B94">
              <w:rPr>
                <w:sz w:val="14"/>
                <w:lang w:val="tr-TR"/>
              </w:rPr>
              <w:t xml:space="preserve">Tapu ve Kadastro Modernizasyon Projesi Ek Finansman </w:t>
            </w:r>
          </w:p>
        </w:tc>
        <w:tc>
          <w:tcPr>
            <w:tcW w:w="960" w:type="dxa"/>
          </w:tcPr>
          <w:p w14:paraId="4480F9E5" w14:textId="77777777" w:rsidR="00B34125" w:rsidRPr="001A4B94" w:rsidRDefault="00B34125" w:rsidP="00E263AF">
            <w:pPr>
              <w:pStyle w:val="TableParagraph"/>
              <w:spacing w:before="7"/>
              <w:rPr>
                <w:sz w:val="12"/>
                <w:lang w:val="tr-TR"/>
              </w:rPr>
            </w:pPr>
          </w:p>
          <w:p w14:paraId="22FF934B" w14:textId="77777777" w:rsidR="00B34125" w:rsidRPr="001A4B94" w:rsidRDefault="00B34125" w:rsidP="00E263AF">
            <w:pPr>
              <w:pStyle w:val="TableParagraph"/>
              <w:spacing w:before="1"/>
              <w:ind w:right="8"/>
              <w:jc w:val="right"/>
              <w:rPr>
                <w:sz w:val="14"/>
                <w:lang w:val="tr-TR"/>
              </w:rPr>
            </w:pPr>
            <w:r w:rsidRPr="001A4B94">
              <w:rPr>
                <w:sz w:val="14"/>
                <w:lang w:val="tr-TR"/>
              </w:rPr>
              <w:t>91</w:t>
            </w:r>
          </w:p>
        </w:tc>
      </w:tr>
      <w:tr w:rsidR="00B34125" w:rsidRPr="001A4B94" w14:paraId="0CEC8FD4" w14:textId="77777777" w:rsidTr="00D047D2">
        <w:trPr>
          <w:trHeight w:val="240"/>
        </w:trPr>
        <w:tc>
          <w:tcPr>
            <w:tcW w:w="547" w:type="dxa"/>
            <w:vMerge/>
            <w:tcBorders>
              <w:top w:val="nil"/>
            </w:tcBorders>
          </w:tcPr>
          <w:p w14:paraId="5CE4C9BE" w14:textId="77777777" w:rsidR="00B34125" w:rsidRPr="001A4B94" w:rsidRDefault="00B34125" w:rsidP="00E263AF">
            <w:pPr>
              <w:rPr>
                <w:sz w:val="2"/>
                <w:szCs w:val="2"/>
                <w:lang w:val="tr-TR"/>
              </w:rPr>
            </w:pPr>
          </w:p>
        </w:tc>
        <w:tc>
          <w:tcPr>
            <w:tcW w:w="3146" w:type="dxa"/>
          </w:tcPr>
          <w:p w14:paraId="501C5949" w14:textId="1685497A" w:rsidR="00B34125" w:rsidRPr="001A4B94" w:rsidRDefault="00F17156" w:rsidP="00E263AF">
            <w:pPr>
              <w:pStyle w:val="TableParagraph"/>
              <w:spacing w:before="33"/>
              <w:ind w:right="77"/>
              <w:jc w:val="right"/>
              <w:rPr>
                <w:b/>
                <w:i/>
                <w:sz w:val="14"/>
                <w:lang w:val="tr-TR"/>
              </w:rPr>
            </w:pPr>
            <w:r w:rsidRPr="001A4B94">
              <w:rPr>
                <w:b/>
                <w:i/>
                <w:sz w:val="14"/>
                <w:lang w:val="tr-TR"/>
              </w:rPr>
              <w:t>Ara Toplam</w:t>
            </w:r>
          </w:p>
        </w:tc>
        <w:tc>
          <w:tcPr>
            <w:tcW w:w="960" w:type="dxa"/>
          </w:tcPr>
          <w:p w14:paraId="6A9A287F" w14:textId="0AF8964F" w:rsidR="00B34125" w:rsidRPr="001A4B94" w:rsidRDefault="00F17156" w:rsidP="00E263AF">
            <w:pPr>
              <w:pStyle w:val="TableParagraph"/>
              <w:spacing w:before="45"/>
              <w:ind w:right="44"/>
              <w:jc w:val="right"/>
              <w:rPr>
                <w:b/>
                <w:sz w:val="14"/>
                <w:lang w:val="tr-TR"/>
              </w:rPr>
            </w:pPr>
            <w:r w:rsidRPr="001A4B94">
              <w:rPr>
                <w:b/>
                <w:sz w:val="14"/>
                <w:lang w:val="tr-TR"/>
              </w:rPr>
              <w:t>1.</w:t>
            </w:r>
            <w:r w:rsidR="00B34125" w:rsidRPr="001A4B94">
              <w:rPr>
                <w:b/>
                <w:sz w:val="14"/>
                <w:lang w:val="tr-TR"/>
              </w:rPr>
              <w:t>200</w:t>
            </w:r>
          </w:p>
        </w:tc>
        <w:tc>
          <w:tcPr>
            <w:tcW w:w="703" w:type="dxa"/>
            <w:vMerge/>
            <w:tcBorders>
              <w:top w:val="nil"/>
            </w:tcBorders>
          </w:tcPr>
          <w:p w14:paraId="37108E51" w14:textId="77777777" w:rsidR="00B34125" w:rsidRPr="001A4B94" w:rsidRDefault="00B34125" w:rsidP="00E263AF">
            <w:pPr>
              <w:rPr>
                <w:sz w:val="2"/>
                <w:szCs w:val="2"/>
                <w:lang w:val="tr-TR"/>
              </w:rPr>
            </w:pPr>
          </w:p>
        </w:tc>
        <w:tc>
          <w:tcPr>
            <w:tcW w:w="2898" w:type="dxa"/>
          </w:tcPr>
          <w:p w14:paraId="11308EC6" w14:textId="67CFABDD" w:rsidR="00B34125" w:rsidRPr="001A4B94" w:rsidRDefault="00D047D2" w:rsidP="00E263AF">
            <w:pPr>
              <w:pStyle w:val="TableParagraph"/>
              <w:spacing w:before="9"/>
              <w:ind w:left="19"/>
              <w:rPr>
                <w:b/>
                <w:i/>
                <w:sz w:val="14"/>
                <w:lang w:val="tr-TR"/>
              </w:rPr>
            </w:pPr>
            <w:r w:rsidRPr="001A4B94">
              <w:rPr>
                <w:b/>
                <w:i/>
                <w:sz w:val="14"/>
                <w:lang w:val="tr-TR"/>
              </w:rPr>
              <w:t>Ara Toplam</w:t>
            </w:r>
          </w:p>
        </w:tc>
        <w:tc>
          <w:tcPr>
            <w:tcW w:w="960" w:type="dxa"/>
          </w:tcPr>
          <w:p w14:paraId="0EE1F123" w14:textId="77777777" w:rsidR="00B34125" w:rsidRPr="001A4B94" w:rsidRDefault="00B34125" w:rsidP="00E263AF">
            <w:pPr>
              <w:pStyle w:val="TableParagraph"/>
              <w:spacing w:before="45"/>
              <w:ind w:right="36"/>
              <w:jc w:val="right"/>
              <w:rPr>
                <w:b/>
                <w:sz w:val="14"/>
                <w:lang w:val="tr-TR"/>
              </w:rPr>
            </w:pPr>
            <w:r w:rsidRPr="001A4B94">
              <w:rPr>
                <w:b/>
                <w:sz w:val="14"/>
                <w:lang w:val="tr-TR"/>
              </w:rPr>
              <w:t>425</w:t>
            </w:r>
          </w:p>
        </w:tc>
      </w:tr>
      <w:tr w:rsidR="00B34125" w:rsidRPr="001A4B94" w14:paraId="6DAEB05A" w14:textId="77777777" w:rsidTr="00D047D2">
        <w:trPr>
          <w:trHeight w:val="240"/>
        </w:trPr>
        <w:tc>
          <w:tcPr>
            <w:tcW w:w="547" w:type="dxa"/>
            <w:shd w:val="clear" w:color="auto" w:fill="DADADA"/>
          </w:tcPr>
          <w:p w14:paraId="6A566FC3" w14:textId="77777777" w:rsidR="00B34125" w:rsidRPr="001A4B94" w:rsidRDefault="00B34125" w:rsidP="00E263AF">
            <w:pPr>
              <w:pStyle w:val="TableParagraph"/>
              <w:rPr>
                <w:sz w:val="14"/>
                <w:lang w:val="tr-TR"/>
              </w:rPr>
            </w:pPr>
          </w:p>
        </w:tc>
        <w:tc>
          <w:tcPr>
            <w:tcW w:w="3146" w:type="dxa"/>
            <w:shd w:val="clear" w:color="auto" w:fill="DADADA"/>
          </w:tcPr>
          <w:p w14:paraId="110A6B14" w14:textId="7999C7DA" w:rsidR="00B34125" w:rsidRPr="001A4B94" w:rsidRDefault="00F17156" w:rsidP="00E263AF">
            <w:pPr>
              <w:pStyle w:val="TableParagraph"/>
              <w:spacing w:before="44"/>
              <w:ind w:right="42"/>
              <w:jc w:val="right"/>
              <w:rPr>
                <w:b/>
                <w:sz w:val="14"/>
                <w:lang w:val="tr-TR"/>
              </w:rPr>
            </w:pPr>
            <w:r w:rsidRPr="001A4B94">
              <w:rPr>
                <w:b/>
                <w:sz w:val="14"/>
                <w:lang w:val="tr-TR"/>
              </w:rPr>
              <w:t xml:space="preserve">Toplam Planlanan </w:t>
            </w:r>
          </w:p>
        </w:tc>
        <w:tc>
          <w:tcPr>
            <w:tcW w:w="960" w:type="dxa"/>
            <w:shd w:val="clear" w:color="auto" w:fill="DADADA"/>
          </w:tcPr>
          <w:p w14:paraId="57BA8C92" w14:textId="1CA8CAF3" w:rsidR="00B34125" w:rsidRPr="001A4B94" w:rsidRDefault="00F17156" w:rsidP="00E263AF">
            <w:pPr>
              <w:pStyle w:val="TableParagraph"/>
              <w:spacing w:before="44"/>
              <w:ind w:right="44"/>
              <w:jc w:val="right"/>
              <w:rPr>
                <w:b/>
                <w:sz w:val="14"/>
                <w:lang w:val="tr-TR"/>
              </w:rPr>
            </w:pPr>
            <w:r w:rsidRPr="001A4B94">
              <w:rPr>
                <w:b/>
                <w:sz w:val="14"/>
                <w:lang w:val="tr-TR"/>
              </w:rPr>
              <w:t>6.</w:t>
            </w:r>
            <w:r w:rsidR="00B34125" w:rsidRPr="001A4B94">
              <w:rPr>
                <w:b/>
                <w:sz w:val="14"/>
                <w:lang w:val="tr-TR"/>
              </w:rPr>
              <w:t>450</w:t>
            </w:r>
          </w:p>
        </w:tc>
        <w:tc>
          <w:tcPr>
            <w:tcW w:w="703" w:type="dxa"/>
            <w:shd w:val="clear" w:color="auto" w:fill="DADADA"/>
          </w:tcPr>
          <w:p w14:paraId="2AAFA09F" w14:textId="77777777" w:rsidR="00B34125" w:rsidRPr="001A4B94" w:rsidRDefault="00B34125" w:rsidP="00E263AF">
            <w:pPr>
              <w:pStyle w:val="TableParagraph"/>
              <w:rPr>
                <w:sz w:val="14"/>
                <w:lang w:val="tr-TR"/>
              </w:rPr>
            </w:pPr>
          </w:p>
        </w:tc>
        <w:tc>
          <w:tcPr>
            <w:tcW w:w="2898" w:type="dxa"/>
            <w:shd w:val="clear" w:color="auto" w:fill="DADADA"/>
          </w:tcPr>
          <w:p w14:paraId="2EB1B699" w14:textId="389E822E" w:rsidR="00B34125" w:rsidRPr="001A4B94" w:rsidRDefault="00214C03" w:rsidP="00E263AF">
            <w:pPr>
              <w:pStyle w:val="TableParagraph"/>
              <w:spacing w:before="44"/>
              <w:ind w:right="53"/>
              <w:jc w:val="right"/>
              <w:rPr>
                <w:b/>
                <w:sz w:val="14"/>
                <w:lang w:val="tr-TR"/>
              </w:rPr>
            </w:pPr>
            <w:r w:rsidRPr="001A4B94">
              <w:rPr>
                <w:b/>
                <w:sz w:val="14"/>
                <w:lang w:val="tr-TR"/>
              </w:rPr>
              <w:t xml:space="preserve">Toplam gerçekleşen </w:t>
            </w:r>
            <w:r w:rsidR="00B34125" w:rsidRPr="001A4B94">
              <w:rPr>
                <w:b/>
                <w:sz w:val="14"/>
                <w:lang w:val="tr-TR"/>
              </w:rPr>
              <w:t>(</w:t>
            </w:r>
            <w:r w:rsidRPr="001A4B94">
              <w:rPr>
                <w:b/>
                <w:sz w:val="14"/>
                <w:lang w:val="tr-TR"/>
              </w:rPr>
              <w:t xml:space="preserve">Haziran </w:t>
            </w:r>
            <w:r w:rsidR="00B34125" w:rsidRPr="001A4B94">
              <w:rPr>
                <w:b/>
                <w:sz w:val="14"/>
                <w:lang w:val="tr-TR"/>
              </w:rPr>
              <w:t>2016</w:t>
            </w:r>
            <w:r w:rsidRPr="001A4B94">
              <w:rPr>
                <w:b/>
                <w:sz w:val="14"/>
                <w:lang w:val="tr-TR"/>
              </w:rPr>
              <w:t xml:space="preserve"> itibariyle</w:t>
            </w:r>
            <w:r w:rsidR="00B34125" w:rsidRPr="001A4B94">
              <w:rPr>
                <w:b/>
                <w:sz w:val="14"/>
                <w:lang w:val="tr-TR"/>
              </w:rPr>
              <w:t>)</w:t>
            </w:r>
          </w:p>
        </w:tc>
        <w:tc>
          <w:tcPr>
            <w:tcW w:w="960" w:type="dxa"/>
            <w:shd w:val="clear" w:color="auto" w:fill="DADADA"/>
          </w:tcPr>
          <w:p w14:paraId="72B6E651" w14:textId="0FCC2A2D" w:rsidR="00B34125" w:rsidRPr="001A4B94" w:rsidRDefault="00B34125" w:rsidP="00E263AF">
            <w:pPr>
              <w:pStyle w:val="TableParagraph"/>
              <w:spacing w:before="44"/>
              <w:ind w:right="44"/>
              <w:jc w:val="right"/>
              <w:rPr>
                <w:b/>
                <w:sz w:val="14"/>
                <w:lang w:val="tr-TR"/>
              </w:rPr>
            </w:pPr>
            <w:r w:rsidRPr="001A4B94">
              <w:rPr>
                <w:b/>
                <w:sz w:val="14"/>
                <w:lang w:val="tr-TR"/>
              </w:rPr>
              <w:t>4</w:t>
            </w:r>
            <w:r w:rsidR="00214C03" w:rsidRPr="001A4B94">
              <w:rPr>
                <w:b/>
                <w:sz w:val="14"/>
                <w:lang w:val="tr-TR"/>
              </w:rPr>
              <w:t>.</w:t>
            </w:r>
            <w:r w:rsidRPr="001A4B94">
              <w:rPr>
                <w:b/>
                <w:sz w:val="14"/>
                <w:lang w:val="tr-TR"/>
              </w:rPr>
              <w:t>276</w:t>
            </w:r>
          </w:p>
        </w:tc>
      </w:tr>
    </w:tbl>
    <w:p w14:paraId="1B051A4A" w14:textId="147F92D2" w:rsidR="00747261" w:rsidRPr="001A4B94" w:rsidRDefault="00747261" w:rsidP="00747261">
      <w:pPr>
        <w:spacing w:after="160"/>
        <w:ind w:left="720"/>
        <w:contextualSpacing/>
        <w:rPr>
          <w:rFonts w:eastAsiaTheme="minorHAnsi"/>
          <w:sz w:val="20"/>
          <w:szCs w:val="20"/>
          <w:lang w:val="tr-TR"/>
        </w:rPr>
      </w:pPr>
    </w:p>
    <w:p w14:paraId="2DCE3A56" w14:textId="078F9049" w:rsidR="00747261" w:rsidRPr="001A4B94" w:rsidRDefault="00747261" w:rsidP="00747261">
      <w:pPr>
        <w:spacing w:after="160" w:line="259" w:lineRule="auto"/>
        <w:rPr>
          <w:rFonts w:asciiTheme="minorHAnsi" w:eastAsiaTheme="minorHAnsi" w:hAnsiTheme="minorHAnsi" w:cstheme="minorBidi"/>
          <w:sz w:val="22"/>
          <w:szCs w:val="22"/>
          <w:lang w:val="tr-TR"/>
        </w:rPr>
      </w:pPr>
    </w:p>
    <w:p w14:paraId="299EE66F" w14:textId="77777777" w:rsidR="00B34125" w:rsidRPr="001A4B94" w:rsidRDefault="00B34125" w:rsidP="00747261">
      <w:pPr>
        <w:spacing w:after="160" w:line="259" w:lineRule="auto"/>
        <w:rPr>
          <w:rFonts w:asciiTheme="minorHAnsi" w:eastAsiaTheme="minorHAnsi" w:hAnsiTheme="minorHAnsi" w:cstheme="minorBidi"/>
          <w:sz w:val="22"/>
          <w:szCs w:val="22"/>
          <w:lang w:val="tr-TR"/>
        </w:rPr>
      </w:pPr>
    </w:p>
    <w:p w14:paraId="5BA0CA96" w14:textId="77777777" w:rsidR="00747261" w:rsidRPr="001A4B94" w:rsidRDefault="00747261" w:rsidP="00747261">
      <w:pPr>
        <w:spacing w:after="160" w:line="259" w:lineRule="auto"/>
        <w:jc w:val="center"/>
        <w:rPr>
          <w:rFonts w:asciiTheme="minorHAnsi" w:eastAsiaTheme="minorHAnsi" w:hAnsiTheme="minorHAnsi" w:cstheme="minorBidi"/>
          <w:sz w:val="22"/>
          <w:szCs w:val="22"/>
          <w:lang w:val="tr-TR"/>
        </w:rPr>
      </w:pPr>
    </w:p>
    <w:p w14:paraId="4288B20F" w14:textId="361F0892" w:rsidR="00747261" w:rsidRPr="001A4B94" w:rsidRDefault="00747261" w:rsidP="00747261">
      <w:pPr>
        <w:spacing w:after="160" w:line="259" w:lineRule="auto"/>
        <w:jc w:val="center"/>
        <w:rPr>
          <w:rFonts w:eastAsiaTheme="minorHAnsi"/>
          <w:b/>
          <w:lang w:val="tr-TR"/>
        </w:rPr>
      </w:pPr>
      <w:r w:rsidRPr="001A4B94">
        <w:rPr>
          <w:rFonts w:eastAsiaTheme="minorHAnsi"/>
          <w:b/>
          <w:lang w:val="tr-TR"/>
        </w:rPr>
        <w:t>Tabl</w:t>
      </w:r>
      <w:r w:rsidR="00214C03" w:rsidRPr="001A4B94">
        <w:rPr>
          <w:rFonts w:eastAsiaTheme="minorHAnsi"/>
          <w:b/>
          <w:lang w:val="tr-TR"/>
        </w:rPr>
        <w:t>o</w:t>
      </w:r>
      <w:r w:rsidRPr="001A4B94">
        <w:rPr>
          <w:rFonts w:eastAsiaTheme="minorHAnsi"/>
          <w:b/>
          <w:lang w:val="tr-TR"/>
        </w:rPr>
        <w:t xml:space="preserve"> 2: CPS </w:t>
      </w:r>
      <w:r w:rsidR="00E95512" w:rsidRPr="001A4B94">
        <w:rPr>
          <w:rFonts w:eastAsiaTheme="minorHAnsi"/>
          <w:b/>
          <w:lang w:val="tr-TR"/>
        </w:rPr>
        <w:t xml:space="preserve">Dönemi </w:t>
      </w:r>
      <w:r w:rsidRPr="001A4B94">
        <w:rPr>
          <w:rFonts w:eastAsiaTheme="minorHAnsi"/>
          <w:b/>
          <w:lang w:val="tr-TR"/>
        </w:rPr>
        <w:t xml:space="preserve">IFC </w:t>
      </w:r>
      <w:r w:rsidR="00E95512" w:rsidRPr="001A4B94">
        <w:rPr>
          <w:rFonts w:eastAsiaTheme="minorHAnsi"/>
          <w:b/>
          <w:lang w:val="tr-TR"/>
        </w:rPr>
        <w:t xml:space="preserve">Uzun Vadeli Taahhütleri </w:t>
      </w:r>
      <w:r w:rsidRPr="001A4B94">
        <w:rPr>
          <w:rFonts w:eastAsiaTheme="minorHAnsi"/>
          <w:b/>
          <w:lang w:val="tr-TR"/>
        </w:rPr>
        <w:t>(</w:t>
      </w:r>
      <w:r w:rsidR="00E95512" w:rsidRPr="001A4B94">
        <w:rPr>
          <w:rFonts w:eastAsiaTheme="minorHAnsi"/>
          <w:b/>
          <w:lang w:val="tr-TR"/>
        </w:rPr>
        <w:t>2012-16 MY</w:t>
      </w:r>
      <w:r w:rsidRPr="001A4B94">
        <w:rPr>
          <w:rFonts w:eastAsiaTheme="minorHAnsi"/>
          <w:b/>
          <w:lang w:val="tr-TR"/>
        </w:rPr>
        <w:t>)</w:t>
      </w:r>
    </w:p>
    <w:tbl>
      <w:tblPr>
        <w:tblW w:w="9476" w:type="dxa"/>
        <w:tblLook w:val="04A0" w:firstRow="1" w:lastRow="0" w:firstColumn="1" w:lastColumn="0" w:noHBand="0" w:noVBand="1"/>
      </w:tblPr>
      <w:tblGrid>
        <w:gridCol w:w="577"/>
        <w:gridCol w:w="1351"/>
        <w:gridCol w:w="2173"/>
        <w:gridCol w:w="646"/>
        <w:gridCol w:w="1078"/>
        <w:gridCol w:w="1168"/>
        <w:gridCol w:w="1132"/>
        <w:gridCol w:w="1351"/>
      </w:tblGrid>
      <w:tr w:rsidR="00E95512" w:rsidRPr="001A4B94" w14:paraId="6AD9FBD1" w14:textId="77777777" w:rsidTr="004626A4">
        <w:trPr>
          <w:trHeight w:val="806"/>
        </w:trPr>
        <w:tc>
          <w:tcPr>
            <w:tcW w:w="577" w:type="dxa"/>
            <w:tcBorders>
              <w:top w:val="single" w:sz="8" w:space="0" w:color="93B1CD"/>
              <w:left w:val="single" w:sz="8" w:space="0" w:color="93B1CD"/>
              <w:bottom w:val="single" w:sz="8" w:space="0" w:color="93B1CD"/>
              <w:right w:val="single" w:sz="8" w:space="0" w:color="93B1CD"/>
            </w:tcBorders>
            <w:shd w:val="clear" w:color="000000" w:fill="DBDBDB"/>
            <w:vAlign w:val="center"/>
            <w:hideMark/>
          </w:tcPr>
          <w:p w14:paraId="1123D3ED" w14:textId="66EE58B3" w:rsidR="00747261" w:rsidRPr="001A4B94" w:rsidRDefault="00E95512"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M</w:t>
            </w:r>
            <w:r w:rsidR="00747261" w:rsidRPr="001A4B94">
              <w:rPr>
                <w:rFonts w:eastAsia="Arial Unicode MS"/>
                <w:b/>
                <w:bCs/>
                <w:color w:val="000000"/>
                <w:sz w:val="16"/>
                <w:szCs w:val="16"/>
                <w:lang w:val="tr-TR"/>
              </w:rPr>
              <w:t>Y</w:t>
            </w:r>
          </w:p>
        </w:tc>
        <w:tc>
          <w:tcPr>
            <w:tcW w:w="1351" w:type="dxa"/>
            <w:tcBorders>
              <w:top w:val="single" w:sz="8" w:space="0" w:color="93B1CD"/>
              <w:left w:val="nil"/>
              <w:bottom w:val="single" w:sz="8" w:space="0" w:color="93B1CD"/>
              <w:right w:val="single" w:sz="8" w:space="0" w:color="93B1CD"/>
            </w:tcBorders>
            <w:shd w:val="clear" w:color="000000" w:fill="DBDBDB"/>
            <w:vAlign w:val="center"/>
            <w:hideMark/>
          </w:tcPr>
          <w:p w14:paraId="2685E2D9" w14:textId="58608ED3" w:rsidR="00747261" w:rsidRPr="001A4B94" w:rsidRDefault="00E95512"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Sektör</w:t>
            </w:r>
          </w:p>
        </w:tc>
        <w:tc>
          <w:tcPr>
            <w:tcW w:w="2173" w:type="dxa"/>
            <w:tcBorders>
              <w:top w:val="single" w:sz="8" w:space="0" w:color="93B1CD"/>
              <w:left w:val="nil"/>
              <w:bottom w:val="single" w:sz="8" w:space="0" w:color="93B1CD"/>
              <w:right w:val="single" w:sz="8" w:space="0" w:color="93B1CD"/>
            </w:tcBorders>
            <w:shd w:val="clear" w:color="000000" w:fill="DBDBDB"/>
            <w:vAlign w:val="center"/>
            <w:hideMark/>
          </w:tcPr>
          <w:p w14:paraId="795C57B3" w14:textId="792DF9DF" w:rsidR="00747261" w:rsidRPr="001A4B94" w:rsidRDefault="00E95512"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Proje</w:t>
            </w:r>
            <w:r w:rsidR="00747261" w:rsidRPr="001A4B94">
              <w:rPr>
                <w:rFonts w:eastAsia="Arial Unicode MS"/>
                <w:b/>
                <w:bCs/>
                <w:color w:val="000000"/>
                <w:sz w:val="16"/>
                <w:szCs w:val="16"/>
                <w:lang w:val="tr-TR"/>
              </w:rPr>
              <w:t xml:space="preserve"> </w:t>
            </w:r>
            <w:r w:rsidRPr="001A4B94">
              <w:rPr>
                <w:rFonts w:eastAsia="Arial Unicode MS"/>
                <w:b/>
                <w:bCs/>
                <w:color w:val="000000"/>
                <w:sz w:val="16"/>
                <w:szCs w:val="16"/>
                <w:lang w:val="tr-TR"/>
              </w:rPr>
              <w:t xml:space="preserve">Kodu ve Adı </w:t>
            </w:r>
          </w:p>
        </w:tc>
        <w:tc>
          <w:tcPr>
            <w:tcW w:w="646" w:type="dxa"/>
            <w:tcBorders>
              <w:top w:val="single" w:sz="8" w:space="0" w:color="93B1CD"/>
              <w:left w:val="nil"/>
              <w:bottom w:val="single" w:sz="8" w:space="0" w:color="93B1CD"/>
              <w:right w:val="single" w:sz="8" w:space="0" w:color="93B1CD"/>
            </w:tcBorders>
            <w:shd w:val="clear" w:color="000000" w:fill="DBDBDB"/>
            <w:vAlign w:val="center"/>
            <w:hideMark/>
          </w:tcPr>
          <w:p w14:paraId="669D690F" w14:textId="69448556" w:rsidR="00747261" w:rsidRPr="001A4B94" w:rsidRDefault="00747261"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Proje</w:t>
            </w:r>
            <w:r w:rsidR="00E95512" w:rsidRPr="001A4B94">
              <w:rPr>
                <w:rFonts w:eastAsia="Arial Unicode MS"/>
                <w:b/>
                <w:bCs/>
                <w:color w:val="000000"/>
                <w:sz w:val="16"/>
                <w:szCs w:val="16"/>
                <w:lang w:val="tr-TR"/>
              </w:rPr>
              <w:t xml:space="preserve"> Sayısı </w:t>
            </w:r>
          </w:p>
        </w:tc>
        <w:tc>
          <w:tcPr>
            <w:tcW w:w="1078" w:type="dxa"/>
            <w:tcBorders>
              <w:top w:val="single" w:sz="8" w:space="0" w:color="93B1CD"/>
              <w:left w:val="nil"/>
              <w:bottom w:val="single" w:sz="8" w:space="0" w:color="93B1CD"/>
              <w:right w:val="single" w:sz="8" w:space="0" w:color="93B1CD"/>
            </w:tcBorders>
            <w:shd w:val="clear" w:color="000000" w:fill="DBDBDB"/>
            <w:vAlign w:val="center"/>
            <w:hideMark/>
          </w:tcPr>
          <w:p w14:paraId="3FD4482E" w14:textId="170C3AF1" w:rsidR="00747261" w:rsidRPr="001A4B94" w:rsidRDefault="00E95512"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 xml:space="preserve">Orijinal </w:t>
            </w:r>
            <w:r w:rsidR="00747261" w:rsidRPr="001A4B94">
              <w:rPr>
                <w:rFonts w:eastAsia="Arial Unicode MS"/>
                <w:b/>
                <w:bCs/>
                <w:color w:val="000000"/>
                <w:sz w:val="16"/>
                <w:szCs w:val="16"/>
                <w:lang w:val="tr-TR"/>
              </w:rPr>
              <w:t xml:space="preserve"> </w:t>
            </w:r>
            <w:r w:rsidRPr="001A4B94">
              <w:rPr>
                <w:rFonts w:eastAsia="Arial Unicode MS"/>
                <w:b/>
                <w:bCs/>
                <w:color w:val="000000"/>
                <w:sz w:val="16"/>
                <w:szCs w:val="16"/>
                <w:lang w:val="tr-TR"/>
              </w:rPr>
              <w:t xml:space="preserve">Taahhüt Faaliyeti </w:t>
            </w:r>
            <w:r w:rsidR="00747261" w:rsidRPr="001A4B94">
              <w:rPr>
                <w:rFonts w:eastAsia="Arial Unicode MS"/>
                <w:b/>
                <w:bCs/>
                <w:color w:val="000000"/>
                <w:sz w:val="16"/>
                <w:szCs w:val="16"/>
                <w:lang w:val="tr-TR"/>
              </w:rPr>
              <w:t xml:space="preserve">- IFC </w:t>
            </w:r>
            <w:r w:rsidRPr="001A4B94">
              <w:rPr>
                <w:rFonts w:eastAsia="Arial Unicode MS"/>
                <w:b/>
                <w:bCs/>
                <w:color w:val="000000"/>
                <w:sz w:val="16"/>
                <w:szCs w:val="16"/>
                <w:lang w:val="tr-TR"/>
              </w:rPr>
              <w:t xml:space="preserve">Kendi Hesabı </w:t>
            </w:r>
          </w:p>
        </w:tc>
        <w:tc>
          <w:tcPr>
            <w:tcW w:w="1168" w:type="dxa"/>
            <w:tcBorders>
              <w:top w:val="single" w:sz="8" w:space="0" w:color="93B1CD"/>
              <w:left w:val="nil"/>
              <w:bottom w:val="single" w:sz="8" w:space="0" w:color="93B1CD"/>
              <w:right w:val="single" w:sz="8" w:space="0" w:color="93B1CD"/>
            </w:tcBorders>
            <w:shd w:val="clear" w:color="000000" w:fill="DBDBDB"/>
            <w:vAlign w:val="center"/>
            <w:hideMark/>
          </w:tcPr>
          <w:p w14:paraId="4DE1DD7C" w14:textId="1879EDA5" w:rsidR="00747261" w:rsidRPr="001A4B94" w:rsidRDefault="00E95512"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 xml:space="preserve">Orijinal  Taahhüt Faaliyeti </w:t>
            </w:r>
            <w:r w:rsidR="00747261" w:rsidRPr="001A4B94">
              <w:rPr>
                <w:rFonts w:eastAsia="Arial Unicode MS"/>
                <w:b/>
                <w:bCs/>
                <w:color w:val="000000"/>
                <w:sz w:val="16"/>
                <w:szCs w:val="16"/>
                <w:lang w:val="tr-TR"/>
              </w:rPr>
              <w:t xml:space="preserve">- B </w:t>
            </w:r>
            <w:r w:rsidRPr="001A4B94">
              <w:rPr>
                <w:rFonts w:eastAsia="Arial Unicode MS"/>
                <w:b/>
                <w:bCs/>
                <w:color w:val="000000"/>
                <w:sz w:val="16"/>
                <w:szCs w:val="16"/>
                <w:lang w:val="tr-TR"/>
              </w:rPr>
              <w:t>Kredisi</w:t>
            </w:r>
          </w:p>
        </w:tc>
        <w:tc>
          <w:tcPr>
            <w:tcW w:w="1132" w:type="dxa"/>
            <w:tcBorders>
              <w:top w:val="single" w:sz="8" w:space="0" w:color="93B1CD"/>
              <w:left w:val="nil"/>
              <w:bottom w:val="single" w:sz="8" w:space="0" w:color="93B1CD"/>
              <w:right w:val="single" w:sz="8" w:space="0" w:color="93B1CD"/>
            </w:tcBorders>
            <w:shd w:val="clear" w:color="000000" w:fill="DBDBDB"/>
            <w:vAlign w:val="center"/>
            <w:hideMark/>
          </w:tcPr>
          <w:p w14:paraId="6CFAB08A" w14:textId="20EB03C4" w:rsidR="00747261" w:rsidRPr="001A4B94" w:rsidRDefault="00E95512"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 xml:space="preserve">Orijinal  Taahhüt Faaliyeti Diğer </w:t>
            </w:r>
            <w:r w:rsidR="00747261" w:rsidRPr="001A4B94">
              <w:rPr>
                <w:rFonts w:eastAsia="Arial Unicode MS"/>
                <w:b/>
                <w:bCs/>
                <w:color w:val="000000"/>
                <w:sz w:val="16"/>
                <w:szCs w:val="16"/>
                <w:lang w:val="tr-TR"/>
              </w:rPr>
              <w:t>Mobiliza</w:t>
            </w:r>
            <w:r w:rsidRPr="001A4B94">
              <w:rPr>
                <w:rFonts w:eastAsia="Arial Unicode MS"/>
                <w:b/>
                <w:bCs/>
                <w:color w:val="000000"/>
                <w:sz w:val="16"/>
                <w:szCs w:val="16"/>
                <w:lang w:val="tr-TR"/>
              </w:rPr>
              <w:t xml:space="preserve">syon </w:t>
            </w:r>
          </w:p>
        </w:tc>
        <w:tc>
          <w:tcPr>
            <w:tcW w:w="1351" w:type="dxa"/>
            <w:tcBorders>
              <w:top w:val="single" w:sz="8" w:space="0" w:color="93B1CD"/>
              <w:left w:val="nil"/>
              <w:bottom w:val="single" w:sz="8" w:space="0" w:color="93B1CD"/>
              <w:right w:val="single" w:sz="8" w:space="0" w:color="93B1CD"/>
            </w:tcBorders>
            <w:shd w:val="clear" w:color="000000" w:fill="DBDBDB"/>
            <w:vAlign w:val="center"/>
            <w:hideMark/>
          </w:tcPr>
          <w:p w14:paraId="68539DCF" w14:textId="1737F688" w:rsidR="00747261" w:rsidRPr="001A4B94" w:rsidRDefault="00E95512" w:rsidP="00747261">
            <w:pPr>
              <w:jc w:val="center"/>
              <w:rPr>
                <w:rFonts w:eastAsia="Arial Unicode MS"/>
                <w:b/>
                <w:bCs/>
                <w:color w:val="000000"/>
                <w:sz w:val="16"/>
                <w:szCs w:val="16"/>
                <w:lang w:val="tr-TR"/>
              </w:rPr>
            </w:pPr>
            <w:r w:rsidRPr="001A4B94">
              <w:rPr>
                <w:rFonts w:eastAsia="Arial Unicode MS"/>
                <w:b/>
                <w:bCs/>
                <w:color w:val="000000"/>
                <w:sz w:val="16"/>
                <w:szCs w:val="16"/>
                <w:lang w:val="tr-TR"/>
              </w:rPr>
              <w:t xml:space="preserve">Toplam </w:t>
            </w:r>
          </w:p>
        </w:tc>
      </w:tr>
      <w:tr w:rsidR="00E95512" w:rsidRPr="001A4B94" w14:paraId="0702C8FE" w14:textId="77777777" w:rsidTr="004626A4">
        <w:trPr>
          <w:trHeight w:val="207"/>
        </w:trPr>
        <w:tc>
          <w:tcPr>
            <w:tcW w:w="577"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479E772A" w14:textId="77777777" w:rsidR="00747261" w:rsidRPr="001A4B94" w:rsidRDefault="00747261" w:rsidP="00747261">
            <w:pPr>
              <w:jc w:val="center"/>
              <w:rPr>
                <w:rFonts w:eastAsia="Arial Unicode MS"/>
                <w:color w:val="000000"/>
                <w:sz w:val="16"/>
                <w:szCs w:val="16"/>
                <w:lang w:val="tr-TR"/>
              </w:rPr>
            </w:pPr>
            <w:r w:rsidRPr="001A4B94">
              <w:rPr>
                <w:rFonts w:eastAsia="Arial Unicode MS"/>
                <w:color w:val="000000"/>
                <w:sz w:val="16"/>
                <w:szCs w:val="16"/>
                <w:lang w:val="tr-TR"/>
              </w:rPr>
              <w:t>2012</w:t>
            </w: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254E5203" w14:textId="7A06D289" w:rsidR="00747261" w:rsidRPr="001A4B94" w:rsidRDefault="002A2BDB" w:rsidP="00747261">
            <w:pPr>
              <w:rPr>
                <w:rFonts w:eastAsia="Arial Unicode MS"/>
                <w:color w:val="000000"/>
                <w:sz w:val="16"/>
                <w:szCs w:val="16"/>
                <w:lang w:val="tr-TR"/>
              </w:rPr>
            </w:pPr>
            <w:r w:rsidRPr="001A4B94">
              <w:rPr>
                <w:rFonts w:eastAsia="Arial Unicode MS"/>
                <w:color w:val="000000"/>
                <w:sz w:val="16"/>
                <w:szCs w:val="16"/>
                <w:lang w:val="tr-TR"/>
              </w:rPr>
              <w:t xml:space="preserve">FM </w:t>
            </w:r>
            <w:r w:rsidR="00324768" w:rsidRPr="001A4B94">
              <w:rPr>
                <w:rFonts w:eastAsia="Arial Unicode MS"/>
                <w:color w:val="000000"/>
                <w:sz w:val="16"/>
                <w:szCs w:val="16"/>
                <w:lang w:val="tr-TR"/>
              </w:rPr>
              <w:t xml:space="preserve">Sektör Grubu </w:t>
            </w:r>
          </w:p>
        </w:tc>
        <w:tc>
          <w:tcPr>
            <w:tcW w:w="2173" w:type="dxa"/>
            <w:tcBorders>
              <w:top w:val="nil"/>
              <w:left w:val="nil"/>
              <w:bottom w:val="single" w:sz="8" w:space="0" w:color="93B1CD"/>
              <w:right w:val="single" w:sz="8" w:space="0" w:color="93B1CD"/>
            </w:tcBorders>
            <w:shd w:val="clear" w:color="auto" w:fill="auto"/>
            <w:noWrap/>
            <w:hideMark/>
          </w:tcPr>
          <w:p w14:paraId="48AD0911" w14:textId="28DCB65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29413-Abank </w:t>
            </w:r>
            <w:r w:rsidR="002A2BDB" w:rsidRPr="001A4B94">
              <w:rPr>
                <w:rFonts w:eastAsia="Arial Unicode MS"/>
                <w:color w:val="000000"/>
                <w:sz w:val="16"/>
                <w:szCs w:val="16"/>
                <w:lang w:val="tr-TR"/>
              </w:rPr>
              <w:t xml:space="preserve">Alt Kredi </w:t>
            </w:r>
          </w:p>
        </w:tc>
        <w:tc>
          <w:tcPr>
            <w:tcW w:w="646" w:type="dxa"/>
            <w:tcBorders>
              <w:top w:val="nil"/>
              <w:left w:val="nil"/>
              <w:bottom w:val="single" w:sz="8" w:space="0" w:color="93B1CD"/>
              <w:right w:val="single" w:sz="8" w:space="0" w:color="93B1CD"/>
            </w:tcBorders>
            <w:shd w:val="clear" w:color="auto" w:fill="auto"/>
            <w:noWrap/>
            <w:hideMark/>
          </w:tcPr>
          <w:p w14:paraId="3141B20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078" w:type="dxa"/>
            <w:tcBorders>
              <w:top w:val="single" w:sz="8" w:space="0" w:color="CCCCCC"/>
              <w:left w:val="single" w:sz="8" w:space="0" w:color="CCCCCC"/>
              <w:bottom w:val="single" w:sz="8" w:space="0" w:color="CCCCCC"/>
              <w:right w:val="single" w:sz="8" w:space="0" w:color="CCCCCC"/>
            </w:tcBorders>
            <w:shd w:val="clear" w:color="auto" w:fill="auto"/>
            <w:noWrap/>
            <w:hideMark/>
          </w:tcPr>
          <w:p w14:paraId="4058BDF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168" w:type="dxa"/>
            <w:tcBorders>
              <w:top w:val="single" w:sz="8" w:space="0" w:color="CCCCCC"/>
              <w:left w:val="nil"/>
              <w:bottom w:val="single" w:sz="8" w:space="0" w:color="CCCCCC"/>
              <w:right w:val="single" w:sz="8" w:space="0" w:color="CCCCCC"/>
            </w:tcBorders>
            <w:shd w:val="clear" w:color="auto" w:fill="auto"/>
            <w:noWrap/>
            <w:hideMark/>
          </w:tcPr>
          <w:p w14:paraId="277CA8B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132" w:type="dxa"/>
            <w:tcBorders>
              <w:top w:val="single" w:sz="8" w:space="0" w:color="CCCCCC"/>
              <w:left w:val="nil"/>
              <w:bottom w:val="single" w:sz="8" w:space="0" w:color="CCCCCC"/>
              <w:right w:val="single" w:sz="8" w:space="0" w:color="CCCCCC"/>
            </w:tcBorders>
            <w:shd w:val="clear" w:color="auto" w:fill="auto"/>
            <w:noWrap/>
            <w:hideMark/>
          </w:tcPr>
          <w:p w14:paraId="746225B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27</w:t>
            </w:r>
          </w:p>
        </w:tc>
        <w:tc>
          <w:tcPr>
            <w:tcW w:w="1351" w:type="dxa"/>
            <w:tcBorders>
              <w:top w:val="single" w:sz="8" w:space="0" w:color="CCCCCC"/>
              <w:left w:val="nil"/>
              <w:bottom w:val="single" w:sz="8" w:space="0" w:color="CCCCCC"/>
              <w:right w:val="single" w:sz="8" w:space="0" w:color="CCCCCC"/>
            </w:tcBorders>
            <w:shd w:val="clear" w:color="auto" w:fill="auto"/>
            <w:noWrap/>
            <w:hideMark/>
          </w:tcPr>
          <w:p w14:paraId="744E9DA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27</w:t>
            </w:r>
          </w:p>
        </w:tc>
      </w:tr>
      <w:tr w:rsidR="00E95512" w:rsidRPr="001A4B94" w14:paraId="4475FFFF"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10E56A1B"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C243944"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24B5CD08"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31531-Finansbank RI II</w:t>
            </w:r>
          </w:p>
        </w:tc>
        <w:tc>
          <w:tcPr>
            <w:tcW w:w="646" w:type="dxa"/>
            <w:tcBorders>
              <w:top w:val="nil"/>
              <w:left w:val="nil"/>
              <w:bottom w:val="nil"/>
              <w:right w:val="single" w:sz="8" w:space="0" w:color="93B1CD"/>
            </w:tcBorders>
            <w:shd w:val="clear" w:color="auto" w:fill="auto"/>
            <w:noWrap/>
            <w:hideMark/>
          </w:tcPr>
          <w:p w14:paraId="6D8771E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0029045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w:t>
            </w:r>
          </w:p>
        </w:tc>
        <w:tc>
          <w:tcPr>
            <w:tcW w:w="1168" w:type="dxa"/>
            <w:tcBorders>
              <w:top w:val="nil"/>
              <w:left w:val="nil"/>
              <w:bottom w:val="single" w:sz="8" w:space="0" w:color="CCCCCC"/>
              <w:right w:val="single" w:sz="8" w:space="0" w:color="CCCCCC"/>
            </w:tcBorders>
            <w:shd w:val="clear" w:color="auto" w:fill="auto"/>
            <w:noWrap/>
            <w:hideMark/>
          </w:tcPr>
          <w:p w14:paraId="4097F5E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20C0EA7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23EFE020"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w:t>
            </w:r>
          </w:p>
        </w:tc>
      </w:tr>
      <w:tr w:rsidR="00E95512" w:rsidRPr="001A4B94" w14:paraId="49AD5913"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7DEAA157"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D3C804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05127020" w14:textId="1DB8E7EF"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31114-Fibabanka </w:t>
            </w:r>
            <w:r w:rsidR="002A2BDB" w:rsidRPr="001A4B94">
              <w:rPr>
                <w:rFonts w:eastAsia="Arial Unicode MS"/>
                <w:color w:val="000000"/>
                <w:sz w:val="16"/>
                <w:szCs w:val="16"/>
                <w:lang w:val="tr-TR"/>
              </w:rPr>
              <w:t xml:space="preserve">Kadın </w:t>
            </w:r>
          </w:p>
        </w:tc>
        <w:tc>
          <w:tcPr>
            <w:tcW w:w="646" w:type="dxa"/>
            <w:tcBorders>
              <w:top w:val="single" w:sz="8" w:space="0" w:color="93B1CD"/>
              <w:left w:val="nil"/>
              <w:bottom w:val="single" w:sz="8" w:space="0" w:color="93B1CD"/>
              <w:right w:val="single" w:sz="8" w:space="0" w:color="93B1CD"/>
            </w:tcBorders>
            <w:shd w:val="clear" w:color="auto" w:fill="auto"/>
            <w:noWrap/>
            <w:hideMark/>
          </w:tcPr>
          <w:p w14:paraId="2F643BE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335B540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30</w:t>
            </w:r>
          </w:p>
        </w:tc>
        <w:tc>
          <w:tcPr>
            <w:tcW w:w="1168" w:type="dxa"/>
            <w:tcBorders>
              <w:top w:val="nil"/>
              <w:left w:val="nil"/>
              <w:bottom w:val="single" w:sz="8" w:space="0" w:color="CCCCCC"/>
              <w:right w:val="single" w:sz="8" w:space="0" w:color="CCCCCC"/>
            </w:tcBorders>
            <w:shd w:val="clear" w:color="auto" w:fill="auto"/>
            <w:noWrap/>
            <w:hideMark/>
          </w:tcPr>
          <w:p w14:paraId="51B2759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65609C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19</w:t>
            </w:r>
          </w:p>
        </w:tc>
        <w:tc>
          <w:tcPr>
            <w:tcW w:w="1351" w:type="dxa"/>
            <w:tcBorders>
              <w:top w:val="nil"/>
              <w:left w:val="nil"/>
              <w:bottom w:val="single" w:sz="8" w:space="0" w:color="CCCCCC"/>
              <w:right w:val="single" w:sz="8" w:space="0" w:color="CCCCCC"/>
            </w:tcBorders>
            <w:shd w:val="clear" w:color="auto" w:fill="auto"/>
            <w:noWrap/>
            <w:hideMark/>
          </w:tcPr>
          <w:p w14:paraId="6DC2150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49</w:t>
            </w:r>
          </w:p>
        </w:tc>
      </w:tr>
      <w:tr w:rsidR="00E95512" w:rsidRPr="001A4B94" w14:paraId="5E38E50B"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1A3F1C46"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22C7244"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7E283D17" w14:textId="413C3A04"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31113-ABank-</w:t>
            </w:r>
            <w:r w:rsidR="002A2BDB" w:rsidRPr="001A4B94">
              <w:rPr>
                <w:rFonts w:eastAsia="Arial Unicode MS"/>
                <w:color w:val="000000"/>
                <w:sz w:val="16"/>
                <w:szCs w:val="16"/>
                <w:lang w:val="tr-TR"/>
              </w:rPr>
              <w:t xml:space="preserve">Kadın </w:t>
            </w:r>
          </w:p>
        </w:tc>
        <w:tc>
          <w:tcPr>
            <w:tcW w:w="646" w:type="dxa"/>
            <w:tcBorders>
              <w:top w:val="nil"/>
              <w:left w:val="nil"/>
              <w:bottom w:val="single" w:sz="8" w:space="0" w:color="93B1CD"/>
              <w:right w:val="single" w:sz="8" w:space="0" w:color="93B1CD"/>
            </w:tcBorders>
            <w:shd w:val="clear" w:color="auto" w:fill="auto"/>
            <w:noWrap/>
            <w:hideMark/>
          </w:tcPr>
          <w:p w14:paraId="68BCA9D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8CDAD0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auto" w:fill="auto"/>
            <w:noWrap/>
            <w:hideMark/>
          </w:tcPr>
          <w:p w14:paraId="75729C6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8E83A7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15</w:t>
            </w:r>
          </w:p>
        </w:tc>
        <w:tc>
          <w:tcPr>
            <w:tcW w:w="1351" w:type="dxa"/>
            <w:tcBorders>
              <w:top w:val="nil"/>
              <w:left w:val="nil"/>
              <w:bottom w:val="single" w:sz="8" w:space="0" w:color="CCCCCC"/>
              <w:right w:val="single" w:sz="8" w:space="0" w:color="CCCCCC"/>
            </w:tcBorders>
            <w:shd w:val="clear" w:color="auto" w:fill="auto"/>
            <w:noWrap/>
            <w:hideMark/>
          </w:tcPr>
          <w:p w14:paraId="10170574"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40</w:t>
            </w:r>
          </w:p>
        </w:tc>
      </w:tr>
      <w:tr w:rsidR="00E95512" w:rsidRPr="001A4B94" w14:paraId="5D7D3CBF"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47B7AFC9"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6CDF9539"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586C986D" w14:textId="70D582B3"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31112-TSKB </w:t>
            </w:r>
            <w:r w:rsidR="002A2BDB" w:rsidRPr="001A4B94">
              <w:rPr>
                <w:rFonts w:eastAsia="Arial Unicode MS"/>
                <w:color w:val="000000"/>
                <w:sz w:val="16"/>
                <w:szCs w:val="16"/>
                <w:lang w:val="tr-TR"/>
              </w:rPr>
              <w:t xml:space="preserve">Sürdürülebilir </w:t>
            </w:r>
          </w:p>
        </w:tc>
        <w:tc>
          <w:tcPr>
            <w:tcW w:w="646" w:type="dxa"/>
            <w:tcBorders>
              <w:top w:val="nil"/>
              <w:left w:val="nil"/>
              <w:bottom w:val="single" w:sz="8" w:space="0" w:color="93B1CD"/>
              <w:right w:val="single" w:sz="8" w:space="0" w:color="93B1CD"/>
            </w:tcBorders>
            <w:shd w:val="clear" w:color="auto" w:fill="auto"/>
            <w:noWrap/>
            <w:hideMark/>
          </w:tcPr>
          <w:p w14:paraId="59207D0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4E68E01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auto" w:fill="auto"/>
            <w:noWrap/>
            <w:hideMark/>
          </w:tcPr>
          <w:p w14:paraId="286A945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BC8FB3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8591B69"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4012586D"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28904EAB"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326C37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4124D7A3"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31085-YKB DPR</w:t>
            </w:r>
          </w:p>
        </w:tc>
        <w:tc>
          <w:tcPr>
            <w:tcW w:w="646" w:type="dxa"/>
            <w:tcBorders>
              <w:top w:val="nil"/>
              <w:left w:val="nil"/>
              <w:bottom w:val="single" w:sz="8" w:space="0" w:color="93B1CD"/>
              <w:right w:val="single" w:sz="8" w:space="0" w:color="93B1CD"/>
            </w:tcBorders>
            <w:shd w:val="clear" w:color="auto" w:fill="auto"/>
            <w:noWrap/>
            <w:hideMark/>
          </w:tcPr>
          <w:p w14:paraId="3D715F4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4161298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auto" w:fill="auto"/>
            <w:noWrap/>
            <w:hideMark/>
          </w:tcPr>
          <w:p w14:paraId="478391E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D817E6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70</w:t>
            </w:r>
          </w:p>
        </w:tc>
        <w:tc>
          <w:tcPr>
            <w:tcW w:w="1351" w:type="dxa"/>
            <w:tcBorders>
              <w:top w:val="nil"/>
              <w:left w:val="nil"/>
              <w:bottom w:val="single" w:sz="8" w:space="0" w:color="CCCCCC"/>
              <w:right w:val="single" w:sz="8" w:space="0" w:color="CCCCCC"/>
            </w:tcBorders>
            <w:shd w:val="clear" w:color="auto" w:fill="auto"/>
            <w:noWrap/>
            <w:hideMark/>
          </w:tcPr>
          <w:p w14:paraId="0BD9DD7A"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145</w:t>
            </w:r>
          </w:p>
        </w:tc>
      </w:tr>
      <w:tr w:rsidR="00E95512" w:rsidRPr="001A4B94" w14:paraId="6DFF9CE9"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1AD735E7"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D3B8C66"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008608B7" w14:textId="5CEB565E"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30579-</w:t>
            </w:r>
            <w:r w:rsidR="00CA4F96" w:rsidRPr="001A4B94">
              <w:rPr>
                <w:rFonts w:eastAsia="Arial Unicode MS"/>
                <w:color w:val="000000"/>
                <w:sz w:val="16"/>
                <w:szCs w:val="16"/>
                <w:lang w:val="tr-TR"/>
              </w:rPr>
              <w:t>Ş</w:t>
            </w:r>
            <w:r w:rsidRPr="001A4B94">
              <w:rPr>
                <w:rFonts w:eastAsia="Arial Unicode MS"/>
                <w:color w:val="000000"/>
                <w:sz w:val="16"/>
                <w:szCs w:val="16"/>
                <w:lang w:val="tr-TR"/>
              </w:rPr>
              <w:t xml:space="preserve">eker </w:t>
            </w:r>
            <w:r w:rsidR="002A2BDB" w:rsidRPr="001A4B94">
              <w:rPr>
                <w:rFonts w:eastAsia="Arial Unicode MS"/>
                <w:color w:val="000000"/>
                <w:sz w:val="16"/>
                <w:szCs w:val="16"/>
                <w:lang w:val="tr-TR"/>
              </w:rPr>
              <w:t xml:space="preserve">Tahvil </w:t>
            </w:r>
          </w:p>
        </w:tc>
        <w:tc>
          <w:tcPr>
            <w:tcW w:w="646" w:type="dxa"/>
            <w:tcBorders>
              <w:top w:val="nil"/>
              <w:left w:val="nil"/>
              <w:bottom w:val="single" w:sz="8" w:space="0" w:color="93B1CD"/>
              <w:right w:val="single" w:sz="8" w:space="0" w:color="93B1CD"/>
            </w:tcBorders>
            <w:shd w:val="clear" w:color="auto" w:fill="auto"/>
            <w:noWrap/>
            <w:hideMark/>
          </w:tcPr>
          <w:p w14:paraId="3108F7E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401BEF5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auto" w:fill="auto"/>
            <w:noWrap/>
            <w:hideMark/>
          </w:tcPr>
          <w:p w14:paraId="0ABA342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246EFC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50CD45E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0C95107E"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0233895D"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0E296BDC" w14:textId="2E110E7A"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MAS </w:t>
            </w:r>
            <w:r w:rsidR="00324768" w:rsidRPr="001A4B94">
              <w:rPr>
                <w:rFonts w:eastAsia="Arial Unicode MS"/>
                <w:color w:val="000000"/>
                <w:sz w:val="16"/>
                <w:szCs w:val="16"/>
                <w:lang w:val="tr-TR"/>
              </w:rPr>
              <w:t>Sektör Grubu</w:t>
            </w:r>
          </w:p>
        </w:tc>
        <w:tc>
          <w:tcPr>
            <w:tcW w:w="2173" w:type="dxa"/>
            <w:tcBorders>
              <w:top w:val="nil"/>
              <w:left w:val="nil"/>
              <w:bottom w:val="single" w:sz="8" w:space="0" w:color="93B1CD"/>
              <w:right w:val="single" w:sz="8" w:space="0" w:color="93B1CD"/>
            </w:tcBorders>
            <w:shd w:val="clear" w:color="auto" w:fill="auto"/>
            <w:noWrap/>
            <w:hideMark/>
          </w:tcPr>
          <w:p w14:paraId="661B9DCE" w14:textId="00BCBF13"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32197-UHG </w:t>
            </w:r>
            <w:r w:rsidR="0041316B" w:rsidRPr="001A4B94">
              <w:rPr>
                <w:rFonts w:eastAsia="Arial Unicode MS"/>
                <w:color w:val="000000"/>
                <w:sz w:val="16"/>
                <w:szCs w:val="16"/>
                <w:lang w:val="tr-TR"/>
              </w:rPr>
              <w:t xml:space="preserve">Hak İhracı </w:t>
            </w:r>
            <w:r w:rsidRPr="001A4B94">
              <w:rPr>
                <w:rFonts w:eastAsia="Arial Unicode MS"/>
                <w:color w:val="000000"/>
                <w:sz w:val="16"/>
                <w:szCs w:val="16"/>
                <w:lang w:val="tr-TR"/>
              </w:rPr>
              <w:t>II</w:t>
            </w:r>
          </w:p>
        </w:tc>
        <w:tc>
          <w:tcPr>
            <w:tcW w:w="646" w:type="dxa"/>
            <w:tcBorders>
              <w:top w:val="nil"/>
              <w:left w:val="nil"/>
              <w:bottom w:val="single" w:sz="8" w:space="0" w:color="93B1CD"/>
              <w:right w:val="single" w:sz="8" w:space="0" w:color="93B1CD"/>
            </w:tcBorders>
            <w:shd w:val="clear" w:color="auto" w:fill="auto"/>
            <w:noWrap/>
            <w:hideMark/>
          </w:tcPr>
          <w:p w14:paraId="4C81D23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B6B1EF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6</w:t>
            </w:r>
          </w:p>
        </w:tc>
        <w:tc>
          <w:tcPr>
            <w:tcW w:w="1168" w:type="dxa"/>
            <w:tcBorders>
              <w:top w:val="nil"/>
              <w:left w:val="nil"/>
              <w:bottom w:val="single" w:sz="8" w:space="0" w:color="CCCCCC"/>
              <w:right w:val="single" w:sz="8" w:space="0" w:color="CCCCCC"/>
            </w:tcBorders>
            <w:shd w:val="clear" w:color="auto" w:fill="auto"/>
            <w:noWrap/>
            <w:hideMark/>
          </w:tcPr>
          <w:p w14:paraId="478EC08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A7D68C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4829F47C"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w:t>
            </w:r>
          </w:p>
        </w:tc>
      </w:tr>
      <w:tr w:rsidR="00E95512" w:rsidRPr="001A4B94" w14:paraId="5FA6C64D"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4DA66446"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361BB9B"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5766EB8B" w14:textId="059060BE"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31929-UHG </w:t>
            </w:r>
            <w:r w:rsidR="0041316B" w:rsidRPr="001A4B94">
              <w:rPr>
                <w:rFonts w:eastAsia="Arial Unicode MS"/>
                <w:color w:val="000000"/>
                <w:sz w:val="16"/>
                <w:szCs w:val="16"/>
                <w:lang w:val="tr-TR"/>
              </w:rPr>
              <w:t xml:space="preserve">Hak İhracı </w:t>
            </w:r>
          </w:p>
        </w:tc>
        <w:tc>
          <w:tcPr>
            <w:tcW w:w="646" w:type="dxa"/>
            <w:tcBorders>
              <w:top w:val="nil"/>
              <w:left w:val="nil"/>
              <w:bottom w:val="single" w:sz="8" w:space="0" w:color="93B1CD"/>
              <w:right w:val="single" w:sz="8" w:space="0" w:color="93B1CD"/>
            </w:tcBorders>
            <w:shd w:val="clear" w:color="auto" w:fill="auto"/>
            <w:noWrap/>
            <w:hideMark/>
          </w:tcPr>
          <w:p w14:paraId="2267233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69BEC82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168" w:type="dxa"/>
            <w:tcBorders>
              <w:top w:val="nil"/>
              <w:left w:val="nil"/>
              <w:bottom w:val="single" w:sz="8" w:space="0" w:color="CCCCCC"/>
              <w:right w:val="single" w:sz="8" w:space="0" w:color="CCCCCC"/>
            </w:tcBorders>
            <w:shd w:val="clear" w:color="auto" w:fill="auto"/>
            <w:noWrap/>
            <w:hideMark/>
          </w:tcPr>
          <w:p w14:paraId="57114B7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D89297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220973A8"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w:t>
            </w:r>
          </w:p>
        </w:tc>
      </w:tr>
      <w:tr w:rsidR="00E95512" w:rsidRPr="001A4B94" w14:paraId="2DEA968C"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1C1262B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8630D03"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5AF6D47A"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31474-MNT</w:t>
            </w:r>
          </w:p>
        </w:tc>
        <w:tc>
          <w:tcPr>
            <w:tcW w:w="646" w:type="dxa"/>
            <w:tcBorders>
              <w:top w:val="nil"/>
              <w:left w:val="nil"/>
              <w:bottom w:val="single" w:sz="8" w:space="0" w:color="93B1CD"/>
              <w:right w:val="single" w:sz="8" w:space="0" w:color="93B1CD"/>
            </w:tcBorders>
            <w:shd w:val="clear" w:color="auto" w:fill="auto"/>
            <w:noWrap/>
            <w:hideMark/>
          </w:tcPr>
          <w:p w14:paraId="4A42227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6631EAE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30</w:t>
            </w:r>
          </w:p>
        </w:tc>
        <w:tc>
          <w:tcPr>
            <w:tcW w:w="1168" w:type="dxa"/>
            <w:tcBorders>
              <w:top w:val="nil"/>
              <w:left w:val="nil"/>
              <w:bottom w:val="single" w:sz="8" w:space="0" w:color="CCCCCC"/>
              <w:right w:val="single" w:sz="8" w:space="0" w:color="CCCCCC"/>
            </w:tcBorders>
            <w:shd w:val="clear" w:color="auto" w:fill="auto"/>
            <w:noWrap/>
            <w:hideMark/>
          </w:tcPr>
          <w:p w14:paraId="240D836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3577A87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4A86BC1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30</w:t>
            </w:r>
          </w:p>
        </w:tc>
      </w:tr>
      <w:tr w:rsidR="00E95512" w:rsidRPr="001A4B94" w14:paraId="154EF0E2"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1B9E4AA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2A3DC8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0350601F"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28467-Tiryaki</w:t>
            </w:r>
          </w:p>
        </w:tc>
        <w:tc>
          <w:tcPr>
            <w:tcW w:w="646" w:type="dxa"/>
            <w:tcBorders>
              <w:top w:val="nil"/>
              <w:left w:val="nil"/>
              <w:bottom w:val="single" w:sz="8" w:space="0" w:color="93B1CD"/>
              <w:right w:val="single" w:sz="8" w:space="0" w:color="93B1CD"/>
            </w:tcBorders>
            <w:shd w:val="clear" w:color="auto" w:fill="auto"/>
            <w:noWrap/>
            <w:hideMark/>
          </w:tcPr>
          <w:p w14:paraId="3D842B6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281D35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30</w:t>
            </w:r>
          </w:p>
        </w:tc>
        <w:tc>
          <w:tcPr>
            <w:tcW w:w="1168" w:type="dxa"/>
            <w:tcBorders>
              <w:top w:val="nil"/>
              <w:left w:val="nil"/>
              <w:bottom w:val="single" w:sz="8" w:space="0" w:color="CCCCCC"/>
              <w:right w:val="single" w:sz="8" w:space="0" w:color="CCCCCC"/>
            </w:tcBorders>
            <w:shd w:val="clear" w:color="auto" w:fill="auto"/>
            <w:noWrap/>
            <w:hideMark/>
          </w:tcPr>
          <w:p w14:paraId="199618B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2E3FB37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5CD5E8C0"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30</w:t>
            </w:r>
          </w:p>
        </w:tc>
      </w:tr>
      <w:tr w:rsidR="00E95512" w:rsidRPr="001A4B94" w14:paraId="17FBF3BB" w14:textId="77777777" w:rsidTr="004626A4">
        <w:trPr>
          <w:trHeight w:val="207"/>
        </w:trPr>
        <w:tc>
          <w:tcPr>
            <w:tcW w:w="577"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107BCD7E" w14:textId="77777777" w:rsidR="00747261" w:rsidRPr="001A4B94" w:rsidRDefault="00747261" w:rsidP="00747261">
            <w:pPr>
              <w:jc w:val="center"/>
              <w:rPr>
                <w:rFonts w:eastAsia="Arial Unicode MS"/>
                <w:color w:val="000000"/>
                <w:sz w:val="16"/>
                <w:szCs w:val="16"/>
                <w:lang w:val="tr-TR"/>
              </w:rPr>
            </w:pPr>
            <w:r w:rsidRPr="001A4B94">
              <w:rPr>
                <w:rFonts w:eastAsia="Arial Unicode MS"/>
                <w:color w:val="000000"/>
                <w:sz w:val="16"/>
                <w:szCs w:val="16"/>
                <w:lang w:val="tr-TR"/>
              </w:rPr>
              <w:t>2013</w:t>
            </w: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788727DF" w14:textId="1E933101"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CTT </w:t>
            </w:r>
            <w:r w:rsidR="00324768" w:rsidRPr="001A4B94">
              <w:rPr>
                <w:rFonts w:eastAsia="Arial Unicode MS"/>
                <w:color w:val="000000"/>
                <w:sz w:val="16"/>
                <w:szCs w:val="16"/>
                <w:lang w:val="tr-TR"/>
              </w:rPr>
              <w:t>Sektör Grubu</w:t>
            </w:r>
          </w:p>
        </w:tc>
        <w:tc>
          <w:tcPr>
            <w:tcW w:w="2173" w:type="dxa"/>
            <w:tcBorders>
              <w:top w:val="nil"/>
              <w:left w:val="nil"/>
              <w:bottom w:val="single" w:sz="8" w:space="0" w:color="93B1CD"/>
              <w:right w:val="single" w:sz="8" w:space="0" w:color="93B1CD"/>
            </w:tcBorders>
            <w:shd w:val="clear" w:color="000000" w:fill="DBDBDB"/>
            <w:noWrap/>
            <w:hideMark/>
          </w:tcPr>
          <w:p w14:paraId="741192B1"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32659-Earlybird</w:t>
            </w:r>
          </w:p>
        </w:tc>
        <w:tc>
          <w:tcPr>
            <w:tcW w:w="646" w:type="dxa"/>
            <w:tcBorders>
              <w:top w:val="nil"/>
              <w:left w:val="nil"/>
              <w:bottom w:val="single" w:sz="8" w:space="0" w:color="93B1CD"/>
              <w:right w:val="single" w:sz="8" w:space="0" w:color="93B1CD"/>
            </w:tcBorders>
            <w:shd w:val="clear" w:color="000000" w:fill="DBDBDB"/>
            <w:noWrap/>
            <w:hideMark/>
          </w:tcPr>
          <w:p w14:paraId="613573B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5AA5A84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000000" w:fill="DBDBDB"/>
            <w:noWrap/>
            <w:hideMark/>
          </w:tcPr>
          <w:p w14:paraId="2035490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373EF22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04DC718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6DF17510"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37C1FC7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7FE34AC"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5E37781C"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31623-Mediterra CP</w:t>
            </w:r>
          </w:p>
        </w:tc>
        <w:tc>
          <w:tcPr>
            <w:tcW w:w="646" w:type="dxa"/>
            <w:tcBorders>
              <w:top w:val="nil"/>
              <w:left w:val="nil"/>
              <w:bottom w:val="single" w:sz="8" w:space="0" w:color="93B1CD"/>
              <w:right w:val="single" w:sz="8" w:space="0" w:color="93B1CD"/>
            </w:tcBorders>
            <w:shd w:val="clear" w:color="000000" w:fill="DBDBDB"/>
            <w:noWrap/>
            <w:hideMark/>
          </w:tcPr>
          <w:p w14:paraId="1107AAE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6E344CD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20</w:t>
            </w:r>
          </w:p>
        </w:tc>
        <w:tc>
          <w:tcPr>
            <w:tcW w:w="1168" w:type="dxa"/>
            <w:tcBorders>
              <w:top w:val="nil"/>
              <w:left w:val="nil"/>
              <w:bottom w:val="single" w:sz="8" w:space="0" w:color="CCCCCC"/>
              <w:right w:val="single" w:sz="8" w:space="0" w:color="CCCCCC"/>
            </w:tcBorders>
            <w:shd w:val="clear" w:color="000000" w:fill="DBDBDB"/>
            <w:noWrap/>
            <w:hideMark/>
          </w:tcPr>
          <w:p w14:paraId="6775982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255B9A6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463EAFF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20</w:t>
            </w:r>
          </w:p>
        </w:tc>
      </w:tr>
      <w:tr w:rsidR="00E95512" w:rsidRPr="001A4B94" w14:paraId="7312C0C9"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6324DAF3"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17F08B19" w14:textId="38BE89A0"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 xml:space="preserve">FM </w:t>
            </w:r>
            <w:r w:rsidR="002A2BDB" w:rsidRPr="001A4B94">
              <w:rPr>
                <w:rFonts w:eastAsia="Arial Unicode MS"/>
                <w:color w:val="000000"/>
                <w:sz w:val="16"/>
                <w:szCs w:val="16"/>
                <w:lang w:val="tr-TR"/>
              </w:rPr>
              <w:t xml:space="preserve"> Sektör Grubu </w:t>
            </w:r>
          </w:p>
        </w:tc>
        <w:tc>
          <w:tcPr>
            <w:tcW w:w="2173" w:type="dxa"/>
            <w:tcBorders>
              <w:top w:val="nil"/>
              <w:left w:val="nil"/>
              <w:bottom w:val="single" w:sz="8" w:space="0" w:color="93B1CD"/>
              <w:right w:val="single" w:sz="8" w:space="0" w:color="93B1CD"/>
            </w:tcBorders>
            <w:shd w:val="clear" w:color="000000" w:fill="DBDBDB"/>
            <w:noWrap/>
            <w:hideMark/>
          </w:tcPr>
          <w:p w14:paraId="02150A5D" w14:textId="58BDD22E"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33154-Deniz </w:t>
            </w:r>
            <w:r w:rsidR="0041316B" w:rsidRPr="001A4B94">
              <w:rPr>
                <w:rFonts w:eastAsia="Arial Unicode MS"/>
                <w:color w:val="000000"/>
                <w:sz w:val="16"/>
                <w:szCs w:val="16"/>
                <w:lang w:val="tr-TR"/>
              </w:rPr>
              <w:t>Tem. Tahvil</w:t>
            </w:r>
          </w:p>
        </w:tc>
        <w:tc>
          <w:tcPr>
            <w:tcW w:w="646" w:type="dxa"/>
            <w:tcBorders>
              <w:top w:val="nil"/>
              <w:left w:val="nil"/>
              <w:bottom w:val="single" w:sz="8" w:space="0" w:color="93B1CD"/>
              <w:right w:val="single" w:sz="8" w:space="0" w:color="93B1CD"/>
            </w:tcBorders>
            <w:shd w:val="clear" w:color="000000" w:fill="DBDBDB"/>
            <w:noWrap/>
            <w:hideMark/>
          </w:tcPr>
          <w:p w14:paraId="7C3B41D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0858B2F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70</w:t>
            </w:r>
          </w:p>
        </w:tc>
        <w:tc>
          <w:tcPr>
            <w:tcW w:w="1168" w:type="dxa"/>
            <w:tcBorders>
              <w:top w:val="nil"/>
              <w:left w:val="nil"/>
              <w:bottom w:val="single" w:sz="8" w:space="0" w:color="CCCCCC"/>
              <w:right w:val="single" w:sz="8" w:space="0" w:color="CCCCCC"/>
            </w:tcBorders>
            <w:shd w:val="clear" w:color="000000" w:fill="DBDBDB"/>
            <w:noWrap/>
            <w:hideMark/>
          </w:tcPr>
          <w:p w14:paraId="4DD6759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3769DCC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734682BF"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70</w:t>
            </w:r>
          </w:p>
        </w:tc>
      </w:tr>
      <w:tr w:rsidR="00E95512" w:rsidRPr="001A4B94" w14:paraId="2DC33E36"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317AD256"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FE3F5B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7755A04D"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33143-TSKB Pol. Abatem</w:t>
            </w:r>
          </w:p>
        </w:tc>
        <w:tc>
          <w:tcPr>
            <w:tcW w:w="646" w:type="dxa"/>
            <w:tcBorders>
              <w:top w:val="nil"/>
              <w:left w:val="nil"/>
              <w:bottom w:val="single" w:sz="8" w:space="0" w:color="93B1CD"/>
              <w:right w:val="single" w:sz="8" w:space="0" w:color="93B1CD"/>
            </w:tcBorders>
            <w:shd w:val="clear" w:color="000000" w:fill="DBDBDB"/>
            <w:noWrap/>
            <w:hideMark/>
          </w:tcPr>
          <w:p w14:paraId="2AF3A6B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6050180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000000" w:fill="DBDBDB"/>
            <w:noWrap/>
            <w:hideMark/>
          </w:tcPr>
          <w:p w14:paraId="7BB73C1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3F89B70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213FF5B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3A66AA58"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36365C55"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E8103FD"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1682FC52" w14:textId="5F67F643"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32241-</w:t>
            </w:r>
            <w:r w:rsidR="0041316B" w:rsidRPr="001A4B94">
              <w:rPr>
                <w:rFonts w:eastAsia="Arial Unicode MS"/>
                <w:color w:val="000000"/>
                <w:sz w:val="16"/>
                <w:szCs w:val="16"/>
                <w:lang w:val="tr-TR"/>
              </w:rPr>
              <w:t xml:space="preserve">İş </w:t>
            </w:r>
            <w:r w:rsidRPr="001A4B94">
              <w:rPr>
                <w:rFonts w:eastAsia="Arial Unicode MS"/>
                <w:color w:val="000000"/>
                <w:sz w:val="16"/>
                <w:szCs w:val="16"/>
                <w:lang w:val="tr-TR"/>
              </w:rPr>
              <w:t xml:space="preserve">Leasing </w:t>
            </w:r>
            <w:r w:rsidR="0041316B" w:rsidRPr="001A4B94">
              <w:rPr>
                <w:rFonts w:eastAsia="Arial Unicode MS"/>
                <w:color w:val="000000"/>
                <w:sz w:val="16"/>
                <w:szCs w:val="16"/>
                <w:lang w:val="tr-TR"/>
              </w:rPr>
              <w:t>YE</w:t>
            </w:r>
            <w:r w:rsidRPr="001A4B94">
              <w:rPr>
                <w:rFonts w:eastAsia="Arial Unicode MS"/>
                <w:color w:val="000000"/>
                <w:sz w:val="16"/>
                <w:szCs w:val="16"/>
                <w:lang w:val="tr-TR"/>
              </w:rPr>
              <w:t>/</w:t>
            </w:r>
            <w:r w:rsidR="0041316B" w:rsidRPr="001A4B94">
              <w:rPr>
                <w:rFonts w:eastAsia="Arial Unicode MS"/>
                <w:color w:val="000000"/>
                <w:sz w:val="16"/>
                <w:szCs w:val="16"/>
                <w:lang w:val="tr-TR"/>
              </w:rPr>
              <w:t>EV</w:t>
            </w:r>
          </w:p>
        </w:tc>
        <w:tc>
          <w:tcPr>
            <w:tcW w:w="646" w:type="dxa"/>
            <w:tcBorders>
              <w:top w:val="nil"/>
              <w:left w:val="nil"/>
              <w:bottom w:val="single" w:sz="8" w:space="0" w:color="93B1CD"/>
              <w:right w:val="single" w:sz="8" w:space="0" w:color="93B1CD"/>
            </w:tcBorders>
            <w:shd w:val="clear" w:color="000000" w:fill="DBDBDB"/>
            <w:noWrap/>
            <w:hideMark/>
          </w:tcPr>
          <w:p w14:paraId="3A168F7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0E8B5CA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35</w:t>
            </w:r>
          </w:p>
        </w:tc>
        <w:tc>
          <w:tcPr>
            <w:tcW w:w="1168" w:type="dxa"/>
            <w:tcBorders>
              <w:top w:val="nil"/>
              <w:left w:val="nil"/>
              <w:bottom w:val="single" w:sz="8" w:space="0" w:color="CCCCCC"/>
              <w:right w:val="single" w:sz="8" w:space="0" w:color="CCCCCC"/>
            </w:tcBorders>
            <w:shd w:val="clear" w:color="000000" w:fill="DBDBDB"/>
            <w:noWrap/>
            <w:hideMark/>
          </w:tcPr>
          <w:p w14:paraId="136DDC3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78A50AC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6E9A8ED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35</w:t>
            </w:r>
          </w:p>
        </w:tc>
      </w:tr>
      <w:tr w:rsidR="00E95512" w:rsidRPr="001A4B94" w14:paraId="253F4EA2"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0FA1BC87"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ACA3041"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49AA03B5"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31274-Finansbank DPR</w:t>
            </w:r>
          </w:p>
        </w:tc>
        <w:tc>
          <w:tcPr>
            <w:tcW w:w="646" w:type="dxa"/>
            <w:tcBorders>
              <w:top w:val="nil"/>
              <w:left w:val="nil"/>
              <w:bottom w:val="single" w:sz="8" w:space="0" w:color="93B1CD"/>
              <w:right w:val="single" w:sz="8" w:space="0" w:color="93B1CD"/>
            </w:tcBorders>
            <w:shd w:val="clear" w:color="000000" w:fill="DBDBDB"/>
            <w:noWrap/>
            <w:hideMark/>
          </w:tcPr>
          <w:p w14:paraId="1A5D054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7DA05C6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000000" w:fill="DBDBDB"/>
            <w:noWrap/>
            <w:hideMark/>
          </w:tcPr>
          <w:p w14:paraId="0C0656B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6A3A001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4E22B9D0"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67701338"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08B8702D"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26B4213A" w14:textId="4090BF79"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 xml:space="preserve">Altyapı Sektör Grubu  </w:t>
            </w:r>
          </w:p>
        </w:tc>
        <w:tc>
          <w:tcPr>
            <w:tcW w:w="2173" w:type="dxa"/>
            <w:tcBorders>
              <w:top w:val="nil"/>
              <w:left w:val="nil"/>
              <w:bottom w:val="single" w:sz="8" w:space="0" w:color="93B1CD"/>
              <w:right w:val="single" w:sz="8" w:space="0" w:color="93B1CD"/>
            </w:tcBorders>
            <w:shd w:val="clear" w:color="000000" w:fill="DBDBDB"/>
            <w:noWrap/>
            <w:hideMark/>
          </w:tcPr>
          <w:p w14:paraId="676B6E5B"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32902-Asyaport</w:t>
            </w:r>
          </w:p>
        </w:tc>
        <w:tc>
          <w:tcPr>
            <w:tcW w:w="646" w:type="dxa"/>
            <w:tcBorders>
              <w:top w:val="nil"/>
              <w:left w:val="nil"/>
              <w:bottom w:val="single" w:sz="8" w:space="0" w:color="93B1CD"/>
              <w:right w:val="single" w:sz="8" w:space="0" w:color="93B1CD"/>
            </w:tcBorders>
            <w:shd w:val="clear" w:color="000000" w:fill="DBDBDB"/>
            <w:noWrap/>
            <w:hideMark/>
          </w:tcPr>
          <w:p w14:paraId="1F75936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7CA53B1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000000" w:fill="DBDBDB"/>
            <w:noWrap/>
            <w:hideMark/>
          </w:tcPr>
          <w:p w14:paraId="69D9160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482E222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2CE1A47D"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0FB964E6"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519E33F1"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D3B9445"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31B3EE3D"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32503-Farcan ACWA</w:t>
            </w:r>
          </w:p>
        </w:tc>
        <w:tc>
          <w:tcPr>
            <w:tcW w:w="646" w:type="dxa"/>
            <w:tcBorders>
              <w:top w:val="nil"/>
              <w:left w:val="nil"/>
              <w:bottom w:val="single" w:sz="8" w:space="0" w:color="93B1CD"/>
              <w:right w:val="single" w:sz="8" w:space="0" w:color="93B1CD"/>
            </w:tcBorders>
            <w:shd w:val="clear" w:color="000000" w:fill="DBDBDB"/>
            <w:noWrap/>
            <w:hideMark/>
          </w:tcPr>
          <w:p w14:paraId="5EC7657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228C4EC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125</w:t>
            </w:r>
          </w:p>
        </w:tc>
        <w:tc>
          <w:tcPr>
            <w:tcW w:w="1168" w:type="dxa"/>
            <w:tcBorders>
              <w:top w:val="nil"/>
              <w:left w:val="nil"/>
              <w:bottom w:val="single" w:sz="8" w:space="0" w:color="CCCCCC"/>
              <w:right w:val="single" w:sz="8" w:space="0" w:color="CCCCCC"/>
            </w:tcBorders>
            <w:shd w:val="clear" w:color="000000" w:fill="DBDBDB"/>
            <w:noWrap/>
            <w:hideMark/>
          </w:tcPr>
          <w:p w14:paraId="7BB6621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1EDDB84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AF2CD4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125</w:t>
            </w:r>
          </w:p>
        </w:tc>
      </w:tr>
      <w:tr w:rsidR="00E95512" w:rsidRPr="001A4B94" w14:paraId="79DD691A"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5660921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1D046BB"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3E364262" w14:textId="2692635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32078-</w:t>
            </w:r>
            <w:r w:rsidR="0041316B" w:rsidRPr="001A4B94">
              <w:rPr>
                <w:rFonts w:eastAsia="Arial Unicode MS"/>
                <w:color w:val="000000"/>
                <w:sz w:val="16"/>
                <w:szCs w:val="16"/>
                <w:lang w:val="tr-TR"/>
              </w:rPr>
              <w:t>İ</w:t>
            </w:r>
            <w:r w:rsidRPr="001A4B94">
              <w:rPr>
                <w:rFonts w:eastAsia="Arial Unicode MS"/>
                <w:color w:val="000000"/>
                <w:sz w:val="16"/>
                <w:szCs w:val="16"/>
                <w:lang w:val="tr-TR"/>
              </w:rPr>
              <w:t xml:space="preserve">zsu </w:t>
            </w:r>
            <w:r w:rsidR="0041316B" w:rsidRPr="001A4B94">
              <w:rPr>
                <w:rFonts w:eastAsia="Arial Unicode MS"/>
                <w:color w:val="000000"/>
                <w:sz w:val="16"/>
                <w:szCs w:val="16"/>
                <w:lang w:val="tr-TR"/>
              </w:rPr>
              <w:t xml:space="preserve">Atıksu </w:t>
            </w:r>
          </w:p>
        </w:tc>
        <w:tc>
          <w:tcPr>
            <w:tcW w:w="646" w:type="dxa"/>
            <w:tcBorders>
              <w:top w:val="nil"/>
              <w:left w:val="nil"/>
              <w:bottom w:val="single" w:sz="8" w:space="0" w:color="93B1CD"/>
              <w:right w:val="single" w:sz="8" w:space="0" w:color="93B1CD"/>
            </w:tcBorders>
            <w:shd w:val="clear" w:color="000000" w:fill="DBDBDB"/>
            <w:noWrap/>
            <w:hideMark/>
          </w:tcPr>
          <w:p w14:paraId="429D8A4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30CDEBF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36</w:t>
            </w:r>
          </w:p>
        </w:tc>
        <w:tc>
          <w:tcPr>
            <w:tcW w:w="1168" w:type="dxa"/>
            <w:tcBorders>
              <w:top w:val="nil"/>
              <w:left w:val="nil"/>
              <w:bottom w:val="single" w:sz="8" w:space="0" w:color="CCCCCC"/>
              <w:right w:val="single" w:sz="8" w:space="0" w:color="CCCCCC"/>
            </w:tcBorders>
            <w:shd w:val="clear" w:color="000000" w:fill="DBDBDB"/>
            <w:noWrap/>
            <w:hideMark/>
          </w:tcPr>
          <w:p w14:paraId="66E1D1A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0034974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7C9BA38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36</w:t>
            </w:r>
          </w:p>
        </w:tc>
      </w:tr>
      <w:tr w:rsidR="00E95512" w:rsidRPr="001A4B94" w14:paraId="4AA9803C"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3E160ACC"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6EA913C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67692ADC" w14:textId="60F08DA5"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31733-</w:t>
            </w:r>
            <w:r w:rsidR="0041316B" w:rsidRPr="001A4B94">
              <w:rPr>
                <w:rFonts w:eastAsia="Arial Unicode MS"/>
                <w:color w:val="000000"/>
                <w:sz w:val="16"/>
                <w:szCs w:val="16"/>
                <w:lang w:val="tr-TR"/>
              </w:rPr>
              <w:t>İ</w:t>
            </w:r>
            <w:r w:rsidRPr="001A4B94">
              <w:rPr>
                <w:rFonts w:eastAsia="Arial Unicode MS"/>
                <w:color w:val="000000"/>
                <w:sz w:val="16"/>
                <w:szCs w:val="16"/>
                <w:lang w:val="tr-TR"/>
              </w:rPr>
              <w:t xml:space="preserve">zmir </w:t>
            </w:r>
            <w:r w:rsidR="0041316B" w:rsidRPr="001A4B94">
              <w:rPr>
                <w:rFonts w:eastAsia="Arial Unicode MS"/>
                <w:color w:val="000000"/>
                <w:sz w:val="16"/>
                <w:szCs w:val="16"/>
                <w:lang w:val="tr-TR"/>
              </w:rPr>
              <w:t xml:space="preserve">Belediye </w:t>
            </w:r>
          </w:p>
        </w:tc>
        <w:tc>
          <w:tcPr>
            <w:tcW w:w="646" w:type="dxa"/>
            <w:tcBorders>
              <w:top w:val="nil"/>
              <w:left w:val="nil"/>
              <w:bottom w:val="single" w:sz="8" w:space="0" w:color="93B1CD"/>
              <w:right w:val="single" w:sz="8" w:space="0" w:color="93B1CD"/>
            </w:tcBorders>
            <w:shd w:val="clear" w:color="000000" w:fill="DBDBDB"/>
            <w:noWrap/>
            <w:hideMark/>
          </w:tcPr>
          <w:p w14:paraId="489E2B2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76E9C92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59</w:t>
            </w:r>
          </w:p>
        </w:tc>
        <w:tc>
          <w:tcPr>
            <w:tcW w:w="1168" w:type="dxa"/>
            <w:tcBorders>
              <w:top w:val="nil"/>
              <w:left w:val="nil"/>
              <w:bottom w:val="single" w:sz="8" w:space="0" w:color="CCCCCC"/>
              <w:right w:val="single" w:sz="8" w:space="0" w:color="CCCCCC"/>
            </w:tcBorders>
            <w:shd w:val="clear" w:color="000000" w:fill="DBDBDB"/>
            <w:noWrap/>
            <w:hideMark/>
          </w:tcPr>
          <w:p w14:paraId="01D715D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336EB5B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93F40E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59</w:t>
            </w:r>
          </w:p>
        </w:tc>
      </w:tr>
      <w:tr w:rsidR="00E95512" w:rsidRPr="001A4B94" w14:paraId="4E1DA507"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63A95EFA"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73AD8D36" w14:textId="0123ECA3"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MAS </w:t>
            </w:r>
            <w:r w:rsidR="00324768" w:rsidRPr="001A4B94">
              <w:rPr>
                <w:rFonts w:eastAsia="Arial Unicode MS"/>
                <w:color w:val="000000"/>
                <w:sz w:val="16"/>
                <w:szCs w:val="16"/>
                <w:lang w:val="tr-TR"/>
              </w:rPr>
              <w:t>Sektör Grubu</w:t>
            </w:r>
          </w:p>
        </w:tc>
        <w:tc>
          <w:tcPr>
            <w:tcW w:w="2173" w:type="dxa"/>
            <w:tcBorders>
              <w:top w:val="nil"/>
              <w:left w:val="nil"/>
              <w:bottom w:val="single" w:sz="8" w:space="0" w:color="93B1CD"/>
              <w:right w:val="single" w:sz="8" w:space="0" w:color="93B1CD"/>
            </w:tcBorders>
            <w:shd w:val="clear" w:color="000000" w:fill="DBDBDB"/>
            <w:noWrap/>
            <w:hideMark/>
          </w:tcPr>
          <w:p w14:paraId="640F3C23" w14:textId="1C2829F2"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33711-</w:t>
            </w:r>
            <w:r w:rsidR="0041316B" w:rsidRPr="001A4B94">
              <w:rPr>
                <w:rFonts w:eastAsia="Arial Unicode MS"/>
                <w:color w:val="000000"/>
                <w:sz w:val="16"/>
                <w:szCs w:val="16"/>
                <w:lang w:val="tr-TR"/>
              </w:rPr>
              <w:t>Ş</w:t>
            </w:r>
            <w:r w:rsidRPr="001A4B94">
              <w:rPr>
                <w:rFonts w:eastAsia="Arial Unicode MS"/>
                <w:color w:val="000000"/>
                <w:sz w:val="16"/>
                <w:szCs w:val="16"/>
                <w:lang w:val="tr-TR"/>
              </w:rPr>
              <w:t>i</w:t>
            </w:r>
            <w:r w:rsidR="0041316B" w:rsidRPr="001A4B94">
              <w:rPr>
                <w:rFonts w:eastAsia="Arial Unicode MS"/>
                <w:color w:val="000000"/>
                <w:sz w:val="16"/>
                <w:szCs w:val="16"/>
                <w:lang w:val="tr-TR"/>
              </w:rPr>
              <w:t>ş</w:t>
            </w:r>
            <w:r w:rsidRPr="001A4B94">
              <w:rPr>
                <w:rFonts w:eastAsia="Arial Unicode MS"/>
                <w:color w:val="000000"/>
                <w:sz w:val="16"/>
                <w:szCs w:val="16"/>
                <w:lang w:val="tr-TR"/>
              </w:rPr>
              <w:t xml:space="preserve">ecam </w:t>
            </w:r>
            <w:r w:rsidR="0041316B" w:rsidRPr="001A4B94">
              <w:rPr>
                <w:rFonts w:eastAsia="Arial Unicode MS"/>
                <w:color w:val="000000"/>
                <w:sz w:val="16"/>
                <w:szCs w:val="16"/>
                <w:lang w:val="tr-TR"/>
              </w:rPr>
              <w:t xml:space="preserve">Tahvil </w:t>
            </w:r>
          </w:p>
        </w:tc>
        <w:tc>
          <w:tcPr>
            <w:tcW w:w="646" w:type="dxa"/>
            <w:tcBorders>
              <w:top w:val="nil"/>
              <w:left w:val="nil"/>
              <w:bottom w:val="single" w:sz="8" w:space="0" w:color="93B1CD"/>
              <w:right w:val="single" w:sz="8" w:space="0" w:color="93B1CD"/>
            </w:tcBorders>
            <w:shd w:val="clear" w:color="000000" w:fill="DBDBDB"/>
            <w:noWrap/>
            <w:hideMark/>
          </w:tcPr>
          <w:p w14:paraId="3782FDB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374CC1C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000000" w:fill="DBDBDB"/>
            <w:noWrap/>
            <w:hideMark/>
          </w:tcPr>
          <w:p w14:paraId="16B3D1A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0B7DE68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7800B49B"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40</w:t>
            </w:r>
          </w:p>
        </w:tc>
      </w:tr>
      <w:tr w:rsidR="00E95512" w:rsidRPr="001A4B94" w14:paraId="294C274E" w14:textId="77777777" w:rsidTr="004626A4">
        <w:trPr>
          <w:trHeight w:val="207"/>
        </w:trPr>
        <w:tc>
          <w:tcPr>
            <w:tcW w:w="577" w:type="dxa"/>
            <w:vMerge/>
            <w:tcBorders>
              <w:top w:val="nil"/>
              <w:left w:val="single" w:sz="8" w:space="0" w:color="93B1CD"/>
              <w:bottom w:val="single" w:sz="8" w:space="0" w:color="93B1CD"/>
              <w:right w:val="single" w:sz="8" w:space="0" w:color="93B1CD"/>
            </w:tcBorders>
            <w:vAlign w:val="center"/>
            <w:hideMark/>
          </w:tcPr>
          <w:p w14:paraId="6250EE29"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5CD74F5"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460CC195"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32583-Plato</w:t>
            </w:r>
          </w:p>
        </w:tc>
        <w:tc>
          <w:tcPr>
            <w:tcW w:w="646" w:type="dxa"/>
            <w:tcBorders>
              <w:top w:val="nil"/>
              <w:left w:val="nil"/>
              <w:bottom w:val="single" w:sz="8" w:space="0" w:color="93B1CD"/>
              <w:right w:val="single" w:sz="8" w:space="0" w:color="93B1CD"/>
            </w:tcBorders>
            <w:shd w:val="clear" w:color="000000" w:fill="DBDBDB"/>
            <w:noWrap/>
            <w:hideMark/>
          </w:tcPr>
          <w:p w14:paraId="726B3E2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173C53E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6</w:t>
            </w:r>
          </w:p>
        </w:tc>
        <w:tc>
          <w:tcPr>
            <w:tcW w:w="1168" w:type="dxa"/>
            <w:tcBorders>
              <w:top w:val="nil"/>
              <w:left w:val="nil"/>
              <w:bottom w:val="single" w:sz="8" w:space="0" w:color="CCCCCC"/>
              <w:right w:val="single" w:sz="8" w:space="0" w:color="CCCCCC"/>
            </w:tcBorders>
            <w:shd w:val="clear" w:color="000000" w:fill="DBDBDB"/>
            <w:noWrap/>
            <w:hideMark/>
          </w:tcPr>
          <w:p w14:paraId="006AC65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1B48BFA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50ECD8F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w:t>
            </w:r>
          </w:p>
        </w:tc>
      </w:tr>
      <w:tr w:rsidR="00E95512" w:rsidRPr="001A4B94" w14:paraId="43BB02B9"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98C9388"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104AB16"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3B244D4C"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32420-Sanko Tekstil</w:t>
            </w:r>
          </w:p>
        </w:tc>
        <w:tc>
          <w:tcPr>
            <w:tcW w:w="646" w:type="dxa"/>
            <w:tcBorders>
              <w:top w:val="nil"/>
              <w:left w:val="nil"/>
              <w:bottom w:val="single" w:sz="8" w:space="0" w:color="93B1CD"/>
              <w:right w:val="single" w:sz="8" w:space="0" w:color="93B1CD"/>
            </w:tcBorders>
            <w:shd w:val="clear" w:color="000000" w:fill="DBDBDB"/>
            <w:noWrap/>
            <w:hideMark/>
          </w:tcPr>
          <w:p w14:paraId="7AB6426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3D1F96C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000000" w:fill="DBDBDB"/>
            <w:noWrap/>
            <w:hideMark/>
          </w:tcPr>
          <w:p w14:paraId="7FE762D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6AC7040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6FF2768D"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5444C838"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86444A7"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9AAA584"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629C93B1"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32285-CPLF-ModernKarto</w:t>
            </w:r>
          </w:p>
        </w:tc>
        <w:tc>
          <w:tcPr>
            <w:tcW w:w="646" w:type="dxa"/>
            <w:tcBorders>
              <w:top w:val="nil"/>
              <w:left w:val="nil"/>
              <w:bottom w:val="single" w:sz="8" w:space="0" w:color="93B1CD"/>
              <w:right w:val="single" w:sz="8" w:space="0" w:color="93B1CD"/>
            </w:tcBorders>
            <w:shd w:val="clear" w:color="000000" w:fill="DBDBDB"/>
            <w:noWrap/>
            <w:hideMark/>
          </w:tcPr>
          <w:p w14:paraId="2BDAC5D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02E5A3F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8</w:t>
            </w:r>
          </w:p>
        </w:tc>
        <w:tc>
          <w:tcPr>
            <w:tcW w:w="1168" w:type="dxa"/>
            <w:tcBorders>
              <w:top w:val="nil"/>
              <w:left w:val="nil"/>
              <w:bottom w:val="single" w:sz="8" w:space="0" w:color="CCCCCC"/>
              <w:right w:val="single" w:sz="8" w:space="0" w:color="CCCCCC"/>
            </w:tcBorders>
            <w:shd w:val="clear" w:color="000000" w:fill="DBDBDB"/>
            <w:noWrap/>
            <w:hideMark/>
          </w:tcPr>
          <w:p w14:paraId="3ECF740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37A1EBD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59E228D1"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8</w:t>
            </w:r>
          </w:p>
        </w:tc>
      </w:tr>
      <w:tr w:rsidR="00E95512" w:rsidRPr="001A4B94" w14:paraId="0261097B"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DC1F491"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4D051E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06E365F0"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32026-OzU</w:t>
            </w:r>
          </w:p>
        </w:tc>
        <w:tc>
          <w:tcPr>
            <w:tcW w:w="646" w:type="dxa"/>
            <w:tcBorders>
              <w:top w:val="nil"/>
              <w:left w:val="nil"/>
              <w:bottom w:val="single" w:sz="8" w:space="0" w:color="93B1CD"/>
              <w:right w:val="single" w:sz="8" w:space="0" w:color="93B1CD"/>
            </w:tcBorders>
            <w:shd w:val="clear" w:color="000000" w:fill="DBDBDB"/>
            <w:noWrap/>
            <w:hideMark/>
          </w:tcPr>
          <w:p w14:paraId="5CCA593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59CC7EB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43</w:t>
            </w:r>
          </w:p>
        </w:tc>
        <w:tc>
          <w:tcPr>
            <w:tcW w:w="1168" w:type="dxa"/>
            <w:tcBorders>
              <w:top w:val="nil"/>
              <w:left w:val="nil"/>
              <w:bottom w:val="single" w:sz="8" w:space="0" w:color="CCCCCC"/>
              <w:right w:val="single" w:sz="8" w:space="0" w:color="CCCCCC"/>
            </w:tcBorders>
            <w:shd w:val="clear" w:color="000000" w:fill="DBDBDB"/>
            <w:noWrap/>
            <w:hideMark/>
          </w:tcPr>
          <w:p w14:paraId="152560F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56057F3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2BEEC750"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43</w:t>
            </w:r>
          </w:p>
        </w:tc>
      </w:tr>
      <w:tr w:rsidR="00E95512" w:rsidRPr="001A4B94" w14:paraId="44D616E7"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FB556C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ACDDDE4"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56C65203"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31983-Superfilm</w:t>
            </w:r>
          </w:p>
        </w:tc>
        <w:tc>
          <w:tcPr>
            <w:tcW w:w="646" w:type="dxa"/>
            <w:tcBorders>
              <w:top w:val="nil"/>
              <w:left w:val="nil"/>
              <w:bottom w:val="single" w:sz="8" w:space="0" w:color="93B1CD"/>
              <w:right w:val="single" w:sz="8" w:space="0" w:color="93B1CD"/>
            </w:tcBorders>
            <w:shd w:val="clear" w:color="000000" w:fill="DBDBDB"/>
            <w:noWrap/>
            <w:hideMark/>
          </w:tcPr>
          <w:p w14:paraId="1145234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2467C4C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45</w:t>
            </w:r>
          </w:p>
        </w:tc>
        <w:tc>
          <w:tcPr>
            <w:tcW w:w="1168" w:type="dxa"/>
            <w:tcBorders>
              <w:top w:val="nil"/>
              <w:left w:val="nil"/>
              <w:bottom w:val="single" w:sz="8" w:space="0" w:color="CCCCCC"/>
              <w:right w:val="single" w:sz="8" w:space="0" w:color="CCCCCC"/>
            </w:tcBorders>
            <w:shd w:val="clear" w:color="000000" w:fill="DBDBDB"/>
            <w:noWrap/>
            <w:hideMark/>
          </w:tcPr>
          <w:p w14:paraId="3BF583B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54CA4FB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706098E2"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45</w:t>
            </w:r>
          </w:p>
        </w:tc>
      </w:tr>
      <w:tr w:rsidR="00E95512" w:rsidRPr="001A4B94" w14:paraId="217F009D"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4397F0C"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CCBD51E"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02BB86A4"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31836-KKagit</w:t>
            </w:r>
          </w:p>
        </w:tc>
        <w:tc>
          <w:tcPr>
            <w:tcW w:w="646" w:type="dxa"/>
            <w:tcBorders>
              <w:top w:val="nil"/>
              <w:left w:val="nil"/>
              <w:bottom w:val="single" w:sz="8" w:space="0" w:color="93B1CD"/>
              <w:right w:val="single" w:sz="8" w:space="0" w:color="93B1CD"/>
            </w:tcBorders>
            <w:shd w:val="clear" w:color="000000" w:fill="DBDBDB"/>
            <w:noWrap/>
            <w:hideMark/>
          </w:tcPr>
          <w:p w14:paraId="6F28F18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10C6D1D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50</w:t>
            </w:r>
          </w:p>
        </w:tc>
        <w:tc>
          <w:tcPr>
            <w:tcW w:w="1168" w:type="dxa"/>
            <w:tcBorders>
              <w:top w:val="nil"/>
              <w:left w:val="nil"/>
              <w:bottom w:val="single" w:sz="8" w:space="0" w:color="CCCCCC"/>
              <w:right w:val="single" w:sz="8" w:space="0" w:color="CCCCCC"/>
            </w:tcBorders>
            <w:shd w:val="clear" w:color="000000" w:fill="DBDBDB"/>
            <w:noWrap/>
            <w:hideMark/>
          </w:tcPr>
          <w:p w14:paraId="366CF10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0C66B3A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5B067338"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50</w:t>
            </w:r>
          </w:p>
        </w:tc>
      </w:tr>
      <w:tr w:rsidR="00E95512" w:rsidRPr="001A4B94" w14:paraId="44834E88" w14:textId="77777777" w:rsidTr="004626A4">
        <w:trPr>
          <w:trHeight w:val="219"/>
        </w:trPr>
        <w:tc>
          <w:tcPr>
            <w:tcW w:w="577"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204755A3" w14:textId="77777777" w:rsidR="00747261" w:rsidRPr="001A4B94" w:rsidRDefault="00747261" w:rsidP="00747261">
            <w:pPr>
              <w:jc w:val="center"/>
              <w:rPr>
                <w:rFonts w:eastAsia="Arial Unicode MS"/>
                <w:color w:val="000000"/>
                <w:sz w:val="16"/>
                <w:szCs w:val="16"/>
                <w:lang w:val="tr-TR"/>
              </w:rPr>
            </w:pPr>
            <w:r w:rsidRPr="001A4B94">
              <w:rPr>
                <w:rFonts w:eastAsia="Arial Unicode MS"/>
                <w:color w:val="000000"/>
                <w:sz w:val="16"/>
                <w:szCs w:val="16"/>
                <w:lang w:val="tr-TR"/>
              </w:rPr>
              <w:t>2014</w:t>
            </w:r>
          </w:p>
        </w:tc>
        <w:tc>
          <w:tcPr>
            <w:tcW w:w="1351" w:type="dxa"/>
            <w:tcBorders>
              <w:top w:val="nil"/>
              <w:left w:val="nil"/>
              <w:bottom w:val="single" w:sz="8" w:space="0" w:color="93B1CD"/>
              <w:right w:val="single" w:sz="8" w:space="0" w:color="93B1CD"/>
            </w:tcBorders>
            <w:shd w:val="clear" w:color="auto" w:fill="auto"/>
            <w:noWrap/>
            <w:vAlign w:val="center"/>
            <w:hideMark/>
          </w:tcPr>
          <w:p w14:paraId="6BAD1672" w14:textId="6DC899F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CTT </w:t>
            </w:r>
            <w:r w:rsidR="00324768" w:rsidRPr="001A4B94">
              <w:rPr>
                <w:rFonts w:eastAsia="Arial Unicode MS"/>
                <w:color w:val="000000"/>
                <w:sz w:val="16"/>
                <w:szCs w:val="16"/>
                <w:lang w:val="tr-TR"/>
              </w:rPr>
              <w:t>Sektör Grubu</w:t>
            </w:r>
          </w:p>
        </w:tc>
        <w:tc>
          <w:tcPr>
            <w:tcW w:w="2173" w:type="dxa"/>
            <w:tcBorders>
              <w:top w:val="nil"/>
              <w:left w:val="nil"/>
              <w:bottom w:val="single" w:sz="8" w:space="0" w:color="93B1CD"/>
              <w:right w:val="single" w:sz="8" w:space="0" w:color="93B1CD"/>
            </w:tcBorders>
            <w:shd w:val="clear" w:color="auto" w:fill="auto"/>
            <w:noWrap/>
            <w:hideMark/>
          </w:tcPr>
          <w:p w14:paraId="6A42F126"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33645-Logo</w:t>
            </w:r>
          </w:p>
        </w:tc>
        <w:tc>
          <w:tcPr>
            <w:tcW w:w="646" w:type="dxa"/>
            <w:tcBorders>
              <w:top w:val="nil"/>
              <w:left w:val="nil"/>
              <w:bottom w:val="single" w:sz="8" w:space="0" w:color="93B1CD"/>
              <w:right w:val="single" w:sz="8" w:space="0" w:color="93B1CD"/>
            </w:tcBorders>
            <w:shd w:val="clear" w:color="auto" w:fill="auto"/>
            <w:noWrap/>
            <w:hideMark/>
          </w:tcPr>
          <w:p w14:paraId="252A21A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5C59341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13</w:t>
            </w:r>
          </w:p>
        </w:tc>
        <w:tc>
          <w:tcPr>
            <w:tcW w:w="1168" w:type="dxa"/>
            <w:tcBorders>
              <w:top w:val="nil"/>
              <w:left w:val="nil"/>
              <w:bottom w:val="single" w:sz="8" w:space="0" w:color="CCCCCC"/>
              <w:right w:val="single" w:sz="8" w:space="0" w:color="CCCCCC"/>
            </w:tcBorders>
            <w:shd w:val="clear" w:color="auto" w:fill="auto"/>
            <w:noWrap/>
            <w:hideMark/>
          </w:tcPr>
          <w:p w14:paraId="65305A4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0B05372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6221C4AF"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13</w:t>
            </w:r>
          </w:p>
        </w:tc>
      </w:tr>
      <w:tr w:rsidR="00E95512" w:rsidRPr="001A4B94" w14:paraId="1E3E049A"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C6892E4"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52D82CB6" w14:textId="5610AE80"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FM</w:t>
            </w:r>
            <w:r w:rsidR="002A2BDB" w:rsidRPr="001A4B94">
              <w:rPr>
                <w:rFonts w:eastAsia="Arial Unicode MS"/>
                <w:color w:val="000000"/>
                <w:sz w:val="16"/>
                <w:szCs w:val="16"/>
                <w:lang w:val="tr-TR"/>
              </w:rPr>
              <w:t xml:space="preserve"> Sektör Grubu</w:t>
            </w:r>
          </w:p>
        </w:tc>
        <w:tc>
          <w:tcPr>
            <w:tcW w:w="2173" w:type="dxa"/>
            <w:tcBorders>
              <w:top w:val="nil"/>
              <w:left w:val="nil"/>
              <w:bottom w:val="single" w:sz="8" w:space="0" w:color="93B1CD"/>
              <w:right w:val="single" w:sz="8" w:space="0" w:color="93B1CD"/>
            </w:tcBorders>
            <w:shd w:val="clear" w:color="auto" w:fill="auto"/>
            <w:noWrap/>
            <w:hideMark/>
          </w:tcPr>
          <w:p w14:paraId="4A3833EF"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35153-Seker RI 1</w:t>
            </w:r>
          </w:p>
        </w:tc>
        <w:tc>
          <w:tcPr>
            <w:tcW w:w="646" w:type="dxa"/>
            <w:tcBorders>
              <w:top w:val="nil"/>
              <w:left w:val="nil"/>
              <w:bottom w:val="single" w:sz="8" w:space="0" w:color="93B1CD"/>
              <w:right w:val="single" w:sz="8" w:space="0" w:color="93B1CD"/>
            </w:tcBorders>
            <w:shd w:val="clear" w:color="auto" w:fill="auto"/>
            <w:noWrap/>
            <w:hideMark/>
          </w:tcPr>
          <w:p w14:paraId="692D2E4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0555BE4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w:t>
            </w:r>
          </w:p>
        </w:tc>
        <w:tc>
          <w:tcPr>
            <w:tcW w:w="1168" w:type="dxa"/>
            <w:tcBorders>
              <w:top w:val="nil"/>
              <w:left w:val="nil"/>
              <w:bottom w:val="single" w:sz="8" w:space="0" w:color="CCCCCC"/>
              <w:right w:val="single" w:sz="8" w:space="0" w:color="CCCCCC"/>
            </w:tcBorders>
            <w:shd w:val="clear" w:color="auto" w:fill="auto"/>
            <w:noWrap/>
            <w:hideMark/>
          </w:tcPr>
          <w:p w14:paraId="4570704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058FEAC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7D2F64E1"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w:t>
            </w:r>
          </w:p>
        </w:tc>
      </w:tr>
      <w:tr w:rsidR="00E95512" w:rsidRPr="001A4B94" w14:paraId="48D7C06E"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C433AF9"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A3A30AF"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356A7554" w14:textId="0726C6F4"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33922-Seker </w:t>
            </w:r>
            <w:r w:rsidR="0041316B" w:rsidRPr="001A4B94">
              <w:rPr>
                <w:rFonts w:eastAsia="Arial Unicode MS"/>
                <w:color w:val="000000"/>
                <w:sz w:val="16"/>
                <w:szCs w:val="16"/>
                <w:lang w:val="tr-TR"/>
              </w:rPr>
              <w:t>Alt Kredi</w:t>
            </w:r>
          </w:p>
        </w:tc>
        <w:tc>
          <w:tcPr>
            <w:tcW w:w="646" w:type="dxa"/>
            <w:tcBorders>
              <w:top w:val="nil"/>
              <w:left w:val="nil"/>
              <w:bottom w:val="single" w:sz="8" w:space="0" w:color="93B1CD"/>
              <w:right w:val="single" w:sz="8" w:space="0" w:color="93B1CD"/>
            </w:tcBorders>
            <w:shd w:val="clear" w:color="auto" w:fill="auto"/>
            <w:noWrap/>
            <w:hideMark/>
          </w:tcPr>
          <w:p w14:paraId="5023E37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0BDB39A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50</w:t>
            </w:r>
          </w:p>
        </w:tc>
        <w:tc>
          <w:tcPr>
            <w:tcW w:w="1168" w:type="dxa"/>
            <w:tcBorders>
              <w:top w:val="nil"/>
              <w:left w:val="nil"/>
              <w:bottom w:val="single" w:sz="8" w:space="0" w:color="CCCCCC"/>
              <w:right w:val="single" w:sz="8" w:space="0" w:color="CCCCCC"/>
            </w:tcBorders>
            <w:shd w:val="clear" w:color="auto" w:fill="auto"/>
            <w:noWrap/>
            <w:hideMark/>
          </w:tcPr>
          <w:p w14:paraId="743FB68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B4B14D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1A6C53C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50</w:t>
            </w:r>
          </w:p>
        </w:tc>
      </w:tr>
      <w:tr w:rsidR="00E95512" w:rsidRPr="001A4B94" w14:paraId="699B1414"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17FE1773"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9D6684E"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016C1D6E" w14:textId="4FBA0A8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32915-Odea Bank </w:t>
            </w:r>
            <w:r w:rsidR="0041316B" w:rsidRPr="001A4B94">
              <w:rPr>
                <w:rFonts w:eastAsia="Arial Unicode MS"/>
                <w:color w:val="000000"/>
                <w:sz w:val="16"/>
                <w:szCs w:val="16"/>
                <w:lang w:val="tr-TR"/>
              </w:rPr>
              <w:t>KOBİ</w:t>
            </w:r>
          </w:p>
        </w:tc>
        <w:tc>
          <w:tcPr>
            <w:tcW w:w="646" w:type="dxa"/>
            <w:tcBorders>
              <w:top w:val="nil"/>
              <w:left w:val="nil"/>
              <w:bottom w:val="single" w:sz="8" w:space="0" w:color="93B1CD"/>
              <w:right w:val="single" w:sz="8" w:space="0" w:color="93B1CD"/>
            </w:tcBorders>
            <w:shd w:val="clear" w:color="auto" w:fill="auto"/>
            <w:noWrap/>
            <w:hideMark/>
          </w:tcPr>
          <w:p w14:paraId="2BB1B51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5B7C18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50</w:t>
            </w:r>
          </w:p>
        </w:tc>
        <w:tc>
          <w:tcPr>
            <w:tcW w:w="1168" w:type="dxa"/>
            <w:tcBorders>
              <w:top w:val="nil"/>
              <w:left w:val="nil"/>
              <w:bottom w:val="single" w:sz="8" w:space="0" w:color="CCCCCC"/>
              <w:right w:val="single" w:sz="8" w:space="0" w:color="CCCCCC"/>
            </w:tcBorders>
            <w:shd w:val="clear" w:color="auto" w:fill="auto"/>
            <w:noWrap/>
            <w:hideMark/>
          </w:tcPr>
          <w:p w14:paraId="42B87B3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3A5C78C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89224D1"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50</w:t>
            </w:r>
          </w:p>
        </w:tc>
      </w:tr>
      <w:tr w:rsidR="00E95512" w:rsidRPr="001A4B94" w14:paraId="7E5DAD76"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D5E3F45"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3AE2B83"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6BC7F45D" w14:textId="5E2489A2"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32669-Fiba </w:t>
            </w:r>
            <w:r w:rsidR="0041316B" w:rsidRPr="001A4B94">
              <w:rPr>
                <w:rFonts w:eastAsia="Arial Unicode MS"/>
                <w:color w:val="000000"/>
                <w:sz w:val="16"/>
                <w:szCs w:val="16"/>
                <w:lang w:val="tr-TR"/>
              </w:rPr>
              <w:t xml:space="preserve">Alt Kredi </w:t>
            </w:r>
          </w:p>
        </w:tc>
        <w:tc>
          <w:tcPr>
            <w:tcW w:w="646" w:type="dxa"/>
            <w:tcBorders>
              <w:top w:val="nil"/>
              <w:left w:val="nil"/>
              <w:bottom w:val="single" w:sz="8" w:space="0" w:color="93B1CD"/>
              <w:right w:val="single" w:sz="8" w:space="0" w:color="93B1CD"/>
            </w:tcBorders>
            <w:shd w:val="clear" w:color="auto" w:fill="auto"/>
            <w:noWrap/>
            <w:hideMark/>
          </w:tcPr>
          <w:p w14:paraId="70F6815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3BCC62E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auto" w:fill="auto"/>
            <w:noWrap/>
            <w:hideMark/>
          </w:tcPr>
          <w:p w14:paraId="2AFC489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2B7878B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47BB7AAA"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40</w:t>
            </w:r>
          </w:p>
        </w:tc>
      </w:tr>
      <w:tr w:rsidR="00E95512" w:rsidRPr="001A4B94" w14:paraId="2B1CD4DC"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AD482AC"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75A5F598" w14:textId="569E3924"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 xml:space="preserve">Altyapı Sektör Grubu  </w:t>
            </w:r>
          </w:p>
        </w:tc>
        <w:tc>
          <w:tcPr>
            <w:tcW w:w="2173" w:type="dxa"/>
            <w:tcBorders>
              <w:top w:val="nil"/>
              <w:left w:val="nil"/>
              <w:bottom w:val="single" w:sz="8" w:space="0" w:color="93B1CD"/>
              <w:right w:val="single" w:sz="8" w:space="0" w:color="93B1CD"/>
            </w:tcBorders>
            <w:shd w:val="clear" w:color="auto" w:fill="auto"/>
            <w:noWrap/>
            <w:hideMark/>
          </w:tcPr>
          <w:p w14:paraId="7ACBC4D2"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34457-Transatlantic</w:t>
            </w:r>
          </w:p>
        </w:tc>
        <w:tc>
          <w:tcPr>
            <w:tcW w:w="646" w:type="dxa"/>
            <w:tcBorders>
              <w:top w:val="nil"/>
              <w:left w:val="nil"/>
              <w:bottom w:val="single" w:sz="8" w:space="0" w:color="93B1CD"/>
              <w:right w:val="single" w:sz="8" w:space="0" w:color="93B1CD"/>
            </w:tcBorders>
            <w:shd w:val="clear" w:color="auto" w:fill="auto"/>
            <w:noWrap/>
            <w:hideMark/>
          </w:tcPr>
          <w:p w14:paraId="764AAF3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A2FAAD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auto" w:fill="auto"/>
            <w:noWrap/>
            <w:hideMark/>
          </w:tcPr>
          <w:p w14:paraId="01BAC5D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75439B1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3DA2D6F2"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40</w:t>
            </w:r>
          </w:p>
        </w:tc>
      </w:tr>
      <w:tr w:rsidR="00E95512" w:rsidRPr="001A4B94" w14:paraId="3C565E95"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0C1ED8B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66B8679"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36127BB7" w14:textId="60B78D54"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34306-</w:t>
            </w:r>
            <w:r w:rsidR="0041316B" w:rsidRPr="001A4B94">
              <w:rPr>
                <w:rFonts w:eastAsia="Arial Unicode MS"/>
                <w:color w:val="000000"/>
                <w:sz w:val="16"/>
                <w:szCs w:val="16"/>
                <w:lang w:val="tr-TR"/>
              </w:rPr>
              <w:t>İ</w:t>
            </w:r>
            <w:r w:rsidRPr="001A4B94">
              <w:rPr>
                <w:rFonts w:eastAsia="Arial Unicode MS"/>
                <w:color w:val="000000"/>
                <w:sz w:val="16"/>
                <w:szCs w:val="16"/>
                <w:lang w:val="tr-TR"/>
              </w:rPr>
              <w:t xml:space="preserve">zmir </w:t>
            </w:r>
            <w:r w:rsidR="0041316B" w:rsidRPr="001A4B94">
              <w:rPr>
                <w:rFonts w:eastAsia="Arial Unicode MS"/>
                <w:color w:val="000000"/>
                <w:sz w:val="16"/>
                <w:szCs w:val="16"/>
                <w:lang w:val="tr-TR"/>
              </w:rPr>
              <w:t xml:space="preserve">Tramvay </w:t>
            </w:r>
          </w:p>
        </w:tc>
        <w:tc>
          <w:tcPr>
            <w:tcW w:w="646" w:type="dxa"/>
            <w:tcBorders>
              <w:top w:val="nil"/>
              <w:left w:val="nil"/>
              <w:bottom w:val="single" w:sz="8" w:space="0" w:color="93B1CD"/>
              <w:right w:val="single" w:sz="8" w:space="0" w:color="93B1CD"/>
            </w:tcBorders>
            <w:shd w:val="clear" w:color="auto" w:fill="auto"/>
            <w:noWrap/>
            <w:hideMark/>
          </w:tcPr>
          <w:p w14:paraId="7E20F85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51E3174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76</w:t>
            </w:r>
          </w:p>
        </w:tc>
        <w:tc>
          <w:tcPr>
            <w:tcW w:w="1168" w:type="dxa"/>
            <w:tcBorders>
              <w:top w:val="nil"/>
              <w:left w:val="nil"/>
              <w:bottom w:val="single" w:sz="8" w:space="0" w:color="CCCCCC"/>
              <w:right w:val="single" w:sz="8" w:space="0" w:color="CCCCCC"/>
            </w:tcBorders>
            <w:shd w:val="clear" w:color="auto" w:fill="auto"/>
            <w:noWrap/>
            <w:hideMark/>
          </w:tcPr>
          <w:p w14:paraId="1001400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B025E0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44DF0F2F"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76</w:t>
            </w:r>
          </w:p>
        </w:tc>
      </w:tr>
      <w:tr w:rsidR="00E95512" w:rsidRPr="001A4B94" w14:paraId="671EF531"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877522B"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749825DE"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0BF1A538" w14:textId="3A615082"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33943-Mersin </w:t>
            </w:r>
            <w:r w:rsidR="0041316B" w:rsidRPr="001A4B94">
              <w:rPr>
                <w:rFonts w:eastAsia="Arial Unicode MS"/>
                <w:color w:val="000000"/>
                <w:sz w:val="16"/>
                <w:szCs w:val="16"/>
                <w:lang w:val="tr-TR"/>
              </w:rPr>
              <w:t xml:space="preserve">Limanı </w:t>
            </w:r>
          </w:p>
        </w:tc>
        <w:tc>
          <w:tcPr>
            <w:tcW w:w="646" w:type="dxa"/>
            <w:tcBorders>
              <w:top w:val="nil"/>
              <w:left w:val="nil"/>
              <w:bottom w:val="single" w:sz="8" w:space="0" w:color="93B1CD"/>
              <w:right w:val="single" w:sz="8" w:space="0" w:color="93B1CD"/>
            </w:tcBorders>
            <w:shd w:val="clear" w:color="auto" w:fill="auto"/>
            <w:noWrap/>
            <w:hideMark/>
          </w:tcPr>
          <w:p w14:paraId="505C1AA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787753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auto" w:fill="auto"/>
            <w:noWrap/>
            <w:hideMark/>
          </w:tcPr>
          <w:p w14:paraId="14BEF5B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7CE6080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1FCF19D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493FAD3E"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9B13976"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EF6237C"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13BC07B1" w14:textId="5D79FF01"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32036-Viking </w:t>
            </w:r>
            <w:r w:rsidR="0041316B" w:rsidRPr="001A4B94">
              <w:rPr>
                <w:rFonts w:eastAsia="Arial Unicode MS"/>
                <w:color w:val="000000"/>
                <w:sz w:val="16"/>
                <w:szCs w:val="16"/>
                <w:lang w:val="tr-TR"/>
              </w:rPr>
              <w:t xml:space="preserve">Hizmetler </w:t>
            </w:r>
          </w:p>
        </w:tc>
        <w:tc>
          <w:tcPr>
            <w:tcW w:w="646" w:type="dxa"/>
            <w:tcBorders>
              <w:top w:val="nil"/>
              <w:left w:val="nil"/>
              <w:bottom w:val="single" w:sz="8" w:space="0" w:color="93B1CD"/>
              <w:right w:val="single" w:sz="8" w:space="0" w:color="93B1CD"/>
            </w:tcBorders>
            <w:shd w:val="clear" w:color="auto" w:fill="auto"/>
            <w:noWrap/>
            <w:hideMark/>
          </w:tcPr>
          <w:p w14:paraId="2F7FDB4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570B312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50</w:t>
            </w:r>
          </w:p>
        </w:tc>
        <w:tc>
          <w:tcPr>
            <w:tcW w:w="1168" w:type="dxa"/>
            <w:tcBorders>
              <w:top w:val="nil"/>
              <w:left w:val="nil"/>
              <w:bottom w:val="single" w:sz="8" w:space="0" w:color="CCCCCC"/>
              <w:right w:val="single" w:sz="8" w:space="0" w:color="CCCCCC"/>
            </w:tcBorders>
            <w:shd w:val="clear" w:color="auto" w:fill="auto"/>
            <w:noWrap/>
            <w:hideMark/>
          </w:tcPr>
          <w:p w14:paraId="636A0F5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76DA885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38AC68DD"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50</w:t>
            </w:r>
          </w:p>
        </w:tc>
      </w:tr>
      <w:tr w:rsidR="00E95512" w:rsidRPr="001A4B94" w14:paraId="679B4663"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AE5FDE3"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5449C98D" w14:textId="266252D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MAS </w:t>
            </w:r>
            <w:r w:rsidR="00324768" w:rsidRPr="001A4B94">
              <w:rPr>
                <w:rFonts w:eastAsia="Arial Unicode MS"/>
                <w:color w:val="000000"/>
                <w:sz w:val="16"/>
                <w:szCs w:val="16"/>
                <w:lang w:val="tr-TR"/>
              </w:rPr>
              <w:t xml:space="preserve">Sektör Grubu  </w:t>
            </w:r>
          </w:p>
        </w:tc>
        <w:tc>
          <w:tcPr>
            <w:tcW w:w="2173" w:type="dxa"/>
            <w:tcBorders>
              <w:top w:val="nil"/>
              <w:left w:val="nil"/>
              <w:bottom w:val="single" w:sz="8" w:space="0" w:color="93B1CD"/>
              <w:right w:val="single" w:sz="8" w:space="0" w:color="93B1CD"/>
            </w:tcBorders>
            <w:shd w:val="clear" w:color="auto" w:fill="auto"/>
            <w:noWrap/>
            <w:hideMark/>
          </w:tcPr>
          <w:p w14:paraId="2DC60921" w14:textId="74A33261"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34764-Cimko II-B </w:t>
            </w:r>
            <w:r w:rsidR="0041316B" w:rsidRPr="001A4B94">
              <w:rPr>
                <w:rFonts w:eastAsia="Arial Unicode MS"/>
                <w:color w:val="000000"/>
                <w:sz w:val="16"/>
                <w:szCs w:val="16"/>
                <w:lang w:val="tr-TR"/>
              </w:rPr>
              <w:t>Kredi</w:t>
            </w:r>
          </w:p>
        </w:tc>
        <w:tc>
          <w:tcPr>
            <w:tcW w:w="646" w:type="dxa"/>
            <w:tcBorders>
              <w:top w:val="nil"/>
              <w:left w:val="nil"/>
              <w:bottom w:val="single" w:sz="8" w:space="0" w:color="93B1CD"/>
              <w:right w:val="single" w:sz="8" w:space="0" w:color="93B1CD"/>
            </w:tcBorders>
            <w:shd w:val="clear" w:color="auto" w:fill="auto"/>
            <w:noWrap/>
            <w:hideMark/>
          </w:tcPr>
          <w:p w14:paraId="215907D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6F8E763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68" w:type="dxa"/>
            <w:tcBorders>
              <w:top w:val="nil"/>
              <w:left w:val="nil"/>
              <w:bottom w:val="single" w:sz="8" w:space="0" w:color="CCCCCC"/>
              <w:right w:val="single" w:sz="8" w:space="0" w:color="CCCCCC"/>
            </w:tcBorders>
            <w:shd w:val="clear" w:color="auto" w:fill="auto"/>
            <w:noWrap/>
            <w:hideMark/>
          </w:tcPr>
          <w:p w14:paraId="4759A47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w:t>
            </w:r>
          </w:p>
        </w:tc>
        <w:tc>
          <w:tcPr>
            <w:tcW w:w="1132" w:type="dxa"/>
            <w:tcBorders>
              <w:top w:val="nil"/>
              <w:left w:val="nil"/>
              <w:bottom w:val="single" w:sz="8" w:space="0" w:color="CCCCCC"/>
              <w:right w:val="single" w:sz="8" w:space="0" w:color="CCCCCC"/>
            </w:tcBorders>
            <w:shd w:val="clear" w:color="auto" w:fill="auto"/>
            <w:noWrap/>
            <w:hideMark/>
          </w:tcPr>
          <w:p w14:paraId="5506977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78EE435D"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w:t>
            </w:r>
          </w:p>
        </w:tc>
      </w:tr>
      <w:tr w:rsidR="00E95512" w:rsidRPr="001A4B94" w14:paraId="1033B835"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AE82AB1"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7BAA343"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5E162ECF" w14:textId="68BF257A"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34448-Recordati </w:t>
            </w:r>
            <w:r w:rsidR="0041316B" w:rsidRPr="001A4B94">
              <w:rPr>
                <w:rFonts w:eastAsia="Arial Unicode MS"/>
                <w:color w:val="000000"/>
                <w:sz w:val="16"/>
                <w:szCs w:val="16"/>
                <w:lang w:val="tr-TR"/>
              </w:rPr>
              <w:t>İ</w:t>
            </w:r>
            <w:r w:rsidRPr="001A4B94">
              <w:rPr>
                <w:rFonts w:eastAsia="Arial Unicode MS"/>
                <w:color w:val="000000"/>
                <w:sz w:val="16"/>
                <w:szCs w:val="16"/>
                <w:lang w:val="tr-TR"/>
              </w:rPr>
              <w:t>lac</w:t>
            </w:r>
          </w:p>
        </w:tc>
        <w:tc>
          <w:tcPr>
            <w:tcW w:w="646" w:type="dxa"/>
            <w:tcBorders>
              <w:top w:val="nil"/>
              <w:left w:val="nil"/>
              <w:bottom w:val="single" w:sz="8" w:space="0" w:color="93B1CD"/>
              <w:right w:val="single" w:sz="8" w:space="0" w:color="93B1CD"/>
            </w:tcBorders>
            <w:shd w:val="clear" w:color="auto" w:fill="auto"/>
            <w:noWrap/>
            <w:hideMark/>
          </w:tcPr>
          <w:p w14:paraId="140EA38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0A3395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34</w:t>
            </w:r>
          </w:p>
        </w:tc>
        <w:tc>
          <w:tcPr>
            <w:tcW w:w="1168" w:type="dxa"/>
            <w:tcBorders>
              <w:top w:val="nil"/>
              <w:left w:val="nil"/>
              <w:bottom w:val="single" w:sz="8" w:space="0" w:color="CCCCCC"/>
              <w:right w:val="single" w:sz="8" w:space="0" w:color="CCCCCC"/>
            </w:tcBorders>
            <w:shd w:val="clear" w:color="auto" w:fill="auto"/>
            <w:noWrap/>
            <w:hideMark/>
          </w:tcPr>
          <w:p w14:paraId="60DBC89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6AAC6BE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73B5601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34</w:t>
            </w:r>
          </w:p>
        </w:tc>
      </w:tr>
      <w:tr w:rsidR="00E95512" w:rsidRPr="001A4B94" w14:paraId="02C2EEE7"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B2E941C"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4F4BB4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2BC09896"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34061-Tiryaki II</w:t>
            </w:r>
          </w:p>
        </w:tc>
        <w:tc>
          <w:tcPr>
            <w:tcW w:w="646" w:type="dxa"/>
            <w:tcBorders>
              <w:top w:val="nil"/>
              <w:left w:val="nil"/>
              <w:bottom w:val="single" w:sz="8" w:space="0" w:color="93B1CD"/>
              <w:right w:val="single" w:sz="8" w:space="0" w:color="93B1CD"/>
            </w:tcBorders>
            <w:shd w:val="clear" w:color="auto" w:fill="auto"/>
            <w:noWrap/>
            <w:hideMark/>
          </w:tcPr>
          <w:p w14:paraId="16AA828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65DDB7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30</w:t>
            </w:r>
          </w:p>
        </w:tc>
        <w:tc>
          <w:tcPr>
            <w:tcW w:w="1168" w:type="dxa"/>
            <w:tcBorders>
              <w:top w:val="nil"/>
              <w:left w:val="nil"/>
              <w:bottom w:val="single" w:sz="8" w:space="0" w:color="CCCCCC"/>
              <w:right w:val="single" w:sz="8" w:space="0" w:color="CCCCCC"/>
            </w:tcBorders>
            <w:shd w:val="clear" w:color="auto" w:fill="auto"/>
            <w:noWrap/>
            <w:hideMark/>
          </w:tcPr>
          <w:p w14:paraId="79BA4CE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7B2656B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8D8DDD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30</w:t>
            </w:r>
          </w:p>
        </w:tc>
      </w:tr>
      <w:tr w:rsidR="00E95512" w:rsidRPr="001A4B94" w14:paraId="002EB2C0"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0B53C214"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749288D"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3CA564EF"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34009-OzU II</w:t>
            </w:r>
          </w:p>
        </w:tc>
        <w:tc>
          <w:tcPr>
            <w:tcW w:w="646" w:type="dxa"/>
            <w:tcBorders>
              <w:top w:val="nil"/>
              <w:left w:val="nil"/>
              <w:bottom w:val="single" w:sz="8" w:space="0" w:color="93B1CD"/>
              <w:right w:val="single" w:sz="8" w:space="0" w:color="93B1CD"/>
            </w:tcBorders>
            <w:shd w:val="clear" w:color="auto" w:fill="auto"/>
            <w:noWrap/>
            <w:hideMark/>
          </w:tcPr>
          <w:p w14:paraId="301DE68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06208B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auto" w:fill="auto"/>
            <w:noWrap/>
            <w:hideMark/>
          </w:tcPr>
          <w:p w14:paraId="29880C8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6356307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7C8E751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1BD88188"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1A8C16A4"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B4D4F79"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2FEE9826" w14:textId="247A05CB"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33995-Elif T</w:t>
            </w:r>
            <w:r w:rsidR="0041316B" w:rsidRPr="001A4B94">
              <w:rPr>
                <w:rFonts w:eastAsia="Arial Unicode MS"/>
                <w:color w:val="000000"/>
                <w:sz w:val="16"/>
                <w:szCs w:val="16"/>
                <w:lang w:val="tr-TR"/>
              </w:rPr>
              <w:t xml:space="preserve">ürkiye </w:t>
            </w:r>
          </w:p>
        </w:tc>
        <w:tc>
          <w:tcPr>
            <w:tcW w:w="646" w:type="dxa"/>
            <w:tcBorders>
              <w:top w:val="nil"/>
              <w:left w:val="nil"/>
              <w:bottom w:val="single" w:sz="8" w:space="0" w:color="93B1CD"/>
              <w:right w:val="single" w:sz="8" w:space="0" w:color="93B1CD"/>
            </w:tcBorders>
            <w:shd w:val="clear" w:color="auto" w:fill="auto"/>
            <w:noWrap/>
            <w:hideMark/>
          </w:tcPr>
          <w:p w14:paraId="6F4FC8D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62D9E19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10</w:t>
            </w:r>
          </w:p>
        </w:tc>
        <w:tc>
          <w:tcPr>
            <w:tcW w:w="1168" w:type="dxa"/>
            <w:tcBorders>
              <w:top w:val="nil"/>
              <w:left w:val="nil"/>
              <w:bottom w:val="single" w:sz="8" w:space="0" w:color="CCCCCC"/>
              <w:right w:val="single" w:sz="8" w:space="0" w:color="CCCCCC"/>
            </w:tcBorders>
            <w:shd w:val="clear" w:color="auto" w:fill="auto"/>
            <w:noWrap/>
            <w:hideMark/>
          </w:tcPr>
          <w:p w14:paraId="5BB10C5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32334A4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74B6975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10</w:t>
            </w:r>
          </w:p>
        </w:tc>
      </w:tr>
      <w:tr w:rsidR="00E95512" w:rsidRPr="001A4B94" w14:paraId="2E214F4D"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BEDF66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311B503"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695A22C2" w14:textId="197D1B1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33753-Cimko </w:t>
            </w:r>
            <w:r w:rsidR="0041316B" w:rsidRPr="001A4B94">
              <w:rPr>
                <w:rFonts w:eastAsia="Arial Unicode MS"/>
                <w:color w:val="000000"/>
                <w:sz w:val="16"/>
                <w:szCs w:val="16"/>
                <w:lang w:val="tr-TR"/>
              </w:rPr>
              <w:t>Çimento</w:t>
            </w:r>
            <w:r w:rsidRPr="001A4B94">
              <w:rPr>
                <w:rFonts w:eastAsia="Arial Unicode MS"/>
                <w:color w:val="000000"/>
                <w:sz w:val="16"/>
                <w:szCs w:val="16"/>
                <w:lang w:val="tr-TR"/>
              </w:rPr>
              <w:t xml:space="preserve"> II</w:t>
            </w:r>
          </w:p>
        </w:tc>
        <w:tc>
          <w:tcPr>
            <w:tcW w:w="646" w:type="dxa"/>
            <w:tcBorders>
              <w:top w:val="nil"/>
              <w:left w:val="nil"/>
              <w:bottom w:val="single" w:sz="8" w:space="0" w:color="93B1CD"/>
              <w:right w:val="single" w:sz="8" w:space="0" w:color="93B1CD"/>
            </w:tcBorders>
            <w:shd w:val="clear" w:color="auto" w:fill="auto"/>
            <w:noWrap/>
            <w:hideMark/>
          </w:tcPr>
          <w:p w14:paraId="41F451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54DB305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auto" w:fill="auto"/>
            <w:noWrap/>
            <w:hideMark/>
          </w:tcPr>
          <w:p w14:paraId="77DA899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32" w:type="dxa"/>
            <w:tcBorders>
              <w:top w:val="nil"/>
              <w:left w:val="nil"/>
              <w:bottom w:val="single" w:sz="8" w:space="0" w:color="CCCCCC"/>
              <w:right w:val="single" w:sz="8" w:space="0" w:color="CCCCCC"/>
            </w:tcBorders>
            <w:shd w:val="clear" w:color="auto" w:fill="auto"/>
            <w:noWrap/>
            <w:hideMark/>
          </w:tcPr>
          <w:p w14:paraId="15DE509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CC64A69"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65</w:t>
            </w:r>
          </w:p>
        </w:tc>
      </w:tr>
      <w:tr w:rsidR="00E95512" w:rsidRPr="001A4B94" w14:paraId="4553B472"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EEBF671"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D5A331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1867556C"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33528-Astra Dorms</w:t>
            </w:r>
          </w:p>
        </w:tc>
        <w:tc>
          <w:tcPr>
            <w:tcW w:w="646" w:type="dxa"/>
            <w:tcBorders>
              <w:top w:val="nil"/>
              <w:left w:val="nil"/>
              <w:bottom w:val="single" w:sz="8" w:space="0" w:color="93B1CD"/>
              <w:right w:val="single" w:sz="8" w:space="0" w:color="93B1CD"/>
            </w:tcBorders>
            <w:shd w:val="clear" w:color="auto" w:fill="auto"/>
            <w:noWrap/>
            <w:hideMark/>
          </w:tcPr>
          <w:p w14:paraId="4F44D61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ED52F1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10</w:t>
            </w:r>
          </w:p>
        </w:tc>
        <w:tc>
          <w:tcPr>
            <w:tcW w:w="1168" w:type="dxa"/>
            <w:tcBorders>
              <w:top w:val="nil"/>
              <w:left w:val="nil"/>
              <w:bottom w:val="single" w:sz="8" w:space="0" w:color="CCCCCC"/>
              <w:right w:val="single" w:sz="8" w:space="0" w:color="CCCCCC"/>
            </w:tcBorders>
            <w:shd w:val="clear" w:color="auto" w:fill="auto"/>
            <w:noWrap/>
            <w:hideMark/>
          </w:tcPr>
          <w:p w14:paraId="737CEBF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A75FFD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3BE46DC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10</w:t>
            </w:r>
          </w:p>
        </w:tc>
      </w:tr>
      <w:tr w:rsidR="00E95512" w:rsidRPr="001A4B94" w14:paraId="310678EE"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373E54C1"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6D4633B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393A2DB9" w14:textId="74060B05"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32940-Chipita T</w:t>
            </w:r>
            <w:r w:rsidR="0041316B" w:rsidRPr="001A4B94">
              <w:rPr>
                <w:rFonts w:eastAsia="Arial Unicode MS"/>
                <w:color w:val="000000"/>
                <w:sz w:val="16"/>
                <w:szCs w:val="16"/>
                <w:lang w:val="tr-TR"/>
              </w:rPr>
              <w:t xml:space="preserve">ürkiye </w:t>
            </w:r>
          </w:p>
        </w:tc>
        <w:tc>
          <w:tcPr>
            <w:tcW w:w="646" w:type="dxa"/>
            <w:tcBorders>
              <w:top w:val="nil"/>
              <w:left w:val="nil"/>
              <w:bottom w:val="single" w:sz="8" w:space="0" w:color="93B1CD"/>
              <w:right w:val="single" w:sz="8" w:space="0" w:color="93B1CD"/>
            </w:tcBorders>
            <w:shd w:val="clear" w:color="auto" w:fill="auto"/>
            <w:noWrap/>
            <w:hideMark/>
          </w:tcPr>
          <w:p w14:paraId="07F8E80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72E9210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15</w:t>
            </w:r>
          </w:p>
        </w:tc>
        <w:tc>
          <w:tcPr>
            <w:tcW w:w="1168" w:type="dxa"/>
            <w:tcBorders>
              <w:top w:val="nil"/>
              <w:left w:val="nil"/>
              <w:bottom w:val="single" w:sz="8" w:space="0" w:color="CCCCCC"/>
              <w:right w:val="single" w:sz="8" w:space="0" w:color="CCCCCC"/>
            </w:tcBorders>
            <w:shd w:val="clear" w:color="auto" w:fill="auto"/>
            <w:noWrap/>
            <w:hideMark/>
          </w:tcPr>
          <w:p w14:paraId="74A4683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623E4CF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B1B4A8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15</w:t>
            </w:r>
          </w:p>
        </w:tc>
      </w:tr>
      <w:tr w:rsidR="00E95512" w:rsidRPr="001A4B94" w14:paraId="3106492D" w14:textId="77777777" w:rsidTr="004626A4">
        <w:trPr>
          <w:trHeight w:val="219"/>
        </w:trPr>
        <w:tc>
          <w:tcPr>
            <w:tcW w:w="577"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605A072B" w14:textId="77777777" w:rsidR="00747261" w:rsidRPr="001A4B94" w:rsidRDefault="00747261" w:rsidP="00747261">
            <w:pPr>
              <w:jc w:val="center"/>
              <w:rPr>
                <w:rFonts w:eastAsia="Arial Unicode MS"/>
                <w:color w:val="000000"/>
                <w:sz w:val="16"/>
                <w:szCs w:val="16"/>
                <w:lang w:val="tr-TR"/>
              </w:rPr>
            </w:pPr>
            <w:r w:rsidRPr="001A4B94">
              <w:rPr>
                <w:rFonts w:eastAsia="Arial Unicode MS"/>
                <w:color w:val="000000"/>
                <w:sz w:val="16"/>
                <w:szCs w:val="16"/>
                <w:lang w:val="tr-TR"/>
              </w:rPr>
              <w:lastRenderedPageBreak/>
              <w:t>2015</w:t>
            </w: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78D1EC1C" w14:textId="3772CD25"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CTT </w:t>
            </w:r>
            <w:r w:rsidR="00324768" w:rsidRPr="001A4B94">
              <w:rPr>
                <w:rFonts w:eastAsia="Arial Unicode MS"/>
                <w:color w:val="000000"/>
                <w:sz w:val="16"/>
                <w:szCs w:val="16"/>
                <w:lang w:val="tr-TR"/>
              </w:rPr>
              <w:t xml:space="preserve">Sektör Grubu  </w:t>
            </w:r>
          </w:p>
        </w:tc>
        <w:tc>
          <w:tcPr>
            <w:tcW w:w="2173" w:type="dxa"/>
            <w:tcBorders>
              <w:top w:val="nil"/>
              <w:left w:val="nil"/>
              <w:bottom w:val="single" w:sz="8" w:space="0" w:color="93B1CD"/>
              <w:right w:val="single" w:sz="8" w:space="0" w:color="93B1CD"/>
            </w:tcBorders>
            <w:shd w:val="clear" w:color="000000" w:fill="DBDBDB"/>
            <w:noWrap/>
            <w:hideMark/>
          </w:tcPr>
          <w:p w14:paraId="285BF92A"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36641-Mercury</w:t>
            </w:r>
          </w:p>
        </w:tc>
        <w:tc>
          <w:tcPr>
            <w:tcW w:w="646" w:type="dxa"/>
            <w:tcBorders>
              <w:top w:val="nil"/>
              <w:left w:val="nil"/>
              <w:bottom w:val="single" w:sz="8" w:space="0" w:color="93B1CD"/>
              <w:right w:val="single" w:sz="8" w:space="0" w:color="93B1CD"/>
            </w:tcBorders>
            <w:shd w:val="clear" w:color="000000" w:fill="DBDBDB"/>
            <w:noWrap/>
            <w:hideMark/>
          </w:tcPr>
          <w:p w14:paraId="6B7297F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263E066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15</w:t>
            </w:r>
          </w:p>
        </w:tc>
        <w:tc>
          <w:tcPr>
            <w:tcW w:w="1168" w:type="dxa"/>
            <w:tcBorders>
              <w:top w:val="nil"/>
              <w:left w:val="nil"/>
              <w:bottom w:val="single" w:sz="8" w:space="0" w:color="CCCCCC"/>
              <w:right w:val="single" w:sz="8" w:space="0" w:color="CCCCCC"/>
            </w:tcBorders>
            <w:shd w:val="clear" w:color="000000" w:fill="DBDBDB"/>
            <w:noWrap/>
            <w:hideMark/>
          </w:tcPr>
          <w:p w14:paraId="34876AB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4A15C02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F79718F"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15</w:t>
            </w:r>
          </w:p>
        </w:tc>
      </w:tr>
      <w:tr w:rsidR="00E95512" w:rsidRPr="001A4B94" w14:paraId="17538A6B"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9320F19"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707A246C"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18D4241F"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36631-ATF I</w:t>
            </w:r>
          </w:p>
        </w:tc>
        <w:tc>
          <w:tcPr>
            <w:tcW w:w="646" w:type="dxa"/>
            <w:tcBorders>
              <w:top w:val="nil"/>
              <w:left w:val="nil"/>
              <w:bottom w:val="single" w:sz="8" w:space="0" w:color="93B1CD"/>
              <w:right w:val="single" w:sz="8" w:space="0" w:color="93B1CD"/>
            </w:tcBorders>
            <w:shd w:val="clear" w:color="000000" w:fill="DBDBDB"/>
            <w:noWrap/>
            <w:hideMark/>
          </w:tcPr>
          <w:p w14:paraId="1D7A677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7BE1296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000000" w:fill="DBDBDB"/>
            <w:noWrap/>
            <w:hideMark/>
          </w:tcPr>
          <w:p w14:paraId="07FD81E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236E152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512F1C0A"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40</w:t>
            </w:r>
          </w:p>
        </w:tc>
      </w:tr>
      <w:tr w:rsidR="00E95512" w:rsidRPr="001A4B94" w14:paraId="2AD8D04A"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AF1FC17"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060FAA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137D0C6D"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35939-Zenium</w:t>
            </w:r>
          </w:p>
        </w:tc>
        <w:tc>
          <w:tcPr>
            <w:tcW w:w="646" w:type="dxa"/>
            <w:tcBorders>
              <w:top w:val="nil"/>
              <w:left w:val="nil"/>
              <w:bottom w:val="single" w:sz="8" w:space="0" w:color="93B1CD"/>
              <w:right w:val="single" w:sz="8" w:space="0" w:color="93B1CD"/>
            </w:tcBorders>
            <w:shd w:val="clear" w:color="000000" w:fill="DBDBDB"/>
            <w:noWrap/>
            <w:hideMark/>
          </w:tcPr>
          <w:p w14:paraId="3F525BB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55950BB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000000" w:fill="DBDBDB"/>
            <w:noWrap/>
            <w:hideMark/>
          </w:tcPr>
          <w:p w14:paraId="51F03B7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0825E3A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09A4F1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2F0B0860"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ABB83CB"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66BBE593"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516328A5"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35828-Iyzico</w:t>
            </w:r>
          </w:p>
        </w:tc>
        <w:tc>
          <w:tcPr>
            <w:tcW w:w="646" w:type="dxa"/>
            <w:tcBorders>
              <w:top w:val="nil"/>
              <w:left w:val="nil"/>
              <w:bottom w:val="single" w:sz="8" w:space="0" w:color="93B1CD"/>
              <w:right w:val="single" w:sz="8" w:space="0" w:color="93B1CD"/>
            </w:tcBorders>
            <w:shd w:val="clear" w:color="000000" w:fill="DBDBDB"/>
            <w:noWrap/>
            <w:hideMark/>
          </w:tcPr>
          <w:p w14:paraId="641B1F8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7F9552D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w:t>
            </w:r>
          </w:p>
        </w:tc>
        <w:tc>
          <w:tcPr>
            <w:tcW w:w="1168" w:type="dxa"/>
            <w:tcBorders>
              <w:top w:val="nil"/>
              <w:left w:val="nil"/>
              <w:bottom w:val="single" w:sz="8" w:space="0" w:color="CCCCCC"/>
              <w:right w:val="single" w:sz="8" w:space="0" w:color="CCCCCC"/>
            </w:tcBorders>
            <w:shd w:val="clear" w:color="000000" w:fill="DBDBDB"/>
            <w:noWrap/>
            <w:hideMark/>
          </w:tcPr>
          <w:p w14:paraId="1E98B37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6328B0B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2B10654D"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w:t>
            </w:r>
          </w:p>
        </w:tc>
      </w:tr>
      <w:tr w:rsidR="00E95512" w:rsidRPr="001A4B94" w14:paraId="4B4C6752"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54D16B4"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096CCA57" w14:textId="15D7F1A9"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FM</w:t>
            </w:r>
            <w:r w:rsidR="002A2BDB" w:rsidRPr="001A4B94">
              <w:rPr>
                <w:rFonts w:eastAsia="Arial Unicode MS"/>
                <w:color w:val="000000"/>
                <w:sz w:val="16"/>
                <w:szCs w:val="16"/>
                <w:lang w:val="tr-TR"/>
              </w:rPr>
              <w:t xml:space="preserve"> Sektör Grubu</w:t>
            </w:r>
          </w:p>
        </w:tc>
        <w:tc>
          <w:tcPr>
            <w:tcW w:w="2173" w:type="dxa"/>
            <w:tcBorders>
              <w:top w:val="nil"/>
              <w:left w:val="nil"/>
              <w:bottom w:val="single" w:sz="8" w:space="0" w:color="93B1CD"/>
              <w:right w:val="single" w:sz="8" w:space="0" w:color="93B1CD"/>
            </w:tcBorders>
            <w:shd w:val="clear" w:color="000000" w:fill="DBDBDB"/>
            <w:noWrap/>
            <w:hideMark/>
          </w:tcPr>
          <w:p w14:paraId="2D9B2201"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36788-Sekerbank RI 2</w:t>
            </w:r>
          </w:p>
        </w:tc>
        <w:tc>
          <w:tcPr>
            <w:tcW w:w="646" w:type="dxa"/>
            <w:tcBorders>
              <w:top w:val="nil"/>
              <w:left w:val="nil"/>
              <w:bottom w:val="single" w:sz="8" w:space="0" w:color="93B1CD"/>
              <w:right w:val="single" w:sz="8" w:space="0" w:color="93B1CD"/>
            </w:tcBorders>
            <w:shd w:val="clear" w:color="000000" w:fill="DBDBDB"/>
            <w:noWrap/>
            <w:hideMark/>
          </w:tcPr>
          <w:p w14:paraId="3374554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10F7971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168" w:type="dxa"/>
            <w:tcBorders>
              <w:top w:val="nil"/>
              <w:left w:val="nil"/>
              <w:bottom w:val="single" w:sz="8" w:space="0" w:color="CCCCCC"/>
              <w:right w:val="single" w:sz="8" w:space="0" w:color="CCCCCC"/>
            </w:tcBorders>
            <w:shd w:val="clear" w:color="000000" w:fill="DBDBDB"/>
            <w:noWrap/>
            <w:hideMark/>
          </w:tcPr>
          <w:p w14:paraId="056C76E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2D1AF13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7DA558CB"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w:t>
            </w:r>
          </w:p>
        </w:tc>
      </w:tr>
      <w:tr w:rsidR="00E95512" w:rsidRPr="001A4B94" w14:paraId="78175BB8"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D248D21"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E470AC0"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56742078"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36341-Sekerbank swap</w:t>
            </w:r>
          </w:p>
        </w:tc>
        <w:tc>
          <w:tcPr>
            <w:tcW w:w="646" w:type="dxa"/>
            <w:tcBorders>
              <w:top w:val="nil"/>
              <w:left w:val="nil"/>
              <w:bottom w:val="single" w:sz="8" w:space="0" w:color="93B1CD"/>
              <w:right w:val="single" w:sz="8" w:space="0" w:color="93B1CD"/>
            </w:tcBorders>
            <w:shd w:val="clear" w:color="000000" w:fill="DBDBDB"/>
            <w:noWrap/>
            <w:hideMark/>
          </w:tcPr>
          <w:p w14:paraId="400E88B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089EB3C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168" w:type="dxa"/>
            <w:tcBorders>
              <w:top w:val="nil"/>
              <w:left w:val="nil"/>
              <w:bottom w:val="single" w:sz="8" w:space="0" w:color="CCCCCC"/>
              <w:right w:val="single" w:sz="8" w:space="0" w:color="CCCCCC"/>
            </w:tcBorders>
            <w:shd w:val="clear" w:color="000000" w:fill="DBDBDB"/>
            <w:noWrap/>
            <w:hideMark/>
          </w:tcPr>
          <w:p w14:paraId="4B6301E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304DC2E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23A0D2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w:t>
            </w:r>
          </w:p>
        </w:tc>
      </w:tr>
      <w:tr w:rsidR="00E95512" w:rsidRPr="001A4B94" w14:paraId="08A52D85"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332697C8"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6A99A9E5"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2417B905"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36153-FinansL EE II</w:t>
            </w:r>
          </w:p>
        </w:tc>
        <w:tc>
          <w:tcPr>
            <w:tcW w:w="646" w:type="dxa"/>
            <w:tcBorders>
              <w:top w:val="nil"/>
              <w:left w:val="nil"/>
              <w:bottom w:val="single" w:sz="8" w:space="0" w:color="93B1CD"/>
              <w:right w:val="single" w:sz="8" w:space="0" w:color="93B1CD"/>
            </w:tcBorders>
            <w:shd w:val="clear" w:color="000000" w:fill="DBDBDB"/>
            <w:noWrap/>
            <w:hideMark/>
          </w:tcPr>
          <w:p w14:paraId="3D21ADD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5016CD5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000000" w:fill="DBDBDB"/>
            <w:noWrap/>
            <w:hideMark/>
          </w:tcPr>
          <w:p w14:paraId="15D0AAA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01304C1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20</w:t>
            </w:r>
          </w:p>
        </w:tc>
        <w:tc>
          <w:tcPr>
            <w:tcW w:w="1351" w:type="dxa"/>
            <w:tcBorders>
              <w:top w:val="nil"/>
              <w:left w:val="nil"/>
              <w:bottom w:val="single" w:sz="8" w:space="0" w:color="CCCCCC"/>
              <w:right w:val="single" w:sz="8" w:space="0" w:color="CCCCCC"/>
            </w:tcBorders>
            <w:shd w:val="clear" w:color="000000" w:fill="DBDBDB"/>
            <w:noWrap/>
            <w:hideMark/>
          </w:tcPr>
          <w:p w14:paraId="34E3223C"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60</w:t>
            </w:r>
          </w:p>
        </w:tc>
      </w:tr>
      <w:tr w:rsidR="00E95512" w:rsidRPr="001A4B94" w14:paraId="50E44D4E"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3CFFE8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D635905"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075ACED1" w14:textId="4389B5BF"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36017-Seker </w:t>
            </w:r>
            <w:r w:rsidR="0041316B" w:rsidRPr="001A4B94">
              <w:rPr>
                <w:rFonts w:eastAsia="Arial Unicode MS"/>
                <w:color w:val="000000"/>
                <w:sz w:val="16"/>
                <w:szCs w:val="16"/>
                <w:lang w:val="tr-TR"/>
              </w:rPr>
              <w:t>Tahvil</w:t>
            </w:r>
            <w:r w:rsidRPr="001A4B94">
              <w:rPr>
                <w:rFonts w:eastAsia="Arial Unicode MS"/>
                <w:color w:val="000000"/>
                <w:sz w:val="16"/>
                <w:szCs w:val="16"/>
                <w:lang w:val="tr-TR"/>
              </w:rPr>
              <w:t xml:space="preserve"> Swap</w:t>
            </w:r>
          </w:p>
        </w:tc>
        <w:tc>
          <w:tcPr>
            <w:tcW w:w="646" w:type="dxa"/>
            <w:tcBorders>
              <w:top w:val="nil"/>
              <w:left w:val="nil"/>
              <w:bottom w:val="single" w:sz="8" w:space="0" w:color="93B1CD"/>
              <w:right w:val="single" w:sz="8" w:space="0" w:color="93B1CD"/>
            </w:tcBorders>
            <w:shd w:val="clear" w:color="000000" w:fill="DBDBDB"/>
            <w:noWrap/>
            <w:hideMark/>
          </w:tcPr>
          <w:p w14:paraId="41BCCBA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02DE2B4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17</w:t>
            </w:r>
          </w:p>
        </w:tc>
        <w:tc>
          <w:tcPr>
            <w:tcW w:w="1168" w:type="dxa"/>
            <w:tcBorders>
              <w:top w:val="nil"/>
              <w:left w:val="nil"/>
              <w:bottom w:val="single" w:sz="8" w:space="0" w:color="CCCCCC"/>
              <w:right w:val="single" w:sz="8" w:space="0" w:color="CCCCCC"/>
            </w:tcBorders>
            <w:shd w:val="clear" w:color="000000" w:fill="DBDBDB"/>
            <w:noWrap/>
            <w:hideMark/>
          </w:tcPr>
          <w:p w14:paraId="202DFEB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1F91320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20394A4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17</w:t>
            </w:r>
          </w:p>
        </w:tc>
      </w:tr>
      <w:tr w:rsidR="00E95512" w:rsidRPr="001A4B94" w14:paraId="531A34AB"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176814D"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A4B4A41"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556C6CF0" w14:textId="304BB4DB"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35827-Odeabank </w:t>
            </w:r>
            <w:r w:rsidR="004626A4" w:rsidRPr="001A4B94">
              <w:rPr>
                <w:rFonts w:eastAsia="Arial Unicode MS"/>
                <w:color w:val="000000"/>
                <w:sz w:val="16"/>
                <w:szCs w:val="16"/>
                <w:lang w:val="tr-TR"/>
              </w:rPr>
              <w:t>Yeşil İpotek</w:t>
            </w:r>
          </w:p>
        </w:tc>
        <w:tc>
          <w:tcPr>
            <w:tcW w:w="646" w:type="dxa"/>
            <w:tcBorders>
              <w:top w:val="nil"/>
              <w:left w:val="nil"/>
              <w:bottom w:val="single" w:sz="8" w:space="0" w:color="93B1CD"/>
              <w:right w:val="single" w:sz="8" w:space="0" w:color="93B1CD"/>
            </w:tcBorders>
            <w:shd w:val="clear" w:color="000000" w:fill="DBDBDB"/>
            <w:noWrap/>
            <w:hideMark/>
          </w:tcPr>
          <w:p w14:paraId="3B9C1E6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6F47793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45</w:t>
            </w:r>
          </w:p>
        </w:tc>
        <w:tc>
          <w:tcPr>
            <w:tcW w:w="1168" w:type="dxa"/>
            <w:tcBorders>
              <w:top w:val="nil"/>
              <w:left w:val="nil"/>
              <w:bottom w:val="single" w:sz="8" w:space="0" w:color="CCCCCC"/>
              <w:right w:val="single" w:sz="8" w:space="0" w:color="CCCCCC"/>
            </w:tcBorders>
            <w:shd w:val="clear" w:color="000000" w:fill="DBDBDB"/>
            <w:noWrap/>
            <w:hideMark/>
          </w:tcPr>
          <w:p w14:paraId="2401E90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7854A3D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22</w:t>
            </w:r>
          </w:p>
        </w:tc>
        <w:tc>
          <w:tcPr>
            <w:tcW w:w="1351" w:type="dxa"/>
            <w:tcBorders>
              <w:top w:val="nil"/>
              <w:left w:val="nil"/>
              <w:bottom w:val="single" w:sz="8" w:space="0" w:color="CCCCCC"/>
              <w:right w:val="single" w:sz="8" w:space="0" w:color="CCCCCC"/>
            </w:tcBorders>
            <w:shd w:val="clear" w:color="000000" w:fill="DBDBDB"/>
            <w:noWrap/>
            <w:hideMark/>
          </w:tcPr>
          <w:p w14:paraId="621ECFE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67</w:t>
            </w:r>
          </w:p>
        </w:tc>
      </w:tr>
      <w:tr w:rsidR="00E95512" w:rsidRPr="001A4B94" w14:paraId="5E80820B"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F6371F8"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517F583"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533261D4" w14:textId="5F6635DD" w:rsidR="00747261" w:rsidRPr="001A4B94" w:rsidRDefault="00747261" w:rsidP="0041316B">
            <w:pPr>
              <w:ind w:right="-252"/>
              <w:rPr>
                <w:rFonts w:eastAsia="Arial Unicode MS"/>
                <w:color w:val="000000"/>
                <w:sz w:val="16"/>
                <w:szCs w:val="16"/>
                <w:lang w:val="tr-TR"/>
              </w:rPr>
            </w:pPr>
            <w:r w:rsidRPr="001A4B94">
              <w:rPr>
                <w:rFonts w:eastAsia="Arial Unicode MS"/>
                <w:color w:val="000000"/>
                <w:sz w:val="16"/>
                <w:szCs w:val="16"/>
                <w:lang w:val="tr-TR"/>
              </w:rPr>
              <w:t xml:space="preserve">34488-Abank </w:t>
            </w:r>
            <w:r w:rsidR="0041316B" w:rsidRPr="001A4B94">
              <w:rPr>
                <w:rFonts w:eastAsia="Arial Unicode MS"/>
                <w:color w:val="000000"/>
                <w:sz w:val="16"/>
                <w:szCs w:val="16"/>
                <w:lang w:val="tr-TR"/>
              </w:rPr>
              <w:t>Enerji Verimliliği</w:t>
            </w:r>
          </w:p>
        </w:tc>
        <w:tc>
          <w:tcPr>
            <w:tcW w:w="646" w:type="dxa"/>
            <w:tcBorders>
              <w:top w:val="nil"/>
              <w:left w:val="nil"/>
              <w:bottom w:val="single" w:sz="8" w:space="0" w:color="93B1CD"/>
              <w:right w:val="single" w:sz="8" w:space="0" w:color="93B1CD"/>
            </w:tcBorders>
            <w:shd w:val="clear" w:color="000000" w:fill="DBDBDB"/>
            <w:noWrap/>
            <w:hideMark/>
          </w:tcPr>
          <w:p w14:paraId="4EDFE78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7EC29E0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50</w:t>
            </w:r>
          </w:p>
        </w:tc>
        <w:tc>
          <w:tcPr>
            <w:tcW w:w="1168" w:type="dxa"/>
            <w:tcBorders>
              <w:top w:val="nil"/>
              <w:left w:val="nil"/>
              <w:bottom w:val="single" w:sz="8" w:space="0" w:color="CCCCCC"/>
              <w:right w:val="single" w:sz="8" w:space="0" w:color="CCCCCC"/>
            </w:tcBorders>
            <w:shd w:val="clear" w:color="000000" w:fill="DBDBDB"/>
            <w:noWrap/>
            <w:hideMark/>
          </w:tcPr>
          <w:p w14:paraId="0B3661C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40517E9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45</w:t>
            </w:r>
          </w:p>
        </w:tc>
        <w:tc>
          <w:tcPr>
            <w:tcW w:w="1351" w:type="dxa"/>
            <w:tcBorders>
              <w:top w:val="nil"/>
              <w:left w:val="nil"/>
              <w:bottom w:val="single" w:sz="8" w:space="0" w:color="CCCCCC"/>
              <w:right w:val="single" w:sz="8" w:space="0" w:color="CCCCCC"/>
            </w:tcBorders>
            <w:shd w:val="clear" w:color="000000" w:fill="DBDBDB"/>
            <w:noWrap/>
            <w:hideMark/>
          </w:tcPr>
          <w:p w14:paraId="117206E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95</w:t>
            </w:r>
          </w:p>
        </w:tc>
      </w:tr>
      <w:tr w:rsidR="00E95512" w:rsidRPr="001A4B94" w14:paraId="4C6478E8"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0309D8E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BD402BF"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7F7A1C85" w14:textId="023817EA"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33950-YKL </w:t>
            </w:r>
            <w:r w:rsidR="0041316B" w:rsidRPr="001A4B94">
              <w:rPr>
                <w:rFonts w:eastAsia="Arial Unicode MS"/>
                <w:color w:val="000000"/>
                <w:sz w:val="16"/>
                <w:szCs w:val="16"/>
                <w:lang w:val="tr-TR"/>
              </w:rPr>
              <w:t>Sürdürül</w:t>
            </w:r>
            <w:r w:rsidR="004626A4" w:rsidRPr="001A4B94">
              <w:rPr>
                <w:rFonts w:eastAsia="Arial Unicode MS"/>
                <w:color w:val="000000"/>
                <w:sz w:val="16"/>
                <w:szCs w:val="16"/>
                <w:lang w:val="tr-TR"/>
              </w:rPr>
              <w:t>e</w:t>
            </w:r>
            <w:r w:rsidR="0041316B" w:rsidRPr="001A4B94">
              <w:rPr>
                <w:rFonts w:eastAsia="Arial Unicode MS"/>
                <w:color w:val="000000"/>
                <w:sz w:val="16"/>
                <w:szCs w:val="16"/>
                <w:lang w:val="tr-TR"/>
              </w:rPr>
              <w:t>b</w:t>
            </w:r>
            <w:r w:rsidR="004626A4" w:rsidRPr="001A4B94">
              <w:rPr>
                <w:rFonts w:eastAsia="Arial Unicode MS"/>
                <w:color w:val="000000"/>
                <w:sz w:val="16"/>
                <w:szCs w:val="16"/>
                <w:lang w:val="tr-TR"/>
              </w:rPr>
              <w:t>i</w:t>
            </w:r>
            <w:r w:rsidR="0041316B" w:rsidRPr="001A4B94">
              <w:rPr>
                <w:rFonts w:eastAsia="Arial Unicode MS"/>
                <w:color w:val="000000"/>
                <w:sz w:val="16"/>
                <w:szCs w:val="16"/>
                <w:lang w:val="tr-TR"/>
              </w:rPr>
              <w:t xml:space="preserve">lir </w:t>
            </w:r>
          </w:p>
        </w:tc>
        <w:tc>
          <w:tcPr>
            <w:tcW w:w="646" w:type="dxa"/>
            <w:tcBorders>
              <w:top w:val="nil"/>
              <w:left w:val="nil"/>
              <w:bottom w:val="single" w:sz="8" w:space="0" w:color="93B1CD"/>
              <w:right w:val="single" w:sz="8" w:space="0" w:color="93B1CD"/>
            </w:tcBorders>
            <w:shd w:val="clear" w:color="000000" w:fill="DBDBDB"/>
            <w:noWrap/>
            <w:hideMark/>
          </w:tcPr>
          <w:p w14:paraId="0AA527E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7CF9BAF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64</w:t>
            </w:r>
          </w:p>
        </w:tc>
        <w:tc>
          <w:tcPr>
            <w:tcW w:w="1168" w:type="dxa"/>
            <w:tcBorders>
              <w:top w:val="nil"/>
              <w:left w:val="nil"/>
              <w:bottom w:val="single" w:sz="8" w:space="0" w:color="CCCCCC"/>
              <w:right w:val="single" w:sz="8" w:space="0" w:color="CCCCCC"/>
            </w:tcBorders>
            <w:shd w:val="clear" w:color="000000" w:fill="DBDBDB"/>
            <w:noWrap/>
            <w:hideMark/>
          </w:tcPr>
          <w:p w14:paraId="13875A7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4AA6906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32</w:t>
            </w:r>
          </w:p>
        </w:tc>
        <w:tc>
          <w:tcPr>
            <w:tcW w:w="1351" w:type="dxa"/>
            <w:tcBorders>
              <w:top w:val="nil"/>
              <w:left w:val="nil"/>
              <w:bottom w:val="single" w:sz="8" w:space="0" w:color="CCCCCC"/>
              <w:right w:val="single" w:sz="8" w:space="0" w:color="CCCCCC"/>
            </w:tcBorders>
            <w:shd w:val="clear" w:color="000000" w:fill="DBDBDB"/>
            <w:noWrap/>
            <w:hideMark/>
          </w:tcPr>
          <w:p w14:paraId="72FF6F79"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96</w:t>
            </w:r>
          </w:p>
        </w:tc>
      </w:tr>
      <w:tr w:rsidR="00E95512" w:rsidRPr="001A4B94" w14:paraId="4289B744"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57F312D"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3B8E5D78" w14:textId="691F022C"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 xml:space="preserve">Altyapı Sektör Grubu  </w:t>
            </w:r>
          </w:p>
        </w:tc>
        <w:tc>
          <w:tcPr>
            <w:tcW w:w="2173" w:type="dxa"/>
            <w:tcBorders>
              <w:top w:val="nil"/>
              <w:left w:val="nil"/>
              <w:bottom w:val="single" w:sz="8" w:space="0" w:color="93B1CD"/>
              <w:right w:val="single" w:sz="8" w:space="0" w:color="93B1CD"/>
            </w:tcBorders>
            <w:shd w:val="clear" w:color="000000" w:fill="DBDBDB"/>
            <w:noWrap/>
            <w:hideMark/>
          </w:tcPr>
          <w:p w14:paraId="5FA4A16E" w14:textId="363E071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36080-</w:t>
            </w:r>
            <w:r w:rsidR="0041316B" w:rsidRPr="001A4B94">
              <w:rPr>
                <w:rFonts w:eastAsia="Arial Unicode MS"/>
                <w:color w:val="000000"/>
                <w:sz w:val="16"/>
                <w:szCs w:val="16"/>
                <w:lang w:val="tr-TR"/>
              </w:rPr>
              <w:t>İ</w:t>
            </w:r>
            <w:r w:rsidRPr="001A4B94">
              <w:rPr>
                <w:rFonts w:eastAsia="Arial Unicode MS"/>
                <w:color w:val="000000"/>
                <w:sz w:val="16"/>
                <w:szCs w:val="16"/>
                <w:lang w:val="tr-TR"/>
              </w:rPr>
              <w:t xml:space="preserve">zsu </w:t>
            </w:r>
            <w:r w:rsidR="0041316B" w:rsidRPr="001A4B94">
              <w:rPr>
                <w:rFonts w:eastAsia="Arial Unicode MS"/>
                <w:color w:val="000000"/>
                <w:sz w:val="16"/>
                <w:szCs w:val="16"/>
                <w:lang w:val="tr-TR"/>
              </w:rPr>
              <w:t xml:space="preserve">Kanalizasyon </w:t>
            </w:r>
          </w:p>
        </w:tc>
        <w:tc>
          <w:tcPr>
            <w:tcW w:w="646" w:type="dxa"/>
            <w:tcBorders>
              <w:top w:val="nil"/>
              <w:left w:val="nil"/>
              <w:bottom w:val="single" w:sz="8" w:space="0" w:color="93B1CD"/>
              <w:right w:val="single" w:sz="8" w:space="0" w:color="93B1CD"/>
            </w:tcBorders>
            <w:shd w:val="clear" w:color="000000" w:fill="DBDBDB"/>
            <w:noWrap/>
            <w:hideMark/>
          </w:tcPr>
          <w:p w14:paraId="49D1D4D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11DE70A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12</w:t>
            </w:r>
          </w:p>
        </w:tc>
        <w:tc>
          <w:tcPr>
            <w:tcW w:w="1168" w:type="dxa"/>
            <w:tcBorders>
              <w:top w:val="nil"/>
              <w:left w:val="nil"/>
              <w:bottom w:val="single" w:sz="8" w:space="0" w:color="CCCCCC"/>
              <w:right w:val="single" w:sz="8" w:space="0" w:color="CCCCCC"/>
            </w:tcBorders>
            <w:shd w:val="clear" w:color="000000" w:fill="DBDBDB"/>
            <w:noWrap/>
            <w:hideMark/>
          </w:tcPr>
          <w:p w14:paraId="1D9493E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67F9F71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7B889A0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12</w:t>
            </w:r>
          </w:p>
        </w:tc>
      </w:tr>
      <w:tr w:rsidR="00E95512" w:rsidRPr="001A4B94" w14:paraId="1316F738"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38487283"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E5DD804"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0134F5C9" w14:textId="619CDADE"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35395-ACWA </w:t>
            </w:r>
            <w:r w:rsidR="0041316B" w:rsidRPr="001A4B94">
              <w:rPr>
                <w:rFonts w:eastAsia="Arial Unicode MS"/>
                <w:color w:val="000000"/>
                <w:sz w:val="16"/>
                <w:szCs w:val="16"/>
                <w:lang w:val="tr-TR"/>
              </w:rPr>
              <w:t xml:space="preserve">Kırıkkale </w:t>
            </w:r>
          </w:p>
        </w:tc>
        <w:tc>
          <w:tcPr>
            <w:tcW w:w="646" w:type="dxa"/>
            <w:tcBorders>
              <w:top w:val="nil"/>
              <w:left w:val="nil"/>
              <w:bottom w:val="single" w:sz="8" w:space="0" w:color="93B1CD"/>
              <w:right w:val="single" w:sz="8" w:space="0" w:color="93B1CD"/>
            </w:tcBorders>
            <w:shd w:val="clear" w:color="000000" w:fill="DBDBDB"/>
            <w:noWrap/>
            <w:hideMark/>
          </w:tcPr>
          <w:p w14:paraId="67C5DBC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2C8E927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68" w:type="dxa"/>
            <w:tcBorders>
              <w:top w:val="nil"/>
              <w:left w:val="nil"/>
              <w:bottom w:val="single" w:sz="8" w:space="0" w:color="CCCCCC"/>
              <w:right w:val="single" w:sz="8" w:space="0" w:color="CCCCCC"/>
            </w:tcBorders>
            <w:shd w:val="clear" w:color="000000" w:fill="DBDBDB"/>
            <w:noWrap/>
            <w:hideMark/>
          </w:tcPr>
          <w:p w14:paraId="749553E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45</w:t>
            </w:r>
          </w:p>
        </w:tc>
        <w:tc>
          <w:tcPr>
            <w:tcW w:w="1132" w:type="dxa"/>
            <w:tcBorders>
              <w:top w:val="nil"/>
              <w:left w:val="nil"/>
              <w:bottom w:val="single" w:sz="8" w:space="0" w:color="CCCCCC"/>
              <w:right w:val="single" w:sz="8" w:space="0" w:color="CCCCCC"/>
            </w:tcBorders>
            <w:shd w:val="clear" w:color="000000" w:fill="DBDBDB"/>
            <w:noWrap/>
            <w:hideMark/>
          </w:tcPr>
          <w:p w14:paraId="1FC127C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5020BD9C"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45</w:t>
            </w:r>
          </w:p>
        </w:tc>
      </w:tr>
      <w:tr w:rsidR="00E95512" w:rsidRPr="001A4B94" w14:paraId="021144AD"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316E83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0D8AEF9"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23BD6A7D" w14:textId="0052A0FF"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35012-Izmir </w:t>
            </w:r>
            <w:r w:rsidR="0041316B" w:rsidRPr="001A4B94">
              <w:rPr>
                <w:rFonts w:eastAsia="Arial Unicode MS"/>
                <w:color w:val="000000"/>
                <w:sz w:val="16"/>
                <w:szCs w:val="16"/>
                <w:lang w:val="tr-TR"/>
              </w:rPr>
              <w:t xml:space="preserve">Tren </w:t>
            </w:r>
          </w:p>
        </w:tc>
        <w:tc>
          <w:tcPr>
            <w:tcW w:w="646" w:type="dxa"/>
            <w:tcBorders>
              <w:top w:val="nil"/>
              <w:left w:val="nil"/>
              <w:bottom w:val="single" w:sz="8" w:space="0" w:color="93B1CD"/>
              <w:right w:val="single" w:sz="8" w:space="0" w:color="93B1CD"/>
            </w:tcBorders>
            <w:shd w:val="clear" w:color="000000" w:fill="DBDBDB"/>
            <w:noWrap/>
            <w:hideMark/>
          </w:tcPr>
          <w:p w14:paraId="34AB03B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1FB985A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000000" w:fill="DBDBDB"/>
            <w:noWrap/>
            <w:hideMark/>
          </w:tcPr>
          <w:p w14:paraId="2B4A18A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54A0EAE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C6176A4"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14CD3C8E"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B84652E"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12A88B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67CC3171"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34552-HKA</w:t>
            </w:r>
          </w:p>
        </w:tc>
        <w:tc>
          <w:tcPr>
            <w:tcW w:w="646" w:type="dxa"/>
            <w:tcBorders>
              <w:top w:val="nil"/>
              <w:left w:val="nil"/>
              <w:bottom w:val="single" w:sz="8" w:space="0" w:color="93B1CD"/>
              <w:right w:val="single" w:sz="8" w:space="0" w:color="93B1CD"/>
            </w:tcBorders>
            <w:shd w:val="clear" w:color="000000" w:fill="DBDBDB"/>
            <w:noWrap/>
            <w:hideMark/>
          </w:tcPr>
          <w:p w14:paraId="1F91AF2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0.5</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32F8D1E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31</w:t>
            </w:r>
          </w:p>
        </w:tc>
        <w:tc>
          <w:tcPr>
            <w:tcW w:w="1168" w:type="dxa"/>
            <w:tcBorders>
              <w:top w:val="nil"/>
              <w:left w:val="nil"/>
              <w:bottom w:val="single" w:sz="8" w:space="0" w:color="CCCCCC"/>
              <w:right w:val="single" w:sz="8" w:space="0" w:color="CCCCCC"/>
            </w:tcBorders>
            <w:shd w:val="clear" w:color="000000" w:fill="DBDBDB"/>
            <w:noWrap/>
            <w:hideMark/>
          </w:tcPr>
          <w:p w14:paraId="0E99F60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4380DD6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17</w:t>
            </w:r>
          </w:p>
        </w:tc>
        <w:tc>
          <w:tcPr>
            <w:tcW w:w="1351" w:type="dxa"/>
            <w:tcBorders>
              <w:top w:val="nil"/>
              <w:left w:val="nil"/>
              <w:bottom w:val="single" w:sz="8" w:space="0" w:color="CCCCCC"/>
              <w:right w:val="single" w:sz="8" w:space="0" w:color="CCCCCC"/>
            </w:tcBorders>
            <w:shd w:val="clear" w:color="000000" w:fill="DBDBDB"/>
            <w:noWrap/>
            <w:hideMark/>
          </w:tcPr>
          <w:p w14:paraId="41B9ED31"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48</w:t>
            </w:r>
          </w:p>
        </w:tc>
      </w:tr>
      <w:tr w:rsidR="00E95512" w:rsidRPr="001A4B94" w14:paraId="194EFD61"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098DF91"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3C5783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69A0EAAE"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34552-HKA</w:t>
            </w:r>
          </w:p>
        </w:tc>
        <w:tc>
          <w:tcPr>
            <w:tcW w:w="646" w:type="dxa"/>
            <w:tcBorders>
              <w:top w:val="nil"/>
              <w:left w:val="nil"/>
              <w:bottom w:val="single" w:sz="8" w:space="0" w:color="93B1CD"/>
              <w:right w:val="single" w:sz="8" w:space="0" w:color="93B1CD"/>
            </w:tcBorders>
            <w:shd w:val="clear" w:color="000000" w:fill="DBDBDB"/>
            <w:noWrap/>
            <w:hideMark/>
          </w:tcPr>
          <w:p w14:paraId="5D58113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0.5</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16995C6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31</w:t>
            </w:r>
          </w:p>
        </w:tc>
        <w:tc>
          <w:tcPr>
            <w:tcW w:w="1168" w:type="dxa"/>
            <w:tcBorders>
              <w:top w:val="nil"/>
              <w:left w:val="nil"/>
              <w:bottom w:val="single" w:sz="8" w:space="0" w:color="CCCCCC"/>
              <w:right w:val="single" w:sz="8" w:space="0" w:color="CCCCCC"/>
            </w:tcBorders>
            <w:shd w:val="clear" w:color="000000" w:fill="DBDBDB"/>
            <w:noWrap/>
            <w:hideMark/>
          </w:tcPr>
          <w:p w14:paraId="147B753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5F4CEB5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17</w:t>
            </w:r>
          </w:p>
        </w:tc>
        <w:tc>
          <w:tcPr>
            <w:tcW w:w="1351" w:type="dxa"/>
            <w:tcBorders>
              <w:top w:val="nil"/>
              <w:left w:val="nil"/>
              <w:bottom w:val="single" w:sz="8" w:space="0" w:color="CCCCCC"/>
              <w:right w:val="single" w:sz="8" w:space="0" w:color="CCCCCC"/>
            </w:tcBorders>
            <w:shd w:val="clear" w:color="000000" w:fill="DBDBDB"/>
            <w:noWrap/>
            <w:hideMark/>
          </w:tcPr>
          <w:p w14:paraId="24EC539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48</w:t>
            </w:r>
          </w:p>
        </w:tc>
      </w:tr>
      <w:tr w:rsidR="00E95512" w:rsidRPr="001A4B94" w14:paraId="46AB9CEC"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065B36F4"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7457D168"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68096768"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32258-Gama Enerji</w:t>
            </w:r>
          </w:p>
        </w:tc>
        <w:tc>
          <w:tcPr>
            <w:tcW w:w="646" w:type="dxa"/>
            <w:tcBorders>
              <w:top w:val="nil"/>
              <w:left w:val="nil"/>
              <w:bottom w:val="single" w:sz="8" w:space="0" w:color="93B1CD"/>
              <w:right w:val="single" w:sz="8" w:space="0" w:color="93B1CD"/>
            </w:tcBorders>
            <w:shd w:val="clear" w:color="000000" w:fill="DBDBDB"/>
            <w:noWrap/>
            <w:hideMark/>
          </w:tcPr>
          <w:p w14:paraId="4BD0FEE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2BCF18D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165</w:t>
            </w:r>
          </w:p>
        </w:tc>
        <w:tc>
          <w:tcPr>
            <w:tcW w:w="1168" w:type="dxa"/>
            <w:tcBorders>
              <w:top w:val="nil"/>
              <w:left w:val="nil"/>
              <w:bottom w:val="single" w:sz="8" w:space="0" w:color="CCCCCC"/>
              <w:right w:val="single" w:sz="8" w:space="0" w:color="CCCCCC"/>
            </w:tcBorders>
            <w:shd w:val="clear" w:color="000000" w:fill="DBDBDB"/>
            <w:noWrap/>
            <w:hideMark/>
          </w:tcPr>
          <w:p w14:paraId="42F8C9C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5D625AD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38</w:t>
            </w:r>
          </w:p>
        </w:tc>
        <w:tc>
          <w:tcPr>
            <w:tcW w:w="1351" w:type="dxa"/>
            <w:tcBorders>
              <w:top w:val="nil"/>
              <w:left w:val="nil"/>
              <w:bottom w:val="single" w:sz="8" w:space="0" w:color="CCCCCC"/>
              <w:right w:val="single" w:sz="8" w:space="0" w:color="CCCCCC"/>
            </w:tcBorders>
            <w:shd w:val="clear" w:color="000000" w:fill="DBDBDB"/>
            <w:noWrap/>
            <w:hideMark/>
          </w:tcPr>
          <w:p w14:paraId="2143F21A"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203</w:t>
            </w:r>
          </w:p>
        </w:tc>
      </w:tr>
      <w:tr w:rsidR="00E95512" w:rsidRPr="001A4B94" w14:paraId="7DAB8AE0"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0AFDC88"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000000" w:fill="DBDBDB"/>
            <w:noWrap/>
            <w:vAlign w:val="center"/>
            <w:hideMark/>
          </w:tcPr>
          <w:p w14:paraId="35AC1C3B" w14:textId="762E7F1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MAS </w:t>
            </w:r>
            <w:r w:rsidR="00324768" w:rsidRPr="001A4B94">
              <w:rPr>
                <w:rFonts w:eastAsia="Arial Unicode MS"/>
                <w:color w:val="000000"/>
                <w:sz w:val="16"/>
                <w:szCs w:val="16"/>
                <w:lang w:val="tr-TR"/>
              </w:rPr>
              <w:t xml:space="preserve">Sektör Grubu  </w:t>
            </w:r>
          </w:p>
        </w:tc>
        <w:tc>
          <w:tcPr>
            <w:tcW w:w="2173" w:type="dxa"/>
            <w:tcBorders>
              <w:top w:val="nil"/>
              <w:left w:val="nil"/>
              <w:bottom w:val="single" w:sz="8" w:space="0" w:color="93B1CD"/>
              <w:right w:val="single" w:sz="8" w:space="0" w:color="93B1CD"/>
            </w:tcBorders>
            <w:shd w:val="clear" w:color="000000" w:fill="DBDBDB"/>
            <w:noWrap/>
            <w:hideMark/>
          </w:tcPr>
          <w:p w14:paraId="26C3E092" w14:textId="25ADE113"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36337-Adana </w:t>
            </w:r>
            <w:r w:rsidR="0041316B" w:rsidRPr="001A4B94">
              <w:rPr>
                <w:rFonts w:eastAsia="Arial Unicode MS"/>
                <w:color w:val="000000"/>
                <w:sz w:val="16"/>
                <w:szCs w:val="16"/>
                <w:lang w:val="tr-TR"/>
              </w:rPr>
              <w:t>Swap</w:t>
            </w:r>
          </w:p>
        </w:tc>
        <w:tc>
          <w:tcPr>
            <w:tcW w:w="646" w:type="dxa"/>
            <w:tcBorders>
              <w:top w:val="nil"/>
              <w:left w:val="nil"/>
              <w:bottom w:val="single" w:sz="8" w:space="0" w:color="93B1CD"/>
              <w:right w:val="single" w:sz="8" w:space="0" w:color="93B1CD"/>
            </w:tcBorders>
            <w:shd w:val="clear" w:color="000000" w:fill="DBDBDB"/>
            <w:noWrap/>
            <w:hideMark/>
          </w:tcPr>
          <w:p w14:paraId="438B126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494E2A0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w:t>
            </w:r>
          </w:p>
        </w:tc>
        <w:tc>
          <w:tcPr>
            <w:tcW w:w="1168" w:type="dxa"/>
            <w:tcBorders>
              <w:top w:val="nil"/>
              <w:left w:val="nil"/>
              <w:bottom w:val="single" w:sz="8" w:space="0" w:color="CCCCCC"/>
              <w:right w:val="single" w:sz="8" w:space="0" w:color="CCCCCC"/>
            </w:tcBorders>
            <w:shd w:val="clear" w:color="000000" w:fill="DBDBDB"/>
            <w:noWrap/>
            <w:hideMark/>
          </w:tcPr>
          <w:p w14:paraId="56AF06E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13A8231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456B6B2"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w:t>
            </w:r>
          </w:p>
        </w:tc>
      </w:tr>
      <w:tr w:rsidR="00E95512" w:rsidRPr="001A4B94" w14:paraId="38421513"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38FBA6C4"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9397C8E"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1D6C14C7" w14:textId="04D27EA9"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36320-Adana B </w:t>
            </w:r>
            <w:r w:rsidR="00164E2C" w:rsidRPr="001A4B94">
              <w:rPr>
                <w:rFonts w:eastAsia="Arial Unicode MS"/>
                <w:color w:val="000000"/>
                <w:sz w:val="16"/>
                <w:szCs w:val="16"/>
                <w:lang w:val="tr-TR"/>
              </w:rPr>
              <w:t>Kredi</w:t>
            </w:r>
          </w:p>
        </w:tc>
        <w:tc>
          <w:tcPr>
            <w:tcW w:w="646" w:type="dxa"/>
            <w:tcBorders>
              <w:top w:val="nil"/>
              <w:left w:val="nil"/>
              <w:bottom w:val="single" w:sz="8" w:space="0" w:color="93B1CD"/>
              <w:right w:val="single" w:sz="8" w:space="0" w:color="93B1CD"/>
            </w:tcBorders>
            <w:shd w:val="clear" w:color="000000" w:fill="DBDBDB"/>
            <w:noWrap/>
            <w:hideMark/>
          </w:tcPr>
          <w:p w14:paraId="5665CAD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1A229A6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68" w:type="dxa"/>
            <w:tcBorders>
              <w:top w:val="nil"/>
              <w:left w:val="nil"/>
              <w:bottom w:val="single" w:sz="8" w:space="0" w:color="CCCCCC"/>
              <w:right w:val="single" w:sz="8" w:space="0" w:color="CCCCCC"/>
            </w:tcBorders>
            <w:shd w:val="clear" w:color="000000" w:fill="DBDBDB"/>
            <w:noWrap/>
            <w:hideMark/>
          </w:tcPr>
          <w:p w14:paraId="3C8B340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62</w:t>
            </w:r>
          </w:p>
        </w:tc>
        <w:tc>
          <w:tcPr>
            <w:tcW w:w="1132" w:type="dxa"/>
            <w:tcBorders>
              <w:top w:val="nil"/>
              <w:left w:val="nil"/>
              <w:bottom w:val="single" w:sz="8" w:space="0" w:color="CCCCCC"/>
              <w:right w:val="single" w:sz="8" w:space="0" w:color="CCCCCC"/>
            </w:tcBorders>
            <w:shd w:val="clear" w:color="000000" w:fill="DBDBDB"/>
            <w:noWrap/>
            <w:hideMark/>
          </w:tcPr>
          <w:p w14:paraId="4357774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0D8812B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62</w:t>
            </w:r>
          </w:p>
        </w:tc>
      </w:tr>
      <w:tr w:rsidR="00E95512" w:rsidRPr="001A4B94" w14:paraId="3AD7B4AA"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A2F4EA5"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63E8FA7D"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7BDE727C"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34669-Soda Sanayii</w:t>
            </w:r>
          </w:p>
        </w:tc>
        <w:tc>
          <w:tcPr>
            <w:tcW w:w="646" w:type="dxa"/>
            <w:tcBorders>
              <w:top w:val="nil"/>
              <w:left w:val="nil"/>
              <w:bottom w:val="single" w:sz="8" w:space="0" w:color="93B1CD"/>
              <w:right w:val="single" w:sz="8" w:space="0" w:color="93B1CD"/>
            </w:tcBorders>
            <w:shd w:val="clear" w:color="000000" w:fill="DBDBDB"/>
            <w:noWrap/>
            <w:hideMark/>
          </w:tcPr>
          <w:p w14:paraId="1FDB008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2FAFE9B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168" w:type="dxa"/>
            <w:tcBorders>
              <w:top w:val="nil"/>
              <w:left w:val="nil"/>
              <w:bottom w:val="single" w:sz="8" w:space="0" w:color="CCCCCC"/>
              <w:right w:val="single" w:sz="8" w:space="0" w:color="CCCCCC"/>
            </w:tcBorders>
            <w:shd w:val="clear" w:color="000000" w:fill="DBDBDB"/>
            <w:noWrap/>
            <w:hideMark/>
          </w:tcPr>
          <w:p w14:paraId="0AA63E4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26AF8B4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377FBF39"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704ECA44"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003AB82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67B65959"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598E8E3D" w14:textId="0B9F14B4"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34358-Adana </w:t>
            </w:r>
            <w:r w:rsidR="00164E2C" w:rsidRPr="001A4B94">
              <w:rPr>
                <w:rFonts w:eastAsia="Arial Unicode MS"/>
                <w:color w:val="000000"/>
                <w:sz w:val="16"/>
                <w:szCs w:val="16"/>
                <w:lang w:val="tr-TR"/>
              </w:rPr>
              <w:t xml:space="preserve">Sağlık </w:t>
            </w:r>
          </w:p>
        </w:tc>
        <w:tc>
          <w:tcPr>
            <w:tcW w:w="646" w:type="dxa"/>
            <w:tcBorders>
              <w:top w:val="nil"/>
              <w:left w:val="nil"/>
              <w:bottom w:val="single" w:sz="8" w:space="0" w:color="93B1CD"/>
              <w:right w:val="single" w:sz="8" w:space="0" w:color="93B1CD"/>
            </w:tcBorders>
            <w:shd w:val="clear" w:color="000000" w:fill="DBDBDB"/>
            <w:noWrap/>
            <w:hideMark/>
          </w:tcPr>
          <w:p w14:paraId="4CF3996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38508C5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44</w:t>
            </w:r>
          </w:p>
        </w:tc>
        <w:tc>
          <w:tcPr>
            <w:tcW w:w="1168" w:type="dxa"/>
            <w:tcBorders>
              <w:top w:val="nil"/>
              <w:left w:val="nil"/>
              <w:bottom w:val="single" w:sz="8" w:space="0" w:color="CCCCCC"/>
              <w:right w:val="single" w:sz="8" w:space="0" w:color="CCCCCC"/>
            </w:tcBorders>
            <w:shd w:val="clear" w:color="000000" w:fill="DBDBDB"/>
            <w:noWrap/>
            <w:hideMark/>
          </w:tcPr>
          <w:p w14:paraId="0525890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0C05AE3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108</w:t>
            </w:r>
          </w:p>
        </w:tc>
        <w:tc>
          <w:tcPr>
            <w:tcW w:w="1351" w:type="dxa"/>
            <w:tcBorders>
              <w:top w:val="nil"/>
              <w:left w:val="nil"/>
              <w:bottom w:val="single" w:sz="8" w:space="0" w:color="CCCCCC"/>
              <w:right w:val="single" w:sz="8" w:space="0" w:color="CCCCCC"/>
            </w:tcBorders>
            <w:shd w:val="clear" w:color="000000" w:fill="DBDBDB"/>
            <w:noWrap/>
            <w:hideMark/>
          </w:tcPr>
          <w:p w14:paraId="50F8B544"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151</w:t>
            </w:r>
          </w:p>
        </w:tc>
      </w:tr>
      <w:tr w:rsidR="00E95512" w:rsidRPr="001A4B94" w14:paraId="11225864"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19B2875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70FFF3F1"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263E59BE" w14:textId="2C3717DF"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33995-Elif </w:t>
            </w:r>
            <w:r w:rsidR="00164E2C" w:rsidRPr="001A4B94">
              <w:rPr>
                <w:rFonts w:eastAsia="Arial Unicode MS"/>
                <w:color w:val="000000"/>
                <w:sz w:val="16"/>
                <w:szCs w:val="16"/>
                <w:lang w:val="tr-TR"/>
              </w:rPr>
              <w:t xml:space="preserve">Türkiye </w:t>
            </w:r>
          </w:p>
        </w:tc>
        <w:tc>
          <w:tcPr>
            <w:tcW w:w="646" w:type="dxa"/>
            <w:tcBorders>
              <w:top w:val="nil"/>
              <w:left w:val="nil"/>
              <w:bottom w:val="single" w:sz="8" w:space="0" w:color="93B1CD"/>
              <w:right w:val="single" w:sz="8" w:space="0" w:color="93B1CD"/>
            </w:tcBorders>
            <w:shd w:val="clear" w:color="000000" w:fill="DBDBDB"/>
            <w:noWrap/>
            <w:hideMark/>
          </w:tcPr>
          <w:p w14:paraId="410584C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0BC4577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10</w:t>
            </w:r>
          </w:p>
        </w:tc>
        <w:tc>
          <w:tcPr>
            <w:tcW w:w="1168" w:type="dxa"/>
            <w:tcBorders>
              <w:top w:val="nil"/>
              <w:left w:val="nil"/>
              <w:bottom w:val="single" w:sz="8" w:space="0" w:color="CCCCCC"/>
              <w:right w:val="single" w:sz="8" w:space="0" w:color="CCCCCC"/>
            </w:tcBorders>
            <w:shd w:val="clear" w:color="000000" w:fill="DBDBDB"/>
            <w:noWrap/>
            <w:hideMark/>
          </w:tcPr>
          <w:p w14:paraId="065CED9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36128C0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00928C70"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10</w:t>
            </w:r>
          </w:p>
        </w:tc>
      </w:tr>
      <w:tr w:rsidR="00E95512" w:rsidRPr="001A4B94" w14:paraId="1E8E4689"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DA5B48A"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90C1107"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2EF5F137" w14:textId="0211C679"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33677-Etlik </w:t>
            </w:r>
            <w:r w:rsidR="00164E2C" w:rsidRPr="001A4B94">
              <w:rPr>
                <w:rFonts w:eastAsia="Arial Unicode MS"/>
                <w:color w:val="000000"/>
                <w:sz w:val="16"/>
                <w:szCs w:val="16"/>
                <w:lang w:val="tr-TR"/>
              </w:rPr>
              <w:t xml:space="preserve">Sağlık </w:t>
            </w:r>
          </w:p>
        </w:tc>
        <w:tc>
          <w:tcPr>
            <w:tcW w:w="646" w:type="dxa"/>
            <w:tcBorders>
              <w:top w:val="nil"/>
              <w:left w:val="nil"/>
              <w:bottom w:val="single" w:sz="8" w:space="0" w:color="93B1CD"/>
              <w:right w:val="single" w:sz="8" w:space="0" w:color="93B1CD"/>
            </w:tcBorders>
            <w:shd w:val="clear" w:color="000000" w:fill="DBDBDB"/>
            <w:noWrap/>
            <w:hideMark/>
          </w:tcPr>
          <w:p w14:paraId="2C33A33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540A80A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82</w:t>
            </w:r>
          </w:p>
        </w:tc>
        <w:tc>
          <w:tcPr>
            <w:tcW w:w="1168" w:type="dxa"/>
            <w:tcBorders>
              <w:top w:val="nil"/>
              <w:left w:val="nil"/>
              <w:bottom w:val="single" w:sz="8" w:space="0" w:color="CCCCCC"/>
              <w:right w:val="single" w:sz="8" w:space="0" w:color="CCCCCC"/>
            </w:tcBorders>
            <w:shd w:val="clear" w:color="000000" w:fill="DBDBDB"/>
            <w:noWrap/>
            <w:hideMark/>
          </w:tcPr>
          <w:p w14:paraId="31F7500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87</w:t>
            </w:r>
          </w:p>
        </w:tc>
        <w:tc>
          <w:tcPr>
            <w:tcW w:w="1132" w:type="dxa"/>
            <w:tcBorders>
              <w:top w:val="nil"/>
              <w:left w:val="nil"/>
              <w:bottom w:val="single" w:sz="8" w:space="0" w:color="CCCCCC"/>
              <w:right w:val="single" w:sz="8" w:space="0" w:color="CCCCCC"/>
            </w:tcBorders>
            <w:shd w:val="clear" w:color="000000" w:fill="DBDBDB"/>
            <w:noWrap/>
            <w:hideMark/>
          </w:tcPr>
          <w:p w14:paraId="77C6EF7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25DCB16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169</w:t>
            </w:r>
          </w:p>
        </w:tc>
      </w:tr>
      <w:tr w:rsidR="00E95512" w:rsidRPr="001A4B94" w14:paraId="1859A979"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334BD4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94D2508"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000000" w:fill="DBDBDB"/>
            <w:noWrap/>
            <w:hideMark/>
          </w:tcPr>
          <w:p w14:paraId="0F926326" w14:textId="134F31BE"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31029-Kayseri </w:t>
            </w:r>
            <w:r w:rsidR="00164E2C" w:rsidRPr="001A4B94">
              <w:rPr>
                <w:rFonts w:eastAsia="Arial Unicode MS"/>
                <w:color w:val="000000"/>
                <w:sz w:val="16"/>
                <w:szCs w:val="16"/>
                <w:lang w:val="tr-TR"/>
              </w:rPr>
              <w:t xml:space="preserve">Sağlık </w:t>
            </w:r>
          </w:p>
        </w:tc>
        <w:tc>
          <w:tcPr>
            <w:tcW w:w="646" w:type="dxa"/>
            <w:tcBorders>
              <w:top w:val="nil"/>
              <w:left w:val="nil"/>
              <w:bottom w:val="single" w:sz="8" w:space="0" w:color="93B1CD"/>
              <w:right w:val="single" w:sz="8" w:space="0" w:color="93B1CD"/>
            </w:tcBorders>
            <w:shd w:val="clear" w:color="000000" w:fill="DBDBDB"/>
            <w:noWrap/>
            <w:hideMark/>
          </w:tcPr>
          <w:p w14:paraId="7DF267F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000000" w:fill="DBDBDB"/>
            <w:noWrap/>
            <w:hideMark/>
          </w:tcPr>
          <w:p w14:paraId="578B73A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38</w:t>
            </w:r>
          </w:p>
        </w:tc>
        <w:tc>
          <w:tcPr>
            <w:tcW w:w="1168" w:type="dxa"/>
            <w:tcBorders>
              <w:top w:val="nil"/>
              <w:left w:val="nil"/>
              <w:bottom w:val="single" w:sz="8" w:space="0" w:color="CCCCCC"/>
              <w:right w:val="single" w:sz="8" w:space="0" w:color="CCCCCC"/>
            </w:tcBorders>
            <w:shd w:val="clear" w:color="000000" w:fill="DBDBDB"/>
            <w:noWrap/>
            <w:hideMark/>
          </w:tcPr>
          <w:p w14:paraId="1BE0B08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000000" w:fill="DBDBDB"/>
            <w:noWrap/>
            <w:hideMark/>
          </w:tcPr>
          <w:p w14:paraId="15DFE86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000000" w:fill="DBDBDB"/>
            <w:noWrap/>
            <w:hideMark/>
          </w:tcPr>
          <w:p w14:paraId="49E2AED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38</w:t>
            </w:r>
          </w:p>
        </w:tc>
      </w:tr>
      <w:tr w:rsidR="00E95512" w:rsidRPr="001A4B94" w14:paraId="234D1741" w14:textId="77777777" w:rsidTr="004626A4">
        <w:trPr>
          <w:trHeight w:val="219"/>
        </w:trPr>
        <w:tc>
          <w:tcPr>
            <w:tcW w:w="577"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42C7521C" w14:textId="77777777" w:rsidR="00747261" w:rsidRPr="001A4B94" w:rsidRDefault="00747261" w:rsidP="00747261">
            <w:pPr>
              <w:jc w:val="center"/>
              <w:rPr>
                <w:rFonts w:eastAsia="Arial Unicode MS"/>
                <w:color w:val="000000"/>
                <w:sz w:val="16"/>
                <w:szCs w:val="16"/>
                <w:lang w:val="tr-TR"/>
              </w:rPr>
            </w:pPr>
            <w:r w:rsidRPr="001A4B94">
              <w:rPr>
                <w:rFonts w:eastAsia="Arial Unicode MS"/>
                <w:color w:val="000000"/>
                <w:sz w:val="16"/>
                <w:szCs w:val="16"/>
                <w:lang w:val="tr-TR"/>
              </w:rPr>
              <w:t>2016</w:t>
            </w: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73A5DD20" w14:textId="388205E9"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CTT </w:t>
            </w:r>
            <w:r w:rsidR="00324768" w:rsidRPr="001A4B94">
              <w:rPr>
                <w:rFonts w:eastAsia="Arial Unicode MS"/>
                <w:color w:val="000000"/>
                <w:sz w:val="16"/>
                <w:szCs w:val="16"/>
                <w:lang w:val="tr-TR"/>
              </w:rPr>
              <w:t xml:space="preserve">Sektör Grubu  </w:t>
            </w:r>
          </w:p>
        </w:tc>
        <w:tc>
          <w:tcPr>
            <w:tcW w:w="2173" w:type="dxa"/>
            <w:tcBorders>
              <w:top w:val="nil"/>
              <w:left w:val="nil"/>
              <w:bottom w:val="single" w:sz="8" w:space="0" w:color="93B1CD"/>
              <w:right w:val="single" w:sz="8" w:space="0" w:color="93B1CD"/>
            </w:tcBorders>
            <w:shd w:val="clear" w:color="auto" w:fill="auto"/>
            <w:noWrap/>
            <w:hideMark/>
          </w:tcPr>
          <w:p w14:paraId="3D21167A" w14:textId="7D59425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37661-Revo </w:t>
            </w:r>
            <w:r w:rsidR="00164E2C" w:rsidRPr="001A4B94">
              <w:rPr>
                <w:rFonts w:eastAsia="Arial Unicode MS"/>
                <w:color w:val="000000"/>
                <w:sz w:val="16"/>
                <w:szCs w:val="16"/>
                <w:lang w:val="tr-TR"/>
              </w:rPr>
              <w:t xml:space="preserve">Sermaye </w:t>
            </w:r>
          </w:p>
        </w:tc>
        <w:tc>
          <w:tcPr>
            <w:tcW w:w="646" w:type="dxa"/>
            <w:tcBorders>
              <w:top w:val="nil"/>
              <w:left w:val="nil"/>
              <w:bottom w:val="single" w:sz="8" w:space="0" w:color="93B1CD"/>
              <w:right w:val="single" w:sz="8" w:space="0" w:color="93B1CD"/>
            </w:tcBorders>
            <w:shd w:val="clear" w:color="auto" w:fill="auto"/>
            <w:noWrap/>
            <w:hideMark/>
          </w:tcPr>
          <w:p w14:paraId="396817E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696A64C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8</w:t>
            </w:r>
          </w:p>
        </w:tc>
        <w:tc>
          <w:tcPr>
            <w:tcW w:w="1168" w:type="dxa"/>
            <w:tcBorders>
              <w:top w:val="nil"/>
              <w:left w:val="nil"/>
              <w:bottom w:val="single" w:sz="8" w:space="0" w:color="CCCCCC"/>
              <w:right w:val="single" w:sz="8" w:space="0" w:color="CCCCCC"/>
            </w:tcBorders>
            <w:shd w:val="clear" w:color="auto" w:fill="auto"/>
            <w:noWrap/>
            <w:hideMark/>
          </w:tcPr>
          <w:p w14:paraId="31A9921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51566E1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7BCA8494"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8</w:t>
            </w:r>
          </w:p>
        </w:tc>
      </w:tr>
      <w:tr w:rsidR="00E95512" w:rsidRPr="001A4B94" w14:paraId="56D3F2C9"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F81EB42"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62B2A3B"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10FFD874" w14:textId="3C967C7A"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34636-Taxim </w:t>
            </w:r>
            <w:r w:rsidR="00164E2C" w:rsidRPr="001A4B94">
              <w:rPr>
                <w:rFonts w:eastAsia="Arial Unicode MS"/>
                <w:color w:val="000000"/>
                <w:sz w:val="16"/>
                <w:szCs w:val="16"/>
                <w:lang w:val="tr-TR"/>
              </w:rPr>
              <w:t xml:space="preserve">Sermaye </w:t>
            </w:r>
          </w:p>
        </w:tc>
        <w:tc>
          <w:tcPr>
            <w:tcW w:w="646" w:type="dxa"/>
            <w:tcBorders>
              <w:top w:val="nil"/>
              <w:left w:val="nil"/>
              <w:bottom w:val="single" w:sz="8" w:space="0" w:color="93B1CD"/>
              <w:right w:val="single" w:sz="8" w:space="0" w:color="93B1CD"/>
            </w:tcBorders>
            <w:shd w:val="clear" w:color="auto" w:fill="auto"/>
            <w:noWrap/>
            <w:hideMark/>
          </w:tcPr>
          <w:p w14:paraId="421F846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4E2727F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20</w:t>
            </w:r>
          </w:p>
        </w:tc>
        <w:tc>
          <w:tcPr>
            <w:tcW w:w="1168" w:type="dxa"/>
            <w:tcBorders>
              <w:top w:val="nil"/>
              <w:left w:val="nil"/>
              <w:bottom w:val="single" w:sz="8" w:space="0" w:color="CCCCCC"/>
              <w:right w:val="single" w:sz="8" w:space="0" w:color="CCCCCC"/>
            </w:tcBorders>
            <w:shd w:val="clear" w:color="auto" w:fill="auto"/>
            <w:noWrap/>
            <w:hideMark/>
          </w:tcPr>
          <w:p w14:paraId="4F35836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52FDE6B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718A044D"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20</w:t>
            </w:r>
          </w:p>
        </w:tc>
      </w:tr>
      <w:tr w:rsidR="00E95512" w:rsidRPr="001A4B94" w14:paraId="56630D63"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1C15E9C1"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0FB557B3" w14:textId="0E08A876"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FM</w:t>
            </w:r>
            <w:r w:rsidR="002A2BDB" w:rsidRPr="001A4B94">
              <w:rPr>
                <w:rFonts w:eastAsia="Arial Unicode MS"/>
                <w:color w:val="000000"/>
                <w:sz w:val="16"/>
                <w:szCs w:val="16"/>
                <w:lang w:val="tr-TR"/>
              </w:rPr>
              <w:t xml:space="preserve"> Sektör Grubu</w:t>
            </w:r>
          </w:p>
        </w:tc>
        <w:tc>
          <w:tcPr>
            <w:tcW w:w="2173" w:type="dxa"/>
            <w:tcBorders>
              <w:top w:val="nil"/>
              <w:left w:val="nil"/>
              <w:bottom w:val="single" w:sz="8" w:space="0" w:color="93B1CD"/>
              <w:right w:val="single" w:sz="8" w:space="0" w:color="93B1CD"/>
            </w:tcBorders>
            <w:shd w:val="clear" w:color="auto" w:fill="auto"/>
            <w:noWrap/>
            <w:hideMark/>
          </w:tcPr>
          <w:p w14:paraId="3AF2258D" w14:textId="7372383E"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37925-Odeabank </w:t>
            </w:r>
            <w:r w:rsidR="00164E2C" w:rsidRPr="001A4B94">
              <w:rPr>
                <w:rFonts w:eastAsia="Arial Unicode MS"/>
                <w:color w:val="000000"/>
                <w:sz w:val="16"/>
                <w:szCs w:val="16"/>
                <w:lang w:val="tr-TR"/>
              </w:rPr>
              <w:t>Sermaye</w:t>
            </w:r>
          </w:p>
        </w:tc>
        <w:tc>
          <w:tcPr>
            <w:tcW w:w="646" w:type="dxa"/>
            <w:tcBorders>
              <w:top w:val="nil"/>
              <w:left w:val="nil"/>
              <w:bottom w:val="single" w:sz="8" w:space="0" w:color="93B1CD"/>
              <w:right w:val="single" w:sz="8" w:space="0" w:color="93B1CD"/>
            </w:tcBorders>
            <w:shd w:val="clear" w:color="auto" w:fill="auto"/>
            <w:noWrap/>
            <w:hideMark/>
          </w:tcPr>
          <w:p w14:paraId="76975C8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7C66E4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auto" w:fill="auto"/>
            <w:noWrap/>
            <w:hideMark/>
          </w:tcPr>
          <w:p w14:paraId="0280962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A0CDDD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39</w:t>
            </w:r>
          </w:p>
        </w:tc>
        <w:tc>
          <w:tcPr>
            <w:tcW w:w="1351" w:type="dxa"/>
            <w:tcBorders>
              <w:top w:val="nil"/>
              <w:left w:val="nil"/>
              <w:bottom w:val="single" w:sz="8" w:space="0" w:color="CCCCCC"/>
              <w:right w:val="single" w:sz="8" w:space="0" w:color="CCCCCC"/>
            </w:tcBorders>
            <w:shd w:val="clear" w:color="auto" w:fill="auto"/>
            <w:noWrap/>
            <w:hideMark/>
          </w:tcPr>
          <w:p w14:paraId="7AA63C45"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114</w:t>
            </w:r>
          </w:p>
        </w:tc>
      </w:tr>
      <w:tr w:rsidR="00E95512" w:rsidRPr="001A4B94" w14:paraId="5F101E7F"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31058594"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BE246D9"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72C4C2A1"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37112-DCM Finansb DPR2</w:t>
            </w:r>
          </w:p>
        </w:tc>
        <w:tc>
          <w:tcPr>
            <w:tcW w:w="646" w:type="dxa"/>
            <w:tcBorders>
              <w:top w:val="nil"/>
              <w:left w:val="nil"/>
              <w:bottom w:val="single" w:sz="8" w:space="0" w:color="93B1CD"/>
              <w:right w:val="single" w:sz="8" w:space="0" w:color="93B1CD"/>
            </w:tcBorders>
            <w:shd w:val="clear" w:color="auto" w:fill="auto"/>
            <w:noWrap/>
            <w:hideMark/>
          </w:tcPr>
          <w:p w14:paraId="016B857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4ECCE9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100</w:t>
            </w:r>
          </w:p>
        </w:tc>
        <w:tc>
          <w:tcPr>
            <w:tcW w:w="1168" w:type="dxa"/>
            <w:tcBorders>
              <w:top w:val="nil"/>
              <w:left w:val="nil"/>
              <w:bottom w:val="single" w:sz="8" w:space="0" w:color="CCCCCC"/>
              <w:right w:val="single" w:sz="8" w:space="0" w:color="CCCCCC"/>
            </w:tcBorders>
            <w:shd w:val="clear" w:color="auto" w:fill="auto"/>
            <w:noWrap/>
            <w:hideMark/>
          </w:tcPr>
          <w:p w14:paraId="5BBD9FC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4A7EB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8F5F6F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100</w:t>
            </w:r>
          </w:p>
        </w:tc>
      </w:tr>
      <w:tr w:rsidR="00E95512" w:rsidRPr="001A4B94" w14:paraId="220E3282"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086ED3E5"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EC39EEF"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51B4E6C7" w14:textId="7CF0CE39"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37063-DCM TSKB </w:t>
            </w:r>
            <w:r w:rsidR="00164E2C" w:rsidRPr="001A4B94">
              <w:rPr>
                <w:rFonts w:eastAsia="Arial Unicode MS"/>
                <w:color w:val="000000"/>
                <w:sz w:val="16"/>
                <w:szCs w:val="16"/>
                <w:lang w:val="tr-TR"/>
              </w:rPr>
              <w:t xml:space="preserve">İklim </w:t>
            </w:r>
          </w:p>
        </w:tc>
        <w:tc>
          <w:tcPr>
            <w:tcW w:w="646" w:type="dxa"/>
            <w:tcBorders>
              <w:top w:val="nil"/>
              <w:left w:val="nil"/>
              <w:bottom w:val="single" w:sz="8" w:space="0" w:color="93B1CD"/>
              <w:right w:val="single" w:sz="8" w:space="0" w:color="93B1CD"/>
            </w:tcBorders>
            <w:shd w:val="clear" w:color="auto" w:fill="auto"/>
            <w:noWrap/>
            <w:hideMark/>
          </w:tcPr>
          <w:p w14:paraId="240643B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F60EB7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75</w:t>
            </w:r>
          </w:p>
        </w:tc>
        <w:tc>
          <w:tcPr>
            <w:tcW w:w="1168" w:type="dxa"/>
            <w:tcBorders>
              <w:top w:val="nil"/>
              <w:left w:val="nil"/>
              <w:bottom w:val="single" w:sz="8" w:space="0" w:color="CCCCCC"/>
              <w:right w:val="single" w:sz="8" w:space="0" w:color="CCCCCC"/>
            </w:tcBorders>
            <w:shd w:val="clear" w:color="auto" w:fill="auto"/>
            <w:noWrap/>
            <w:hideMark/>
          </w:tcPr>
          <w:p w14:paraId="64363D9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0FE5083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607921AF"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0271B4C0"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15B46957"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539E65A"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5946E9EE" w14:textId="3D127E1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36318-Seker </w:t>
            </w:r>
            <w:r w:rsidR="00164E2C" w:rsidRPr="001A4B94">
              <w:rPr>
                <w:rFonts w:eastAsia="Arial Unicode MS"/>
                <w:color w:val="000000"/>
                <w:sz w:val="16"/>
                <w:szCs w:val="16"/>
                <w:lang w:val="tr-TR"/>
              </w:rPr>
              <w:t>M-KOBİ</w:t>
            </w:r>
          </w:p>
        </w:tc>
        <w:tc>
          <w:tcPr>
            <w:tcW w:w="646" w:type="dxa"/>
            <w:tcBorders>
              <w:top w:val="nil"/>
              <w:left w:val="nil"/>
              <w:bottom w:val="single" w:sz="8" w:space="0" w:color="93B1CD"/>
              <w:right w:val="single" w:sz="8" w:space="0" w:color="93B1CD"/>
            </w:tcBorders>
            <w:shd w:val="clear" w:color="auto" w:fill="auto"/>
            <w:noWrap/>
            <w:hideMark/>
          </w:tcPr>
          <w:p w14:paraId="1089242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783BE99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50</w:t>
            </w:r>
          </w:p>
        </w:tc>
        <w:tc>
          <w:tcPr>
            <w:tcW w:w="1168" w:type="dxa"/>
            <w:tcBorders>
              <w:top w:val="nil"/>
              <w:left w:val="nil"/>
              <w:bottom w:val="single" w:sz="8" w:space="0" w:color="CCCCCC"/>
              <w:right w:val="single" w:sz="8" w:space="0" w:color="CCCCCC"/>
            </w:tcBorders>
            <w:shd w:val="clear" w:color="auto" w:fill="auto"/>
            <w:noWrap/>
            <w:hideMark/>
          </w:tcPr>
          <w:p w14:paraId="2D7C48E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404941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351" w:type="dxa"/>
            <w:tcBorders>
              <w:top w:val="nil"/>
              <w:left w:val="nil"/>
              <w:bottom w:val="single" w:sz="8" w:space="0" w:color="CCCCCC"/>
              <w:right w:val="single" w:sz="8" w:space="0" w:color="CCCCCC"/>
            </w:tcBorders>
            <w:shd w:val="clear" w:color="auto" w:fill="auto"/>
            <w:noWrap/>
            <w:hideMark/>
          </w:tcPr>
          <w:p w14:paraId="0EB2F51B"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2FAD4EBB"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F2FD61B"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935B808"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2CE1DCCE" w14:textId="118105A1"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36167-Fibabanka </w:t>
            </w:r>
            <w:r w:rsidR="00164E2C" w:rsidRPr="001A4B94">
              <w:rPr>
                <w:rFonts w:eastAsia="Arial Unicode MS"/>
                <w:color w:val="000000"/>
                <w:sz w:val="16"/>
                <w:szCs w:val="16"/>
                <w:lang w:val="tr-TR"/>
              </w:rPr>
              <w:t xml:space="preserve">Sermaye </w:t>
            </w:r>
          </w:p>
        </w:tc>
        <w:tc>
          <w:tcPr>
            <w:tcW w:w="646" w:type="dxa"/>
            <w:tcBorders>
              <w:top w:val="nil"/>
              <w:left w:val="nil"/>
              <w:bottom w:val="single" w:sz="8" w:space="0" w:color="93B1CD"/>
              <w:right w:val="single" w:sz="8" w:space="0" w:color="93B1CD"/>
            </w:tcBorders>
            <w:shd w:val="clear" w:color="auto" w:fill="auto"/>
            <w:noWrap/>
            <w:hideMark/>
          </w:tcPr>
          <w:p w14:paraId="6FE092C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56B516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auto" w:fill="auto"/>
            <w:noWrap/>
            <w:hideMark/>
          </w:tcPr>
          <w:p w14:paraId="511FB5E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8929A6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3B39B3A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40</w:t>
            </w:r>
          </w:p>
        </w:tc>
      </w:tr>
      <w:tr w:rsidR="00E95512" w:rsidRPr="001A4B94" w14:paraId="7E76C591"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6B21F99"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A72E4E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44C383B3" w14:textId="60F59EC3"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35128-Burgan </w:t>
            </w:r>
            <w:r w:rsidR="00164E2C" w:rsidRPr="001A4B94">
              <w:rPr>
                <w:rFonts w:eastAsia="Arial Unicode MS"/>
                <w:color w:val="000000"/>
                <w:sz w:val="16"/>
                <w:szCs w:val="16"/>
                <w:lang w:val="tr-TR"/>
              </w:rPr>
              <w:t xml:space="preserve">Türkiye </w:t>
            </w:r>
          </w:p>
        </w:tc>
        <w:tc>
          <w:tcPr>
            <w:tcW w:w="646" w:type="dxa"/>
            <w:tcBorders>
              <w:top w:val="nil"/>
              <w:left w:val="nil"/>
              <w:bottom w:val="single" w:sz="8" w:space="0" w:color="93B1CD"/>
              <w:right w:val="single" w:sz="8" w:space="0" w:color="93B1CD"/>
            </w:tcBorders>
            <w:shd w:val="clear" w:color="auto" w:fill="auto"/>
            <w:noWrap/>
            <w:hideMark/>
          </w:tcPr>
          <w:p w14:paraId="1BA03C7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6D3BDA1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auto" w:fill="auto"/>
            <w:noWrap/>
            <w:hideMark/>
          </w:tcPr>
          <w:p w14:paraId="2C2BC90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26CAFB0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20</w:t>
            </w:r>
          </w:p>
        </w:tc>
        <w:tc>
          <w:tcPr>
            <w:tcW w:w="1351" w:type="dxa"/>
            <w:tcBorders>
              <w:top w:val="nil"/>
              <w:left w:val="nil"/>
              <w:bottom w:val="single" w:sz="8" w:space="0" w:color="CCCCCC"/>
              <w:right w:val="single" w:sz="8" w:space="0" w:color="CCCCCC"/>
            </w:tcBorders>
            <w:shd w:val="clear" w:color="auto" w:fill="auto"/>
            <w:noWrap/>
            <w:hideMark/>
          </w:tcPr>
          <w:p w14:paraId="540C7F2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60</w:t>
            </w:r>
          </w:p>
        </w:tc>
      </w:tr>
      <w:tr w:rsidR="00E95512" w:rsidRPr="001A4B94" w14:paraId="7C54FCB7"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D865A0A"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6390FF8"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26266ADF" w14:textId="593F055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35827-Odeabank </w:t>
            </w:r>
            <w:r w:rsidR="004626A4" w:rsidRPr="001A4B94">
              <w:rPr>
                <w:rFonts w:eastAsia="Arial Unicode MS"/>
                <w:color w:val="000000"/>
                <w:sz w:val="16"/>
                <w:szCs w:val="16"/>
                <w:lang w:val="tr-TR"/>
              </w:rPr>
              <w:t>Yeşil İpotek</w:t>
            </w:r>
          </w:p>
        </w:tc>
        <w:tc>
          <w:tcPr>
            <w:tcW w:w="646" w:type="dxa"/>
            <w:tcBorders>
              <w:top w:val="nil"/>
              <w:left w:val="nil"/>
              <w:bottom w:val="single" w:sz="8" w:space="0" w:color="93B1CD"/>
              <w:right w:val="single" w:sz="8" w:space="0" w:color="93B1CD"/>
            </w:tcBorders>
            <w:shd w:val="clear" w:color="auto" w:fill="auto"/>
            <w:noWrap/>
            <w:hideMark/>
          </w:tcPr>
          <w:p w14:paraId="2ADEB55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3CDEC92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68" w:type="dxa"/>
            <w:tcBorders>
              <w:top w:val="nil"/>
              <w:left w:val="nil"/>
              <w:bottom w:val="single" w:sz="8" w:space="0" w:color="CCCCCC"/>
              <w:right w:val="single" w:sz="8" w:space="0" w:color="CCCCCC"/>
            </w:tcBorders>
            <w:shd w:val="clear" w:color="auto" w:fill="auto"/>
            <w:noWrap/>
            <w:hideMark/>
          </w:tcPr>
          <w:p w14:paraId="49D6D59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51CE1E6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25</w:t>
            </w:r>
          </w:p>
        </w:tc>
        <w:tc>
          <w:tcPr>
            <w:tcW w:w="1351" w:type="dxa"/>
            <w:tcBorders>
              <w:top w:val="nil"/>
              <w:left w:val="nil"/>
              <w:bottom w:val="single" w:sz="8" w:space="0" w:color="CCCCCC"/>
              <w:right w:val="single" w:sz="8" w:space="0" w:color="CCCCCC"/>
            </w:tcBorders>
            <w:shd w:val="clear" w:color="auto" w:fill="auto"/>
            <w:noWrap/>
            <w:hideMark/>
          </w:tcPr>
          <w:p w14:paraId="6B718054"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25</w:t>
            </w:r>
          </w:p>
        </w:tc>
      </w:tr>
      <w:tr w:rsidR="00E95512" w:rsidRPr="001A4B94" w14:paraId="03779A5F"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636FEF64"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583FB35B" w14:textId="48874B56" w:rsidR="00747261" w:rsidRPr="001A4B94" w:rsidRDefault="00324768" w:rsidP="00747261">
            <w:pPr>
              <w:rPr>
                <w:rFonts w:eastAsia="Arial Unicode MS"/>
                <w:color w:val="000000"/>
                <w:sz w:val="16"/>
                <w:szCs w:val="16"/>
                <w:lang w:val="tr-TR"/>
              </w:rPr>
            </w:pPr>
            <w:r w:rsidRPr="001A4B94">
              <w:rPr>
                <w:rFonts w:eastAsia="Arial Unicode MS"/>
                <w:color w:val="000000"/>
                <w:sz w:val="16"/>
                <w:szCs w:val="16"/>
                <w:lang w:val="tr-TR"/>
              </w:rPr>
              <w:t xml:space="preserve">Altyapın Sektör Grubu   </w:t>
            </w:r>
          </w:p>
        </w:tc>
        <w:tc>
          <w:tcPr>
            <w:tcW w:w="2173" w:type="dxa"/>
            <w:tcBorders>
              <w:top w:val="nil"/>
              <w:left w:val="nil"/>
              <w:bottom w:val="single" w:sz="8" w:space="0" w:color="93B1CD"/>
              <w:right w:val="single" w:sz="8" w:space="0" w:color="93B1CD"/>
            </w:tcBorders>
            <w:shd w:val="clear" w:color="auto" w:fill="auto"/>
            <w:noWrap/>
            <w:hideMark/>
          </w:tcPr>
          <w:p w14:paraId="1ED096B5" w14:textId="63957A6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38655-Karaca </w:t>
            </w:r>
            <w:r w:rsidR="0041316B" w:rsidRPr="001A4B94">
              <w:rPr>
                <w:rFonts w:eastAsia="Arial Unicode MS"/>
                <w:color w:val="000000"/>
                <w:sz w:val="16"/>
                <w:szCs w:val="16"/>
                <w:lang w:val="tr-TR"/>
              </w:rPr>
              <w:t>Swap</w:t>
            </w:r>
            <w:r w:rsidR="00164E2C" w:rsidRPr="001A4B94">
              <w:rPr>
                <w:rFonts w:eastAsia="Arial Unicode MS"/>
                <w:color w:val="000000"/>
                <w:sz w:val="16"/>
                <w:szCs w:val="16"/>
                <w:lang w:val="tr-TR"/>
              </w:rPr>
              <w:t xml:space="preserve"> </w:t>
            </w:r>
          </w:p>
        </w:tc>
        <w:tc>
          <w:tcPr>
            <w:tcW w:w="646" w:type="dxa"/>
            <w:tcBorders>
              <w:top w:val="nil"/>
              <w:left w:val="nil"/>
              <w:bottom w:val="single" w:sz="8" w:space="0" w:color="93B1CD"/>
              <w:right w:val="single" w:sz="8" w:space="0" w:color="93B1CD"/>
            </w:tcBorders>
            <w:shd w:val="clear" w:color="auto" w:fill="auto"/>
            <w:noWrap/>
            <w:hideMark/>
          </w:tcPr>
          <w:p w14:paraId="43325FC4"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7E90BD0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w:t>
            </w:r>
          </w:p>
        </w:tc>
        <w:tc>
          <w:tcPr>
            <w:tcW w:w="1168" w:type="dxa"/>
            <w:tcBorders>
              <w:top w:val="nil"/>
              <w:left w:val="nil"/>
              <w:bottom w:val="single" w:sz="8" w:space="0" w:color="CCCCCC"/>
              <w:right w:val="single" w:sz="8" w:space="0" w:color="CCCCCC"/>
            </w:tcBorders>
            <w:shd w:val="clear" w:color="auto" w:fill="auto"/>
            <w:noWrap/>
            <w:hideMark/>
          </w:tcPr>
          <w:p w14:paraId="11B021F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2D14B12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DDD7253"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w:t>
            </w:r>
          </w:p>
        </w:tc>
      </w:tr>
      <w:tr w:rsidR="00E95512" w:rsidRPr="001A4B94" w14:paraId="5336DD2F"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1E69D52D"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D23EEB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46890A37" w14:textId="5045417B"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37872-Karaca </w:t>
            </w:r>
            <w:r w:rsidR="00164E2C" w:rsidRPr="001A4B94">
              <w:rPr>
                <w:rFonts w:eastAsia="Arial Unicode MS"/>
                <w:color w:val="000000"/>
                <w:sz w:val="16"/>
                <w:szCs w:val="16"/>
                <w:lang w:val="tr-TR"/>
              </w:rPr>
              <w:t xml:space="preserve">Hidro </w:t>
            </w:r>
          </w:p>
        </w:tc>
        <w:tc>
          <w:tcPr>
            <w:tcW w:w="646" w:type="dxa"/>
            <w:tcBorders>
              <w:top w:val="nil"/>
              <w:left w:val="nil"/>
              <w:bottom w:val="single" w:sz="8" w:space="0" w:color="93B1CD"/>
              <w:right w:val="single" w:sz="8" w:space="0" w:color="93B1CD"/>
            </w:tcBorders>
            <w:shd w:val="clear" w:color="auto" w:fill="auto"/>
            <w:noWrap/>
            <w:hideMark/>
          </w:tcPr>
          <w:p w14:paraId="1259BAD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762BD2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44</w:t>
            </w:r>
          </w:p>
        </w:tc>
        <w:tc>
          <w:tcPr>
            <w:tcW w:w="1168" w:type="dxa"/>
            <w:tcBorders>
              <w:top w:val="nil"/>
              <w:left w:val="nil"/>
              <w:bottom w:val="single" w:sz="8" w:space="0" w:color="CCCCCC"/>
              <w:right w:val="single" w:sz="8" w:space="0" w:color="CCCCCC"/>
            </w:tcBorders>
            <w:shd w:val="clear" w:color="auto" w:fill="auto"/>
            <w:noWrap/>
            <w:hideMark/>
          </w:tcPr>
          <w:p w14:paraId="41FF473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795C4F8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22</w:t>
            </w:r>
          </w:p>
        </w:tc>
        <w:tc>
          <w:tcPr>
            <w:tcW w:w="1351" w:type="dxa"/>
            <w:tcBorders>
              <w:top w:val="nil"/>
              <w:left w:val="nil"/>
              <w:bottom w:val="single" w:sz="8" w:space="0" w:color="CCCCCC"/>
              <w:right w:val="single" w:sz="8" w:space="0" w:color="CCCCCC"/>
            </w:tcBorders>
            <w:shd w:val="clear" w:color="auto" w:fill="auto"/>
            <w:noWrap/>
            <w:hideMark/>
          </w:tcPr>
          <w:p w14:paraId="6564484F"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66</w:t>
            </w:r>
          </w:p>
        </w:tc>
      </w:tr>
      <w:tr w:rsidR="00E95512" w:rsidRPr="001A4B94" w14:paraId="38A7421F"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AD02FC8"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1FC61873"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0DA4B2F2" w14:textId="1D144D66"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37093-MMI Metro </w:t>
            </w:r>
            <w:r w:rsidR="00164E2C" w:rsidRPr="001A4B94">
              <w:rPr>
                <w:rFonts w:eastAsia="Arial Unicode MS"/>
                <w:color w:val="000000"/>
                <w:sz w:val="16"/>
                <w:szCs w:val="16"/>
                <w:lang w:val="tr-TR"/>
              </w:rPr>
              <w:t xml:space="preserve">Hattı </w:t>
            </w:r>
          </w:p>
        </w:tc>
        <w:tc>
          <w:tcPr>
            <w:tcW w:w="646" w:type="dxa"/>
            <w:tcBorders>
              <w:top w:val="nil"/>
              <w:left w:val="nil"/>
              <w:bottom w:val="single" w:sz="8" w:space="0" w:color="93B1CD"/>
              <w:right w:val="single" w:sz="8" w:space="0" w:color="93B1CD"/>
            </w:tcBorders>
            <w:shd w:val="clear" w:color="auto" w:fill="auto"/>
            <w:noWrap/>
            <w:hideMark/>
          </w:tcPr>
          <w:p w14:paraId="0271A61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5CFE62D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65</w:t>
            </w:r>
          </w:p>
        </w:tc>
        <w:tc>
          <w:tcPr>
            <w:tcW w:w="1168" w:type="dxa"/>
            <w:tcBorders>
              <w:top w:val="nil"/>
              <w:left w:val="nil"/>
              <w:bottom w:val="single" w:sz="8" w:space="0" w:color="CCCCCC"/>
              <w:right w:val="single" w:sz="8" w:space="0" w:color="CCCCCC"/>
            </w:tcBorders>
            <w:shd w:val="clear" w:color="auto" w:fill="auto"/>
            <w:noWrap/>
            <w:hideMark/>
          </w:tcPr>
          <w:p w14:paraId="2623278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54</w:t>
            </w:r>
          </w:p>
        </w:tc>
        <w:tc>
          <w:tcPr>
            <w:tcW w:w="1132" w:type="dxa"/>
            <w:tcBorders>
              <w:top w:val="nil"/>
              <w:left w:val="nil"/>
              <w:bottom w:val="single" w:sz="8" w:space="0" w:color="CCCCCC"/>
              <w:right w:val="single" w:sz="8" w:space="0" w:color="CCCCCC"/>
            </w:tcBorders>
            <w:shd w:val="clear" w:color="auto" w:fill="auto"/>
            <w:noWrap/>
            <w:hideMark/>
          </w:tcPr>
          <w:p w14:paraId="2DAF5655"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3A8FC5E2"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120</w:t>
            </w:r>
          </w:p>
        </w:tc>
      </w:tr>
      <w:tr w:rsidR="00E95512" w:rsidRPr="001A4B94" w14:paraId="2A865787"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03A082F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FCE1B0C"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60F06DDB"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36827-HKA Hedge</w:t>
            </w:r>
          </w:p>
        </w:tc>
        <w:tc>
          <w:tcPr>
            <w:tcW w:w="646" w:type="dxa"/>
            <w:tcBorders>
              <w:top w:val="nil"/>
              <w:left w:val="nil"/>
              <w:bottom w:val="single" w:sz="8" w:space="0" w:color="93B1CD"/>
              <w:right w:val="single" w:sz="8" w:space="0" w:color="93B1CD"/>
            </w:tcBorders>
            <w:shd w:val="clear" w:color="auto" w:fill="auto"/>
            <w:noWrap/>
            <w:hideMark/>
          </w:tcPr>
          <w:p w14:paraId="02B343E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323FAFA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w:t>
            </w:r>
          </w:p>
        </w:tc>
        <w:tc>
          <w:tcPr>
            <w:tcW w:w="1168" w:type="dxa"/>
            <w:tcBorders>
              <w:top w:val="nil"/>
              <w:left w:val="nil"/>
              <w:bottom w:val="single" w:sz="8" w:space="0" w:color="CCCCCC"/>
              <w:right w:val="single" w:sz="8" w:space="0" w:color="CCCCCC"/>
            </w:tcBorders>
            <w:shd w:val="clear" w:color="auto" w:fill="auto"/>
            <w:noWrap/>
            <w:hideMark/>
          </w:tcPr>
          <w:p w14:paraId="5041A9B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021927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1A00C4B0"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5</w:t>
            </w:r>
          </w:p>
        </w:tc>
      </w:tr>
      <w:tr w:rsidR="00E95512" w:rsidRPr="001A4B94" w14:paraId="28CBEBD4"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ED89A60"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56A747E4"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6A7DC8C5" w14:textId="1C160ECD"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36772-Akfen </w:t>
            </w:r>
            <w:r w:rsidR="00164E2C" w:rsidRPr="001A4B94">
              <w:rPr>
                <w:rFonts w:eastAsia="Arial Unicode MS"/>
                <w:color w:val="000000"/>
                <w:sz w:val="16"/>
                <w:szCs w:val="16"/>
                <w:lang w:val="tr-TR"/>
              </w:rPr>
              <w:t xml:space="preserve">Enerji </w:t>
            </w:r>
          </w:p>
        </w:tc>
        <w:tc>
          <w:tcPr>
            <w:tcW w:w="646" w:type="dxa"/>
            <w:tcBorders>
              <w:top w:val="nil"/>
              <w:left w:val="nil"/>
              <w:bottom w:val="single" w:sz="8" w:space="0" w:color="93B1CD"/>
              <w:right w:val="single" w:sz="8" w:space="0" w:color="93B1CD"/>
            </w:tcBorders>
            <w:shd w:val="clear" w:color="auto" w:fill="auto"/>
            <w:noWrap/>
            <w:hideMark/>
          </w:tcPr>
          <w:p w14:paraId="768C30B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7B34CB3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100</w:t>
            </w:r>
          </w:p>
        </w:tc>
        <w:tc>
          <w:tcPr>
            <w:tcW w:w="1168" w:type="dxa"/>
            <w:tcBorders>
              <w:top w:val="nil"/>
              <w:left w:val="nil"/>
              <w:bottom w:val="single" w:sz="8" w:space="0" w:color="CCCCCC"/>
              <w:right w:val="single" w:sz="8" w:space="0" w:color="CCCCCC"/>
            </w:tcBorders>
            <w:shd w:val="clear" w:color="auto" w:fill="auto"/>
            <w:noWrap/>
            <w:hideMark/>
          </w:tcPr>
          <w:p w14:paraId="33640F5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20AE204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531A08A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100</w:t>
            </w:r>
          </w:p>
        </w:tc>
      </w:tr>
      <w:tr w:rsidR="00E95512" w:rsidRPr="001A4B94" w14:paraId="7CDC309D"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3222FE15"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037A2BD9"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00F0CA80"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36711-AkCez II</w:t>
            </w:r>
          </w:p>
        </w:tc>
        <w:tc>
          <w:tcPr>
            <w:tcW w:w="646" w:type="dxa"/>
            <w:tcBorders>
              <w:top w:val="nil"/>
              <w:left w:val="nil"/>
              <w:bottom w:val="single" w:sz="8" w:space="0" w:color="93B1CD"/>
              <w:right w:val="single" w:sz="8" w:space="0" w:color="93B1CD"/>
            </w:tcBorders>
            <w:shd w:val="clear" w:color="auto" w:fill="auto"/>
            <w:noWrap/>
            <w:hideMark/>
          </w:tcPr>
          <w:p w14:paraId="3095397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67CB319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106</w:t>
            </w:r>
          </w:p>
        </w:tc>
        <w:tc>
          <w:tcPr>
            <w:tcW w:w="1168" w:type="dxa"/>
            <w:tcBorders>
              <w:top w:val="nil"/>
              <w:left w:val="nil"/>
              <w:bottom w:val="single" w:sz="8" w:space="0" w:color="CCCCCC"/>
              <w:right w:val="single" w:sz="8" w:space="0" w:color="CCCCCC"/>
            </w:tcBorders>
            <w:shd w:val="clear" w:color="auto" w:fill="auto"/>
            <w:noWrap/>
            <w:hideMark/>
          </w:tcPr>
          <w:p w14:paraId="793AA0F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58</w:t>
            </w:r>
          </w:p>
        </w:tc>
        <w:tc>
          <w:tcPr>
            <w:tcW w:w="1132" w:type="dxa"/>
            <w:tcBorders>
              <w:top w:val="nil"/>
              <w:left w:val="nil"/>
              <w:bottom w:val="single" w:sz="8" w:space="0" w:color="CCCCCC"/>
              <w:right w:val="single" w:sz="8" w:space="0" w:color="CCCCCC"/>
            </w:tcBorders>
            <w:shd w:val="clear" w:color="auto" w:fill="auto"/>
            <w:noWrap/>
            <w:hideMark/>
          </w:tcPr>
          <w:p w14:paraId="593E3F4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440E8A4B"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163</w:t>
            </w:r>
          </w:p>
        </w:tc>
      </w:tr>
      <w:tr w:rsidR="00E95512" w:rsidRPr="001A4B94" w14:paraId="0FA886FE"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26420148"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4D37DF94"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738901FC" w14:textId="47211B44"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36326-UNIT </w:t>
            </w:r>
            <w:r w:rsidR="00164E2C" w:rsidRPr="001A4B94">
              <w:rPr>
                <w:rFonts w:eastAsia="Arial Unicode MS"/>
                <w:color w:val="000000"/>
                <w:sz w:val="16"/>
                <w:szCs w:val="16"/>
                <w:lang w:val="tr-TR"/>
              </w:rPr>
              <w:t xml:space="preserve">Sermaye </w:t>
            </w:r>
          </w:p>
        </w:tc>
        <w:tc>
          <w:tcPr>
            <w:tcW w:w="646" w:type="dxa"/>
            <w:tcBorders>
              <w:top w:val="nil"/>
              <w:left w:val="nil"/>
              <w:bottom w:val="single" w:sz="8" w:space="0" w:color="93B1CD"/>
              <w:right w:val="single" w:sz="8" w:space="0" w:color="93B1CD"/>
            </w:tcBorders>
            <w:shd w:val="clear" w:color="auto" w:fill="auto"/>
            <w:noWrap/>
            <w:hideMark/>
          </w:tcPr>
          <w:p w14:paraId="6A1E1CDA"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045BE39"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143</w:t>
            </w:r>
          </w:p>
        </w:tc>
        <w:tc>
          <w:tcPr>
            <w:tcW w:w="1168" w:type="dxa"/>
            <w:tcBorders>
              <w:top w:val="nil"/>
              <w:left w:val="nil"/>
              <w:bottom w:val="single" w:sz="8" w:space="0" w:color="CCCCCC"/>
              <w:right w:val="single" w:sz="8" w:space="0" w:color="CCCCCC"/>
            </w:tcBorders>
            <w:shd w:val="clear" w:color="auto" w:fill="auto"/>
            <w:noWrap/>
            <w:hideMark/>
          </w:tcPr>
          <w:p w14:paraId="2E9F612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335FFEB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04BADC77"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143</w:t>
            </w:r>
          </w:p>
        </w:tc>
      </w:tr>
      <w:tr w:rsidR="00E95512" w:rsidRPr="001A4B94" w14:paraId="5EB0AD0E"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F4F75D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669BD4F"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11905C9D"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34552-HKA</w:t>
            </w:r>
          </w:p>
        </w:tc>
        <w:tc>
          <w:tcPr>
            <w:tcW w:w="646" w:type="dxa"/>
            <w:tcBorders>
              <w:top w:val="nil"/>
              <w:left w:val="nil"/>
              <w:bottom w:val="single" w:sz="8" w:space="0" w:color="93B1CD"/>
              <w:right w:val="single" w:sz="8" w:space="0" w:color="93B1CD"/>
            </w:tcBorders>
            <w:shd w:val="clear" w:color="auto" w:fill="auto"/>
            <w:noWrap/>
            <w:hideMark/>
          </w:tcPr>
          <w:p w14:paraId="6A3DAF80"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0.5</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5B82B1B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w:t>
            </w:r>
          </w:p>
        </w:tc>
        <w:tc>
          <w:tcPr>
            <w:tcW w:w="1168" w:type="dxa"/>
            <w:tcBorders>
              <w:top w:val="nil"/>
              <w:left w:val="nil"/>
              <w:bottom w:val="single" w:sz="8" w:space="0" w:color="CCCCCC"/>
              <w:right w:val="single" w:sz="8" w:space="0" w:color="CCCCCC"/>
            </w:tcBorders>
            <w:shd w:val="clear" w:color="auto" w:fill="auto"/>
            <w:noWrap/>
            <w:hideMark/>
          </w:tcPr>
          <w:p w14:paraId="3FE9A39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01366C7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23</w:t>
            </w:r>
          </w:p>
        </w:tc>
        <w:tc>
          <w:tcPr>
            <w:tcW w:w="1351" w:type="dxa"/>
            <w:tcBorders>
              <w:top w:val="nil"/>
              <w:left w:val="nil"/>
              <w:bottom w:val="single" w:sz="8" w:space="0" w:color="CCCCCC"/>
              <w:right w:val="single" w:sz="8" w:space="0" w:color="CCCCCC"/>
            </w:tcBorders>
            <w:shd w:val="clear" w:color="auto" w:fill="auto"/>
            <w:noWrap/>
            <w:hideMark/>
          </w:tcPr>
          <w:p w14:paraId="1FECE8E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27</w:t>
            </w:r>
          </w:p>
        </w:tc>
      </w:tr>
      <w:tr w:rsidR="00E95512" w:rsidRPr="001A4B94" w14:paraId="220267EC"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3AEBD913" w14:textId="77777777" w:rsidR="00747261" w:rsidRPr="001A4B94" w:rsidRDefault="00747261" w:rsidP="00747261">
            <w:pPr>
              <w:rPr>
                <w:rFonts w:eastAsia="Arial Unicode MS"/>
                <w:color w:val="000000"/>
                <w:sz w:val="16"/>
                <w:szCs w:val="16"/>
                <w:lang w:val="tr-TR"/>
              </w:rPr>
            </w:pPr>
          </w:p>
        </w:tc>
        <w:tc>
          <w:tcPr>
            <w:tcW w:w="1351" w:type="dxa"/>
            <w:vMerge w:val="restart"/>
            <w:tcBorders>
              <w:top w:val="nil"/>
              <w:left w:val="single" w:sz="8" w:space="0" w:color="93B1CD"/>
              <w:bottom w:val="single" w:sz="8" w:space="0" w:color="93B1CD"/>
              <w:right w:val="single" w:sz="8" w:space="0" w:color="93B1CD"/>
            </w:tcBorders>
            <w:shd w:val="clear" w:color="auto" w:fill="auto"/>
            <w:noWrap/>
            <w:vAlign w:val="center"/>
            <w:hideMark/>
          </w:tcPr>
          <w:p w14:paraId="04F38E1D" w14:textId="1B2C885E"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MAS </w:t>
            </w:r>
            <w:r w:rsidR="00324768" w:rsidRPr="001A4B94">
              <w:rPr>
                <w:rFonts w:eastAsia="Arial Unicode MS"/>
                <w:color w:val="000000"/>
                <w:sz w:val="16"/>
                <w:szCs w:val="16"/>
                <w:lang w:val="tr-TR"/>
              </w:rPr>
              <w:t xml:space="preserve">Sektör Grubu  </w:t>
            </w:r>
          </w:p>
        </w:tc>
        <w:tc>
          <w:tcPr>
            <w:tcW w:w="2173" w:type="dxa"/>
            <w:tcBorders>
              <w:top w:val="nil"/>
              <w:left w:val="nil"/>
              <w:bottom w:val="single" w:sz="8" w:space="0" w:color="93B1CD"/>
              <w:right w:val="single" w:sz="8" w:space="0" w:color="93B1CD"/>
            </w:tcBorders>
            <w:shd w:val="clear" w:color="auto" w:fill="auto"/>
            <w:noWrap/>
            <w:hideMark/>
          </w:tcPr>
          <w:p w14:paraId="0E9FAAB5" w14:textId="47D93A75"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37310-Etlik </w:t>
            </w:r>
            <w:r w:rsidR="0041316B" w:rsidRPr="001A4B94">
              <w:rPr>
                <w:rFonts w:eastAsia="Arial Unicode MS"/>
                <w:color w:val="000000"/>
                <w:sz w:val="16"/>
                <w:szCs w:val="16"/>
                <w:lang w:val="tr-TR"/>
              </w:rPr>
              <w:t>Swap</w:t>
            </w:r>
          </w:p>
        </w:tc>
        <w:tc>
          <w:tcPr>
            <w:tcW w:w="646" w:type="dxa"/>
            <w:tcBorders>
              <w:top w:val="nil"/>
              <w:left w:val="nil"/>
              <w:bottom w:val="single" w:sz="8" w:space="0" w:color="93B1CD"/>
              <w:right w:val="single" w:sz="8" w:space="0" w:color="93B1CD"/>
            </w:tcBorders>
            <w:shd w:val="clear" w:color="auto" w:fill="auto"/>
            <w:noWrap/>
            <w:hideMark/>
          </w:tcPr>
          <w:p w14:paraId="1E648FC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2EBF38D"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3</w:t>
            </w:r>
          </w:p>
        </w:tc>
        <w:tc>
          <w:tcPr>
            <w:tcW w:w="1168" w:type="dxa"/>
            <w:tcBorders>
              <w:top w:val="nil"/>
              <w:left w:val="nil"/>
              <w:bottom w:val="single" w:sz="8" w:space="0" w:color="CCCCCC"/>
              <w:right w:val="single" w:sz="8" w:space="0" w:color="CCCCCC"/>
            </w:tcBorders>
            <w:shd w:val="clear" w:color="auto" w:fill="auto"/>
            <w:noWrap/>
            <w:hideMark/>
          </w:tcPr>
          <w:p w14:paraId="00EB152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55985EF3"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517F76E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3</w:t>
            </w:r>
          </w:p>
        </w:tc>
      </w:tr>
      <w:tr w:rsidR="00E95512" w:rsidRPr="001A4B94" w14:paraId="1F6D5E69"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51598BF2"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735A9A21"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75D7CE4F" w14:textId="10E2FCC4"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36747-RHOL </w:t>
            </w:r>
            <w:r w:rsidR="00164E2C" w:rsidRPr="001A4B94">
              <w:rPr>
                <w:rFonts w:eastAsia="Arial Unicode MS"/>
                <w:color w:val="000000"/>
                <w:sz w:val="16"/>
                <w:szCs w:val="16"/>
                <w:lang w:val="tr-TR"/>
              </w:rPr>
              <w:t xml:space="preserve">Sermaye </w:t>
            </w:r>
          </w:p>
        </w:tc>
        <w:tc>
          <w:tcPr>
            <w:tcW w:w="646" w:type="dxa"/>
            <w:tcBorders>
              <w:top w:val="nil"/>
              <w:left w:val="nil"/>
              <w:bottom w:val="single" w:sz="8" w:space="0" w:color="93B1CD"/>
              <w:right w:val="single" w:sz="8" w:space="0" w:color="93B1CD"/>
            </w:tcBorders>
            <w:shd w:val="clear" w:color="auto" w:fill="auto"/>
            <w:noWrap/>
            <w:hideMark/>
          </w:tcPr>
          <w:p w14:paraId="7312A34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D0FFC38"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215</w:t>
            </w:r>
          </w:p>
        </w:tc>
        <w:tc>
          <w:tcPr>
            <w:tcW w:w="1168" w:type="dxa"/>
            <w:tcBorders>
              <w:top w:val="nil"/>
              <w:left w:val="nil"/>
              <w:bottom w:val="single" w:sz="8" w:space="0" w:color="CCCCCC"/>
              <w:right w:val="single" w:sz="8" w:space="0" w:color="CCCCCC"/>
            </w:tcBorders>
            <w:shd w:val="clear" w:color="auto" w:fill="auto"/>
            <w:noWrap/>
            <w:hideMark/>
          </w:tcPr>
          <w:p w14:paraId="594BC72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B2543E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6FAB732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215</w:t>
            </w:r>
          </w:p>
        </w:tc>
      </w:tr>
      <w:tr w:rsidR="00E95512" w:rsidRPr="001A4B94" w14:paraId="36871DE7"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41CBA14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BF83242"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3BACF0A8"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35338-Trakya Cam VIII</w:t>
            </w:r>
          </w:p>
        </w:tc>
        <w:tc>
          <w:tcPr>
            <w:tcW w:w="646" w:type="dxa"/>
            <w:tcBorders>
              <w:top w:val="nil"/>
              <w:left w:val="nil"/>
              <w:bottom w:val="single" w:sz="8" w:space="0" w:color="93B1CD"/>
              <w:right w:val="single" w:sz="8" w:space="0" w:color="93B1CD"/>
            </w:tcBorders>
            <w:shd w:val="clear" w:color="auto" w:fill="auto"/>
            <w:noWrap/>
            <w:hideMark/>
          </w:tcPr>
          <w:p w14:paraId="74993F5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361FAC1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40</w:t>
            </w:r>
          </w:p>
        </w:tc>
        <w:tc>
          <w:tcPr>
            <w:tcW w:w="1168" w:type="dxa"/>
            <w:tcBorders>
              <w:top w:val="nil"/>
              <w:left w:val="nil"/>
              <w:bottom w:val="single" w:sz="8" w:space="0" w:color="CCCCCC"/>
              <w:right w:val="single" w:sz="8" w:space="0" w:color="CCCCCC"/>
            </w:tcBorders>
            <w:shd w:val="clear" w:color="auto" w:fill="auto"/>
            <w:noWrap/>
            <w:hideMark/>
          </w:tcPr>
          <w:p w14:paraId="781902AE"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15</w:t>
            </w:r>
          </w:p>
        </w:tc>
        <w:tc>
          <w:tcPr>
            <w:tcW w:w="1132" w:type="dxa"/>
            <w:tcBorders>
              <w:top w:val="nil"/>
              <w:left w:val="nil"/>
              <w:bottom w:val="single" w:sz="8" w:space="0" w:color="CCCCCC"/>
              <w:right w:val="single" w:sz="8" w:space="0" w:color="CCCCCC"/>
            </w:tcBorders>
            <w:shd w:val="clear" w:color="auto" w:fill="auto"/>
            <w:noWrap/>
            <w:hideMark/>
          </w:tcPr>
          <w:p w14:paraId="7288CCB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20</w:t>
            </w:r>
          </w:p>
        </w:tc>
        <w:tc>
          <w:tcPr>
            <w:tcW w:w="1351" w:type="dxa"/>
            <w:tcBorders>
              <w:top w:val="nil"/>
              <w:left w:val="nil"/>
              <w:bottom w:val="single" w:sz="8" w:space="0" w:color="CCCCCC"/>
              <w:right w:val="single" w:sz="8" w:space="0" w:color="CCCCCC"/>
            </w:tcBorders>
            <w:shd w:val="clear" w:color="auto" w:fill="auto"/>
            <w:noWrap/>
            <w:hideMark/>
          </w:tcPr>
          <w:p w14:paraId="05234E7F"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75</w:t>
            </w:r>
          </w:p>
        </w:tc>
      </w:tr>
      <w:tr w:rsidR="00E95512" w:rsidRPr="001A4B94" w14:paraId="643634A9" w14:textId="77777777" w:rsidTr="004626A4">
        <w:trPr>
          <w:trHeight w:val="219"/>
        </w:trPr>
        <w:tc>
          <w:tcPr>
            <w:tcW w:w="577" w:type="dxa"/>
            <w:vMerge/>
            <w:tcBorders>
              <w:top w:val="nil"/>
              <w:left w:val="single" w:sz="8" w:space="0" w:color="93B1CD"/>
              <w:bottom w:val="single" w:sz="8" w:space="0" w:color="93B1CD"/>
              <w:right w:val="single" w:sz="8" w:space="0" w:color="93B1CD"/>
            </w:tcBorders>
            <w:vAlign w:val="center"/>
            <w:hideMark/>
          </w:tcPr>
          <w:p w14:paraId="7892F07F"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38212037"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69DD9CFE" w14:textId="77777777"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34552-HKA</w:t>
            </w:r>
          </w:p>
        </w:tc>
        <w:tc>
          <w:tcPr>
            <w:tcW w:w="646" w:type="dxa"/>
            <w:tcBorders>
              <w:top w:val="nil"/>
              <w:left w:val="nil"/>
              <w:bottom w:val="single" w:sz="8" w:space="0" w:color="93B1CD"/>
              <w:right w:val="single" w:sz="8" w:space="0" w:color="93B1CD"/>
            </w:tcBorders>
            <w:shd w:val="clear" w:color="auto" w:fill="auto"/>
            <w:noWrap/>
            <w:hideMark/>
          </w:tcPr>
          <w:p w14:paraId="75DCB34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0.5</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2ED5D5E7"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4</w:t>
            </w:r>
          </w:p>
        </w:tc>
        <w:tc>
          <w:tcPr>
            <w:tcW w:w="1168" w:type="dxa"/>
            <w:tcBorders>
              <w:top w:val="nil"/>
              <w:left w:val="nil"/>
              <w:bottom w:val="single" w:sz="8" w:space="0" w:color="CCCCCC"/>
              <w:right w:val="single" w:sz="8" w:space="0" w:color="CCCCCC"/>
            </w:tcBorders>
            <w:shd w:val="clear" w:color="auto" w:fill="auto"/>
            <w:noWrap/>
            <w:hideMark/>
          </w:tcPr>
          <w:p w14:paraId="5C7BBA2F"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11A290EB"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23</w:t>
            </w:r>
          </w:p>
        </w:tc>
        <w:tc>
          <w:tcPr>
            <w:tcW w:w="1351" w:type="dxa"/>
            <w:tcBorders>
              <w:top w:val="nil"/>
              <w:left w:val="nil"/>
              <w:bottom w:val="single" w:sz="8" w:space="0" w:color="CCCCCC"/>
              <w:right w:val="single" w:sz="8" w:space="0" w:color="CCCCCC"/>
            </w:tcBorders>
            <w:shd w:val="clear" w:color="auto" w:fill="auto"/>
            <w:noWrap/>
            <w:hideMark/>
          </w:tcPr>
          <w:p w14:paraId="249E33CE"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27</w:t>
            </w:r>
          </w:p>
        </w:tc>
      </w:tr>
      <w:tr w:rsidR="00E95512" w:rsidRPr="001A4B94" w14:paraId="41AF0A77" w14:textId="77777777" w:rsidTr="004626A4">
        <w:trPr>
          <w:trHeight w:val="403"/>
        </w:trPr>
        <w:tc>
          <w:tcPr>
            <w:tcW w:w="577" w:type="dxa"/>
            <w:vMerge/>
            <w:tcBorders>
              <w:top w:val="nil"/>
              <w:left w:val="single" w:sz="8" w:space="0" w:color="93B1CD"/>
              <w:bottom w:val="single" w:sz="8" w:space="0" w:color="93B1CD"/>
              <w:right w:val="single" w:sz="8" w:space="0" w:color="93B1CD"/>
            </w:tcBorders>
            <w:vAlign w:val="center"/>
            <w:hideMark/>
          </w:tcPr>
          <w:p w14:paraId="0E8F1489" w14:textId="77777777" w:rsidR="00747261" w:rsidRPr="001A4B94" w:rsidRDefault="00747261" w:rsidP="00747261">
            <w:pPr>
              <w:rPr>
                <w:rFonts w:eastAsia="Arial Unicode MS"/>
                <w:color w:val="000000"/>
                <w:sz w:val="16"/>
                <w:szCs w:val="16"/>
                <w:lang w:val="tr-TR"/>
              </w:rPr>
            </w:pPr>
          </w:p>
        </w:tc>
        <w:tc>
          <w:tcPr>
            <w:tcW w:w="1351" w:type="dxa"/>
            <w:vMerge/>
            <w:tcBorders>
              <w:top w:val="nil"/>
              <w:left w:val="single" w:sz="8" w:space="0" w:color="93B1CD"/>
              <w:bottom w:val="single" w:sz="8" w:space="0" w:color="93B1CD"/>
              <w:right w:val="single" w:sz="8" w:space="0" w:color="93B1CD"/>
            </w:tcBorders>
            <w:vAlign w:val="center"/>
            <w:hideMark/>
          </w:tcPr>
          <w:p w14:paraId="221376C8" w14:textId="77777777" w:rsidR="00747261" w:rsidRPr="001A4B94" w:rsidRDefault="00747261" w:rsidP="00747261">
            <w:pPr>
              <w:rPr>
                <w:rFonts w:eastAsia="Arial Unicode MS"/>
                <w:color w:val="000000"/>
                <w:sz w:val="16"/>
                <w:szCs w:val="16"/>
                <w:lang w:val="tr-TR"/>
              </w:rPr>
            </w:pPr>
          </w:p>
        </w:tc>
        <w:tc>
          <w:tcPr>
            <w:tcW w:w="2173" w:type="dxa"/>
            <w:tcBorders>
              <w:top w:val="nil"/>
              <w:left w:val="nil"/>
              <w:bottom w:val="single" w:sz="8" w:space="0" w:color="93B1CD"/>
              <w:right w:val="single" w:sz="8" w:space="0" w:color="93B1CD"/>
            </w:tcBorders>
            <w:shd w:val="clear" w:color="auto" w:fill="auto"/>
            <w:noWrap/>
            <w:hideMark/>
          </w:tcPr>
          <w:p w14:paraId="5FC0942C" w14:textId="2E9494F8" w:rsidR="00747261" w:rsidRPr="001A4B94" w:rsidRDefault="00747261" w:rsidP="00747261">
            <w:pPr>
              <w:rPr>
                <w:rFonts w:eastAsia="Arial Unicode MS"/>
                <w:color w:val="000000"/>
                <w:sz w:val="16"/>
                <w:szCs w:val="16"/>
                <w:lang w:val="tr-TR"/>
              </w:rPr>
            </w:pPr>
            <w:r w:rsidRPr="001A4B94">
              <w:rPr>
                <w:rFonts w:eastAsia="Arial Unicode MS"/>
                <w:color w:val="000000"/>
                <w:sz w:val="16"/>
                <w:szCs w:val="16"/>
                <w:lang w:val="tr-TR"/>
              </w:rPr>
              <w:t xml:space="preserve">31029-Kayseri </w:t>
            </w:r>
            <w:r w:rsidR="00164E2C" w:rsidRPr="001A4B94">
              <w:rPr>
                <w:rFonts w:eastAsia="Arial Unicode MS"/>
                <w:color w:val="000000"/>
                <w:sz w:val="16"/>
                <w:szCs w:val="16"/>
                <w:lang w:val="tr-TR"/>
              </w:rPr>
              <w:t>Sağlık</w:t>
            </w:r>
          </w:p>
        </w:tc>
        <w:tc>
          <w:tcPr>
            <w:tcW w:w="646" w:type="dxa"/>
            <w:tcBorders>
              <w:top w:val="nil"/>
              <w:left w:val="nil"/>
              <w:bottom w:val="single" w:sz="8" w:space="0" w:color="93B1CD"/>
              <w:right w:val="single" w:sz="8" w:space="0" w:color="93B1CD"/>
            </w:tcBorders>
            <w:shd w:val="clear" w:color="auto" w:fill="auto"/>
            <w:noWrap/>
            <w:hideMark/>
          </w:tcPr>
          <w:p w14:paraId="7A013AB1"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1</w:t>
            </w:r>
          </w:p>
        </w:tc>
        <w:tc>
          <w:tcPr>
            <w:tcW w:w="1078" w:type="dxa"/>
            <w:tcBorders>
              <w:top w:val="nil"/>
              <w:left w:val="single" w:sz="8" w:space="0" w:color="CCCCCC"/>
              <w:bottom w:val="single" w:sz="8" w:space="0" w:color="CCCCCC"/>
              <w:right w:val="single" w:sz="8" w:space="0" w:color="CCCCCC"/>
            </w:tcBorders>
            <w:shd w:val="clear" w:color="auto" w:fill="auto"/>
            <w:noWrap/>
            <w:hideMark/>
          </w:tcPr>
          <w:p w14:paraId="1C3588EC"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2</w:t>
            </w:r>
          </w:p>
        </w:tc>
        <w:tc>
          <w:tcPr>
            <w:tcW w:w="1168" w:type="dxa"/>
            <w:tcBorders>
              <w:top w:val="nil"/>
              <w:left w:val="nil"/>
              <w:bottom w:val="single" w:sz="8" w:space="0" w:color="CCCCCC"/>
              <w:right w:val="single" w:sz="8" w:space="0" w:color="CCCCCC"/>
            </w:tcBorders>
            <w:shd w:val="clear" w:color="auto" w:fill="auto"/>
            <w:noWrap/>
            <w:hideMark/>
          </w:tcPr>
          <w:p w14:paraId="4CD27982"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0</w:t>
            </w:r>
          </w:p>
        </w:tc>
        <w:tc>
          <w:tcPr>
            <w:tcW w:w="1132" w:type="dxa"/>
            <w:tcBorders>
              <w:top w:val="nil"/>
              <w:left w:val="nil"/>
              <w:bottom w:val="single" w:sz="8" w:space="0" w:color="CCCCCC"/>
              <w:right w:val="single" w:sz="8" w:space="0" w:color="CCCCCC"/>
            </w:tcBorders>
            <w:shd w:val="clear" w:color="auto" w:fill="auto"/>
            <w:noWrap/>
            <w:hideMark/>
          </w:tcPr>
          <w:p w14:paraId="418C5DC6" w14:textId="77777777" w:rsidR="00747261" w:rsidRPr="001A4B94" w:rsidRDefault="00747261" w:rsidP="00747261">
            <w:pPr>
              <w:jc w:val="right"/>
              <w:rPr>
                <w:rFonts w:eastAsia="Arial Unicode MS"/>
                <w:color w:val="000000"/>
                <w:sz w:val="16"/>
                <w:szCs w:val="16"/>
                <w:lang w:val="tr-TR"/>
              </w:rPr>
            </w:pPr>
            <w:r w:rsidRPr="001A4B94">
              <w:rPr>
                <w:rFonts w:eastAsia="Arial Unicode MS"/>
                <w:color w:val="000000"/>
                <w:sz w:val="16"/>
                <w:szCs w:val="16"/>
                <w:lang w:val="tr-TR"/>
              </w:rPr>
              <w:t> </w:t>
            </w:r>
          </w:p>
        </w:tc>
        <w:tc>
          <w:tcPr>
            <w:tcW w:w="1351" w:type="dxa"/>
            <w:tcBorders>
              <w:top w:val="nil"/>
              <w:left w:val="nil"/>
              <w:bottom w:val="single" w:sz="8" w:space="0" w:color="CCCCCC"/>
              <w:right w:val="single" w:sz="8" w:space="0" w:color="CCCCCC"/>
            </w:tcBorders>
            <w:shd w:val="clear" w:color="auto" w:fill="auto"/>
            <w:noWrap/>
            <w:hideMark/>
          </w:tcPr>
          <w:p w14:paraId="40F63DD6" w14:textId="77777777" w:rsidR="00747261" w:rsidRPr="001A4B94" w:rsidRDefault="00747261" w:rsidP="00747261">
            <w:pPr>
              <w:jc w:val="right"/>
              <w:rPr>
                <w:rFonts w:eastAsia="Arial Unicode MS"/>
                <w:b/>
                <w:bCs/>
                <w:color w:val="000000"/>
                <w:sz w:val="16"/>
                <w:szCs w:val="16"/>
                <w:lang w:val="tr-TR"/>
              </w:rPr>
            </w:pPr>
            <w:r w:rsidRPr="001A4B94">
              <w:rPr>
                <w:rFonts w:eastAsia="Arial Unicode MS"/>
                <w:b/>
                <w:bCs/>
                <w:color w:val="000000"/>
                <w:sz w:val="16"/>
                <w:szCs w:val="16"/>
                <w:lang w:val="tr-TR"/>
              </w:rPr>
              <w:t>2</w:t>
            </w:r>
          </w:p>
        </w:tc>
      </w:tr>
      <w:tr w:rsidR="00E95512" w:rsidRPr="001A4B94" w14:paraId="413B858F" w14:textId="77777777" w:rsidTr="004626A4">
        <w:trPr>
          <w:trHeight w:val="207"/>
        </w:trPr>
        <w:tc>
          <w:tcPr>
            <w:tcW w:w="577" w:type="dxa"/>
            <w:tcBorders>
              <w:top w:val="nil"/>
              <w:left w:val="nil"/>
              <w:bottom w:val="nil"/>
              <w:right w:val="nil"/>
            </w:tcBorders>
            <w:shd w:val="clear" w:color="auto" w:fill="auto"/>
            <w:noWrap/>
            <w:vAlign w:val="bottom"/>
            <w:hideMark/>
          </w:tcPr>
          <w:p w14:paraId="73315B42" w14:textId="77777777" w:rsidR="00747261" w:rsidRPr="001A4B94" w:rsidRDefault="00747261" w:rsidP="00747261">
            <w:pPr>
              <w:jc w:val="right"/>
              <w:rPr>
                <w:rFonts w:eastAsia="Arial Unicode MS"/>
                <w:b/>
                <w:bCs/>
                <w:color w:val="000000"/>
                <w:sz w:val="16"/>
                <w:szCs w:val="16"/>
                <w:lang w:val="tr-TR"/>
              </w:rPr>
            </w:pPr>
          </w:p>
        </w:tc>
        <w:tc>
          <w:tcPr>
            <w:tcW w:w="1351" w:type="dxa"/>
            <w:tcBorders>
              <w:top w:val="nil"/>
              <w:left w:val="nil"/>
              <w:bottom w:val="nil"/>
              <w:right w:val="nil"/>
            </w:tcBorders>
            <w:shd w:val="clear" w:color="auto" w:fill="auto"/>
            <w:noWrap/>
            <w:vAlign w:val="bottom"/>
            <w:hideMark/>
          </w:tcPr>
          <w:p w14:paraId="4786DF9F" w14:textId="77777777" w:rsidR="00747261" w:rsidRPr="001A4B94" w:rsidRDefault="00747261" w:rsidP="00747261">
            <w:pPr>
              <w:rPr>
                <w:sz w:val="20"/>
                <w:szCs w:val="20"/>
                <w:lang w:val="tr-TR"/>
              </w:rPr>
            </w:pPr>
          </w:p>
        </w:tc>
        <w:tc>
          <w:tcPr>
            <w:tcW w:w="2173" w:type="dxa"/>
            <w:tcBorders>
              <w:top w:val="nil"/>
              <w:left w:val="single" w:sz="8" w:space="0" w:color="93B1CD"/>
              <w:bottom w:val="nil"/>
              <w:right w:val="single" w:sz="8" w:space="0" w:color="93B1CD"/>
            </w:tcBorders>
            <w:shd w:val="clear" w:color="auto" w:fill="auto"/>
            <w:noWrap/>
            <w:hideMark/>
          </w:tcPr>
          <w:p w14:paraId="1C3DBF4A" w14:textId="773B465F" w:rsidR="00747261" w:rsidRPr="001A4B94" w:rsidRDefault="00324768" w:rsidP="00747261">
            <w:pPr>
              <w:rPr>
                <w:rFonts w:eastAsia="Arial Unicode MS"/>
                <w:b/>
                <w:bCs/>
                <w:color w:val="000000"/>
                <w:sz w:val="16"/>
                <w:szCs w:val="16"/>
                <w:lang w:val="tr-TR"/>
              </w:rPr>
            </w:pPr>
            <w:r w:rsidRPr="001A4B94">
              <w:rPr>
                <w:rFonts w:eastAsia="Arial Unicode MS"/>
                <w:b/>
                <w:bCs/>
                <w:color w:val="000000"/>
                <w:sz w:val="16"/>
                <w:szCs w:val="16"/>
                <w:lang w:val="tr-TR"/>
              </w:rPr>
              <w:t xml:space="preserve">2012-16 MY TOPLAMI </w:t>
            </w:r>
          </w:p>
        </w:tc>
        <w:tc>
          <w:tcPr>
            <w:tcW w:w="646" w:type="dxa"/>
            <w:tcBorders>
              <w:top w:val="nil"/>
              <w:left w:val="nil"/>
              <w:bottom w:val="nil"/>
              <w:right w:val="nil"/>
            </w:tcBorders>
            <w:shd w:val="clear" w:color="auto" w:fill="auto"/>
            <w:noWrap/>
            <w:vAlign w:val="bottom"/>
            <w:hideMark/>
          </w:tcPr>
          <w:p w14:paraId="07E03C46" w14:textId="77777777" w:rsidR="00747261" w:rsidRPr="001A4B94" w:rsidRDefault="00747261" w:rsidP="00747261">
            <w:pPr>
              <w:jc w:val="right"/>
              <w:rPr>
                <w:color w:val="000000"/>
                <w:sz w:val="20"/>
                <w:szCs w:val="20"/>
                <w:lang w:val="tr-TR"/>
              </w:rPr>
            </w:pPr>
            <w:r w:rsidRPr="001A4B94">
              <w:rPr>
                <w:color w:val="000000"/>
                <w:sz w:val="20"/>
                <w:szCs w:val="20"/>
                <w:lang w:val="tr-TR"/>
              </w:rPr>
              <w:t> </w:t>
            </w:r>
          </w:p>
        </w:tc>
        <w:tc>
          <w:tcPr>
            <w:tcW w:w="1078" w:type="dxa"/>
            <w:tcBorders>
              <w:top w:val="nil"/>
              <w:left w:val="nil"/>
              <w:bottom w:val="nil"/>
              <w:right w:val="nil"/>
            </w:tcBorders>
            <w:shd w:val="clear" w:color="auto" w:fill="auto"/>
            <w:noWrap/>
            <w:vAlign w:val="bottom"/>
            <w:hideMark/>
          </w:tcPr>
          <w:p w14:paraId="4074FA5C" w14:textId="5654B656" w:rsidR="00747261" w:rsidRPr="001A4B94" w:rsidRDefault="00747261" w:rsidP="00747261">
            <w:pPr>
              <w:jc w:val="right"/>
              <w:rPr>
                <w:b/>
                <w:bCs/>
                <w:color w:val="000000"/>
                <w:sz w:val="20"/>
                <w:szCs w:val="20"/>
                <w:lang w:val="tr-TR"/>
              </w:rPr>
            </w:pPr>
            <w:r w:rsidRPr="001A4B94">
              <w:rPr>
                <w:b/>
                <w:bCs/>
                <w:color w:val="000000"/>
                <w:sz w:val="20"/>
                <w:szCs w:val="20"/>
                <w:lang w:val="tr-TR"/>
              </w:rPr>
              <w:t>3</w:t>
            </w:r>
            <w:r w:rsidR="00324768" w:rsidRPr="001A4B94">
              <w:rPr>
                <w:b/>
                <w:bCs/>
                <w:color w:val="000000"/>
                <w:sz w:val="20"/>
                <w:szCs w:val="20"/>
                <w:lang w:val="tr-TR"/>
              </w:rPr>
              <w:t>.</w:t>
            </w:r>
            <w:r w:rsidRPr="001A4B94">
              <w:rPr>
                <w:b/>
                <w:bCs/>
                <w:color w:val="000000"/>
                <w:sz w:val="20"/>
                <w:szCs w:val="20"/>
                <w:lang w:val="tr-TR"/>
              </w:rPr>
              <w:t>579</w:t>
            </w:r>
          </w:p>
        </w:tc>
        <w:tc>
          <w:tcPr>
            <w:tcW w:w="1168" w:type="dxa"/>
            <w:tcBorders>
              <w:top w:val="nil"/>
              <w:left w:val="nil"/>
              <w:bottom w:val="nil"/>
              <w:right w:val="nil"/>
            </w:tcBorders>
            <w:shd w:val="clear" w:color="auto" w:fill="auto"/>
            <w:noWrap/>
            <w:vAlign w:val="bottom"/>
            <w:hideMark/>
          </w:tcPr>
          <w:p w14:paraId="62B56659" w14:textId="77777777" w:rsidR="00747261" w:rsidRPr="001A4B94" w:rsidRDefault="00747261" w:rsidP="00747261">
            <w:pPr>
              <w:jc w:val="right"/>
              <w:rPr>
                <w:b/>
                <w:bCs/>
                <w:color w:val="000000"/>
                <w:sz w:val="20"/>
                <w:szCs w:val="20"/>
                <w:lang w:val="tr-TR"/>
              </w:rPr>
            </w:pPr>
            <w:r w:rsidRPr="001A4B94">
              <w:rPr>
                <w:b/>
                <w:bCs/>
                <w:color w:val="000000"/>
                <w:sz w:val="20"/>
                <w:szCs w:val="20"/>
                <w:lang w:val="tr-TR"/>
              </w:rPr>
              <w:t>348</w:t>
            </w:r>
          </w:p>
        </w:tc>
        <w:tc>
          <w:tcPr>
            <w:tcW w:w="1132" w:type="dxa"/>
            <w:tcBorders>
              <w:top w:val="nil"/>
              <w:left w:val="nil"/>
              <w:bottom w:val="nil"/>
              <w:right w:val="nil"/>
            </w:tcBorders>
            <w:shd w:val="clear" w:color="auto" w:fill="auto"/>
            <w:noWrap/>
            <w:vAlign w:val="bottom"/>
            <w:hideMark/>
          </w:tcPr>
          <w:p w14:paraId="642456BF" w14:textId="77777777" w:rsidR="00747261" w:rsidRPr="001A4B94" w:rsidRDefault="00747261" w:rsidP="00747261">
            <w:pPr>
              <w:jc w:val="right"/>
              <w:rPr>
                <w:b/>
                <w:bCs/>
                <w:color w:val="000000"/>
                <w:sz w:val="20"/>
                <w:szCs w:val="20"/>
                <w:lang w:val="tr-TR"/>
              </w:rPr>
            </w:pPr>
            <w:r w:rsidRPr="001A4B94">
              <w:rPr>
                <w:b/>
                <w:bCs/>
                <w:color w:val="000000"/>
                <w:sz w:val="20"/>
                <w:szCs w:val="20"/>
                <w:lang w:val="tr-TR"/>
              </w:rPr>
              <w:t>624</w:t>
            </w:r>
          </w:p>
        </w:tc>
        <w:tc>
          <w:tcPr>
            <w:tcW w:w="1351" w:type="dxa"/>
            <w:tcBorders>
              <w:top w:val="nil"/>
              <w:left w:val="nil"/>
              <w:bottom w:val="nil"/>
              <w:right w:val="nil"/>
            </w:tcBorders>
            <w:shd w:val="clear" w:color="auto" w:fill="auto"/>
            <w:noWrap/>
            <w:vAlign w:val="bottom"/>
            <w:hideMark/>
          </w:tcPr>
          <w:p w14:paraId="6120C53C" w14:textId="63F393CE" w:rsidR="00747261" w:rsidRPr="001A4B94" w:rsidRDefault="00747261" w:rsidP="00747261">
            <w:pPr>
              <w:jc w:val="right"/>
              <w:rPr>
                <w:b/>
                <w:bCs/>
                <w:color w:val="000000"/>
                <w:sz w:val="20"/>
                <w:szCs w:val="20"/>
                <w:lang w:val="tr-TR"/>
              </w:rPr>
            </w:pPr>
            <w:r w:rsidRPr="001A4B94">
              <w:rPr>
                <w:b/>
                <w:bCs/>
                <w:color w:val="000000"/>
                <w:sz w:val="20"/>
                <w:szCs w:val="20"/>
                <w:lang w:val="tr-TR"/>
              </w:rPr>
              <w:t>4</w:t>
            </w:r>
            <w:r w:rsidR="00324768" w:rsidRPr="001A4B94">
              <w:rPr>
                <w:b/>
                <w:bCs/>
                <w:color w:val="000000"/>
                <w:sz w:val="20"/>
                <w:szCs w:val="20"/>
                <w:lang w:val="tr-TR"/>
              </w:rPr>
              <w:t>.</w:t>
            </w:r>
            <w:r w:rsidRPr="001A4B94">
              <w:rPr>
                <w:b/>
                <w:bCs/>
                <w:color w:val="000000"/>
                <w:sz w:val="20"/>
                <w:szCs w:val="20"/>
                <w:lang w:val="tr-TR"/>
              </w:rPr>
              <w:t>552</w:t>
            </w:r>
          </w:p>
        </w:tc>
      </w:tr>
    </w:tbl>
    <w:p w14:paraId="237F94F8" w14:textId="77777777" w:rsidR="00747261" w:rsidRPr="001A4B94" w:rsidRDefault="00747261" w:rsidP="00747261">
      <w:pPr>
        <w:spacing w:after="160" w:line="259" w:lineRule="auto"/>
        <w:jc w:val="center"/>
        <w:rPr>
          <w:rFonts w:asciiTheme="minorHAnsi" w:eastAsiaTheme="minorHAnsi" w:hAnsiTheme="minorHAnsi" w:cstheme="minorBidi"/>
          <w:sz w:val="22"/>
          <w:szCs w:val="22"/>
          <w:lang w:val="tr-TR"/>
        </w:rPr>
      </w:pPr>
    </w:p>
    <w:p w14:paraId="7082B5A6" w14:textId="77777777" w:rsidR="00747261" w:rsidRPr="001A4B94" w:rsidRDefault="00747261" w:rsidP="00747261">
      <w:pPr>
        <w:spacing w:after="160" w:line="259" w:lineRule="auto"/>
        <w:jc w:val="center"/>
        <w:rPr>
          <w:rFonts w:asciiTheme="minorHAnsi" w:eastAsiaTheme="minorHAnsi" w:hAnsiTheme="minorHAnsi" w:cstheme="minorBidi"/>
          <w:sz w:val="22"/>
          <w:szCs w:val="22"/>
          <w:lang w:val="tr-TR"/>
        </w:rPr>
      </w:pPr>
    </w:p>
    <w:p w14:paraId="617F8D0D" w14:textId="77777777" w:rsidR="00747261" w:rsidRPr="001A4B94" w:rsidRDefault="00747261" w:rsidP="00747261">
      <w:pPr>
        <w:spacing w:after="160" w:line="259" w:lineRule="auto"/>
        <w:jc w:val="center"/>
        <w:rPr>
          <w:rFonts w:asciiTheme="minorHAnsi" w:eastAsiaTheme="minorHAnsi" w:hAnsiTheme="minorHAnsi" w:cstheme="minorBidi"/>
          <w:sz w:val="22"/>
          <w:szCs w:val="22"/>
          <w:lang w:val="tr-TR"/>
        </w:rPr>
      </w:pPr>
    </w:p>
    <w:p w14:paraId="75530D5A" w14:textId="77777777" w:rsidR="00747261" w:rsidRPr="001A4B94" w:rsidRDefault="00747261" w:rsidP="00747261">
      <w:pPr>
        <w:spacing w:after="160" w:line="259" w:lineRule="auto"/>
        <w:jc w:val="center"/>
        <w:rPr>
          <w:rFonts w:asciiTheme="minorHAnsi" w:eastAsiaTheme="minorHAnsi" w:hAnsiTheme="minorHAnsi" w:cstheme="minorBidi"/>
          <w:sz w:val="22"/>
          <w:szCs w:val="22"/>
          <w:lang w:val="tr-TR"/>
        </w:rPr>
      </w:pPr>
    </w:p>
    <w:p w14:paraId="0E2CC6AE" w14:textId="42669A23" w:rsidR="00747261" w:rsidRPr="001A4B94" w:rsidRDefault="00747261" w:rsidP="00747261">
      <w:pPr>
        <w:spacing w:after="160" w:line="259" w:lineRule="auto"/>
        <w:jc w:val="center"/>
        <w:rPr>
          <w:rFonts w:eastAsiaTheme="minorHAnsi"/>
          <w:b/>
          <w:lang w:val="tr-TR"/>
        </w:rPr>
      </w:pPr>
      <w:r w:rsidRPr="001A4B94">
        <w:rPr>
          <w:rFonts w:eastAsiaTheme="minorHAnsi"/>
          <w:b/>
          <w:lang w:val="tr-TR"/>
        </w:rPr>
        <w:t>Tabl</w:t>
      </w:r>
      <w:r w:rsidR="00B65F19" w:rsidRPr="001A4B94">
        <w:rPr>
          <w:rFonts w:eastAsiaTheme="minorHAnsi"/>
          <w:b/>
          <w:lang w:val="tr-TR"/>
        </w:rPr>
        <w:t>o</w:t>
      </w:r>
      <w:r w:rsidRPr="001A4B94">
        <w:rPr>
          <w:rFonts w:eastAsiaTheme="minorHAnsi"/>
          <w:b/>
          <w:lang w:val="tr-TR"/>
        </w:rPr>
        <w:t xml:space="preserve"> 3: CPS </w:t>
      </w:r>
      <w:r w:rsidR="00B65F19" w:rsidRPr="001A4B94">
        <w:rPr>
          <w:rFonts w:eastAsiaTheme="minorHAnsi"/>
          <w:b/>
          <w:lang w:val="tr-TR"/>
        </w:rPr>
        <w:t>Dönemi I</w:t>
      </w:r>
      <w:r w:rsidRPr="001A4B94">
        <w:rPr>
          <w:rFonts w:eastAsiaTheme="minorHAnsi"/>
          <w:b/>
          <w:lang w:val="tr-TR"/>
        </w:rPr>
        <w:t xml:space="preserve">BRD </w:t>
      </w:r>
      <w:r w:rsidR="00B65F19" w:rsidRPr="001A4B94">
        <w:rPr>
          <w:rFonts w:eastAsiaTheme="minorHAnsi"/>
          <w:b/>
          <w:lang w:val="tr-TR"/>
        </w:rPr>
        <w:t xml:space="preserve">Finansman Dışı Hizmetler </w:t>
      </w:r>
    </w:p>
    <w:tbl>
      <w:tblPr>
        <w:tblStyle w:val="TableGrid1"/>
        <w:tblW w:w="0" w:type="auto"/>
        <w:tblLook w:val="04A0" w:firstRow="1" w:lastRow="0" w:firstColumn="1" w:lastColumn="0" w:noHBand="0" w:noVBand="1"/>
      </w:tblPr>
      <w:tblGrid>
        <w:gridCol w:w="1477"/>
        <w:gridCol w:w="1579"/>
        <w:gridCol w:w="6294"/>
      </w:tblGrid>
      <w:tr w:rsidR="00747261" w:rsidRPr="001A4B94" w14:paraId="229FF47F" w14:textId="77777777" w:rsidTr="00747261">
        <w:trPr>
          <w:trHeight w:val="440"/>
        </w:trPr>
        <w:tc>
          <w:tcPr>
            <w:tcW w:w="1477" w:type="dxa"/>
            <w:hideMark/>
          </w:tcPr>
          <w:p w14:paraId="66CEC10C" w14:textId="60C9DBF7" w:rsidR="00747261" w:rsidRPr="001A4B94" w:rsidRDefault="00B65F19" w:rsidP="00747261">
            <w:pPr>
              <w:jc w:val="center"/>
              <w:rPr>
                <w:rFonts w:eastAsiaTheme="minorHAnsi"/>
                <w:b/>
                <w:bCs/>
                <w:sz w:val="18"/>
                <w:szCs w:val="18"/>
                <w:lang w:val="tr-TR"/>
              </w:rPr>
            </w:pPr>
            <w:r w:rsidRPr="001A4B94">
              <w:rPr>
                <w:rFonts w:eastAsiaTheme="minorHAnsi"/>
                <w:b/>
                <w:bCs/>
                <w:sz w:val="18"/>
                <w:szCs w:val="18"/>
                <w:lang w:val="tr-TR"/>
              </w:rPr>
              <w:t xml:space="preserve">Mali Yıl </w:t>
            </w:r>
          </w:p>
        </w:tc>
        <w:tc>
          <w:tcPr>
            <w:tcW w:w="1579" w:type="dxa"/>
            <w:hideMark/>
          </w:tcPr>
          <w:p w14:paraId="24D0E046" w14:textId="4656C5F2" w:rsidR="00747261" w:rsidRPr="001A4B94" w:rsidRDefault="00B65F19" w:rsidP="00747261">
            <w:pPr>
              <w:jc w:val="center"/>
              <w:rPr>
                <w:rFonts w:eastAsiaTheme="minorHAnsi"/>
                <w:b/>
                <w:bCs/>
                <w:sz w:val="18"/>
                <w:szCs w:val="18"/>
                <w:lang w:val="tr-TR"/>
              </w:rPr>
            </w:pPr>
            <w:r w:rsidRPr="001A4B94">
              <w:rPr>
                <w:rFonts w:eastAsiaTheme="minorHAnsi"/>
                <w:b/>
                <w:bCs/>
                <w:sz w:val="18"/>
                <w:szCs w:val="18"/>
                <w:lang w:val="tr-TR"/>
              </w:rPr>
              <w:t xml:space="preserve">Ürün Hattı </w:t>
            </w:r>
          </w:p>
        </w:tc>
        <w:tc>
          <w:tcPr>
            <w:tcW w:w="6294" w:type="dxa"/>
            <w:hideMark/>
          </w:tcPr>
          <w:p w14:paraId="7C389B04" w14:textId="28ED28D5" w:rsidR="00747261" w:rsidRPr="001A4B94" w:rsidRDefault="00747261" w:rsidP="00747261">
            <w:pPr>
              <w:jc w:val="center"/>
              <w:rPr>
                <w:rFonts w:eastAsiaTheme="minorHAnsi"/>
                <w:b/>
                <w:bCs/>
                <w:sz w:val="18"/>
                <w:szCs w:val="18"/>
                <w:lang w:val="tr-TR"/>
              </w:rPr>
            </w:pPr>
            <w:r w:rsidRPr="001A4B94">
              <w:rPr>
                <w:rFonts w:eastAsiaTheme="minorHAnsi"/>
                <w:b/>
                <w:bCs/>
                <w:sz w:val="18"/>
                <w:szCs w:val="18"/>
                <w:lang w:val="tr-TR"/>
              </w:rPr>
              <w:t>Proje</w:t>
            </w:r>
            <w:r w:rsidR="00B65F19" w:rsidRPr="001A4B94">
              <w:rPr>
                <w:rFonts w:eastAsiaTheme="minorHAnsi"/>
                <w:b/>
                <w:bCs/>
                <w:sz w:val="18"/>
                <w:szCs w:val="18"/>
                <w:lang w:val="tr-TR"/>
              </w:rPr>
              <w:t xml:space="preserve"> Adı </w:t>
            </w:r>
          </w:p>
        </w:tc>
      </w:tr>
      <w:tr w:rsidR="00747261" w:rsidRPr="001A4B94" w14:paraId="7F0E145B" w14:textId="77777777" w:rsidTr="00382079">
        <w:trPr>
          <w:trHeight w:val="230"/>
        </w:trPr>
        <w:tc>
          <w:tcPr>
            <w:tcW w:w="1477" w:type="dxa"/>
            <w:vMerge w:val="restart"/>
            <w:textDirection w:val="btLr"/>
            <w:hideMark/>
          </w:tcPr>
          <w:p w14:paraId="6D737258" w14:textId="647FC9FA" w:rsidR="00747261" w:rsidRPr="001A4B94" w:rsidRDefault="00B65F19" w:rsidP="00747261">
            <w:pPr>
              <w:jc w:val="center"/>
              <w:rPr>
                <w:rFonts w:eastAsiaTheme="minorHAnsi"/>
                <w:b/>
                <w:bCs/>
                <w:sz w:val="18"/>
                <w:szCs w:val="18"/>
                <w:lang w:val="tr-TR"/>
              </w:rPr>
            </w:pPr>
            <w:r w:rsidRPr="001A4B94">
              <w:rPr>
                <w:rFonts w:eastAsiaTheme="minorHAnsi"/>
                <w:b/>
                <w:bCs/>
                <w:sz w:val="18"/>
                <w:szCs w:val="18"/>
                <w:lang w:val="tr-TR"/>
              </w:rPr>
              <w:t>2012 MY</w:t>
            </w:r>
          </w:p>
        </w:tc>
        <w:tc>
          <w:tcPr>
            <w:tcW w:w="1579" w:type="dxa"/>
            <w:hideMark/>
          </w:tcPr>
          <w:p w14:paraId="00F67B61"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CP</w:t>
            </w:r>
          </w:p>
        </w:tc>
        <w:tc>
          <w:tcPr>
            <w:tcW w:w="6294" w:type="dxa"/>
            <w:hideMark/>
          </w:tcPr>
          <w:p w14:paraId="0AE7F0D0" w14:textId="4001C3BE"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B65F19" w:rsidRPr="001A4B94">
              <w:rPr>
                <w:rFonts w:eastAsiaTheme="minorHAnsi"/>
                <w:sz w:val="18"/>
                <w:szCs w:val="18"/>
                <w:lang w:val="tr-TR"/>
              </w:rPr>
              <w:t xml:space="preserve">ürkiye </w:t>
            </w:r>
            <w:r w:rsidRPr="001A4B94">
              <w:rPr>
                <w:rFonts w:eastAsiaTheme="minorHAnsi"/>
                <w:sz w:val="18"/>
                <w:szCs w:val="18"/>
                <w:lang w:val="tr-TR"/>
              </w:rPr>
              <w:t xml:space="preserve">CPS </w:t>
            </w:r>
            <w:r w:rsidR="00B65F19" w:rsidRPr="001A4B94">
              <w:rPr>
                <w:rFonts w:eastAsiaTheme="minorHAnsi"/>
                <w:sz w:val="18"/>
                <w:szCs w:val="18"/>
                <w:lang w:val="tr-TR"/>
              </w:rPr>
              <w:t xml:space="preserve">2012-15 MY </w:t>
            </w:r>
          </w:p>
        </w:tc>
      </w:tr>
      <w:tr w:rsidR="00747261" w:rsidRPr="001A4B94" w14:paraId="0F630D06" w14:textId="77777777" w:rsidTr="00382079">
        <w:trPr>
          <w:trHeight w:val="230"/>
        </w:trPr>
        <w:tc>
          <w:tcPr>
            <w:tcW w:w="1477" w:type="dxa"/>
            <w:vMerge/>
            <w:hideMark/>
          </w:tcPr>
          <w:p w14:paraId="5A2FE69F" w14:textId="77777777" w:rsidR="00747261" w:rsidRPr="001A4B94" w:rsidRDefault="00747261" w:rsidP="00747261">
            <w:pPr>
              <w:jc w:val="center"/>
              <w:rPr>
                <w:rFonts w:eastAsiaTheme="minorHAnsi"/>
                <w:b/>
                <w:bCs/>
                <w:sz w:val="18"/>
                <w:szCs w:val="18"/>
                <w:lang w:val="tr-TR"/>
              </w:rPr>
            </w:pPr>
          </w:p>
        </w:tc>
        <w:tc>
          <w:tcPr>
            <w:tcW w:w="1579" w:type="dxa"/>
            <w:hideMark/>
          </w:tcPr>
          <w:p w14:paraId="7AAF5838"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EV</w:t>
            </w:r>
          </w:p>
        </w:tc>
        <w:tc>
          <w:tcPr>
            <w:tcW w:w="6294" w:type="dxa"/>
            <w:hideMark/>
          </w:tcPr>
          <w:p w14:paraId="33D86337" w14:textId="533EEFBD"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B65F19" w:rsidRPr="001A4B94">
              <w:rPr>
                <w:rFonts w:eastAsiaTheme="minorHAnsi"/>
                <w:sz w:val="18"/>
                <w:szCs w:val="18"/>
                <w:lang w:val="tr-TR"/>
              </w:rPr>
              <w:t xml:space="preserve">ürkiye </w:t>
            </w:r>
            <w:r w:rsidRPr="001A4B94">
              <w:rPr>
                <w:rFonts w:eastAsiaTheme="minorHAnsi"/>
                <w:sz w:val="18"/>
                <w:szCs w:val="18"/>
                <w:lang w:val="tr-TR"/>
              </w:rPr>
              <w:t xml:space="preserve">CASCR </w:t>
            </w:r>
            <w:r w:rsidR="00B65F19" w:rsidRPr="001A4B94">
              <w:rPr>
                <w:rFonts w:eastAsiaTheme="minorHAnsi"/>
                <w:sz w:val="18"/>
                <w:szCs w:val="18"/>
                <w:lang w:val="tr-TR"/>
              </w:rPr>
              <w:t xml:space="preserve">İnceleme </w:t>
            </w:r>
          </w:p>
        </w:tc>
      </w:tr>
      <w:tr w:rsidR="00747261" w:rsidRPr="001A4B94" w14:paraId="5F55B549" w14:textId="77777777" w:rsidTr="00382079">
        <w:trPr>
          <w:trHeight w:val="230"/>
        </w:trPr>
        <w:tc>
          <w:tcPr>
            <w:tcW w:w="1477" w:type="dxa"/>
            <w:vMerge/>
            <w:hideMark/>
          </w:tcPr>
          <w:p w14:paraId="65F76310" w14:textId="77777777" w:rsidR="00747261" w:rsidRPr="001A4B94" w:rsidRDefault="00747261" w:rsidP="00747261">
            <w:pPr>
              <w:jc w:val="center"/>
              <w:rPr>
                <w:rFonts w:eastAsiaTheme="minorHAnsi"/>
                <w:b/>
                <w:bCs/>
                <w:sz w:val="18"/>
                <w:szCs w:val="18"/>
                <w:lang w:val="tr-TR"/>
              </w:rPr>
            </w:pPr>
          </w:p>
        </w:tc>
        <w:tc>
          <w:tcPr>
            <w:tcW w:w="1579" w:type="dxa"/>
            <w:hideMark/>
          </w:tcPr>
          <w:p w14:paraId="5EA04C61"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469F10D6" w14:textId="58FE8A58" w:rsidR="00747261" w:rsidRPr="001A4B94" w:rsidRDefault="00BA2749" w:rsidP="00747261">
            <w:pPr>
              <w:jc w:val="center"/>
              <w:rPr>
                <w:rFonts w:eastAsiaTheme="minorHAnsi"/>
                <w:sz w:val="18"/>
                <w:szCs w:val="18"/>
                <w:lang w:val="tr-TR"/>
              </w:rPr>
            </w:pPr>
            <w:r w:rsidRPr="001A4B94">
              <w:rPr>
                <w:rFonts w:eastAsiaTheme="minorHAnsi"/>
                <w:sz w:val="18"/>
                <w:szCs w:val="18"/>
                <w:lang w:val="tr-TR"/>
              </w:rPr>
              <w:t>Üçüncü Prog</w:t>
            </w:r>
            <w:r w:rsidR="00957C4B" w:rsidRPr="001A4B94">
              <w:rPr>
                <w:rFonts w:eastAsiaTheme="minorHAnsi"/>
                <w:sz w:val="18"/>
                <w:szCs w:val="18"/>
                <w:lang w:val="tr-TR"/>
              </w:rPr>
              <w:t xml:space="preserve">ram Odaklı Kamu Harcama İncelemesi ve </w:t>
            </w:r>
            <w:r w:rsidR="00747261" w:rsidRPr="001A4B94">
              <w:rPr>
                <w:rFonts w:eastAsiaTheme="minorHAnsi"/>
                <w:sz w:val="18"/>
                <w:szCs w:val="18"/>
                <w:lang w:val="tr-TR"/>
              </w:rPr>
              <w:t xml:space="preserve">PFM </w:t>
            </w:r>
            <w:r w:rsidR="00957C4B" w:rsidRPr="001A4B94">
              <w:rPr>
                <w:rFonts w:eastAsiaTheme="minorHAnsi"/>
                <w:sz w:val="18"/>
                <w:szCs w:val="18"/>
                <w:lang w:val="tr-TR"/>
              </w:rPr>
              <w:t xml:space="preserve">Çalışması </w:t>
            </w:r>
          </w:p>
        </w:tc>
      </w:tr>
      <w:tr w:rsidR="00747261" w:rsidRPr="001A4B94" w14:paraId="7C279B37" w14:textId="77777777" w:rsidTr="00382079">
        <w:trPr>
          <w:trHeight w:val="230"/>
        </w:trPr>
        <w:tc>
          <w:tcPr>
            <w:tcW w:w="1477" w:type="dxa"/>
            <w:vMerge/>
            <w:hideMark/>
          </w:tcPr>
          <w:p w14:paraId="76189FA9" w14:textId="77777777" w:rsidR="00747261" w:rsidRPr="001A4B94" w:rsidRDefault="00747261" w:rsidP="00747261">
            <w:pPr>
              <w:jc w:val="center"/>
              <w:rPr>
                <w:rFonts w:eastAsiaTheme="minorHAnsi"/>
                <w:b/>
                <w:bCs/>
                <w:sz w:val="18"/>
                <w:szCs w:val="18"/>
                <w:lang w:val="tr-TR"/>
              </w:rPr>
            </w:pPr>
          </w:p>
        </w:tc>
        <w:tc>
          <w:tcPr>
            <w:tcW w:w="1579" w:type="dxa"/>
            <w:hideMark/>
          </w:tcPr>
          <w:p w14:paraId="29B2170C"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302AFC8E" w14:textId="246AABF6"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 xml:space="preserve">RIO+20 </w:t>
            </w:r>
            <w:r w:rsidR="00957C4B" w:rsidRPr="001A4B94">
              <w:rPr>
                <w:rFonts w:eastAsiaTheme="minorHAnsi"/>
                <w:sz w:val="18"/>
                <w:szCs w:val="18"/>
                <w:lang w:val="tr-TR"/>
              </w:rPr>
              <w:t xml:space="preserve">YEŞİL BÜYÜME POLİTİKA BELGESİ </w:t>
            </w:r>
          </w:p>
        </w:tc>
      </w:tr>
      <w:tr w:rsidR="00747261" w:rsidRPr="001A4B94" w14:paraId="3339BB10" w14:textId="77777777" w:rsidTr="00382079">
        <w:trPr>
          <w:trHeight w:val="230"/>
        </w:trPr>
        <w:tc>
          <w:tcPr>
            <w:tcW w:w="1477" w:type="dxa"/>
            <w:vMerge/>
            <w:hideMark/>
          </w:tcPr>
          <w:p w14:paraId="167A7FB3" w14:textId="77777777" w:rsidR="00747261" w:rsidRPr="001A4B94" w:rsidRDefault="00747261" w:rsidP="00747261">
            <w:pPr>
              <w:jc w:val="center"/>
              <w:rPr>
                <w:rFonts w:eastAsiaTheme="minorHAnsi"/>
                <w:b/>
                <w:bCs/>
                <w:sz w:val="18"/>
                <w:szCs w:val="18"/>
                <w:lang w:val="tr-TR"/>
              </w:rPr>
            </w:pPr>
          </w:p>
        </w:tc>
        <w:tc>
          <w:tcPr>
            <w:tcW w:w="1579" w:type="dxa"/>
            <w:hideMark/>
          </w:tcPr>
          <w:p w14:paraId="7481AD19"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2DDA8554" w14:textId="0337DD9D" w:rsidR="00747261" w:rsidRPr="001A4B94" w:rsidRDefault="00BA2749" w:rsidP="00562063">
            <w:pPr>
              <w:jc w:val="center"/>
              <w:rPr>
                <w:rFonts w:eastAsiaTheme="minorHAnsi"/>
                <w:sz w:val="18"/>
                <w:szCs w:val="18"/>
                <w:lang w:val="tr-TR"/>
              </w:rPr>
            </w:pPr>
            <w:r w:rsidRPr="001A4B94">
              <w:rPr>
                <w:rFonts w:eastAsiaTheme="minorHAnsi"/>
                <w:sz w:val="18"/>
                <w:szCs w:val="18"/>
                <w:lang w:val="tr-TR"/>
              </w:rPr>
              <w:t>Türkiye</w:t>
            </w:r>
            <w:r w:rsidR="00747261" w:rsidRPr="001A4B94">
              <w:rPr>
                <w:rFonts w:eastAsiaTheme="minorHAnsi"/>
                <w:sz w:val="18"/>
                <w:szCs w:val="18"/>
                <w:lang w:val="tr-TR"/>
              </w:rPr>
              <w:t xml:space="preserve">: </w:t>
            </w:r>
            <w:r w:rsidRPr="001A4B94">
              <w:rPr>
                <w:rFonts w:eastAsiaTheme="minorHAnsi"/>
                <w:sz w:val="18"/>
                <w:szCs w:val="18"/>
                <w:lang w:val="tr-TR"/>
              </w:rPr>
              <w:t>Ekonomik döngü</w:t>
            </w:r>
            <w:r w:rsidR="00562063" w:rsidRPr="001A4B94">
              <w:rPr>
                <w:rFonts w:eastAsiaTheme="minorHAnsi"/>
                <w:sz w:val="18"/>
                <w:szCs w:val="18"/>
                <w:lang w:val="tr-TR"/>
              </w:rPr>
              <w:t xml:space="preserve">nün tamamında </w:t>
            </w:r>
            <w:r w:rsidRPr="001A4B94">
              <w:rPr>
                <w:rFonts w:eastAsiaTheme="minorHAnsi"/>
                <w:sz w:val="18"/>
                <w:szCs w:val="18"/>
                <w:lang w:val="tr-TR"/>
              </w:rPr>
              <w:t xml:space="preserve">işgücü piyasalarının yönetmek </w:t>
            </w:r>
          </w:p>
        </w:tc>
      </w:tr>
      <w:tr w:rsidR="00747261" w:rsidRPr="001A4B94" w14:paraId="63601BFE" w14:textId="77777777" w:rsidTr="00382079">
        <w:trPr>
          <w:trHeight w:val="230"/>
        </w:trPr>
        <w:tc>
          <w:tcPr>
            <w:tcW w:w="1477" w:type="dxa"/>
            <w:vMerge/>
            <w:hideMark/>
          </w:tcPr>
          <w:p w14:paraId="48CA1C98" w14:textId="77777777" w:rsidR="00747261" w:rsidRPr="001A4B94" w:rsidRDefault="00747261" w:rsidP="00747261">
            <w:pPr>
              <w:jc w:val="center"/>
              <w:rPr>
                <w:rFonts w:eastAsiaTheme="minorHAnsi"/>
                <w:b/>
                <w:bCs/>
                <w:sz w:val="18"/>
                <w:szCs w:val="18"/>
                <w:lang w:val="tr-TR"/>
              </w:rPr>
            </w:pPr>
          </w:p>
        </w:tc>
        <w:tc>
          <w:tcPr>
            <w:tcW w:w="1579" w:type="dxa"/>
            <w:hideMark/>
          </w:tcPr>
          <w:p w14:paraId="0CB7CD83"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0253C959" w14:textId="097B4069" w:rsidR="00747261" w:rsidRPr="001A4B94" w:rsidRDefault="00BA2749" w:rsidP="00747261">
            <w:pPr>
              <w:jc w:val="center"/>
              <w:rPr>
                <w:rFonts w:eastAsiaTheme="minorHAnsi"/>
                <w:sz w:val="18"/>
                <w:szCs w:val="18"/>
                <w:lang w:val="tr-TR"/>
              </w:rPr>
            </w:pPr>
            <w:r w:rsidRPr="001A4B94">
              <w:rPr>
                <w:rFonts w:eastAsiaTheme="minorHAnsi"/>
                <w:sz w:val="18"/>
                <w:szCs w:val="18"/>
                <w:lang w:val="tr-TR"/>
              </w:rPr>
              <w:t xml:space="preserve">ELEKTRİK PİYASASI FAALİYETLERİ İÇİN KAPASİTE OLUŞTURMA </w:t>
            </w:r>
          </w:p>
        </w:tc>
      </w:tr>
      <w:tr w:rsidR="00747261" w:rsidRPr="001A4B94" w14:paraId="5E1ABC12" w14:textId="77777777" w:rsidTr="00382079">
        <w:trPr>
          <w:trHeight w:val="230"/>
        </w:trPr>
        <w:tc>
          <w:tcPr>
            <w:tcW w:w="1477" w:type="dxa"/>
            <w:vMerge/>
            <w:hideMark/>
          </w:tcPr>
          <w:p w14:paraId="791ED61C" w14:textId="77777777" w:rsidR="00747261" w:rsidRPr="001A4B94" w:rsidRDefault="00747261" w:rsidP="00747261">
            <w:pPr>
              <w:jc w:val="center"/>
              <w:rPr>
                <w:rFonts w:eastAsiaTheme="minorHAnsi"/>
                <w:b/>
                <w:bCs/>
                <w:sz w:val="18"/>
                <w:szCs w:val="18"/>
                <w:lang w:val="tr-TR"/>
              </w:rPr>
            </w:pPr>
          </w:p>
        </w:tc>
        <w:tc>
          <w:tcPr>
            <w:tcW w:w="1579" w:type="dxa"/>
            <w:hideMark/>
          </w:tcPr>
          <w:p w14:paraId="2F08E42A"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0325D9A2" w14:textId="1E709920" w:rsidR="00747261" w:rsidRPr="001A4B94" w:rsidRDefault="00BA2749" w:rsidP="00747261">
            <w:pPr>
              <w:jc w:val="center"/>
              <w:rPr>
                <w:rFonts w:eastAsiaTheme="minorHAnsi"/>
                <w:sz w:val="18"/>
                <w:szCs w:val="18"/>
                <w:lang w:val="tr-TR"/>
              </w:rPr>
            </w:pPr>
            <w:r w:rsidRPr="001A4B94">
              <w:rPr>
                <w:rFonts w:eastAsiaTheme="minorHAnsi"/>
                <w:sz w:val="18"/>
                <w:szCs w:val="18"/>
                <w:lang w:val="tr-TR"/>
              </w:rPr>
              <w:t xml:space="preserve">Finansal Okuryazarlık Görevi </w:t>
            </w:r>
          </w:p>
        </w:tc>
      </w:tr>
      <w:tr w:rsidR="00747261" w:rsidRPr="001A4B94" w14:paraId="491B24E1" w14:textId="77777777" w:rsidTr="00382079">
        <w:trPr>
          <w:trHeight w:val="230"/>
        </w:trPr>
        <w:tc>
          <w:tcPr>
            <w:tcW w:w="1477" w:type="dxa"/>
            <w:vMerge/>
            <w:hideMark/>
          </w:tcPr>
          <w:p w14:paraId="42ADDC6D" w14:textId="77777777" w:rsidR="00747261" w:rsidRPr="001A4B94" w:rsidRDefault="00747261" w:rsidP="00747261">
            <w:pPr>
              <w:jc w:val="center"/>
              <w:rPr>
                <w:rFonts w:eastAsiaTheme="minorHAnsi"/>
                <w:b/>
                <w:bCs/>
                <w:sz w:val="18"/>
                <w:szCs w:val="18"/>
                <w:lang w:val="tr-TR"/>
              </w:rPr>
            </w:pPr>
          </w:p>
        </w:tc>
        <w:tc>
          <w:tcPr>
            <w:tcW w:w="1579" w:type="dxa"/>
            <w:hideMark/>
          </w:tcPr>
          <w:p w14:paraId="22EE22EE"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24BEDC6E" w14:textId="660B3911"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 xml:space="preserve">TR </w:t>
            </w:r>
            <w:r w:rsidR="00BA2749" w:rsidRPr="001A4B94">
              <w:rPr>
                <w:rFonts w:eastAsiaTheme="minorHAnsi"/>
                <w:sz w:val="18"/>
                <w:szCs w:val="18"/>
                <w:lang w:val="tr-TR"/>
              </w:rPr>
              <w:t xml:space="preserve">Toplumsal Cinsiyet Eşitliğini Sağlamak </w:t>
            </w:r>
          </w:p>
        </w:tc>
      </w:tr>
      <w:tr w:rsidR="00747261" w:rsidRPr="001A4B94" w14:paraId="20A9C5A2" w14:textId="77777777" w:rsidTr="00382079">
        <w:trPr>
          <w:trHeight w:val="230"/>
        </w:trPr>
        <w:tc>
          <w:tcPr>
            <w:tcW w:w="1477" w:type="dxa"/>
            <w:vMerge/>
            <w:hideMark/>
          </w:tcPr>
          <w:p w14:paraId="31629911" w14:textId="77777777" w:rsidR="00747261" w:rsidRPr="001A4B94" w:rsidRDefault="00747261" w:rsidP="00747261">
            <w:pPr>
              <w:jc w:val="center"/>
              <w:rPr>
                <w:rFonts w:eastAsiaTheme="minorHAnsi"/>
                <w:b/>
                <w:bCs/>
                <w:sz w:val="18"/>
                <w:szCs w:val="18"/>
                <w:lang w:val="tr-TR"/>
              </w:rPr>
            </w:pPr>
          </w:p>
        </w:tc>
        <w:tc>
          <w:tcPr>
            <w:tcW w:w="1579" w:type="dxa"/>
            <w:hideMark/>
          </w:tcPr>
          <w:p w14:paraId="2E96E609"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6E03BE55" w14:textId="426F9D5B" w:rsidR="00747261" w:rsidRPr="001A4B94" w:rsidRDefault="00BA2749" w:rsidP="00747261">
            <w:pPr>
              <w:jc w:val="center"/>
              <w:rPr>
                <w:rFonts w:eastAsiaTheme="minorHAnsi"/>
                <w:sz w:val="18"/>
                <w:szCs w:val="18"/>
                <w:lang w:val="tr-TR"/>
              </w:rPr>
            </w:pPr>
            <w:r w:rsidRPr="001A4B94">
              <w:rPr>
                <w:rFonts w:eastAsiaTheme="minorHAnsi"/>
                <w:sz w:val="18"/>
                <w:szCs w:val="18"/>
                <w:lang w:val="tr-TR"/>
              </w:rPr>
              <w:t xml:space="preserve">Beşeri Kalkınma Teknik Yardım </w:t>
            </w:r>
          </w:p>
        </w:tc>
      </w:tr>
      <w:tr w:rsidR="00747261" w:rsidRPr="001A4B94" w14:paraId="6232F0AA" w14:textId="77777777" w:rsidTr="00382079">
        <w:trPr>
          <w:trHeight w:val="230"/>
        </w:trPr>
        <w:tc>
          <w:tcPr>
            <w:tcW w:w="1477" w:type="dxa"/>
            <w:vMerge/>
            <w:hideMark/>
          </w:tcPr>
          <w:p w14:paraId="2C0F89FB" w14:textId="77777777" w:rsidR="00747261" w:rsidRPr="001A4B94" w:rsidRDefault="00747261" w:rsidP="00747261">
            <w:pPr>
              <w:jc w:val="center"/>
              <w:rPr>
                <w:rFonts w:eastAsiaTheme="minorHAnsi"/>
                <w:b/>
                <w:bCs/>
                <w:sz w:val="18"/>
                <w:szCs w:val="18"/>
                <w:lang w:val="tr-TR"/>
              </w:rPr>
            </w:pPr>
          </w:p>
        </w:tc>
        <w:tc>
          <w:tcPr>
            <w:tcW w:w="1579" w:type="dxa"/>
            <w:hideMark/>
          </w:tcPr>
          <w:p w14:paraId="6B2D2983"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TI</w:t>
            </w:r>
          </w:p>
        </w:tc>
        <w:tc>
          <w:tcPr>
            <w:tcW w:w="6294" w:type="dxa"/>
            <w:hideMark/>
          </w:tcPr>
          <w:p w14:paraId="3E9E83CC" w14:textId="7EDBE3C6"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BA2749" w:rsidRPr="001A4B94">
              <w:rPr>
                <w:rFonts w:eastAsiaTheme="minorHAnsi"/>
                <w:sz w:val="18"/>
                <w:szCs w:val="18"/>
                <w:lang w:val="tr-TR"/>
              </w:rPr>
              <w:t xml:space="preserve">ürkiye </w:t>
            </w:r>
            <w:r w:rsidRPr="001A4B94">
              <w:rPr>
                <w:rFonts w:eastAsiaTheme="minorHAnsi"/>
                <w:sz w:val="18"/>
                <w:szCs w:val="18"/>
                <w:lang w:val="tr-TR"/>
              </w:rPr>
              <w:t xml:space="preserve">CT </w:t>
            </w:r>
            <w:r w:rsidR="00BA2749" w:rsidRPr="001A4B94">
              <w:rPr>
                <w:rFonts w:eastAsiaTheme="minorHAnsi"/>
                <w:sz w:val="18"/>
                <w:szCs w:val="18"/>
                <w:lang w:val="tr-TR"/>
              </w:rPr>
              <w:t xml:space="preserve">Çalıştayı 2012 MY </w:t>
            </w:r>
          </w:p>
        </w:tc>
      </w:tr>
      <w:tr w:rsidR="00747261" w:rsidRPr="001A4B94" w14:paraId="20BC360D" w14:textId="77777777" w:rsidTr="00382079">
        <w:trPr>
          <w:trHeight w:val="230"/>
        </w:trPr>
        <w:tc>
          <w:tcPr>
            <w:tcW w:w="1477" w:type="dxa"/>
            <w:vMerge w:val="restart"/>
            <w:textDirection w:val="btLr"/>
            <w:hideMark/>
          </w:tcPr>
          <w:p w14:paraId="57479581" w14:textId="6EA2D749" w:rsidR="00747261" w:rsidRPr="001A4B94" w:rsidRDefault="00B65F19" w:rsidP="00747261">
            <w:pPr>
              <w:jc w:val="center"/>
              <w:rPr>
                <w:rFonts w:eastAsiaTheme="minorHAnsi"/>
                <w:b/>
                <w:bCs/>
                <w:sz w:val="18"/>
                <w:szCs w:val="18"/>
                <w:lang w:val="tr-TR"/>
              </w:rPr>
            </w:pPr>
            <w:r w:rsidRPr="001A4B94">
              <w:rPr>
                <w:rFonts w:eastAsiaTheme="minorHAnsi"/>
                <w:b/>
                <w:bCs/>
                <w:sz w:val="18"/>
                <w:szCs w:val="18"/>
                <w:lang w:val="tr-TR"/>
              </w:rPr>
              <w:t>2013 MY</w:t>
            </w:r>
          </w:p>
        </w:tc>
        <w:tc>
          <w:tcPr>
            <w:tcW w:w="1579" w:type="dxa"/>
            <w:hideMark/>
          </w:tcPr>
          <w:p w14:paraId="703F5758"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4906B0DF" w14:textId="6473B5E4" w:rsidR="00747261" w:rsidRPr="001A4B94" w:rsidRDefault="00BA2749" w:rsidP="00747261">
            <w:pPr>
              <w:jc w:val="center"/>
              <w:rPr>
                <w:rFonts w:eastAsiaTheme="minorHAnsi"/>
                <w:sz w:val="18"/>
                <w:szCs w:val="18"/>
                <w:lang w:val="tr-TR"/>
              </w:rPr>
            </w:pPr>
            <w:r w:rsidRPr="001A4B94">
              <w:rPr>
                <w:rFonts w:eastAsiaTheme="minorHAnsi"/>
                <w:sz w:val="18"/>
                <w:szCs w:val="18"/>
                <w:lang w:val="tr-TR"/>
              </w:rPr>
              <w:t xml:space="preserve">Eğitim Çalışması </w:t>
            </w:r>
          </w:p>
        </w:tc>
      </w:tr>
      <w:tr w:rsidR="00747261" w:rsidRPr="001A4B94" w14:paraId="758F8072" w14:textId="77777777" w:rsidTr="00382079">
        <w:trPr>
          <w:trHeight w:val="230"/>
        </w:trPr>
        <w:tc>
          <w:tcPr>
            <w:tcW w:w="1477" w:type="dxa"/>
            <w:vMerge/>
            <w:hideMark/>
          </w:tcPr>
          <w:p w14:paraId="6F725ECC" w14:textId="77777777" w:rsidR="00747261" w:rsidRPr="001A4B94" w:rsidRDefault="00747261" w:rsidP="00747261">
            <w:pPr>
              <w:jc w:val="center"/>
              <w:rPr>
                <w:rFonts w:eastAsiaTheme="minorHAnsi"/>
                <w:b/>
                <w:bCs/>
                <w:sz w:val="18"/>
                <w:szCs w:val="18"/>
                <w:lang w:val="tr-TR"/>
              </w:rPr>
            </w:pPr>
          </w:p>
        </w:tc>
        <w:tc>
          <w:tcPr>
            <w:tcW w:w="1579" w:type="dxa"/>
            <w:hideMark/>
          </w:tcPr>
          <w:p w14:paraId="11AB9C4B"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7F97972C" w14:textId="49CB5CE4" w:rsidR="00747261" w:rsidRPr="001A4B94" w:rsidRDefault="00BA2749" w:rsidP="00747261">
            <w:pPr>
              <w:jc w:val="center"/>
              <w:rPr>
                <w:rFonts w:eastAsiaTheme="minorHAnsi"/>
                <w:sz w:val="18"/>
                <w:szCs w:val="18"/>
                <w:lang w:val="tr-TR"/>
              </w:rPr>
            </w:pPr>
            <w:r w:rsidRPr="001A4B94">
              <w:rPr>
                <w:rFonts w:eastAsiaTheme="minorHAnsi"/>
                <w:sz w:val="18"/>
                <w:szCs w:val="18"/>
                <w:lang w:val="tr-TR"/>
              </w:rPr>
              <w:t>Aile Hekimliği Çalışması</w:t>
            </w:r>
          </w:p>
        </w:tc>
      </w:tr>
      <w:tr w:rsidR="00747261" w:rsidRPr="001A4B94" w14:paraId="5344FB16" w14:textId="77777777" w:rsidTr="00382079">
        <w:trPr>
          <w:trHeight w:val="230"/>
        </w:trPr>
        <w:tc>
          <w:tcPr>
            <w:tcW w:w="1477" w:type="dxa"/>
            <w:vMerge/>
            <w:hideMark/>
          </w:tcPr>
          <w:p w14:paraId="1D3F9339" w14:textId="77777777" w:rsidR="00747261" w:rsidRPr="001A4B94" w:rsidRDefault="00747261" w:rsidP="00747261">
            <w:pPr>
              <w:jc w:val="center"/>
              <w:rPr>
                <w:rFonts w:eastAsiaTheme="minorHAnsi"/>
                <w:b/>
                <w:bCs/>
                <w:sz w:val="18"/>
                <w:szCs w:val="18"/>
                <w:lang w:val="tr-TR"/>
              </w:rPr>
            </w:pPr>
          </w:p>
        </w:tc>
        <w:tc>
          <w:tcPr>
            <w:tcW w:w="1579" w:type="dxa"/>
            <w:hideMark/>
          </w:tcPr>
          <w:p w14:paraId="2AFFA449"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2C4E4F4D" w14:textId="32D82DF9" w:rsidR="00747261" w:rsidRPr="001A4B94" w:rsidRDefault="00747261" w:rsidP="00C9139A">
            <w:pPr>
              <w:jc w:val="center"/>
              <w:rPr>
                <w:rFonts w:eastAsiaTheme="minorHAnsi"/>
                <w:sz w:val="18"/>
                <w:szCs w:val="18"/>
                <w:lang w:val="tr-TR"/>
              </w:rPr>
            </w:pPr>
            <w:r w:rsidRPr="001A4B94">
              <w:rPr>
                <w:rFonts w:eastAsiaTheme="minorHAnsi"/>
                <w:sz w:val="18"/>
                <w:szCs w:val="18"/>
                <w:lang w:val="tr-TR"/>
              </w:rPr>
              <w:t xml:space="preserve">TR FSD </w:t>
            </w:r>
            <w:r w:rsidR="00BA2749" w:rsidRPr="001A4B94">
              <w:rPr>
                <w:rFonts w:eastAsiaTheme="minorHAnsi"/>
                <w:sz w:val="18"/>
                <w:szCs w:val="18"/>
                <w:lang w:val="tr-TR"/>
              </w:rPr>
              <w:t xml:space="preserve">Teknik Yardım </w:t>
            </w:r>
            <w:r w:rsidRPr="001A4B94">
              <w:rPr>
                <w:rFonts w:eastAsiaTheme="minorHAnsi"/>
                <w:sz w:val="18"/>
                <w:szCs w:val="18"/>
                <w:lang w:val="tr-TR"/>
              </w:rPr>
              <w:t xml:space="preserve">(FSA </w:t>
            </w:r>
            <w:r w:rsidR="00BA2749" w:rsidRPr="001A4B94">
              <w:rPr>
                <w:rFonts w:eastAsiaTheme="minorHAnsi"/>
                <w:sz w:val="18"/>
                <w:szCs w:val="18"/>
                <w:lang w:val="tr-TR"/>
              </w:rPr>
              <w:t>takip</w:t>
            </w:r>
            <w:r w:rsidRPr="001A4B94">
              <w:rPr>
                <w:rFonts w:eastAsiaTheme="minorHAnsi"/>
                <w:sz w:val="18"/>
                <w:szCs w:val="18"/>
                <w:lang w:val="tr-TR"/>
              </w:rPr>
              <w:t xml:space="preserve">, </w:t>
            </w:r>
            <w:r w:rsidR="00BA2749" w:rsidRPr="001A4B94">
              <w:rPr>
                <w:rFonts w:eastAsiaTheme="minorHAnsi"/>
                <w:sz w:val="18"/>
                <w:szCs w:val="18"/>
                <w:lang w:val="tr-TR"/>
              </w:rPr>
              <w:t>Sermaye Piyasası Geliştirme</w:t>
            </w:r>
            <w:r w:rsidRPr="001A4B94">
              <w:rPr>
                <w:rFonts w:eastAsiaTheme="minorHAnsi"/>
                <w:sz w:val="18"/>
                <w:szCs w:val="18"/>
                <w:lang w:val="tr-TR"/>
              </w:rPr>
              <w:t>)</w:t>
            </w:r>
          </w:p>
        </w:tc>
      </w:tr>
      <w:tr w:rsidR="00747261" w:rsidRPr="001A4B94" w14:paraId="15725822" w14:textId="77777777" w:rsidTr="00382079">
        <w:trPr>
          <w:trHeight w:val="230"/>
        </w:trPr>
        <w:tc>
          <w:tcPr>
            <w:tcW w:w="1477" w:type="dxa"/>
            <w:vMerge/>
            <w:hideMark/>
          </w:tcPr>
          <w:p w14:paraId="18616B16" w14:textId="77777777" w:rsidR="00747261" w:rsidRPr="001A4B94" w:rsidRDefault="00747261" w:rsidP="00747261">
            <w:pPr>
              <w:jc w:val="center"/>
              <w:rPr>
                <w:rFonts w:eastAsiaTheme="minorHAnsi"/>
                <w:b/>
                <w:bCs/>
                <w:sz w:val="18"/>
                <w:szCs w:val="18"/>
                <w:lang w:val="tr-TR"/>
              </w:rPr>
            </w:pPr>
          </w:p>
        </w:tc>
        <w:tc>
          <w:tcPr>
            <w:tcW w:w="1579" w:type="dxa"/>
            <w:hideMark/>
          </w:tcPr>
          <w:p w14:paraId="6C55FAA3"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397D42A4" w14:textId="1CA5B239" w:rsidR="00747261" w:rsidRPr="001A4B94" w:rsidRDefault="00BA2749" w:rsidP="00747261">
            <w:pPr>
              <w:jc w:val="center"/>
              <w:rPr>
                <w:rFonts w:eastAsiaTheme="minorHAnsi"/>
                <w:sz w:val="18"/>
                <w:szCs w:val="18"/>
                <w:lang w:val="tr-TR"/>
              </w:rPr>
            </w:pPr>
            <w:r w:rsidRPr="001A4B94">
              <w:rPr>
                <w:rFonts w:eastAsiaTheme="minorHAnsi"/>
                <w:sz w:val="18"/>
                <w:szCs w:val="18"/>
                <w:lang w:val="tr-TR"/>
              </w:rPr>
              <w:t>ULUSAL HAVZA YÖNETİMİ</w:t>
            </w:r>
          </w:p>
        </w:tc>
      </w:tr>
      <w:tr w:rsidR="00747261" w:rsidRPr="001A4B94" w14:paraId="0D0B2AC9" w14:textId="77777777" w:rsidTr="00382079">
        <w:trPr>
          <w:trHeight w:val="230"/>
        </w:trPr>
        <w:tc>
          <w:tcPr>
            <w:tcW w:w="1477" w:type="dxa"/>
            <w:vMerge/>
            <w:hideMark/>
          </w:tcPr>
          <w:p w14:paraId="5EABDFED" w14:textId="77777777" w:rsidR="00747261" w:rsidRPr="001A4B94" w:rsidRDefault="00747261" w:rsidP="00747261">
            <w:pPr>
              <w:jc w:val="center"/>
              <w:rPr>
                <w:rFonts w:eastAsiaTheme="minorHAnsi"/>
                <w:b/>
                <w:bCs/>
                <w:sz w:val="18"/>
                <w:szCs w:val="18"/>
                <w:lang w:val="tr-TR"/>
              </w:rPr>
            </w:pPr>
          </w:p>
        </w:tc>
        <w:tc>
          <w:tcPr>
            <w:tcW w:w="1579" w:type="dxa"/>
            <w:hideMark/>
          </w:tcPr>
          <w:p w14:paraId="02BA5D32"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4295EF53" w14:textId="23426523"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Program Odaklı Kamu </w:t>
            </w:r>
            <w:r w:rsidR="00805C64" w:rsidRPr="001A4B94">
              <w:rPr>
                <w:rFonts w:eastAsiaTheme="minorHAnsi"/>
                <w:sz w:val="18"/>
                <w:szCs w:val="18"/>
                <w:lang w:val="tr-TR"/>
              </w:rPr>
              <w:t xml:space="preserve">Mali </w:t>
            </w:r>
            <w:r w:rsidRPr="001A4B94">
              <w:rPr>
                <w:rFonts w:eastAsiaTheme="minorHAnsi"/>
                <w:sz w:val="18"/>
                <w:szCs w:val="18"/>
                <w:lang w:val="tr-TR"/>
              </w:rPr>
              <w:t xml:space="preserve">Yönetim Çalışması </w:t>
            </w:r>
          </w:p>
        </w:tc>
      </w:tr>
      <w:tr w:rsidR="00747261" w:rsidRPr="001A4B94" w14:paraId="65F031B6" w14:textId="77777777" w:rsidTr="00382079">
        <w:trPr>
          <w:trHeight w:val="230"/>
        </w:trPr>
        <w:tc>
          <w:tcPr>
            <w:tcW w:w="1477" w:type="dxa"/>
            <w:vMerge w:val="restart"/>
            <w:textDirection w:val="btLr"/>
            <w:hideMark/>
          </w:tcPr>
          <w:p w14:paraId="00750D28" w14:textId="3D7DAF7C" w:rsidR="00747261" w:rsidRPr="001A4B94" w:rsidRDefault="00B65F19" w:rsidP="00747261">
            <w:pPr>
              <w:jc w:val="center"/>
              <w:rPr>
                <w:rFonts w:eastAsiaTheme="minorHAnsi"/>
                <w:b/>
                <w:bCs/>
                <w:sz w:val="18"/>
                <w:szCs w:val="18"/>
                <w:lang w:val="tr-TR"/>
              </w:rPr>
            </w:pPr>
            <w:r w:rsidRPr="001A4B94">
              <w:rPr>
                <w:rFonts w:eastAsiaTheme="minorHAnsi"/>
                <w:b/>
                <w:bCs/>
                <w:sz w:val="18"/>
                <w:szCs w:val="18"/>
                <w:lang w:val="tr-TR"/>
              </w:rPr>
              <w:t>2014 MY</w:t>
            </w:r>
          </w:p>
        </w:tc>
        <w:tc>
          <w:tcPr>
            <w:tcW w:w="1579" w:type="dxa"/>
            <w:hideMark/>
          </w:tcPr>
          <w:p w14:paraId="25866A7C"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30AFDE4E" w14:textId="5B3263DD"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Program Odaklı İstihdam – Aktivasyon </w:t>
            </w:r>
          </w:p>
        </w:tc>
      </w:tr>
      <w:tr w:rsidR="00747261" w:rsidRPr="001A4B94" w14:paraId="0FF23273" w14:textId="77777777" w:rsidTr="00382079">
        <w:trPr>
          <w:trHeight w:val="230"/>
        </w:trPr>
        <w:tc>
          <w:tcPr>
            <w:tcW w:w="1477" w:type="dxa"/>
            <w:vMerge/>
            <w:hideMark/>
          </w:tcPr>
          <w:p w14:paraId="4AAFED5E" w14:textId="77777777" w:rsidR="00747261" w:rsidRPr="001A4B94" w:rsidRDefault="00747261" w:rsidP="00747261">
            <w:pPr>
              <w:jc w:val="center"/>
              <w:rPr>
                <w:rFonts w:eastAsiaTheme="minorHAnsi"/>
                <w:b/>
                <w:bCs/>
                <w:sz w:val="18"/>
                <w:szCs w:val="18"/>
                <w:lang w:val="tr-TR"/>
              </w:rPr>
            </w:pPr>
          </w:p>
        </w:tc>
        <w:tc>
          <w:tcPr>
            <w:tcW w:w="1579" w:type="dxa"/>
            <w:hideMark/>
          </w:tcPr>
          <w:p w14:paraId="5A321400"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4E363092" w14:textId="4B59C37A"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CE49FF" w:rsidRPr="001A4B94">
              <w:rPr>
                <w:rFonts w:eastAsiaTheme="minorHAnsi"/>
                <w:sz w:val="18"/>
                <w:szCs w:val="18"/>
                <w:lang w:val="tr-TR"/>
              </w:rPr>
              <w:t xml:space="preserve">ürkiye </w:t>
            </w:r>
            <w:r w:rsidRPr="001A4B94">
              <w:rPr>
                <w:rFonts w:eastAsiaTheme="minorHAnsi"/>
                <w:sz w:val="18"/>
                <w:szCs w:val="18"/>
                <w:lang w:val="tr-TR"/>
              </w:rPr>
              <w:t xml:space="preserve">CEM: </w:t>
            </w:r>
            <w:r w:rsidR="00CE49FF" w:rsidRPr="001A4B94">
              <w:rPr>
                <w:rFonts w:eastAsiaTheme="minorHAnsi"/>
                <w:sz w:val="18"/>
                <w:szCs w:val="18"/>
                <w:lang w:val="tr-TR"/>
              </w:rPr>
              <w:t xml:space="preserve">Ticareti Arttırarak Yüksek Gelire Ulaşmak </w:t>
            </w:r>
          </w:p>
        </w:tc>
      </w:tr>
      <w:tr w:rsidR="00747261" w:rsidRPr="001A4B94" w14:paraId="165ECFA9" w14:textId="77777777" w:rsidTr="00382079">
        <w:trPr>
          <w:trHeight w:val="230"/>
        </w:trPr>
        <w:tc>
          <w:tcPr>
            <w:tcW w:w="1477" w:type="dxa"/>
            <w:vMerge/>
            <w:hideMark/>
          </w:tcPr>
          <w:p w14:paraId="59861E59" w14:textId="77777777" w:rsidR="00747261" w:rsidRPr="001A4B94" w:rsidRDefault="00747261" w:rsidP="00747261">
            <w:pPr>
              <w:jc w:val="center"/>
              <w:rPr>
                <w:rFonts w:eastAsiaTheme="minorHAnsi"/>
                <w:b/>
                <w:bCs/>
                <w:sz w:val="18"/>
                <w:szCs w:val="18"/>
                <w:lang w:val="tr-TR"/>
              </w:rPr>
            </w:pPr>
          </w:p>
        </w:tc>
        <w:tc>
          <w:tcPr>
            <w:tcW w:w="1579" w:type="dxa"/>
            <w:hideMark/>
          </w:tcPr>
          <w:p w14:paraId="09471B7F"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07F67E7A" w14:textId="3B6D8D48"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Türkiye’de Eğitim Sonuçlarını İyileştirmek </w:t>
            </w:r>
          </w:p>
        </w:tc>
      </w:tr>
      <w:tr w:rsidR="00747261" w:rsidRPr="001A4B94" w14:paraId="0D653D83" w14:textId="77777777" w:rsidTr="00382079">
        <w:trPr>
          <w:trHeight w:val="230"/>
        </w:trPr>
        <w:tc>
          <w:tcPr>
            <w:tcW w:w="1477" w:type="dxa"/>
            <w:vMerge/>
            <w:hideMark/>
          </w:tcPr>
          <w:p w14:paraId="4E5148DB" w14:textId="77777777" w:rsidR="00747261" w:rsidRPr="001A4B94" w:rsidRDefault="00747261" w:rsidP="00747261">
            <w:pPr>
              <w:jc w:val="center"/>
              <w:rPr>
                <w:rFonts w:eastAsiaTheme="minorHAnsi"/>
                <w:b/>
                <w:bCs/>
                <w:sz w:val="18"/>
                <w:szCs w:val="18"/>
                <w:lang w:val="tr-TR"/>
              </w:rPr>
            </w:pPr>
          </w:p>
        </w:tc>
        <w:tc>
          <w:tcPr>
            <w:tcW w:w="1579" w:type="dxa"/>
            <w:hideMark/>
          </w:tcPr>
          <w:p w14:paraId="1F64D7D2"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7AB85A18" w14:textId="6B266EE8"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CE49FF" w:rsidRPr="001A4B94">
              <w:rPr>
                <w:rFonts w:eastAsiaTheme="minorHAnsi"/>
                <w:sz w:val="18"/>
                <w:szCs w:val="18"/>
                <w:lang w:val="tr-TR"/>
              </w:rPr>
              <w:t xml:space="preserve">ürkiye </w:t>
            </w:r>
            <w:r w:rsidRPr="001A4B94">
              <w:rPr>
                <w:rFonts w:eastAsiaTheme="minorHAnsi"/>
                <w:sz w:val="18"/>
                <w:szCs w:val="18"/>
                <w:lang w:val="tr-TR"/>
              </w:rPr>
              <w:t>PPER</w:t>
            </w:r>
          </w:p>
        </w:tc>
      </w:tr>
      <w:tr w:rsidR="00747261" w:rsidRPr="001A4B94" w14:paraId="223A9610" w14:textId="77777777" w:rsidTr="00382079">
        <w:trPr>
          <w:trHeight w:val="230"/>
        </w:trPr>
        <w:tc>
          <w:tcPr>
            <w:tcW w:w="1477" w:type="dxa"/>
            <w:vMerge/>
            <w:hideMark/>
          </w:tcPr>
          <w:p w14:paraId="7FF5888D" w14:textId="77777777" w:rsidR="00747261" w:rsidRPr="001A4B94" w:rsidRDefault="00747261" w:rsidP="00747261">
            <w:pPr>
              <w:jc w:val="center"/>
              <w:rPr>
                <w:rFonts w:eastAsiaTheme="minorHAnsi"/>
                <w:b/>
                <w:bCs/>
                <w:sz w:val="18"/>
                <w:szCs w:val="18"/>
                <w:lang w:val="tr-TR"/>
              </w:rPr>
            </w:pPr>
          </w:p>
        </w:tc>
        <w:tc>
          <w:tcPr>
            <w:tcW w:w="1579" w:type="dxa"/>
            <w:hideMark/>
          </w:tcPr>
          <w:p w14:paraId="098491BF"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3DD7FE11" w14:textId="3C195F35"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Türkiye Düzenli Ekonomik Raporu </w:t>
            </w:r>
          </w:p>
        </w:tc>
      </w:tr>
      <w:tr w:rsidR="00747261" w:rsidRPr="001A4B94" w14:paraId="79D9DAD8" w14:textId="77777777" w:rsidTr="00382079">
        <w:trPr>
          <w:trHeight w:val="230"/>
        </w:trPr>
        <w:tc>
          <w:tcPr>
            <w:tcW w:w="1477" w:type="dxa"/>
            <w:vMerge/>
            <w:hideMark/>
          </w:tcPr>
          <w:p w14:paraId="3C9BAD05" w14:textId="77777777" w:rsidR="00747261" w:rsidRPr="001A4B94" w:rsidRDefault="00747261" w:rsidP="00747261">
            <w:pPr>
              <w:jc w:val="center"/>
              <w:rPr>
                <w:rFonts w:eastAsiaTheme="minorHAnsi"/>
                <w:b/>
                <w:bCs/>
                <w:sz w:val="18"/>
                <w:szCs w:val="18"/>
                <w:lang w:val="tr-TR"/>
              </w:rPr>
            </w:pPr>
          </w:p>
        </w:tc>
        <w:tc>
          <w:tcPr>
            <w:tcW w:w="1579" w:type="dxa"/>
            <w:hideMark/>
          </w:tcPr>
          <w:p w14:paraId="3B495E0D"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hideMark/>
          </w:tcPr>
          <w:p w14:paraId="08A9EC45" w14:textId="0D1AD998"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Türkiye Gümrük Birliği </w:t>
            </w:r>
          </w:p>
        </w:tc>
      </w:tr>
      <w:tr w:rsidR="00747261" w:rsidRPr="001A4B94" w14:paraId="4B6BBA11" w14:textId="77777777" w:rsidTr="00382079">
        <w:trPr>
          <w:trHeight w:val="230"/>
        </w:trPr>
        <w:tc>
          <w:tcPr>
            <w:tcW w:w="1477" w:type="dxa"/>
            <w:vMerge/>
            <w:hideMark/>
          </w:tcPr>
          <w:p w14:paraId="35AD911F" w14:textId="77777777" w:rsidR="00747261" w:rsidRPr="001A4B94" w:rsidRDefault="00747261" w:rsidP="00747261">
            <w:pPr>
              <w:jc w:val="center"/>
              <w:rPr>
                <w:rFonts w:eastAsiaTheme="minorHAnsi"/>
                <w:b/>
                <w:bCs/>
                <w:sz w:val="18"/>
                <w:szCs w:val="18"/>
                <w:lang w:val="tr-TR"/>
              </w:rPr>
            </w:pPr>
          </w:p>
        </w:tc>
        <w:tc>
          <w:tcPr>
            <w:tcW w:w="1579" w:type="dxa"/>
            <w:hideMark/>
          </w:tcPr>
          <w:p w14:paraId="5EA52774"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IE</w:t>
            </w:r>
          </w:p>
        </w:tc>
        <w:tc>
          <w:tcPr>
            <w:tcW w:w="6294" w:type="dxa"/>
            <w:hideMark/>
          </w:tcPr>
          <w:p w14:paraId="00E77B24" w14:textId="5702CF8D"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ab/>
              <w:t xml:space="preserve">İŞKUR’un Mesleki Eğitim Programlarının Etki Değerlendirmesi  </w:t>
            </w:r>
          </w:p>
        </w:tc>
      </w:tr>
      <w:tr w:rsidR="00747261" w:rsidRPr="001A4B94" w14:paraId="585FF638" w14:textId="77777777" w:rsidTr="00382079">
        <w:trPr>
          <w:trHeight w:val="230"/>
        </w:trPr>
        <w:tc>
          <w:tcPr>
            <w:tcW w:w="1477" w:type="dxa"/>
            <w:vMerge/>
            <w:hideMark/>
          </w:tcPr>
          <w:p w14:paraId="7ECDFB89" w14:textId="77777777" w:rsidR="00747261" w:rsidRPr="001A4B94" w:rsidRDefault="00747261" w:rsidP="00747261">
            <w:pPr>
              <w:jc w:val="center"/>
              <w:rPr>
                <w:rFonts w:eastAsiaTheme="minorHAnsi"/>
                <w:b/>
                <w:bCs/>
                <w:sz w:val="18"/>
                <w:szCs w:val="18"/>
                <w:lang w:val="tr-TR"/>
              </w:rPr>
            </w:pPr>
          </w:p>
        </w:tc>
        <w:tc>
          <w:tcPr>
            <w:tcW w:w="1579" w:type="dxa"/>
            <w:hideMark/>
          </w:tcPr>
          <w:p w14:paraId="3F37A883"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KP</w:t>
            </w:r>
          </w:p>
        </w:tc>
        <w:tc>
          <w:tcPr>
            <w:tcW w:w="6294" w:type="dxa"/>
            <w:hideMark/>
          </w:tcPr>
          <w:p w14:paraId="5548793D" w14:textId="31E6A2C0"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Kurumsal Risk İzleme </w:t>
            </w:r>
          </w:p>
        </w:tc>
      </w:tr>
      <w:tr w:rsidR="00747261" w:rsidRPr="001A4B94" w14:paraId="5E72DE90" w14:textId="77777777" w:rsidTr="00382079">
        <w:trPr>
          <w:trHeight w:val="230"/>
        </w:trPr>
        <w:tc>
          <w:tcPr>
            <w:tcW w:w="1477" w:type="dxa"/>
            <w:vMerge/>
            <w:hideMark/>
          </w:tcPr>
          <w:p w14:paraId="7475B31C" w14:textId="77777777" w:rsidR="00747261" w:rsidRPr="001A4B94" w:rsidRDefault="00747261" w:rsidP="00747261">
            <w:pPr>
              <w:jc w:val="center"/>
              <w:rPr>
                <w:rFonts w:eastAsiaTheme="minorHAnsi"/>
                <w:b/>
                <w:bCs/>
                <w:sz w:val="18"/>
                <w:szCs w:val="18"/>
                <w:lang w:val="tr-TR"/>
              </w:rPr>
            </w:pPr>
          </w:p>
        </w:tc>
        <w:tc>
          <w:tcPr>
            <w:tcW w:w="1579" w:type="dxa"/>
            <w:hideMark/>
          </w:tcPr>
          <w:p w14:paraId="6265212C"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5CB67351" w14:textId="3796C94D"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Program Odaklı Gıda Güvenliği </w:t>
            </w:r>
            <w:r w:rsidR="00747261" w:rsidRPr="001A4B94">
              <w:rPr>
                <w:rFonts w:eastAsiaTheme="minorHAnsi"/>
                <w:sz w:val="18"/>
                <w:szCs w:val="18"/>
                <w:lang w:val="tr-TR"/>
              </w:rPr>
              <w:t>T</w:t>
            </w:r>
            <w:r w:rsidRPr="001A4B94">
              <w:rPr>
                <w:rFonts w:eastAsiaTheme="minorHAnsi"/>
                <w:sz w:val="18"/>
                <w:szCs w:val="18"/>
                <w:lang w:val="tr-TR"/>
              </w:rPr>
              <w:t>Y</w:t>
            </w:r>
            <w:r w:rsidR="00747261" w:rsidRPr="001A4B94">
              <w:rPr>
                <w:rFonts w:eastAsiaTheme="minorHAnsi"/>
                <w:sz w:val="18"/>
                <w:szCs w:val="18"/>
                <w:lang w:val="tr-TR"/>
              </w:rPr>
              <w:t>-3</w:t>
            </w:r>
          </w:p>
        </w:tc>
      </w:tr>
      <w:tr w:rsidR="00747261" w:rsidRPr="001A4B94" w14:paraId="0A0530BC" w14:textId="77777777" w:rsidTr="00382079">
        <w:trPr>
          <w:trHeight w:val="230"/>
        </w:trPr>
        <w:tc>
          <w:tcPr>
            <w:tcW w:w="1477" w:type="dxa"/>
            <w:vMerge/>
            <w:hideMark/>
          </w:tcPr>
          <w:p w14:paraId="77D128FA" w14:textId="77777777" w:rsidR="00747261" w:rsidRPr="001A4B94" w:rsidRDefault="00747261" w:rsidP="00747261">
            <w:pPr>
              <w:jc w:val="center"/>
              <w:rPr>
                <w:rFonts w:eastAsiaTheme="minorHAnsi"/>
                <w:b/>
                <w:bCs/>
                <w:sz w:val="18"/>
                <w:szCs w:val="18"/>
                <w:lang w:val="tr-TR"/>
              </w:rPr>
            </w:pPr>
          </w:p>
        </w:tc>
        <w:tc>
          <w:tcPr>
            <w:tcW w:w="1579" w:type="dxa"/>
            <w:hideMark/>
          </w:tcPr>
          <w:p w14:paraId="2E1E09E3"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516E2819" w14:textId="7ABC692E"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Rekabetçilik Reformu </w:t>
            </w:r>
          </w:p>
        </w:tc>
      </w:tr>
      <w:tr w:rsidR="00747261" w:rsidRPr="001A4B94" w14:paraId="08D4A63B" w14:textId="77777777" w:rsidTr="00382079">
        <w:trPr>
          <w:trHeight w:val="230"/>
        </w:trPr>
        <w:tc>
          <w:tcPr>
            <w:tcW w:w="1477" w:type="dxa"/>
            <w:vMerge/>
            <w:hideMark/>
          </w:tcPr>
          <w:p w14:paraId="042B541F" w14:textId="77777777" w:rsidR="00747261" w:rsidRPr="001A4B94" w:rsidRDefault="00747261" w:rsidP="00747261">
            <w:pPr>
              <w:jc w:val="center"/>
              <w:rPr>
                <w:rFonts w:eastAsiaTheme="minorHAnsi"/>
                <w:b/>
                <w:bCs/>
                <w:sz w:val="18"/>
                <w:szCs w:val="18"/>
                <w:lang w:val="tr-TR"/>
              </w:rPr>
            </w:pPr>
          </w:p>
        </w:tc>
        <w:tc>
          <w:tcPr>
            <w:tcW w:w="1579" w:type="dxa"/>
            <w:hideMark/>
          </w:tcPr>
          <w:p w14:paraId="0D46E91B"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74695AFE" w14:textId="24869A8A"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Sayıştay Güçlendirme Projesi Teknik Yardım Çalışması </w:t>
            </w:r>
          </w:p>
        </w:tc>
      </w:tr>
      <w:tr w:rsidR="00747261" w:rsidRPr="001A4B94" w14:paraId="3041A0AB" w14:textId="77777777" w:rsidTr="00382079">
        <w:trPr>
          <w:trHeight w:val="230"/>
        </w:trPr>
        <w:tc>
          <w:tcPr>
            <w:tcW w:w="1477" w:type="dxa"/>
            <w:vMerge/>
            <w:hideMark/>
          </w:tcPr>
          <w:p w14:paraId="60F9E4E5" w14:textId="77777777" w:rsidR="00747261" w:rsidRPr="001A4B94" w:rsidRDefault="00747261" w:rsidP="00747261">
            <w:pPr>
              <w:jc w:val="center"/>
              <w:rPr>
                <w:rFonts w:eastAsiaTheme="minorHAnsi"/>
                <w:b/>
                <w:bCs/>
                <w:sz w:val="18"/>
                <w:szCs w:val="18"/>
                <w:lang w:val="tr-TR"/>
              </w:rPr>
            </w:pPr>
          </w:p>
        </w:tc>
        <w:tc>
          <w:tcPr>
            <w:tcW w:w="1579" w:type="dxa"/>
            <w:hideMark/>
          </w:tcPr>
          <w:p w14:paraId="6DCF1F9F"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3DFD0F52" w14:textId="5F4FC6F6" w:rsidR="00747261" w:rsidRPr="001A4B94" w:rsidRDefault="00CE49FF" w:rsidP="00747261">
            <w:pPr>
              <w:jc w:val="center"/>
              <w:rPr>
                <w:rFonts w:eastAsiaTheme="minorHAnsi"/>
                <w:sz w:val="18"/>
                <w:szCs w:val="18"/>
                <w:lang w:val="tr-TR"/>
              </w:rPr>
            </w:pPr>
            <w:r w:rsidRPr="001A4B94">
              <w:rPr>
                <w:rFonts w:eastAsiaTheme="minorHAnsi"/>
                <w:sz w:val="18"/>
                <w:szCs w:val="18"/>
                <w:lang w:val="tr-TR"/>
              </w:rPr>
              <w:t xml:space="preserve">İlaç Çalışması </w:t>
            </w:r>
          </w:p>
        </w:tc>
      </w:tr>
      <w:tr w:rsidR="00747261" w:rsidRPr="001A4B94" w14:paraId="1E4BCA96" w14:textId="77777777" w:rsidTr="00382079">
        <w:trPr>
          <w:trHeight w:val="230"/>
        </w:trPr>
        <w:tc>
          <w:tcPr>
            <w:tcW w:w="1477" w:type="dxa"/>
            <w:vMerge/>
            <w:hideMark/>
          </w:tcPr>
          <w:p w14:paraId="60BD9ED4" w14:textId="77777777" w:rsidR="00747261" w:rsidRPr="001A4B94" w:rsidRDefault="00747261" w:rsidP="00747261">
            <w:pPr>
              <w:jc w:val="center"/>
              <w:rPr>
                <w:rFonts w:eastAsiaTheme="minorHAnsi"/>
                <w:b/>
                <w:bCs/>
                <w:sz w:val="18"/>
                <w:szCs w:val="18"/>
                <w:lang w:val="tr-TR"/>
              </w:rPr>
            </w:pPr>
          </w:p>
        </w:tc>
        <w:tc>
          <w:tcPr>
            <w:tcW w:w="1579" w:type="dxa"/>
            <w:hideMark/>
          </w:tcPr>
          <w:p w14:paraId="65831BA2"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71C7EFEA" w14:textId="2FCDD5BA"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Türkiye Kamu-Özel Sektör Ortaklığı </w:t>
            </w:r>
          </w:p>
        </w:tc>
      </w:tr>
      <w:tr w:rsidR="00747261" w:rsidRPr="001A4B94" w14:paraId="3F47F0CA" w14:textId="77777777" w:rsidTr="00382079">
        <w:trPr>
          <w:trHeight w:val="230"/>
        </w:trPr>
        <w:tc>
          <w:tcPr>
            <w:tcW w:w="1477" w:type="dxa"/>
            <w:vMerge/>
            <w:hideMark/>
          </w:tcPr>
          <w:p w14:paraId="5CA7A998" w14:textId="77777777" w:rsidR="00747261" w:rsidRPr="001A4B94" w:rsidRDefault="00747261" w:rsidP="00747261">
            <w:pPr>
              <w:jc w:val="center"/>
              <w:rPr>
                <w:rFonts w:eastAsiaTheme="minorHAnsi"/>
                <w:b/>
                <w:bCs/>
                <w:sz w:val="18"/>
                <w:szCs w:val="18"/>
                <w:lang w:val="tr-TR"/>
              </w:rPr>
            </w:pPr>
          </w:p>
        </w:tc>
        <w:tc>
          <w:tcPr>
            <w:tcW w:w="1579" w:type="dxa"/>
            <w:hideMark/>
          </w:tcPr>
          <w:p w14:paraId="2722028A"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5EC82533" w14:textId="46E6E825"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Türkiye Yeşil Büyüme </w:t>
            </w:r>
            <w:r w:rsidR="00747261" w:rsidRPr="001A4B94">
              <w:rPr>
                <w:rFonts w:eastAsiaTheme="minorHAnsi"/>
                <w:sz w:val="18"/>
                <w:szCs w:val="18"/>
                <w:lang w:val="tr-TR"/>
              </w:rPr>
              <w:t>T</w:t>
            </w:r>
            <w:r w:rsidRPr="001A4B94">
              <w:rPr>
                <w:rFonts w:eastAsiaTheme="minorHAnsi"/>
                <w:sz w:val="18"/>
                <w:szCs w:val="18"/>
                <w:lang w:val="tr-TR"/>
              </w:rPr>
              <w:t xml:space="preserve">eknik Yardım takip çalışması </w:t>
            </w:r>
          </w:p>
        </w:tc>
      </w:tr>
      <w:tr w:rsidR="00747261" w:rsidRPr="001A4B94" w14:paraId="240D8874" w14:textId="77777777" w:rsidTr="00382079">
        <w:trPr>
          <w:trHeight w:val="230"/>
        </w:trPr>
        <w:tc>
          <w:tcPr>
            <w:tcW w:w="1477" w:type="dxa"/>
            <w:vMerge/>
            <w:hideMark/>
          </w:tcPr>
          <w:p w14:paraId="45ED585D" w14:textId="77777777" w:rsidR="00747261" w:rsidRPr="001A4B94" w:rsidRDefault="00747261" w:rsidP="00747261">
            <w:pPr>
              <w:jc w:val="center"/>
              <w:rPr>
                <w:rFonts w:eastAsiaTheme="minorHAnsi"/>
                <w:b/>
                <w:bCs/>
                <w:sz w:val="18"/>
                <w:szCs w:val="18"/>
                <w:lang w:val="tr-TR"/>
              </w:rPr>
            </w:pPr>
          </w:p>
        </w:tc>
        <w:tc>
          <w:tcPr>
            <w:tcW w:w="1579" w:type="dxa"/>
            <w:hideMark/>
          </w:tcPr>
          <w:p w14:paraId="3D63BF9A"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36BA4C4A" w14:textId="055C12DD"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 xml:space="preserve">TR - Second Financial </w:t>
            </w:r>
            <w:r w:rsidR="00C24133" w:rsidRPr="001A4B94">
              <w:rPr>
                <w:rFonts w:eastAsiaTheme="minorHAnsi"/>
                <w:sz w:val="18"/>
                <w:szCs w:val="18"/>
                <w:lang w:val="tr-TR"/>
              </w:rPr>
              <w:t xml:space="preserve">Sektör </w:t>
            </w:r>
            <w:r w:rsidRPr="001A4B94">
              <w:rPr>
                <w:rFonts w:eastAsiaTheme="minorHAnsi"/>
                <w:sz w:val="18"/>
                <w:szCs w:val="18"/>
                <w:lang w:val="tr-TR"/>
              </w:rPr>
              <w:t>Development Technical Assistance</w:t>
            </w:r>
          </w:p>
        </w:tc>
      </w:tr>
      <w:tr w:rsidR="00747261" w:rsidRPr="001A4B94" w14:paraId="54D2ACB3" w14:textId="77777777" w:rsidTr="00382079">
        <w:trPr>
          <w:trHeight w:val="230"/>
        </w:trPr>
        <w:tc>
          <w:tcPr>
            <w:tcW w:w="1477" w:type="dxa"/>
            <w:vMerge/>
            <w:hideMark/>
          </w:tcPr>
          <w:p w14:paraId="36388E40" w14:textId="77777777" w:rsidR="00747261" w:rsidRPr="001A4B94" w:rsidRDefault="00747261" w:rsidP="00747261">
            <w:pPr>
              <w:jc w:val="center"/>
              <w:rPr>
                <w:rFonts w:eastAsiaTheme="minorHAnsi"/>
                <w:b/>
                <w:bCs/>
                <w:sz w:val="18"/>
                <w:szCs w:val="18"/>
                <w:lang w:val="tr-TR"/>
              </w:rPr>
            </w:pPr>
          </w:p>
        </w:tc>
        <w:tc>
          <w:tcPr>
            <w:tcW w:w="1579" w:type="dxa"/>
            <w:hideMark/>
          </w:tcPr>
          <w:p w14:paraId="32B60B5C"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0CDEA7A9" w14:textId="07F5E2E4"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TBMM ve TBMM Bütçe Komisyonu için Kapasite oluşturma </w:t>
            </w:r>
          </w:p>
        </w:tc>
      </w:tr>
      <w:tr w:rsidR="00747261" w:rsidRPr="001A4B94" w14:paraId="6FEE324B" w14:textId="77777777" w:rsidTr="00382079">
        <w:trPr>
          <w:trHeight w:val="230"/>
        </w:trPr>
        <w:tc>
          <w:tcPr>
            <w:tcW w:w="1477" w:type="dxa"/>
            <w:vMerge/>
            <w:hideMark/>
          </w:tcPr>
          <w:p w14:paraId="3138329C" w14:textId="77777777" w:rsidR="00747261" w:rsidRPr="001A4B94" w:rsidRDefault="00747261" w:rsidP="00747261">
            <w:pPr>
              <w:jc w:val="center"/>
              <w:rPr>
                <w:rFonts w:eastAsiaTheme="minorHAnsi"/>
                <w:b/>
                <w:bCs/>
                <w:sz w:val="18"/>
                <w:szCs w:val="18"/>
                <w:lang w:val="tr-TR"/>
              </w:rPr>
            </w:pPr>
          </w:p>
        </w:tc>
        <w:tc>
          <w:tcPr>
            <w:tcW w:w="1579" w:type="dxa"/>
            <w:hideMark/>
          </w:tcPr>
          <w:p w14:paraId="53FA4D82"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447C4EF7" w14:textId="14A6C574"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Adalet sektörü Performans Ölçümü </w:t>
            </w:r>
          </w:p>
        </w:tc>
      </w:tr>
      <w:tr w:rsidR="00747261" w:rsidRPr="001A4B94" w14:paraId="41644383" w14:textId="77777777" w:rsidTr="00382079">
        <w:trPr>
          <w:trHeight w:val="230"/>
        </w:trPr>
        <w:tc>
          <w:tcPr>
            <w:tcW w:w="1477" w:type="dxa"/>
            <w:vMerge/>
            <w:hideMark/>
          </w:tcPr>
          <w:p w14:paraId="200C5BE9" w14:textId="77777777" w:rsidR="00747261" w:rsidRPr="001A4B94" w:rsidRDefault="00747261" w:rsidP="00747261">
            <w:pPr>
              <w:jc w:val="center"/>
              <w:rPr>
                <w:rFonts w:eastAsiaTheme="minorHAnsi"/>
                <w:b/>
                <w:bCs/>
                <w:sz w:val="18"/>
                <w:szCs w:val="18"/>
                <w:lang w:val="tr-TR"/>
              </w:rPr>
            </w:pPr>
          </w:p>
        </w:tc>
        <w:tc>
          <w:tcPr>
            <w:tcW w:w="1579" w:type="dxa"/>
            <w:hideMark/>
          </w:tcPr>
          <w:p w14:paraId="152ECC71"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3F65D9E0" w14:textId="707A4E35"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Türkiye’de Evrensel Kapsama Oranı Hakkında Küresel Konferansa Destek </w:t>
            </w:r>
          </w:p>
        </w:tc>
      </w:tr>
      <w:tr w:rsidR="00747261" w:rsidRPr="001A4B94" w14:paraId="4707E0D6" w14:textId="77777777" w:rsidTr="00382079">
        <w:trPr>
          <w:trHeight w:val="230"/>
        </w:trPr>
        <w:tc>
          <w:tcPr>
            <w:tcW w:w="1477" w:type="dxa"/>
            <w:vMerge/>
            <w:hideMark/>
          </w:tcPr>
          <w:p w14:paraId="3E7EC9F6" w14:textId="77777777" w:rsidR="00747261" w:rsidRPr="001A4B94" w:rsidRDefault="00747261" w:rsidP="00747261">
            <w:pPr>
              <w:jc w:val="center"/>
              <w:rPr>
                <w:rFonts w:eastAsiaTheme="minorHAnsi"/>
                <w:b/>
                <w:bCs/>
                <w:sz w:val="18"/>
                <w:szCs w:val="18"/>
                <w:lang w:val="tr-TR"/>
              </w:rPr>
            </w:pPr>
          </w:p>
        </w:tc>
        <w:tc>
          <w:tcPr>
            <w:tcW w:w="1579" w:type="dxa"/>
            <w:hideMark/>
          </w:tcPr>
          <w:p w14:paraId="2116C640"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01C03D9A" w14:textId="0652B204"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Yoksulluk Ölçüm ve İzleme Teknik Yardım </w:t>
            </w:r>
          </w:p>
        </w:tc>
      </w:tr>
      <w:tr w:rsidR="00747261" w:rsidRPr="001A4B94" w14:paraId="0ECD0A8E" w14:textId="77777777" w:rsidTr="00382079">
        <w:trPr>
          <w:trHeight w:val="230"/>
        </w:trPr>
        <w:tc>
          <w:tcPr>
            <w:tcW w:w="1477" w:type="dxa"/>
            <w:vMerge/>
            <w:hideMark/>
          </w:tcPr>
          <w:p w14:paraId="14494BD0" w14:textId="77777777" w:rsidR="00747261" w:rsidRPr="001A4B94" w:rsidRDefault="00747261" w:rsidP="00747261">
            <w:pPr>
              <w:jc w:val="center"/>
              <w:rPr>
                <w:rFonts w:eastAsiaTheme="minorHAnsi"/>
                <w:b/>
                <w:bCs/>
                <w:sz w:val="18"/>
                <w:szCs w:val="18"/>
                <w:lang w:val="tr-TR"/>
              </w:rPr>
            </w:pPr>
          </w:p>
        </w:tc>
        <w:tc>
          <w:tcPr>
            <w:tcW w:w="1579" w:type="dxa"/>
            <w:hideMark/>
          </w:tcPr>
          <w:p w14:paraId="5AEE1B6A"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TE</w:t>
            </w:r>
          </w:p>
        </w:tc>
        <w:tc>
          <w:tcPr>
            <w:tcW w:w="6294" w:type="dxa"/>
            <w:hideMark/>
          </w:tcPr>
          <w:p w14:paraId="7B9E9BD4" w14:textId="4C04F3EF"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Satın Alma ve FY Çalıştayı </w:t>
            </w:r>
            <w:r w:rsidR="00747261" w:rsidRPr="001A4B94">
              <w:rPr>
                <w:rFonts w:eastAsiaTheme="minorHAnsi"/>
                <w:sz w:val="18"/>
                <w:szCs w:val="18"/>
                <w:lang w:val="tr-TR"/>
              </w:rPr>
              <w:t>(P148513)</w:t>
            </w:r>
          </w:p>
        </w:tc>
      </w:tr>
      <w:tr w:rsidR="00747261" w:rsidRPr="001A4B94" w14:paraId="4B76320A" w14:textId="77777777" w:rsidTr="00382079">
        <w:trPr>
          <w:trHeight w:val="230"/>
        </w:trPr>
        <w:tc>
          <w:tcPr>
            <w:tcW w:w="1477" w:type="dxa"/>
            <w:vMerge/>
            <w:hideMark/>
          </w:tcPr>
          <w:p w14:paraId="6B1AAAD9" w14:textId="77777777" w:rsidR="00747261" w:rsidRPr="001A4B94" w:rsidRDefault="00747261" w:rsidP="00747261">
            <w:pPr>
              <w:jc w:val="center"/>
              <w:rPr>
                <w:rFonts w:eastAsiaTheme="minorHAnsi"/>
                <w:b/>
                <w:bCs/>
                <w:sz w:val="18"/>
                <w:szCs w:val="18"/>
                <w:lang w:val="tr-TR"/>
              </w:rPr>
            </w:pPr>
          </w:p>
        </w:tc>
        <w:tc>
          <w:tcPr>
            <w:tcW w:w="1579" w:type="dxa"/>
            <w:hideMark/>
          </w:tcPr>
          <w:p w14:paraId="791928AF"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hideMark/>
          </w:tcPr>
          <w:p w14:paraId="553ACA78" w14:textId="65B2C6FC"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Türkiye</w:t>
            </w:r>
            <w:r w:rsidR="00747261" w:rsidRPr="001A4B94">
              <w:rPr>
                <w:rFonts w:eastAsiaTheme="minorHAnsi"/>
                <w:sz w:val="18"/>
                <w:szCs w:val="18"/>
                <w:lang w:val="tr-TR"/>
              </w:rPr>
              <w:t xml:space="preserve">: </w:t>
            </w:r>
            <w:r w:rsidRPr="001A4B94">
              <w:rPr>
                <w:rFonts w:eastAsiaTheme="minorHAnsi"/>
                <w:sz w:val="18"/>
                <w:szCs w:val="18"/>
                <w:lang w:val="tr-TR"/>
              </w:rPr>
              <w:t xml:space="preserve">İşgücü Piyasasında ve Girişimcilikte Cinsiyet Eşitliğini Sağlamak </w:t>
            </w:r>
          </w:p>
        </w:tc>
      </w:tr>
      <w:tr w:rsidR="00747261" w:rsidRPr="001A4B94" w14:paraId="7C48A6BF" w14:textId="77777777" w:rsidTr="00382079">
        <w:trPr>
          <w:trHeight w:val="230"/>
        </w:trPr>
        <w:tc>
          <w:tcPr>
            <w:tcW w:w="1477" w:type="dxa"/>
            <w:vMerge w:val="restart"/>
            <w:noWrap/>
            <w:textDirection w:val="btLr"/>
            <w:hideMark/>
          </w:tcPr>
          <w:p w14:paraId="106A7850" w14:textId="2A9061DC" w:rsidR="00747261" w:rsidRPr="001A4B94" w:rsidRDefault="00B65F19" w:rsidP="00747261">
            <w:pPr>
              <w:jc w:val="center"/>
              <w:rPr>
                <w:rFonts w:eastAsiaTheme="minorHAnsi"/>
                <w:b/>
                <w:bCs/>
                <w:sz w:val="18"/>
                <w:szCs w:val="18"/>
                <w:lang w:val="tr-TR"/>
              </w:rPr>
            </w:pPr>
            <w:r w:rsidRPr="001A4B94">
              <w:rPr>
                <w:rFonts w:eastAsiaTheme="minorHAnsi"/>
                <w:b/>
                <w:bCs/>
                <w:sz w:val="18"/>
                <w:szCs w:val="18"/>
                <w:lang w:val="tr-TR"/>
              </w:rPr>
              <w:t>2015 MY</w:t>
            </w:r>
          </w:p>
        </w:tc>
        <w:tc>
          <w:tcPr>
            <w:tcW w:w="1579" w:type="dxa"/>
            <w:noWrap/>
            <w:hideMark/>
          </w:tcPr>
          <w:p w14:paraId="5F963DE6"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CP</w:t>
            </w:r>
          </w:p>
        </w:tc>
        <w:tc>
          <w:tcPr>
            <w:tcW w:w="6294" w:type="dxa"/>
            <w:noWrap/>
            <w:hideMark/>
          </w:tcPr>
          <w:p w14:paraId="21D17A2C" w14:textId="58A604DA"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 xml:space="preserve">CPS </w:t>
            </w:r>
            <w:r w:rsidR="00C24133" w:rsidRPr="001A4B94">
              <w:rPr>
                <w:rFonts w:eastAsiaTheme="minorHAnsi"/>
                <w:sz w:val="18"/>
                <w:szCs w:val="18"/>
                <w:lang w:val="tr-TR"/>
              </w:rPr>
              <w:t xml:space="preserve">İLERLEME RAPORU </w:t>
            </w:r>
          </w:p>
        </w:tc>
      </w:tr>
      <w:tr w:rsidR="00747261" w:rsidRPr="001A4B94" w14:paraId="5B2C7B92" w14:textId="77777777" w:rsidTr="00382079">
        <w:trPr>
          <w:trHeight w:val="230"/>
        </w:trPr>
        <w:tc>
          <w:tcPr>
            <w:tcW w:w="1477" w:type="dxa"/>
            <w:vMerge/>
            <w:hideMark/>
          </w:tcPr>
          <w:p w14:paraId="0A31F982" w14:textId="77777777" w:rsidR="00747261" w:rsidRPr="001A4B94" w:rsidRDefault="00747261" w:rsidP="00747261">
            <w:pPr>
              <w:jc w:val="center"/>
              <w:rPr>
                <w:rFonts w:eastAsiaTheme="minorHAnsi"/>
                <w:b/>
                <w:bCs/>
                <w:sz w:val="18"/>
                <w:szCs w:val="18"/>
                <w:lang w:val="tr-TR"/>
              </w:rPr>
            </w:pPr>
          </w:p>
        </w:tc>
        <w:tc>
          <w:tcPr>
            <w:tcW w:w="1579" w:type="dxa"/>
            <w:noWrap/>
            <w:hideMark/>
          </w:tcPr>
          <w:p w14:paraId="3A3D971D"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67DB17C9" w14:textId="18F1ADD1"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Türkiye’de Okul Bazlı Yönetim </w:t>
            </w:r>
          </w:p>
        </w:tc>
      </w:tr>
      <w:tr w:rsidR="00747261" w:rsidRPr="001A4B94" w14:paraId="27C02AE0" w14:textId="77777777" w:rsidTr="00382079">
        <w:trPr>
          <w:trHeight w:val="230"/>
        </w:trPr>
        <w:tc>
          <w:tcPr>
            <w:tcW w:w="1477" w:type="dxa"/>
            <w:vMerge/>
            <w:hideMark/>
          </w:tcPr>
          <w:p w14:paraId="548D6C0D" w14:textId="77777777" w:rsidR="00747261" w:rsidRPr="001A4B94" w:rsidRDefault="00747261" w:rsidP="00747261">
            <w:pPr>
              <w:jc w:val="center"/>
              <w:rPr>
                <w:rFonts w:eastAsiaTheme="minorHAnsi"/>
                <w:b/>
                <w:bCs/>
                <w:sz w:val="18"/>
                <w:szCs w:val="18"/>
                <w:lang w:val="tr-TR"/>
              </w:rPr>
            </w:pPr>
          </w:p>
        </w:tc>
        <w:tc>
          <w:tcPr>
            <w:tcW w:w="1579" w:type="dxa"/>
            <w:noWrap/>
            <w:hideMark/>
          </w:tcPr>
          <w:p w14:paraId="50770AA9"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01E0CA5E" w14:textId="0E462547" w:rsidR="00747261" w:rsidRPr="001A4B94" w:rsidRDefault="00C24133" w:rsidP="00747261">
            <w:pPr>
              <w:jc w:val="center"/>
              <w:rPr>
                <w:rFonts w:eastAsiaTheme="minorHAnsi"/>
                <w:sz w:val="18"/>
                <w:szCs w:val="18"/>
                <w:lang w:val="tr-TR"/>
              </w:rPr>
            </w:pPr>
            <w:r w:rsidRPr="001A4B94">
              <w:rPr>
                <w:rFonts w:eastAsiaTheme="minorHAnsi"/>
                <w:sz w:val="18"/>
                <w:szCs w:val="18"/>
                <w:lang w:val="tr-TR"/>
              </w:rPr>
              <w:t xml:space="preserve">Türkiye </w:t>
            </w:r>
            <w:r w:rsidR="00805C64" w:rsidRPr="001A4B94">
              <w:rPr>
                <w:rFonts w:eastAsiaTheme="minorHAnsi"/>
                <w:sz w:val="18"/>
                <w:szCs w:val="18"/>
                <w:lang w:val="tr-TR"/>
              </w:rPr>
              <w:t>D</w:t>
            </w:r>
            <w:r w:rsidRPr="001A4B94">
              <w:rPr>
                <w:rFonts w:eastAsiaTheme="minorHAnsi"/>
                <w:sz w:val="18"/>
                <w:szCs w:val="18"/>
                <w:lang w:val="tr-TR"/>
              </w:rPr>
              <w:t xml:space="preserve">ersler </w:t>
            </w:r>
            <w:r w:rsidR="00805C64" w:rsidRPr="001A4B94">
              <w:rPr>
                <w:rFonts w:eastAsiaTheme="minorHAnsi"/>
                <w:sz w:val="18"/>
                <w:szCs w:val="18"/>
                <w:lang w:val="tr-TR"/>
              </w:rPr>
              <w:t xml:space="preserve">Raporu </w:t>
            </w:r>
          </w:p>
        </w:tc>
      </w:tr>
      <w:tr w:rsidR="00747261" w:rsidRPr="001A4B94" w14:paraId="25EDDF12" w14:textId="77777777" w:rsidTr="00382079">
        <w:trPr>
          <w:trHeight w:val="230"/>
        </w:trPr>
        <w:tc>
          <w:tcPr>
            <w:tcW w:w="1477" w:type="dxa"/>
            <w:vMerge/>
            <w:hideMark/>
          </w:tcPr>
          <w:p w14:paraId="1239AC18" w14:textId="77777777" w:rsidR="00747261" w:rsidRPr="001A4B94" w:rsidRDefault="00747261" w:rsidP="00747261">
            <w:pPr>
              <w:jc w:val="center"/>
              <w:rPr>
                <w:rFonts w:eastAsiaTheme="minorHAnsi"/>
                <w:b/>
                <w:bCs/>
                <w:sz w:val="18"/>
                <w:szCs w:val="18"/>
                <w:lang w:val="tr-TR"/>
              </w:rPr>
            </w:pPr>
          </w:p>
        </w:tc>
        <w:tc>
          <w:tcPr>
            <w:tcW w:w="1579" w:type="dxa"/>
            <w:noWrap/>
            <w:hideMark/>
          </w:tcPr>
          <w:p w14:paraId="498BE198"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165A6BFF" w14:textId="54A883C8" w:rsidR="00747261" w:rsidRPr="001A4B94" w:rsidRDefault="00805C64" w:rsidP="00747261">
            <w:pPr>
              <w:jc w:val="center"/>
              <w:rPr>
                <w:rFonts w:eastAsiaTheme="minorHAnsi"/>
                <w:sz w:val="18"/>
                <w:szCs w:val="18"/>
                <w:lang w:val="tr-TR"/>
              </w:rPr>
            </w:pPr>
            <w:r w:rsidRPr="001A4B94">
              <w:rPr>
                <w:rFonts w:eastAsiaTheme="minorHAnsi"/>
                <w:sz w:val="18"/>
                <w:szCs w:val="18"/>
                <w:lang w:val="tr-TR"/>
              </w:rPr>
              <w:t xml:space="preserve">TÜRKİYE ŞEHİRLEŞME İNCELEMESİ </w:t>
            </w:r>
          </w:p>
        </w:tc>
      </w:tr>
      <w:tr w:rsidR="00747261" w:rsidRPr="001A4B94" w14:paraId="4396A990" w14:textId="77777777" w:rsidTr="00382079">
        <w:trPr>
          <w:trHeight w:val="230"/>
        </w:trPr>
        <w:tc>
          <w:tcPr>
            <w:tcW w:w="1477" w:type="dxa"/>
            <w:vMerge/>
            <w:hideMark/>
          </w:tcPr>
          <w:p w14:paraId="31936951" w14:textId="77777777" w:rsidR="00747261" w:rsidRPr="001A4B94" w:rsidRDefault="00747261" w:rsidP="00747261">
            <w:pPr>
              <w:jc w:val="center"/>
              <w:rPr>
                <w:rFonts w:eastAsiaTheme="minorHAnsi"/>
                <w:b/>
                <w:bCs/>
                <w:sz w:val="18"/>
                <w:szCs w:val="18"/>
                <w:lang w:val="tr-TR"/>
              </w:rPr>
            </w:pPr>
          </w:p>
        </w:tc>
        <w:tc>
          <w:tcPr>
            <w:tcW w:w="1579" w:type="dxa"/>
            <w:noWrap/>
            <w:hideMark/>
          </w:tcPr>
          <w:p w14:paraId="7F3C0F9B"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KP</w:t>
            </w:r>
          </w:p>
        </w:tc>
        <w:tc>
          <w:tcPr>
            <w:tcW w:w="6294" w:type="dxa"/>
            <w:noWrap/>
            <w:hideMark/>
          </w:tcPr>
          <w:p w14:paraId="3E2F9C94" w14:textId="149DA1E2" w:rsidR="00747261" w:rsidRPr="001A4B94" w:rsidRDefault="00805C64" w:rsidP="00747261">
            <w:pPr>
              <w:jc w:val="center"/>
              <w:rPr>
                <w:rFonts w:eastAsiaTheme="minorHAnsi"/>
                <w:sz w:val="18"/>
                <w:szCs w:val="18"/>
                <w:lang w:val="tr-TR"/>
              </w:rPr>
            </w:pPr>
            <w:r w:rsidRPr="001A4B94">
              <w:rPr>
                <w:rFonts w:eastAsiaTheme="minorHAnsi"/>
                <w:sz w:val="18"/>
                <w:szCs w:val="18"/>
                <w:lang w:val="tr-TR"/>
              </w:rPr>
              <w:t xml:space="preserve">Güneydoğu Anadolu Bölgesinde Elektrik Özelleştirmesinde Sosyal Sözleşme </w:t>
            </w:r>
          </w:p>
        </w:tc>
      </w:tr>
      <w:tr w:rsidR="00747261" w:rsidRPr="001A4B94" w14:paraId="414F91F2" w14:textId="77777777" w:rsidTr="00382079">
        <w:trPr>
          <w:trHeight w:val="230"/>
        </w:trPr>
        <w:tc>
          <w:tcPr>
            <w:tcW w:w="1477" w:type="dxa"/>
            <w:vMerge/>
            <w:hideMark/>
          </w:tcPr>
          <w:p w14:paraId="05F3E450" w14:textId="77777777" w:rsidR="00747261" w:rsidRPr="001A4B94" w:rsidRDefault="00747261" w:rsidP="00747261">
            <w:pPr>
              <w:jc w:val="center"/>
              <w:rPr>
                <w:rFonts w:eastAsiaTheme="minorHAnsi"/>
                <w:b/>
                <w:bCs/>
                <w:sz w:val="18"/>
                <w:szCs w:val="18"/>
                <w:lang w:val="tr-TR"/>
              </w:rPr>
            </w:pPr>
          </w:p>
        </w:tc>
        <w:tc>
          <w:tcPr>
            <w:tcW w:w="1579" w:type="dxa"/>
            <w:noWrap/>
            <w:hideMark/>
          </w:tcPr>
          <w:p w14:paraId="788A9339"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773EDA74" w14:textId="31E47141" w:rsidR="00747261" w:rsidRPr="001A4B94" w:rsidRDefault="00805C64" w:rsidP="00747261">
            <w:pPr>
              <w:jc w:val="center"/>
              <w:rPr>
                <w:rFonts w:eastAsiaTheme="minorHAnsi"/>
                <w:sz w:val="18"/>
                <w:szCs w:val="18"/>
                <w:lang w:val="tr-TR"/>
              </w:rPr>
            </w:pPr>
            <w:r w:rsidRPr="001A4B94">
              <w:rPr>
                <w:rFonts w:eastAsiaTheme="minorHAnsi"/>
                <w:sz w:val="18"/>
                <w:szCs w:val="18"/>
                <w:lang w:val="tr-TR"/>
              </w:rPr>
              <w:t>Program Odaklı Kamu Mali Yönetim Çalışması</w:t>
            </w:r>
          </w:p>
        </w:tc>
      </w:tr>
      <w:tr w:rsidR="00747261" w:rsidRPr="001A4B94" w14:paraId="1D2D3704" w14:textId="77777777" w:rsidTr="00382079">
        <w:trPr>
          <w:trHeight w:val="230"/>
        </w:trPr>
        <w:tc>
          <w:tcPr>
            <w:tcW w:w="1477" w:type="dxa"/>
            <w:vMerge/>
            <w:hideMark/>
          </w:tcPr>
          <w:p w14:paraId="249EC9DB" w14:textId="77777777" w:rsidR="00747261" w:rsidRPr="001A4B94" w:rsidRDefault="00747261" w:rsidP="00747261">
            <w:pPr>
              <w:jc w:val="center"/>
              <w:rPr>
                <w:rFonts w:eastAsiaTheme="minorHAnsi"/>
                <w:b/>
                <w:bCs/>
                <w:sz w:val="18"/>
                <w:szCs w:val="18"/>
                <w:lang w:val="tr-TR"/>
              </w:rPr>
            </w:pPr>
          </w:p>
        </w:tc>
        <w:tc>
          <w:tcPr>
            <w:tcW w:w="1579" w:type="dxa"/>
            <w:noWrap/>
            <w:hideMark/>
          </w:tcPr>
          <w:p w14:paraId="7AB2A155"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31E444B9" w14:textId="5B78FB00"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805C64" w:rsidRPr="001A4B94">
              <w:rPr>
                <w:rFonts w:eastAsiaTheme="minorHAnsi"/>
                <w:sz w:val="18"/>
                <w:szCs w:val="18"/>
                <w:lang w:val="tr-TR"/>
              </w:rPr>
              <w:t xml:space="preserve">ürkiye Su Diyalogu Teknik Yardım Çalışması </w:t>
            </w:r>
          </w:p>
        </w:tc>
      </w:tr>
      <w:tr w:rsidR="00747261" w:rsidRPr="001A4B94" w14:paraId="26ED1A88" w14:textId="77777777" w:rsidTr="00382079">
        <w:trPr>
          <w:trHeight w:val="230"/>
        </w:trPr>
        <w:tc>
          <w:tcPr>
            <w:tcW w:w="1477" w:type="dxa"/>
            <w:vMerge/>
            <w:hideMark/>
          </w:tcPr>
          <w:p w14:paraId="6AA444B4" w14:textId="77777777" w:rsidR="00747261" w:rsidRPr="001A4B94" w:rsidRDefault="00747261" w:rsidP="00747261">
            <w:pPr>
              <w:jc w:val="center"/>
              <w:rPr>
                <w:rFonts w:eastAsiaTheme="minorHAnsi"/>
                <w:b/>
                <w:bCs/>
                <w:sz w:val="18"/>
                <w:szCs w:val="18"/>
                <w:lang w:val="tr-TR"/>
              </w:rPr>
            </w:pPr>
          </w:p>
        </w:tc>
        <w:tc>
          <w:tcPr>
            <w:tcW w:w="1579" w:type="dxa"/>
            <w:noWrap/>
            <w:hideMark/>
          </w:tcPr>
          <w:p w14:paraId="3AECACB2"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24A9F372" w14:textId="5925F13B"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 xml:space="preserve">Doğal Sermaye Tasarrufu ve Sürdürülebilirlik Tanılama Analizi </w:t>
            </w:r>
          </w:p>
        </w:tc>
      </w:tr>
      <w:tr w:rsidR="00747261" w:rsidRPr="001A4B94" w14:paraId="44FD5A1B" w14:textId="77777777" w:rsidTr="00382079">
        <w:trPr>
          <w:trHeight w:val="230"/>
        </w:trPr>
        <w:tc>
          <w:tcPr>
            <w:tcW w:w="1477" w:type="dxa"/>
            <w:vMerge/>
            <w:hideMark/>
          </w:tcPr>
          <w:p w14:paraId="711F9D22" w14:textId="77777777" w:rsidR="00747261" w:rsidRPr="001A4B94" w:rsidRDefault="00747261" w:rsidP="00747261">
            <w:pPr>
              <w:jc w:val="center"/>
              <w:rPr>
                <w:rFonts w:eastAsiaTheme="minorHAnsi"/>
                <w:b/>
                <w:bCs/>
                <w:sz w:val="18"/>
                <w:szCs w:val="18"/>
                <w:lang w:val="tr-TR"/>
              </w:rPr>
            </w:pPr>
          </w:p>
        </w:tc>
        <w:tc>
          <w:tcPr>
            <w:tcW w:w="1579" w:type="dxa"/>
            <w:noWrap/>
            <w:hideMark/>
          </w:tcPr>
          <w:p w14:paraId="64DC175D"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6A7927EB" w14:textId="4D58C760"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F71B79" w:rsidRPr="001A4B94">
              <w:rPr>
                <w:rFonts w:eastAsiaTheme="minorHAnsi"/>
                <w:sz w:val="18"/>
                <w:szCs w:val="18"/>
                <w:lang w:val="tr-TR"/>
              </w:rPr>
              <w:t xml:space="preserve">ürkiye </w:t>
            </w:r>
            <w:r w:rsidRPr="001A4B94">
              <w:rPr>
                <w:rFonts w:eastAsiaTheme="minorHAnsi"/>
                <w:sz w:val="18"/>
                <w:szCs w:val="18"/>
                <w:lang w:val="tr-TR"/>
              </w:rPr>
              <w:t xml:space="preserve">#10269 </w:t>
            </w:r>
            <w:r w:rsidR="00F71B79" w:rsidRPr="001A4B94">
              <w:rPr>
                <w:rFonts w:eastAsiaTheme="minorHAnsi"/>
                <w:sz w:val="18"/>
                <w:szCs w:val="18"/>
                <w:lang w:val="tr-TR"/>
              </w:rPr>
              <w:t xml:space="preserve">Öde Gücü Denetiminin Güçlendirilmesi </w:t>
            </w:r>
          </w:p>
        </w:tc>
      </w:tr>
      <w:tr w:rsidR="00747261" w:rsidRPr="001A4B94" w14:paraId="5CBBDD03" w14:textId="77777777" w:rsidTr="00382079">
        <w:trPr>
          <w:trHeight w:val="230"/>
        </w:trPr>
        <w:tc>
          <w:tcPr>
            <w:tcW w:w="1477" w:type="dxa"/>
            <w:vMerge/>
            <w:hideMark/>
          </w:tcPr>
          <w:p w14:paraId="4676A1B0" w14:textId="77777777" w:rsidR="00747261" w:rsidRPr="001A4B94" w:rsidRDefault="00747261" w:rsidP="00747261">
            <w:pPr>
              <w:jc w:val="center"/>
              <w:rPr>
                <w:rFonts w:eastAsiaTheme="minorHAnsi"/>
                <w:b/>
                <w:bCs/>
                <w:sz w:val="18"/>
                <w:szCs w:val="18"/>
                <w:lang w:val="tr-TR"/>
              </w:rPr>
            </w:pPr>
          </w:p>
        </w:tc>
        <w:tc>
          <w:tcPr>
            <w:tcW w:w="1579" w:type="dxa"/>
            <w:noWrap/>
            <w:hideMark/>
          </w:tcPr>
          <w:p w14:paraId="5025BBA5"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529C998F" w14:textId="074200D1"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 xml:space="preserve">Özel Sektör Geliştirme TY </w:t>
            </w:r>
          </w:p>
        </w:tc>
      </w:tr>
      <w:tr w:rsidR="00747261" w:rsidRPr="001A4B94" w14:paraId="6DAB5BB7" w14:textId="77777777" w:rsidTr="00382079">
        <w:trPr>
          <w:trHeight w:val="230"/>
        </w:trPr>
        <w:tc>
          <w:tcPr>
            <w:tcW w:w="1477" w:type="dxa"/>
            <w:vMerge/>
            <w:hideMark/>
          </w:tcPr>
          <w:p w14:paraId="2E1AA2AB" w14:textId="77777777" w:rsidR="00747261" w:rsidRPr="001A4B94" w:rsidRDefault="00747261" w:rsidP="00747261">
            <w:pPr>
              <w:jc w:val="center"/>
              <w:rPr>
                <w:rFonts w:eastAsiaTheme="minorHAnsi"/>
                <w:b/>
                <w:bCs/>
                <w:sz w:val="18"/>
                <w:szCs w:val="18"/>
                <w:lang w:val="tr-TR"/>
              </w:rPr>
            </w:pPr>
          </w:p>
        </w:tc>
        <w:tc>
          <w:tcPr>
            <w:tcW w:w="1579" w:type="dxa"/>
            <w:noWrap/>
            <w:hideMark/>
          </w:tcPr>
          <w:p w14:paraId="4EDF4726"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66B94C27" w14:textId="30E2EAC0"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 xml:space="preserve">Türkiye’de Enerji Verimliliği Kurumsal İncelemesi </w:t>
            </w:r>
          </w:p>
        </w:tc>
      </w:tr>
      <w:tr w:rsidR="00747261" w:rsidRPr="001A4B94" w14:paraId="32122AC0" w14:textId="77777777" w:rsidTr="00382079">
        <w:trPr>
          <w:trHeight w:val="230"/>
        </w:trPr>
        <w:tc>
          <w:tcPr>
            <w:tcW w:w="1477" w:type="dxa"/>
            <w:vMerge/>
            <w:hideMark/>
          </w:tcPr>
          <w:p w14:paraId="61EA7CBB" w14:textId="77777777" w:rsidR="00747261" w:rsidRPr="001A4B94" w:rsidRDefault="00747261" w:rsidP="00747261">
            <w:pPr>
              <w:jc w:val="center"/>
              <w:rPr>
                <w:rFonts w:eastAsiaTheme="minorHAnsi"/>
                <w:b/>
                <w:bCs/>
                <w:sz w:val="18"/>
                <w:szCs w:val="18"/>
                <w:lang w:val="tr-TR"/>
              </w:rPr>
            </w:pPr>
          </w:p>
        </w:tc>
        <w:tc>
          <w:tcPr>
            <w:tcW w:w="1579" w:type="dxa"/>
            <w:noWrap/>
            <w:hideMark/>
          </w:tcPr>
          <w:p w14:paraId="7BBFF882"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0EAD869F" w14:textId="2271F7AF"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 xml:space="preserve">Finansal Tabana Yayma ve Finansal Derinleştirme </w:t>
            </w:r>
          </w:p>
        </w:tc>
      </w:tr>
      <w:tr w:rsidR="00747261" w:rsidRPr="001A4B94" w14:paraId="32CA68B6" w14:textId="77777777" w:rsidTr="00382079">
        <w:trPr>
          <w:trHeight w:val="230"/>
        </w:trPr>
        <w:tc>
          <w:tcPr>
            <w:tcW w:w="1477" w:type="dxa"/>
            <w:vMerge/>
            <w:hideMark/>
          </w:tcPr>
          <w:p w14:paraId="7DFEC8EF" w14:textId="77777777" w:rsidR="00747261" w:rsidRPr="001A4B94" w:rsidRDefault="00747261" w:rsidP="00747261">
            <w:pPr>
              <w:jc w:val="center"/>
              <w:rPr>
                <w:rFonts w:eastAsiaTheme="minorHAnsi"/>
                <w:b/>
                <w:bCs/>
                <w:sz w:val="18"/>
                <w:szCs w:val="18"/>
                <w:lang w:val="tr-TR"/>
              </w:rPr>
            </w:pPr>
          </w:p>
        </w:tc>
        <w:tc>
          <w:tcPr>
            <w:tcW w:w="1579" w:type="dxa"/>
            <w:noWrap/>
            <w:hideMark/>
          </w:tcPr>
          <w:p w14:paraId="326F7A14"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79AB117A" w14:textId="49D8FD03"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 xml:space="preserve">Elektrik Özelleştirmesinin Sosyal Etkilerinin İzlenmesi </w:t>
            </w:r>
          </w:p>
        </w:tc>
      </w:tr>
      <w:tr w:rsidR="00747261" w:rsidRPr="001A4B94" w14:paraId="23374F00" w14:textId="77777777" w:rsidTr="00382079">
        <w:trPr>
          <w:trHeight w:val="230"/>
        </w:trPr>
        <w:tc>
          <w:tcPr>
            <w:tcW w:w="1477" w:type="dxa"/>
            <w:vMerge/>
            <w:hideMark/>
          </w:tcPr>
          <w:p w14:paraId="1A1FDD78" w14:textId="77777777" w:rsidR="00747261" w:rsidRPr="001A4B94" w:rsidRDefault="00747261" w:rsidP="00747261">
            <w:pPr>
              <w:jc w:val="center"/>
              <w:rPr>
                <w:rFonts w:eastAsiaTheme="minorHAnsi"/>
                <w:b/>
                <w:bCs/>
                <w:sz w:val="18"/>
                <w:szCs w:val="18"/>
                <w:lang w:val="tr-TR"/>
              </w:rPr>
            </w:pPr>
          </w:p>
        </w:tc>
        <w:tc>
          <w:tcPr>
            <w:tcW w:w="1579" w:type="dxa"/>
            <w:noWrap/>
            <w:hideMark/>
          </w:tcPr>
          <w:p w14:paraId="538005C8"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716AA48B" w14:textId="187A0A06"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Sürdürülebilir Şehirler Eylem Planı</w:t>
            </w:r>
          </w:p>
        </w:tc>
      </w:tr>
      <w:tr w:rsidR="00747261" w:rsidRPr="001A4B94" w14:paraId="02103E46" w14:textId="77777777" w:rsidTr="00382079">
        <w:trPr>
          <w:trHeight w:val="230"/>
        </w:trPr>
        <w:tc>
          <w:tcPr>
            <w:tcW w:w="1477" w:type="dxa"/>
            <w:vMerge w:val="restart"/>
            <w:noWrap/>
            <w:textDirection w:val="btLr"/>
            <w:hideMark/>
          </w:tcPr>
          <w:p w14:paraId="1BDE790F" w14:textId="4CB18049" w:rsidR="00747261" w:rsidRPr="001A4B94" w:rsidRDefault="00B65F19" w:rsidP="00747261">
            <w:pPr>
              <w:jc w:val="center"/>
              <w:rPr>
                <w:rFonts w:eastAsiaTheme="minorHAnsi"/>
                <w:b/>
                <w:bCs/>
                <w:sz w:val="18"/>
                <w:szCs w:val="18"/>
                <w:lang w:val="tr-TR"/>
              </w:rPr>
            </w:pPr>
            <w:r w:rsidRPr="001A4B94">
              <w:rPr>
                <w:rFonts w:eastAsiaTheme="minorHAnsi"/>
                <w:b/>
                <w:bCs/>
                <w:sz w:val="18"/>
                <w:szCs w:val="18"/>
                <w:lang w:val="tr-TR"/>
              </w:rPr>
              <w:t>2016 MY</w:t>
            </w:r>
          </w:p>
        </w:tc>
        <w:tc>
          <w:tcPr>
            <w:tcW w:w="1579" w:type="dxa"/>
            <w:noWrap/>
            <w:hideMark/>
          </w:tcPr>
          <w:p w14:paraId="40D707EB"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1457A98D" w14:textId="6D11DAA0"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w:t>
            </w:r>
            <w:r w:rsidR="00F71B79" w:rsidRPr="001A4B94">
              <w:rPr>
                <w:rFonts w:eastAsiaTheme="minorHAnsi"/>
                <w:sz w:val="18"/>
                <w:szCs w:val="18"/>
                <w:lang w:val="tr-TR"/>
              </w:rPr>
              <w:t xml:space="preserve">ürkiye’nin Enerjide </w:t>
            </w:r>
            <w:r w:rsidR="00DE03A3" w:rsidRPr="001A4B94">
              <w:rPr>
                <w:rFonts w:eastAsiaTheme="minorHAnsi"/>
                <w:sz w:val="18"/>
                <w:szCs w:val="18"/>
                <w:lang w:val="tr-TR"/>
              </w:rPr>
              <w:t>G</w:t>
            </w:r>
            <w:r w:rsidR="00F71B79" w:rsidRPr="001A4B94">
              <w:rPr>
                <w:rFonts w:eastAsiaTheme="minorHAnsi"/>
                <w:sz w:val="18"/>
                <w:szCs w:val="18"/>
                <w:lang w:val="tr-TR"/>
              </w:rPr>
              <w:t xml:space="preserve">eçiş Deneyimleri  </w:t>
            </w:r>
            <w:r w:rsidRPr="001A4B94">
              <w:rPr>
                <w:rFonts w:eastAsiaTheme="minorHAnsi"/>
                <w:sz w:val="18"/>
                <w:szCs w:val="18"/>
                <w:lang w:val="tr-TR"/>
              </w:rPr>
              <w:t xml:space="preserve">- </w:t>
            </w:r>
            <w:r w:rsidR="00F71B79" w:rsidRPr="001A4B94">
              <w:rPr>
                <w:rFonts w:eastAsiaTheme="minorHAnsi"/>
                <w:sz w:val="18"/>
                <w:szCs w:val="18"/>
                <w:lang w:val="tr-TR"/>
              </w:rPr>
              <w:t xml:space="preserve">Kilometre Taşları ve Zorluklar </w:t>
            </w:r>
          </w:p>
        </w:tc>
      </w:tr>
      <w:tr w:rsidR="00747261" w:rsidRPr="001A4B94" w14:paraId="467038A4" w14:textId="77777777" w:rsidTr="00382079">
        <w:trPr>
          <w:trHeight w:val="230"/>
        </w:trPr>
        <w:tc>
          <w:tcPr>
            <w:tcW w:w="1477" w:type="dxa"/>
            <w:vMerge/>
            <w:hideMark/>
          </w:tcPr>
          <w:p w14:paraId="4431B1CF" w14:textId="77777777" w:rsidR="00747261" w:rsidRPr="001A4B94" w:rsidRDefault="00747261" w:rsidP="00747261">
            <w:pPr>
              <w:jc w:val="center"/>
              <w:rPr>
                <w:rFonts w:eastAsiaTheme="minorHAnsi"/>
                <w:b/>
                <w:bCs/>
                <w:sz w:val="18"/>
                <w:szCs w:val="18"/>
                <w:lang w:val="tr-TR"/>
              </w:rPr>
            </w:pPr>
          </w:p>
        </w:tc>
        <w:tc>
          <w:tcPr>
            <w:tcW w:w="1579" w:type="dxa"/>
            <w:noWrap/>
            <w:hideMark/>
          </w:tcPr>
          <w:p w14:paraId="417F3CC0"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494A6778" w14:textId="235B18F7"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 xml:space="preserve">Türkiye’de Ulaştırma Sektörü için Banka Desteğinin Tanımlanması </w:t>
            </w:r>
          </w:p>
        </w:tc>
      </w:tr>
      <w:tr w:rsidR="00747261" w:rsidRPr="001A4B94" w14:paraId="47EE13F1" w14:textId="77777777" w:rsidTr="00382079">
        <w:trPr>
          <w:trHeight w:val="230"/>
        </w:trPr>
        <w:tc>
          <w:tcPr>
            <w:tcW w:w="1477" w:type="dxa"/>
            <w:vMerge/>
            <w:hideMark/>
          </w:tcPr>
          <w:p w14:paraId="5A39C172" w14:textId="77777777" w:rsidR="00747261" w:rsidRPr="001A4B94" w:rsidRDefault="00747261" w:rsidP="00747261">
            <w:pPr>
              <w:jc w:val="center"/>
              <w:rPr>
                <w:rFonts w:eastAsiaTheme="minorHAnsi"/>
                <w:b/>
                <w:bCs/>
                <w:sz w:val="18"/>
                <w:szCs w:val="18"/>
                <w:lang w:val="tr-TR"/>
              </w:rPr>
            </w:pPr>
          </w:p>
        </w:tc>
        <w:tc>
          <w:tcPr>
            <w:tcW w:w="1579" w:type="dxa"/>
            <w:noWrap/>
            <w:hideMark/>
          </w:tcPr>
          <w:p w14:paraId="74BF1265"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6131A0AE" w14:textId="1F2AC244" w:rsidR="00747261" w:rsidRPr="001A4B94" w:rsidRDefault="00F71B79" w:rsidP="00747261">
            <w:pPr>
              <w:jc w:val="center"/>
              <w:rPr>
                <w:rFonts w:eastAsiaTheme="minorHAnsi"/>
                <w:sz w:val="18"/>
                <w:szCs w:val="18"/>
                <w:lang w:val="tr-TR"/>
              </w:rPr>
            </w:pPr>
            <w:r w:rsidRPr="001A4B94">
              <w:rPr>
                <w:rFonts w:eastAsiaTheme="minorHAnsi"/>
                <w:sz w:val="18"/>
                <w:szCs w:val="18"/>
                <w:lang w:val="tr-TR"/>
              </w:rPr>
              <w:t xml:space="preserve">Sığınmacı Krizine Müdahale </w:t>
            </w:r>
            <w:r w:rsidR="00DE03A3" w:rsidRPr="001A4B94">
              <w:rPr>
                <w:rFonts w:eastAsiaTheme="minorHAnsi"/>
                <w:sz w:val="18"/>
                <w:szCs w:val="18"/>
                <w:lang w:val="tr-TR"/>
              </w:rPr>
              <w:t xml:space="preserve">hakkında Politika Notu </w:t>
            </w:r>
          </w:p>
        </w:tc>
      </w:tr>
      <w:tr w:rsidR="00747261" w:rsidRPr="001A4B94" w14:paraId="62DA9742" w14:textId="77777777" w:rsidTr="00382079">
        <w:trPr>
          <w:trHeight w:val="230"/>
        </w:trPr>
        <w:tc>
          <w:tcPr>
            <w:tcW w:w="1477" w:type="dxa"/>
            <w:vMerge/>
            <w:hideMark/>
          </w:tcPr>
          <w:p w14:paraId="137FF180" w14:textId="77777777" w:rsidR="00747261" w:rsidRPr="001A4B94" w:rsidRDefault="00747261" w:rsidP="00747261">
            <w:pPr>
              <w:jc w:val="center"/>
              <w:rPr>
                <w:rFonts w:eastAsiaTheme="minorHAnsi"/>
                <w:b/>
                <w:bCs/>
                <w:sz w:val="18"/>
                <w:szCs w:val="18"/>
                <w:lang w:val="tr-TR"/>
              </w:rPr>
            </w:pPr>
          </w:p>
        </w:tc>
        <w:tc>
          <w:tcPr>
            <w:tcW w:w="1579" w:type="dxa"/>
            <w:noWrap/>
            <w:hideMark/>
          </w:tcPr>
          <w:p w14:paraId="2E607306"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45297782" w14:textId="4B6C0F33"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Bölgesel Yoksulluk Dinamikleri </w:t>
            </w:r>
          </w:p>
        </w:tc>
      </w:tr>
      <w:tr w:rsidR="00747261" w:rsidRPr="001A4B94" w14:paraId="63AE66F2" w14:textId="77777777" w:rsidTr="00382079">
        <w:trPr>
          <w:trHeight w:val="230"/>
        </w:trPr>
        <w:tc>
          <w:tcPr>
            <w:tcW w:w="1477" w:type="dxa"/>
            <w:vMerge/>
            <w:hideMark/>
          </w:tcPr>
          <w:p w14:paraId="76E9A16E" w14:textId="77777777" w:rsidR="00747261" w:rsidRPr="001A4B94" w:rsidRDefault="00747261" w:rsidP="00747261">
            <w:pPr>
              <w:jc w:val="center"/>
              <w:rPr>
                <w:rFonts w:eastAsiaTheme="minorHAnsi"/>
                <w:b/>
                <w:bCs/>
                <w:sz w:val="18"/>
                <w:szCs w:val="18"/>
                <w:lang w:val="tr-TR"/>
              </w:rPr>
            </w:pPr>
          </w:p>
        </w:tc>
        <w:tc>
          <w:tcPr>
            <w:tcW w:w="1579" w:type="dxa"/>
            <w:noWrap/>
            <w:hideMark/>
          </w:tcPr>
          <w:p w14:paraId="7BE2ECB9"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4BA06779" w14:textId="737A9A76"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Mali Yatay Eşitsizlikler </w:t>
            </w:r>
          </w:p>
        </w:tc>
      </w:tr>
      <w:tr w:rsidR="00747261" w:rsidRPr="001A4B94" w14:paraId="19D3FDFC" w14:textId="77777777" w:rsidTr="00382079">
        <w:trPr>
          <w:trHeight w:val="230"/>
        </w:trPr>
        <w:tc>
          <w:tcPr>
            <w:tcW w:w="1477" w:type="dxa"/>
            <w:vMerge/>
            <w:hideMark/>
          </w:tcPr>
          <w:p w14:paraId="34B03186" w14:textId="77777777" w:rsidR="00747261" w:rsidRPr="001A4B94" w:rsidRDefault="00747261" w:rsidP="00747261">
            <w:pPr>
              <w:jc w:val="center"/>
              <w:rPr>
                <w:rFonts w:eastAsiaTheme="minorHAnsi"/>
                <w:b/>
                <w:bCs/>
                <w:sz w:val="18"/>
                <w:szCs w:val="18"/>
                <w:lang w:val="tr-TR"/>
              </w:rPr>
            </w:pPr>
          </w:p>
        </w:tc>
        <w:tc>
          <w:tcPr>
            <w:tcW w:w="1579" w:type="dxa"/>
            <w:noWrap/>
            <w:hideMark/>
          </w:tcPr>
          <w:p w14:paraId="6668B2D3"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59A13DFD" w14:textId="459270AB"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Bölgesel İşgücü Piyasası Dinamikleri </w:t>
            </w:r>
          </w:p>
        </w:tc>
      </w:tr>
      <w:tr w:rsidR="00747261" w:rsidRPr="001A4B94" w14:paraId="671E362F" w14:textId="77777777" w:rsidTr="00382079">
        <w:trPr>
          <w:trHeight w:val="230"/>
        </w:trPr>
        <w:tc>
          <w:tcPr>
            <w:tcW w:w="1477" w:type="dxa"/>
            <w:vMerge/>
            <w:hideMark/>
          </w:tcPr>
          <w:p w14:paraId="74C375AD" w14:textId="77777777" w:rsidR="00747261" w:rsidRPr="001A4B94" w:rsidRDefault="00747261" w:rsidP="00747261">
            <w:pPr>
              <w:jc w:val="center"/>
              <w:rPr>
                <w:rFonts w:eastAsiaTheme="minorHAnsi"/>
                <w:b/>
                <w:bCs/>
                <w:sz w:val="18"/>
                <w:szCs w:val="18"/>
                <w:lang w:val="tr-TR"/>
              </w:rPr>
            </w:pPr>
          </w:p>
        </w:tc>
        <w:tc>
          <w:tcPr>
            <w:tcW w:w="1579" w:type="dxa"/>
            <w:noWrap/>
            <w:hideMark/>
          </w:tcPr>
          <w:p w14:paraId="0986527B"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EW</w:t>
            </w:r>
          </w:p>
        </w:tc>
        <w:tc>
          <w:tcPr>
            <w:tcW w:w="6294" w:type="dxa"/>
            <w:noWrap/>
            <w:hideMark/>
          </w:tcPr>
          <w:p w14:paraId="0116EA11" w14:textId="75C3F2E7"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Türkiye’de Sürdürülebilir Kentsel Su Temini ve Sanitasyon </w:t>
            </w:r>
          </w:p>
        </w:tc>
      </w:tr>
      <w:tr w:rsidR="00747261" w:rsidRPr="001A4B94" w14:paraId="1EC6AADB" w14:textId="77777777" w:rsidTr="00382079">
        <w:trPr>
          <w:trHeight w:val="230"/>
        </w:trPr>
        <w:tc>
          <w:tcPr>
            <w:tcW w:w="1477" w:type="dxa"/>
            <w:vMerge/>
            <w:hideMark/>
          </w:tcPr>
          <w:p w14:paraId="0D11A922" w14:textId="77777777" w:rsidR="00747261" w:rsidRPr="001A4B94" w:rsidRDefault="00747261" w:rsidP="00747261">
            <w:pPr>
              <w:jc w:val="center"/>
              <w:rPr>
                <w:rFonts w:eastAsiaTheme="minorHAnsi"/>
                <w:b/>
                <w:bCs/>
                <w:sz w:val="18"/>
                <w:szCs w:val="18"/>
                <w:lang w:val="tr-TR"/>
              </w:rPr>
            </w:pPr>
          </w:p>
        </w:tc>
        <w:tc>
          <w:tcPr>
            <w:tcW w:w="1579" w:type="dxa"/>
            <w:noWrap/>
            <w:hideMark/>
          </w:tcPr>
          <w:p w14:paraId="7992262F"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IE</w:t>
            </w:r>
          </w:p>
        </w:tc>
        <w:tc>
          <w:tcPr>
            <w:tcW w:w="6294" w:type="dxa"/>
            <w:noWrap/>
            <w:hideMark/>
          </w:tcPr>
          <w:p w14:paraId="76CFD90C" w14:textId="745000CF"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Sığınmacıların İşgücü Piyasaları Üzerindeki Etkilerinin Değerlendirilmesi </w:t>
            </w:r>
          </w:p>
        </w:tc>
      </w:tr>
      <w:tr w:rsidR="00747261" w:rsidRPr="001A4B94" w14:paraId="5EB3C738" w14:textId="77777777" w:rsidTr="00382079">
        <w:trPr>
          <w:trHeight w:val="230"/>
        </w:trPr>
        <w:tc>
          <w:tcPr>
            <w:tcW w:w="1477" w:type="dxa"/>
            <w:vMerge/>
            <w:hideMark/>
          </w:tcPr>
          <w:p w14:paraId="46955306" w14:textId="77777777" w:rsidR="00747261" w:rsidRPr="001A4B94" w:rsidRDefault="00747261" w:rsidP="00747261">
            <w:pPr>
              <w:jc w:val="center"/>
              <w:rPr>
                <w:rFonts w:eastAsiaTheme="minorHAnsi"/>
                <w:b/>
                <w:bCs/>
                <w:sz w:val="18"/>
                <w:szCs w:val="18"/>
                <w:lang w:val="tr-TR"/>
              </w:rPr>
            </w:pPr>
          </w:p>
        </w:tc>
        <w:tc>
          <w:tcPr>
            <w:tcW w:w="1579" w:type="dxa"/>
            <w:noWrap/>
            <w:hideMark/>
          </w:tcPr>
          <w:p w14:paraId="699EE13F"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KP</w:t>
            </w:r>
          </w:p>
        </w:tc>
        <w:tc>
          <w:tcPr>
            <w:tcW w:w="6294" w:type="dxa"/>
            <w:noWrap/>
            <w:hideMark/>
          </w:tcPr>
          <w:p w14:paraId="0F342673" w14:textId="2E67A359"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Türkiye Ülke Ekibi Çalıştayı </w:t>
            </w:r>
            <w:r w:rsidR="00747261" w:rsidRPr="001A4B94">
              <w:rPr>
                <w:rFonts w:eastAsiaTheme="minorHAnsi"/>
                <w:sz w:val="18"/>
                <w:szCs w:val="18"/>
                <w:lang w:val="tr-TR"/>
              </w:rPr>
              <w:t>2016</w:t>
            </w:r>
          </w:p>
        </w:tc>
      </w:tr>
      <w:tr w:rsidR="00747261" w:rsidRPr="001A4B94" w14:paraId="1466DBD8" w14:textId="77777777" w:rsidTr="00382079">
        <w:trPr>
          <w:trHeight w:val="230"/>
        </w:trPr>
        <w:tc>
          <w:tcPr>
            <w:tcW w:w="1477" w:type="dxa"/>
            <w:vMerge/>
            <w:hideMark/>
          </w:tcPr>
          <w:p w14:paraId="31EE8716" w14:textId="77777777" w:rsidR="00747261" w:rsidRPr="001A4B94" w:rsidRDefault="00747261" w:rsidP="00747261">
            <w:pPr>
              <w:jc w:val="center"/>
              <w:rPr>
                <w:rFonts w:eastAsiaTheme="minorHAnsi"/>
                <w:b/>
                <w:bCs/>
                <w:sz w:val="18"/>
                <w:szCs w:val="18"/>
                <w:lang w:val="tr-TR"/>
              </w:rPr>
            </w:pPr>
          </w:p>
        </w:tc>
        <w:tc>
          <w:tcPr>
            <w:tcW w:w="1579" w:type="dxa"/>
            <w:noWrap/>
            <w:hideMark/>
          </w:tcPr>
          <w:p w14:paraId="26C1255E"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PA</w:t>
            </w:r>
          </w:p>
        </w:tc>
        <w:tc>
          <w:tcPr>
            <w:tcW w:w="6294" w:type="dxa"/>
            <w:noWrap/>
            <w:hideMark/>
          </w:tcPr>
          <w:p w14:paraId="5AC360D6" w14:textId="4B5D34CE"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Türkiye </w:t>
            </w:r>
            <w:r w:rsidR="00747261" w:rsidRPr="001A4B94">
              <w:rPr>
                <w:rFonts w:eastAsiaTheme="minorHAnsi"/>
                <w:sz w:val="18"/>
                <w:szCs w:val="18"/>
                <w:lang w:val="tr-TR"/>
              </w:rPr>
              <w:t>Program</w:t>
            </w:r>
            <w:r w:rsidR="00C63C58" w:rsidRPr="001A4B94">
              <w:rPr>
                <w:rFonts w:eastAsiaTheme="minorHAnsi"/>
                <w:sz w:val="18"/>
                <w:szCs w:val="18"/>
                <w:lang w:val="tr-TR"/>
              </w:rPr>
              <w:t xml:space="preserve"> </w:t>
            </w:r>
            <w:r w:rsidR="00562063" w:rsidRPr="001A4B94">
              <w:rPr>
                <w:rFonts w:eastAsiaTheme="minorHAnsi"/>
                <w:sz w:val="18"/>
                <w:szCs w:val="18"/>
                <w:lang w:val="tr-TR"/>
              </w:rPr>
              <w:t>O</w:t>
            </w:r>
            <w:r w:rsidR="00C63C58" w:rsidRPr="001A4B94">
              <w:rPr>
                <w:rFonts w:eastAsiaTheme="minorHAnsi"/>
                <w:sz w:val="18"/>
                <w:szCs w:val="18"/>
                <w:lang w:val="tr-TR"/>
              </w:rPr>
              <w:t xml:space="preserve">daklı İstihdam – Aktivasyon </w:t>
            </w:r>
            <w:r w:rsidR="00747261" w:rsidRPr="001A4B94">
              <w:rPr>
                <w:rFonts w:eastAsiaTheme="minorHAnsi"/>
                <w:sz w:val="18"/>
                <w:szCs w:val="18"/>
                <w:lang w:val="tr-TR"/>
              </w:rPr>
              <w:t>AAA</w:t>
            </w:r>
          </w:p>
        </w:tc>
      </w:tr>
      <w:tr w:rsidR="00747261" w:rsidRPr="001A4B94" w14:paraId="77A00569" w14:textId="77777777" w:rsidTr="00382079">
        <w:trPr>
          <w:trHeight w:val="230"/>
        </w:trPr>
        <w:tc>
          <w:tcPr>
            <w:tcW w:w="1477" w:type="dxa"/>
            <w:vMerge/>
            <w:hideMark/>
          </w:tcPr>
          <w:p w14:paraId="490CA8BD" w14:textId="77777777" w:rsidR="00747261" w:rsidRPr="001A4B94" w:rsidRDefault="00747261" w:rsidP="00747261">
            <w:pPr>
              <w:jc w:val="center"/>
              <w:rPr>
                <w:rFonts w:eastAsiaTheme="minorHAnsi"/>
                <w:b/>
                <w:bCs/>
                <w:sz w:val="18"/>
                <w:szCs w:val="18"/>
                <w:lang w:val="tr-TR"/>
              </w:rPr>
            </w:pPr>
          </w:p>
        </w:tc>
        <w:tc>
          <w:tcPr>
            <w:tcW w:w="1579" w:type="dxa"/>
            <w:noWrap/>
            <w:hideMark/>
          </w:tcPr>
          <w:p w14:paraId="05B22824"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PA</w:t>
            </w:r>
          </w:p>
        </w:tc>
        <w:tc>
          <w:tcPr>
            <w:tcW w:w="6294" w:type="dxa"/>
            <w:noWrap/>
            <w:hideMark/>
          </w:tcPr>
          <w:p w14:paraId="1EBA9983" w14:textId="2A1C6FBD"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Bölgesel Kalkınma ve Kırılganlık </w:t>
            </w:r>
          </w:p>
        </w:tc>
      </w:tr>
      <w:tr w:rsidR="00747261" w:rsidRPr="001A4B94" w14:paraId="6548B926" w14:textId="77777777" w:rsidTr="00382079">
        <w:trPr>
          <w:trHeight w:val="230"/>
        </w:trPr>
        <w:tc>
          <w:tcPr>
            <w:tcW w:w="1477" w:type="dxa"/>
            <w:vMerge/>
            <w:hideMark/>
          </w:tcPr>
          <w:p w14:paraId="50FC90A5" w14:textId="77777777" w:rsidR="00747261" w:rsidRPr="001A4B94" w:rsidRDefault="00747261" w:rsidP="00747261">
            <w:pPr>
              <w:jc w:val="center"/>
              <w:rPr>
                <w:rFonts w:eastAsiaTheme="minorHAnsi"/>
                <w:b/>
                <w:bCs/>
                <w:sz w:val="18"/>
                <w:szCs w:val="18"/>
                <w:lang w:val="tr-TR"/>
              </w:rPr>
            </w:pPr>
          </w:p>
        </w:tc>
        <w:tc>
          <w:tcPr>
            <w:tcW w:w="1579" w:type="dxa"/>
            <w:noWrap/>
            <w:hideMark/>
          </w:tcPr>
          <w:p w14:paraId="0445DB64"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PA</w:t>
            </w:r>
          </w:p>
        </w:tc>
        <w:tc>
          <w:tcPr>
            <w:tcW w:w="6294" w:type="dxa"/>
            <w:noWrap/>
            <w:hideMark/>
          </w:tcPr>
          <w:p w14:paraId="06FE4FD1" w14:textId="2E47BDDF"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İş Ortamı ve Yenilikçilik </w:t>
            </w:r>
            <w:r w:rsidR="00C63C58" w:rsidRPr="001A4B94">
              <w:rPr>
                <w:rFonts w:eastAsiaTheme="minorHAnsi"/>
                <w:sz w:val="18"/>
                <w:szCs w:val="18"/>
                <w:lang w:val="tr-TR"/>
              </w:rPr>
              <w:t>Program</w:t>
            </w:r>
            <w:r w:rsidRPr="001A4B94">
              <w:rPr>
                <w:rFonts w:eastAsiaTheme="minorHAnsi"/>
                <w:sz w:val="18"/>
                <w:szCs w:val="18"/>
                <w:lang w:val="tr-TR"/>
              </w:rPr>
              <w:t xml:space="preserve"> Odaklı TY </w:t>
            </w:r>
          </w:p>
        </w:tc>
      </w:tr>
      <w:tr w:rsidR="00747261" w:rsidRPr="001A4B94" w14:paraId="3D8CB5A1" w14:textId="77777777" w:rsidTr="00382079">
        <w:trPr>
          <w:trHeight w:val="230"/>
        </w:trPr>
        <w:tc>
          <w:tcPr>
            <w:tcW w:w="1477" w:type="dxa"/>
            <w:vMerge/>
            <w:hideMark/>
          </w:tcPr>
          <w:p w14:paraId="31F3D7CC" w14:textId="77777777" w:rsidR="00747261" w:rsidRPr="001A4B94" w:rsidRDefault="00747261" w:rsidP="00747261">
            <w:pPr>
              <w:jc w:val="center"/>
              <w:rPr>
                <w:rFonts w:eastAsiaTheme="minorHAnsi"/>
                <w:b/>
                <w:bCs/>
                <w:sz w:val="18"/>
                <w:szCs w:val="18"/>
                <w:lang w:val="tr-TR"/>
              </w:rPr>
            </w:pPr>
          </w:p>
        </w:tc>
        <w:tc>
          <w:tcPr>
            <w:tcW w:w="1579" w:type="dxa"/>
            <w:noWrap/>
            <w:hideMark/>
          </w:tcPr>
          <w:p w14:paraId="72AA83A6"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12896FA5" w14:textId="048D3060"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 xml:space="preserve">IBRD-IFC </w:t>
            </w:r>
            <w:r w:rsidR="00DE03A3" w:rsidRPr="001A4B94">
              <w:rPr>
                <w:rFonts w:eastAsiaTheme="minorHAnsi"/>
                <w:sz w:val="18"/>
                <w:szCs w:val="18"/>
                <w:lang w:val="tr-TR"/>
              </w:rPr>
              <w:t xml:space="preserve">Sürdürülebilir Şehirler Ortak Uygulama </w:t>
            </w:r>
            <w:r w:rsidRPr="001A4B94">
              <w:rPr>
                <w:rFonts w:eastAsiaTheme="minorHAnsi"/>
                <w:sz w:val="18"/>
                <w:szCs w:val="18"/>
                <w:lang w:val="tr-TR"/>
              </w:rPr>
              <w:t>Program</w:t>
            </w:r>
            <w:r w:rsidR="00DE03A3" w:rsidRPr="001A4B94">
              <w:rPr>
                <w:rFonts w:eastAsiaTheme="minorHAnsi"/>
                <w:sz w:val="18"/>
                <w:szCs w:val="18"/>
                <w:lang w:val="tr-TR"/>
              </w:rPr>
              <w:t>ı</w:t>
            </w:r>
            <w:r w:rsidRPr="001A4B94">
              <w:rPr>
                <w:rFonts w:eastAsiaTheme="minorHAnsi"/>
                <w:sz w:val="18"/>
                <w:szCs w:val="18"/>
                <w:lang w:val="tr-TR"/>
              </w:rPr>
              <w:t xml:space="preserve"> </w:t>
            </w:r>
          </w:p>
        </w:tc>
      </w:tr>
      <w:tr w:rsidR="00747261" w:rsidRPr="001A4B94" w14:paraId="120F4DEC" w14:textId="77777777" w:rsidTr="00382079">
        <w:trPr>
          <w:trHeight w:val="230"/>
        </w:trPr>
        <w:tc>
          <w:tcPr>
            <w:tcW w:w="1477" w:type="dxa"/>
            <w:vMerge/>
            <w:hideMark/>
          </w:tcPr>
          <w:p w14:paraId="5A20AD2A" w14:textId="77777777" w:rsidR="00747261" w:rsidRPr="001A4B94" w:rsidRDefault="00747261" w:rsidP="00747261">
            <w:pPr>
              <w:jc w:val="center"/>
              <w:rPr>
                <w:rFonts w:eastAsiaTheme="minorHAnsi"/>
                <w:b/>
                <w:bCs/>
                <w:sz w:val="18"/>
                <w:szCs w:val="18"/>
                <w:lang w:val="tr-TR"/>
              </w:rPr>
            </w:pPr>
          </w:p>
        </w:tc>
        <w:tc>
          <w:tcPr>
            <w:tcW w:w="1579" w:type="dxa"/>
            <w:noWrap/>
            <w:hideMark/>
          </w:tcPr>
          <w:p w14:paraId="32A00FA2"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4184787E" w14:textId="51BFA8D0"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Tasarruflar ve Finansal </w:t>
            </w:r>
            <w:r w:rsidR="008A552D" w:rsidRPr="001A4B94">
              <w:rPr>
                <w:rFonts w:eastAsiaTheme="minorHAnsi"/>
                <w:sz w:val="18"/>
                <w:szCs w:val="18"/>
                <w:lang w:val="tr-TR"/>
              </w:rPr>
              <w:t>S</w:t>
            </w:r>
            <w:r w:rsidRPr="001A4B94">
              <w:rPr>
                <w:rFonts w:eastAsiaTheme="minorHAnsi"/>
                <w:sz w:val="18"/>
                <w:szCs w:val="18"/>
                <w:lang w:val="tr-TR"/>
              </w:rPr>
              <w:t xml:space="preserve">ektörün Çeşitlendirilmesi </w:t>
            </w:r>
          </w:p>
        </w:tc>
      </w:tr>
      <w:tr w:rsidR="00747261" w:rsidRPr="001A4B94" w14:paraId="0BDEACB4" w14:textId="77777777" w:rsidTr="00382079">
        <w:trPr>
          <w:trHeight w:val="230"/>
        </w:trPr>
        <w:tc>
          <w:tcPr>
            <w:tcW w:w="1477" w:type="dxa"/>
            <w:vMerge/>
            <w:hideMark/>
          </w:tcPr>
          <w:p w14:paraId="702D0988" w14:textId="77777777" w:rsidR="00747261" w:rsidRPr="001A4B94" w:rsidRDefault="00747261" w:rsidP="00747261">
            <w:pPr>
              <w:jc w:val="center"/>
              <w:rPr>
                <w:rFonts w:eastAsiaTheme="minorHAnsi"/>
                <w:b/>
                <w:bCs/>
                <w:sz w:val="18"/>
                <w:szCs w:val="18"/>
                <w:lang w:val="tr-TR"/>
              </w:rPr>
            </w:pPr>
          </w:p>
        </w:tc>
        <w:tc>
          <w:tcPr>
            <w:tcW w:w="1579" w:type="dxa"/>
            <w:noWrap/>
            <w:hideMark/>
          </w:tcPr>
          <w:p w14:paraId="0AD3AC75"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758BB654" w14:textId="43D39E98"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KİT Kurumsal Yönetişim TY </w:t>
            </w:r>
          </w:p>
        </w:tc>
      </w:tr>
      <w:tr w:rsidR="00747261" w:rsidRPr="001A4B94" w14:paraId="59A79C2D" w14:textId="77777777" w:rsidTr="00382079">
        <w:trPr>
          <w:trHeight w:val="230"/>
        </w:trPr>
        <w:tc>
          <w:tcPr>
            <w:tcW w:w="1477" w:type="dxa"/>
            <w:vMerge/>
            <w:hideMark/>
          </w:tcPr>
          <w:p w14:paraId="7894365A" w14:textId="77777777" w:rsidR="00747261" w:rsidRPr="001A4B94" w:rsidRDefault="00747261" w:rsidP="00747261">
            <w:pPr>
              <w:jc w:val="center"/>
              <w:rPr>
                <w:rFonts w:eastAsiaTheme="minorHAnsi"/>
                <w:b/>
                <w:bCs/>
                <w:sz w:val="18"/>
                <w:szCs w:val="18"/>
                <w:lang w:val="tr-TR"/>
              </w:rPr>
            </w:pPr>
          </w:p>
        </w:tc>
        <w:tc>
          <w:tcPr>
            <w:tcW w:w="1579" w:type="dxa"/>
            <w:noWrap/>
            <w:hideMark/>
          </w:tcPr>
          <w:p w14:paraId="68F6070A"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4178FDA6" w14:textId="258F736A"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Türkiye Kredi Değerlik Akademisi </w:t>
            </w:r>
          </w:p>
        </w:tc>
      </w:tr>
      <w:tr w:rsidR="00747261" w:rsidRPr="001A4B94" w14:paraId="4B862596" w14:textId="77777777" w:rsidTr="00382079">
        <w:trPr>
          <w:trHeight w:val="230"/>
        </w:trPr>
        <w:tc>
          <w:tcPr>
            <w:tcW w:w="1477" w:type="dxa"/>
            <w:vMerge/>
            <w:hideMark/>
          </w:tcPr>
          <w:p w14:paraId="0E1F4025" w14:textId="77777777" w:rsidR="00747261" w:rsidRPr="001A4B94" w:rsidRDefault="00747261" w:rsidP="00747261">
            <w:pPr>
              <w:jc w:val="center"/>
              <w:rPr>
                <w:rFonts w:eastAsiaTheme="minorHAnsi"/>
                <w:b/>
                <w:bCs/>
                <w:sz w:val="18"/>
                <w:szCs w:val="18"/>
                <w:lang w:val="tr-TR"/>
              </w:rPr>
            </w:pPr>
          </w:p>
        </w:tc>
        <w:tc>
          <w:tcPr>
            <w:tcW w:w="1579" w:type="dxa"/>
            <w:noWrap/>
            <w:hideMark/>
          </w:tcPr>
          <w:p w14:paraId="5FEC7E17" w14:textId="77777777" w:rsidR="00747261" w:rsidRPr="001A4B94" w:rsidRDefault="00747261" w:rsidP="00747261">
            <w:pPr>
              <w:jc w:val="center"/>
              <w:rPr>
                <w:rFonts w:eastAsiaTheme="minorHAnsi"/>
                <w:sz w:val="18"/>
                <w:szCs w:val="18"/>
                <w:lang w:val="tr-TR"/>
              </w:rPr>
            </w:pPr>
            <w:r w:rsidRPr="001A4B94">
              <w:rPr>
                <w:rFonts w:eastAsiaTheme="minorHAnsi"/>
                <w:sz w:val="18"/>
                <w:szCs w:val="18"/>
                <w:lang w:val="tr-TR"/>
              </w:rPr>
              <w:t>TA</w:t>
            </w:r>
          </w:p>
        </w:tc>
        <w:tc>
          <w:tcPr>
            <w:tcW w:w="6294" w:type="dxa"/>
            <w:noWrap/>
            <w:hideMark/>
          </w:tcPr>
          <w:p w14:paraId="0EAE3078" w14:textId="4097E084" w:rsidR="00747261" w:rsidRPr="001A4B94" w:rsidRDefault="00DE03A3" w:rsidP="00747261">
            <w:pPr>
              <w:jc w:val="center"/>
              <w:rPr>
                <w:rFonts w:eastAsiaTheme="minorHAnsi"/>
                <w:sz w:val="18"/>
                <w:szCs w:val="18"/>
                <w:lang w:val="tr-TR"/>
              </w:rPr>
            </w:pPr>
            <w:r w:rsidRPr="001A4B94">
              <w:rPr>
                <w:rFonts w:eastAsiaTheme="minorHAnsi"/>
                <w:sz w:val="18"/>
                <w:szCs w:val="18"/>
                <w:lang w:val="tr-TR"/>
              </w:rPr>
              <w:t xml:space="preserve">Türkiye KÖİ 2015MY </w:t>
            </w:r>
          </w:p>
        </w:tc>
      </w:tr>
    </w:tbl>
    <w:p w14:paraId="745CDBF5" w14:textId="77777777" w:rsidR="00747261" w:rsidRPr="001A4B94" w:rsidRDefault="00747261" w:rsidP="00747261">
      <w:pPr>
        <w:spacing w:after="160" w:line="259" w:lineRule="auto"/>
        <w:rPr>
          <w:rFonts w:ascii="Arial" w:hAnsi="Arial" w:cs="Arial"/>
          <w:b/>
          <w:bCs/>
          <w:color w:val="000000"/>
          <w:sz w:val="22"/>
          <w:szCs w:val="22"/>
          <w:lang w:val="tr-TR"/>
        </w:rPr>
        <w:sectPr w:rsidR="00747261" w:rsidRPr="001A4B94" w:rsidSect="00747261">
          <w:pgSz w:w="12240" w:h="15840"/>
          <w:pgMar w:top="1440" w:right="1440" w:bottom="1440" w:left="1440" w:header="720" w:footer="720" w:gutter="0"/>
          <w:cols w:space="720"/>
          <w:docGrid w:linePitch="360"/>
        </w:sectPr>
      </w:pPr>
      <w:r w:rsidRPr="001A4B94">
        <w:rPr>
          <w:rFonts w:ascii="Arial" w:hAnsi="Arial" w:cs="Arial"/>
          <w:b/>
          <w:bCs/>
          <w:color w:val="000000"/>
          <w:sz w:val="22"/>
          <w:szCs w:val="22"/>
          <w:lang w:val="tr-TR"/>
        </w:rPr>
        <w:br w:type="page"/>
      </w:r>
    </w:p>
    <w:p w14:paraId="296F387F" w14:textId="77777777" w:rsidR="00747261" w:rsidRPr="001A4B94" w:rsidRDefault="00747261" w:rsidP="00747261">
      <w:pPr>
        <w:autoSpaceDE w:val="0"/>
        <w:autoSpaceDN w:val="0"/>
        <w:adjustRightInd w:val="0"/>
        <w:rPr>
          <w:rFonts w:ascii="Arial" w:hAnsi="Arial" w:cs="Arial"/>
          <w:b/>
          <w:bCs/>
          <w:color w:val="000000"/>
          <w:sz w:val="22"/>
          <w:szCs w:val="22"/>
          <w:lang w:val="tr-TR"/>
        </w:rPr>
      </w:pPr>
    </w:p>
    <w:p w14:paraId="2AD72898" w14:textId="635460A5" w:rsidR="00747261" w:rsidRPr="001A4B94" w:rsidRDefault="00DA235D" w:rsidP="00162B5B">
      <w:pPr>
        <w:pStyle w:val="Balk1"/>
        <w:jc w:val="center"/>
        <w:rPr>
          <w:rFonts w:ascii="Times New Roman" w:hAnsi="Times New Roman" w:cs="Times New Roman"/>
          <w:b/>
          <w:color w:val="000000" w:themeColor="text1"/>
          <w:sz w:val="24"/>
          <w:szCs w:val="24"/>
          <w:lang w:val="tr-TR"/>
        </w:rPr>
      </w:pPr>
      <w:bookmarkStart w:id="25" w:name="_Toc494977333"/>
      <w:r w:rsidRPr="001A4B94">
        <w:rPr>
          <w:rFonts w:ascii="Times New Roman" w:hAnsi="Times New Roman" w:cs="Times New Roman"/>
          <w:b/>
          <w:color w:val="000000" w:themeColor="text1"/>
          <w:sz w:val="24"/>
          <w:szCs w:val="24"/>
          <w:lang w:val="tr-TR"/>
        </w:rPr>
        <w:t>Ek</w:t>
      </w:r>
      <w:r w:rsidR="00747261" w:rsidRPr="001A4B94">
        <w:rPr>
          <w:rFonts w:ascii="Times New Roman" w:hAnsi="Times New Roman" w:cs="Times New Roman"/>
          <w:b/>
          <w:color w:val="000000" w:themeColor="text1"/>
          <w:sz w:val="24"/>
          <w:szCs w:val="24"/>
          <w:lang w:val="tr-TR"/>
        </w:rPr>
        <w:t xml:space="preserve"> 3.  </w:t>
      </w:r>
      <w:r w:rsidR="00BC0F31" w:rsidRPr="001A4B94">
        <w:rPr>
          <w:rFonts w:ascii="Times New Roman" w:hAnsi="Times New Roman" w:cs="Times New Roman"/>
          <w:b/>
          <w:color w:val="000000" w:themeColor="text1"/>
          <w:sz w:val="24"/>
          <w:szCs w:val="24"/>
          <w:lang w:val="tr-TR"/>
        </w:rPr>
        <w:t>Banka Portföy Performansı ve Yönetimi ile</w:t>
      </w:r>
      <w:r w:rsidR="004251BE" w:rsidRPr="001A4B94">
        <w:rPr>
          <w:rFonts w:ascii="Times New Roman" w:hAnsi="Times New Roman" w:cs="Times New Roman"/>
          <w:b/>
          <w:color w:val="000000" w:themeColor="text1"/>
          <w:sz w:val="24"/>
          <w:szCs w:val="24"/>
          <w:lang w:val="tr-TR"/>
        </w:rPr>
        <w:t xml:space="preserve"> </w:t>
      </w:r>
      <w:r w:rsidR="00BC0F31" w:rsidRPr="001A4B94">
        <w:rPr>
          <w:rFonts w:ascii="Times New Roman" w:hAnsi="Times New Roman" w:cs="Times New Roman"/>
          <w:b/>
          <w:color w:val="000000" w:themeColor="text1"/>
          <w:sz w:val="24"/>
          <w:szCs w:val="24"/>
          <w:lang w:val="tr-TR"/>
        </w:rPr>
        <w:t>ilgili Seçilen Göstergeler</w:t>
      </w:r>
      <w:bookmarkEnd w:id="25"/>
      <w:r w:rsidR="00BC0F31" w:rsidRPr="001A4B94">
        <w:rPr>
          <w:rFonts w:ascii="Times New Roman" w:hAnsi="Times New Roman" w:cs="Times New Roman"/>
          <w:b/>
          <w:color w:val="000000" w:themeColor="text1"/>
          <w:sz w:val="24"/>
          <w:szCs w:val="24"/>
          <w:lang w:val="tr-TR"/>
        </w:rPr>
        <w:t xml:space="preserve"> </w:t>
      </w:r>
    </w:p>
    <w:p w14:paraId="1B3D1B80" w14:textId="15AE626E" w:rsidR="00747261" w:rsidRPr="001A4B94" w:rsidRDefault="00BC0F31" w:rsidP="00747261">
      <w:pPr>
        <w:autoSpaceDE w:val="0"/>
        <w:autoSpaceDN w:val="0"/>
        <w:adjustRightInd w:val="0"/>
        <w:jc w:val="center"/>
        <w:rPr>
          <w:bCs/>
          <w:color w:val="000000"/>
          <w:sz w:val="20"/>
          <w:szCs w:val="20"/>
          <w:lang w:val="tr-TR"/>
        </w:rPr>
      </w:pPr>
      <w:r w:rsidRPr="001A4B94">
        <w:rPr>
          <w:bCs/>
          <w:color w:val="000000"/>
          <w:sz w:val="20"/>
          <w:szCs w:val="20"/>
          <w:lang w:val="tr-TR"/>
        </w:rPr>
        <w:t xml:space="preserve">29 Temmuz 2017 itibariyle </w:t>
      </w:r>
    </w:p>
    <w:p w14:paraId="1254AD88" w14:textId="77777777" w:rsidR="00747261" w:rsidRPr="001A4B94" w:rsidRDefault="00747261" w:rsidP="00747261">
      <w:pPr>
        <w:autoSpaceDE w:val="0"/>
        <w:autoSpaceDN w:val="0"/>
        <w:adjustRightInd w:val="0"/>
        <w:jc w:val="center"/>
        <w:rPr>
          <w:bCs/>
          <w:color w:val="000000"/>
          <w:sz w:val="20"/>
          <w:szCs w:val="20"/>
          <w:lang w:val="tr-TR"/>
        </w:rPr>
      </w:pPr>
    </w:p>
    <w:p w14:paraId="5591FE71" w14:textId="77777777" w:rsidR="00747261" w:rsidRPr="001A4B94" w:rsidRDefault="00747261" w:rsidP="00747261">
      <w:pPr>
        <w:autoSpaceDE w:val="0"/>
        <w:autoSpaceDN w:val="0"/>
        <w:adjustRightInd w:val="0"/>
        <w:rPr>
          <w:rFonts w:ascii="Arial" w:hAnsi="Arial" w:cs="Arial"/>
          <w:b/>
          <w:bCs/>
          <w:color w:val="000000"/>
          <w:sz w:val="22"/>
          <w:szCs w:val="22"/>
          <w:lang w:val="tr-TR"/>
        </w:rPr>
      </w:pPr>
    </w:p>
    <w:tbl>
      <w:tblPr>
        <w:tblW w:w="8980" w:type="dxa"/>
        <w:tblInd w:w="180" w:type="dxa"/>
        <w:tblLook w:val="04A0" w:firstRow="1" w:lastRow="0" w:firstColumn="1" w:lastColumn="0" w:noHBand="0" w:noVBand="1"/>
      </w:tblPr>
      <w:tblGrid>
        <w:gridCol w:w="4140"/>
        <w:gridCol w:w="990"/>
        <w:gridCol w:w="1260"/>
        <w:gridCol w:w="1170"/>
        <w:gridCol w:w="1420"/>
      </w:tblGrid>
      <w:tr w:rsidR="00ED5A86" w:rsidRPr="001A4B94" w14:paraId="07AEC574" w14:textId="77777777" w:rsidTr="00B80B46">
        <w:trPr>
          <w:trHeight w:val="395"/>
        </w:trPr>
        <w:tc>
          <w:tcPr>
            <w:tcW w:w="4140" w:type="dxa"/>
            <w:tcBorders>
              <w:top w:val="single" w:sz="4" w:space="0" w:color="auto"/>
              <w:left w:val="nil"/>
              <w:bottom w:val="single" w:sz="4" w:space="0" w:color="auto"/>
              <w:right w:val="nil"/>
            </w:tcBorders>
            <w:shd w:val="clear" w:color="auto" w:fill="auto"/>
            <w:noWrap/>
            <w:vAlign w:val="bottom"/>
            <w:hideMark/>
          </w:tcPr>
          <w:p w14:paraId="5CDB0C31" w14:textId="1A984923" w:rsidR="00ED5A86" w:rsidRPr="001A4B94" w:rsidRDefault="00ED5A86" w:rsidP="00ED5A86">
            <w:pPr>
              <w:rPr>
                <w:b/>
                <w:bCs/>
                <w:color w:val="000000"/>
                <w:sz w:val="18"/>
                <w:szCs w:val="16"/>
                <w:lang w:val="tr-TR"/>
              </w:rPr>
            </w:pPr>
            <w:r w:rsidRPr="001A4B94">
              <w:rPr>
                <w:b/>
                <w:bCs/>
                <w:sz w:val="18"/>
                <w:szCs w:val="20"/>
                <w:lang w:val="tr-TR"/>
              </w:rPr>
              <w:t>Gösterge</w:t>
            </w:r>
          </w:p>
        </w:tc>
        <w:tc>
          <w:tcPr>
            <w:tcW w:w="990" w:type="dxa"/>
            <w:tcBorders>
              <w:top w:val="single" w:sz="4" w:space="0" w:color="000000"/>
              <w:left w:val="nil"/>
              <w:bottom w:val="single" w:sz="4" w:space="0" w:color="000000"/>
              <w:right w:val="nil"/>
            </w:tcBorders>
            <w:shd w:val="clear" w:color="FFFFFF" w:fill="FFFFFF"/>
            <w:noWrap/>
            <w:vAlign w:val="center"/>
            <w:hideMark/>
          </w:tcPr>
          <w:p w14:paraId="5A6F9728" w14:textId="0EDC965A" w:rsidR="00ED5A86" w:rsidRPr="001A4B94" w:rsidRDefault="00ED5A86" w:rsidP="00ED5A86">
            <w:pPr>
              <w:jc w:val="center"/>
              <w:rPr>
                <w:b/>
                <w:bCs/>
                <w:color w:val="000000"/>
                <w:sz w:val="16"/>
                <w:szCs w:val="16"/>
                <w:lang w:val="tr-TR"/>
              </w:rPr>
            </w:pPr>
            <w:r w:rsidRPr="001A4B94">
              <w:rPr>
                <w:b/>
                <w:bCs/>
                <w:color w:val="000000"/>
                <w:sz w:val="16"/>
                <w:szCs w:val="16"/>
                <w:lang w:val="tr-TR"/>
              </w:rPr>
              <w:t>2014 MY</w:t>
            </w:r>
          </w:p>
        </w:tc>
        <w:tc>
          <w:tcPr>
            <w:tcW w:w="1260" w:type="dxa"/>
            <w:tcBorders>
              <w:top w:val="single" w:sz="4" w:space="0" w:color="000000"/>
              <w:left w:val="nil"/>
              <w:bottom w:val="single" w:sz="4" w:space="0" w:color="000000"/>
              <w:right w:val="nil"/>
            </w:tcBorders>
            <w:shd w:val="clear" w:color="FFFFFF" w:fill="FFFFFF"/>
            <w:noWrap/>
            <w:vAlign w:val="center"/>
            <w:hideMark/>
          </w:tcPr>
          <w:p w14:paraId="0606ADD4" w14:textId="63CD16F9" w:rsidR="00ED5A86" w:rsidRPr="001A4B94" w:rsidRDefault="00ED5A86" w:rsidP="00ED5A86">
            <w:pPr>
              <w:jc w:val="center"/>
              <w:rPr>
                <w:b/>
                <w:bCs/>
                <w:color w:val="000000"/>
                <w:sz w:val="16"/>
                <w:szCs w:val="16"/>
                <w:lang w:val="tr-TR"/>
              </w:rPr>
            </w:pPr>
            <w:r w:rsidRPr="001A4B94">
              <w:rPr>
                <w:b/>
                <w:bCs/>
                <w:color w:val="000000"/>
                <w:sz w:val="16"/>
                <w:szCs w:val="16"/>
                <w:lang w:val="tr-TR"/>
              </w:rPr>
              <w:t>2015 MY</w:t>
            </w:r>
          </w:p>
        </w:tc>
        <w:tc>
          <w:tcPr>
            <w:tcW w:w="1170" w:type="dxa"/>
            <w:tcBorders>
              <w:top w:val="single" w:sz="4" w:space="0" w:color="000000"/>
              <w:left w:val="nil"/>
              <w:bottom w:val="single" w:sz="4" w:space="0" w:color="000000"/>
              <w:right w:val="nil"/>
            </w:tcBorders>
            <w:shd w:val="clear" w:color="FFFFFF" w:fill="FFFFFF"/>
            <w:noWrap/>
            <w:vAlign w:val="center"/>
            <w:hideMark/>
          </w:tcPr>
          <w:p w14:paraId="49475EC1" w14:textId="3E3D9116" w:rsidR="00ED5A86" w:rsidRPr="001A4B94" w:rsidRDefault="00ED5A86" w:rsidP="00ED5A86">
            <w:pPr>
              <w:jc w:val="center"/>
              <w:rPr>
                <w:b/>
                <w:bCs/>
                <w:color w:val="000000"/>
                <w:sz w:val="16"/>
                <w:szCs w:val="16"/>
                <w:lang w:val="tr-TR"/>
              </w:rPr>
            </w:pPr>
            <w:r w:rsidRPr="001A4B94">
              <w:rPr>
                <w:b/>
                <w:bCs/>
                <w:color w:val="000000"/>
                <w:sz w:val="16"/>
                <w:szCs w:val="16"/>
                <w:lang w:val="tr-TR"/>
              </w:rPr>
              <w:t>2016 MY</w:t>
            </w:r>
          </w:p>
        </w:tc>
        <w:tc>
          <w:tcPr>
            <w:tcW w:w="1420" w:type="dxa"/>
            <w:tcBorders>
              <w:top w:val="single" w:sz="4" w:space="0" w:color="000000"/>
              <w:left w:val="nil"/>
              <w:bottom w:val="single" w:sz="4" w:space="0" w:color="000000"/>
              <w:right w:val="nil"/>
            </w:tcBorders>
            <w:shd w:val="clear" w:color="FFFFFF" w:fill="FFFFFF"/>
            <w:noWrap/>
            <w:vAlign w:val="center"/>
            <w:hideMark/>
          </w:tcPr>
          <w:p w14:paraId="520AE98E" w14:textId="55623B07" w:rsidR="00ED5A86" w:rsidRPr="001A4B94" w:rsidRDefault="00ED5A86" w:rsidP="00ED5A86">
            <w:pPr>
              <w:jc w:val="center"/>
              <w:rPr>
                <w:b/>
                <w:bCs/>
                <w:color w:val="000000"/>
                <w:sz w:val="16"/>
                <w:szCs w:val="16"/>
                <w:lang w:val="tr-TR"/>
              </w:rPr>
            </w:pPr>
            <w:r w:rsidRPr="001A4B94">
              <w:rPr>
                <w:b/>
                <w:bCs/>
                <w:color w:val="000000"/>
                <w:sz w:val="16"/>
                <w:szCs w:val="16"/>
                <w:lang w:val="tr-TR"/>
              </w:rPr>
              <w:t>2017 MY</w:t>
            </w:r>
          </w:p>
        </w:tc>
      </w:tr>
      <w:tr w:rsidR="00ED5A86" w:rsidRPr="001A4B94" w14:paraId="0DF6A0C7" w14:textId="77777777" w:rsidTr="00B80B46">
        <w:trPr>
          <w:trHeight w:val="288"/>
        </w:trPr>
        <w:tc>
          <w:tcPr>
            <w:tcW w:w="4140" w:type="dxa"/>
            <w:tcBorders>
              <w:top w:val="nil"/>
              <w:left w:val="nil"/>
              <w:bottom w:val="nil"/>
              <w:right w:val="nil"/>
            </w:tcBorders>
            <w:shd w:val="clear" w:color="auto" w:fill="auto"/>
            <w:noWrap/>
            <w:vAlign w:val="bottom"/>
            <w:hideMark/>
          </w:tcPr>
          <w:p w14:paraId="56D9B6F3" w14:textId="65902FB5" w:rsidR="00ED5A86" w:rsidRPr="001A4B94" w:rsidRDefault="00ED5A86" w:rsidP="00ED5A86">
            <w:pPr>
              <w:rPr>
                <w:b/>
                <w:bCs/>
                <w:color w:val="000000"/>
                <w:sz w:val="18"/>
                <w:szCs w:val="16"/>
                <w:lang w:val="tr-TR"/>
              </w:rPr>
            </w:pPr>
            <w:r w:rsidRPr="001A4B94">
              <w:rPr>
                <w:b/>
                <w:bCs/>
                <w:iCs/>
                <w:sz w:val="18"/>
                <w:szCs w:val="20"/>
                <w:lang w:val="tr-TR"/>
              </w:rPr>
              <w:t>Portföy Değerlendirmesi</w:t>
            </w:r>
          </w:p>
        </w:tc>
        <w:tc>
          <w:tcPr>
            <w:tcW w:w="990" w:type="dxa"/>
            <w:tcBorders>
              <w:top w:val="nil"/>
              <w:left w:val="nil"/>
              <w:bottom w:val="nil"/>
              <w:right w:val="nil"/>
            </w:tcBorders>
            <w:shd w:val="clear" w:color="FFFFFF" w:fill="FFFFFF"/>
            <w:noWrap/>
            <w:vAlign w:val="center"/>
            <w:hideMark/>
          </w:tcPr>
          <w:p w14:paraId="794C70E0" w14:textId="77777777" w:rsidR="00ED5A86" w:rsidRPr="001A4B94" w:rsidRDefault="00ED5A86" w:rsidP="00ED5A86">
            <w:pPr>
              <w:rPr>
                <w:color w:val="333333"/>
                <w:sz w:val="16"/>
                <w:szCs w:val="16"/>
                <w:lang w:val="tr-TR"/>
              </w:rPr>
            </w:pPr>
            <w:r w:rsidRPr="001A4B94">
              <w:rPr>
                <w:color w:val="333333"/>
                <w:sz w:val="16"/>
                <w:szCs w:val="16"/>
                <w:lang w:val="tr-TR"/>
              </w:rPr>
              <w:t> </w:t>
            </w:r>
          </w:p>
        </w:tc>
        <w:tc>
          <w:tcPr>
            <w:tcW w:w="1260" w:type="dxa"/>
            <w:tcBorders>
              <w:top w:val="nil"/>
              <w:left w:val="nil"/>
              <w:bottom w:val="nil"/>
              <w:right w:val="nil"/>
            </w:tcBorders>
            <w:shd w:val="clear" w:color="FFFFFF" w:fill="FFFFFF"/>
            <w:noWrap/>
            <w:vAlign w:val="center"/>
            <w:hideMark/>
          </w:tcPr>
          <w:p w14:paraId="04933119" w14:textId="77777777" w:rsidR="00ED5A86" w:rsidRPr="001A4B94" w:rsidRDefault="00ED5A86" w:rsidP="00ED5A86">
            <w:pPr>
              <w:rPr>
                <w:color w:val="333333"/>
                <w:sz w:val="16"/>
                <w:szCs w:val="16"/>
                <w:lang w:val="tr-TR"/>
              </w:rPr>
            </w:pPr>
            <w:r w:rsidRPr="001A4B94">
              <w:rPr>
                <w:color w:val="333333"/>
                <w:sz w:val="16"/>
                <w:szCs w:val="16"/>
                <w:lang w:val="tr-TR"/>
              </w:rPr>
              <w:t> </w:t>
            </w:r>
          </w:p>
        </w:tc>
        <w:tc>
          <w:tcPr>
            <w:tcW w:w="1170" w:type="dxa"/>
            <w:tcBorders>
              <w:top w:val="nil"/>
              <w:left w:val="nil"/>
              <w:bottom w:val="nil"/>
              <w:right w:val="nil"/>
            </w:tcBorders>
            <w:shd w:val="clear" w:color="FFFFFF" w:fill="FFFFFF"/>
            <w:noWrap/>
            <w:vAlign w:val="center"/>
            <w:hideMark/>
          </w:tcPr>
          <w:p w14:paraId="1DCF38F7" w14:textId="77777777" w:rsidR="00ED5A86" w:rsidRPr="001A4B94" w:rsidRDefault="00ED5A86" w:rsidP="00ED5A86">
            <w:pPr>
              <w:rPr>
                <w:color w:val="333333"/>
                <w:sz w:val="16"/>
                <w:szCs w:val="16"/>
                <w:lang w:val="tr-TR"/>
              </w:rPr>
            </w:pPr>
            <w:r w:rsidRPr="001A4B94">
              <w:rPr>
                <w:color w:val="333333"/>
                <w:sz w:val="16"/>
                <w:szCs w:val="16"/>
                <w:lang w:val="tr-TR"/>
              </w:rPr>
              <w:t> </w:t>
            </w:r>
          </w:p>
        </w:tc>
        <w:tc>
          <w:tcPr>
            <w:tcW w:w="1420" w:type="dxa"/>
            <w:tcBorders>
              <w:top w:val="nil"/>
              <w:left w:val="nil"/>
              <w:bottom w:val="nil"/>
              <w:right w:val="nil"/>
            </w:tcBorders>
            <w:shd w:val="clear" w:color="FFFFFF" w:fill="FFFFFF"/>
            <w:noWrap/>
            <w:vAlign w:val="center"/>
            <w:hideMark/>
          </w:tcPr>
          <w:p w14:paraId="31C92E01" w14:textId="77777777" w:rsidR="00ED5A86" w:rsidRPr="001A4B94" w:rsidRDefault="00ED5A86" w:rsidP="00ED5A86">
            <w:pPr>
              <w:rPr>
                <w:color w:val="333333"/>
                <w:sz w:val="16"/>
                <w:szCs w:val="16"/>
                <w:lang w:val="tr-TR"/>
              </w:rPr>
            </w:pPr>
            <w:r w:rsidRPr="001A4B94">
              <w:rPr>
                <w:color w:val="333333"/>
                <w:sz w:val="16"/>
                <w:szCs w:val="16"/>
                <w:lang w:val="tr-TR"/>
              </w:rPr>
              <w:t> </w:t>
            </w:r>
          </w:p>
        </w:tc>
      </w:tr>
      <w:tr w:rsidR="004A11A9" w:rsidRPr="001A4B94" w14:paraId="14CA6727" w14:textId="77777777" w:rsidTr="00747261">
        <w:trPr>
          <w:trHeight w:val="288"/>
        </w:trPr>
        <w:tc>
          <w:tcPr>
            <w:tcW w:w="4140" w:type="dxa"/>
            <w:tcBorders>
              <w:top w:val="nil"/>
              <w:left w:val="nil"/>
              <w:bottom w:val="nil"/>
              <w:right w:val="nil"/>
            </w:tcBorders>
            <w:shd w:val="clear" w:color="FFFFFF" w:fill="FFFFFF"/>
            <w:noWrap/>
            <w:vAlign w:val="bottom"/>
            <w:hideMark/>
          </w:tcPr>
          <w:p w14:paraId="49829F8D" w14:textId="6C5EFC40" w:rsidR="004A11A9" w:rsidRPr="001A4B94" w:rsidRDefault="004A11A9" w:rsidP="004A11A9">
            <w:pPr>
              <w:rPr>
                <w:color w:val="000000"/>
                <w:sz w:val="16"/>
                <w:szCs w:val="16"/>
                <w:lang w:val="tr-TR"/>
              </w:rPr>
            </w:pPr>
            <w:r w:rsidRPr="001A4B94">
              <w:rPr>
                <w:sz w:val="16"/>
                <w:szCs w:val="20"/>
                <w:lang w:val="tr-TR"/>
              </w:rPr>
              <w:t xml:space="preserve">Uygulamadaki Proje Sayısı </w:t>
            </w:r>
            <w:r w:rsidRPr="001A4B94">
              <w:rPr>
                <w:i/>
                <w:iCs/>
                <w:sz w:val="16"/>
                <w:szCs w:val="20"/>
                <w:vertAlign w:val="superscript"/>
                <w:lang w:val="tr-TR"/>
              </w:rPr>
              <w:t>a</w:t>
            </w:r>
          </w:p>
        </w:tc>
        <w:tc>
          <w:tcPr>
            <w:tcW w:w="990" w:type="dxa"/>
            <w:tcBorders>
              <w:top w:val="nil"/>
              <w:left w:val="nil"/>
              <w:bottom w:val="nil"/>
              <w:right w:val="nil"/>
            </w:tcBorders>
            <w:shd w:val="clear" w:color="FFFFFF" w:fill="FFFFFF"/>
            <w:noWrap/>
            <w:vAlign w:val="bottom"/>
            <w:hideMark/>
          </w:tcPr>
          <w:p w14:paraId="332FB2F9" w14:textId="681A6438" w:rsidR="004A11A9" w:rsidRPr="001A4B94" w:rsidRDefault="004A11A9" w:rsidP="004A11A9">
            <w:pPr>
              <w:jc w:val="right"/>
              <w:rPr>
                <w:color w:val="000000"/>
                <w:sz w:val="16"/>
                <w:szCs w:val="16"/>
                <w:lang w:val="tr-TR"/>
              </w:rPr>
            </w:pPr>
            <w:r w:rsidRPr="001A4B94">
              <w:rPr>
                <w:color w:val="000000"/>
                <w:sz w:val="16"/>
                <w:szCs w:val="16"/>
                <w:lang w:val="tr-TR"/>
              </w:rPr>
              <w:t>12,0</w:t>
            </w:r>
          </w:p>
        </w:tc>
        <w:tc>
          <w:tcPr>
            <w:tcW w:w="1260" w:type="dxa"/>
            <w:tcBorders>
              <w:top w:val="nil"/>
              <w:left w:val="nil"/>
              <w:bottom w:val="nil"/>
              <w:right w:val="nil"/>
            </w:tcBorders>
            <w:shd w:val="clear" w:color="FFFFFF" w:fill="FFFFFF"/>
            <w:noWrap/>
            <w:vAlign w:val="bottom"/>
            <w:hideMark/>
          </w:tcPr>
          <w:p w14:paraId="47F1D0A0" w14:textId="72ECC8CC" w:rsidR="004A11A9" w:rsidRPr="001A4B94" w:rsidRDefault="004A11A9" w:rsidP="004A11A9">
            <w:pPr>
              <w:jc w:val="right"/>
              <w:rPr>
                <w:color w:val="000000"/>
                <w:sz w:val="16"/>
                <w:szCs w:val="16"/>
                <w:lang w:val="tr-TR"/>
              </w:rPr>
            </w:pPr>
            <w:r w:rsidRPr="001A4B94">
              <w:rPr>
                <w:color w:val="000000"/>
                <w:sz w:val="16"/>
                <w:szCs w:val="16"/>
                <w:lang w:val="tr-TR"/>
              </w:rPr>
              <w:t>11,0</w:t>
            </w:r>
          </w:p>
        </w:tc>
        <w:tc>
          <w:tcPr>
            <w:tcW w:w="1170" w:type="dxa"/>
            <w:tcBorders>
              <w:top w:val="nil"/>
              <w:left w:val="nil"/>
              <w:bottom w:val="nil"/>
              <w:right w:val="nil"/>
            </w:tcBorders>
            <w:shd w:val="clear" w:color="FFFFFF" w:fill="FFFFFF"/>
            <w:noWrap/>
            <w:vAlign w:val="bottom"/>
            <w:hideMark/>
          </w:tcPr>
          <w:p w14:paraId="22DD5F9F" w14:textId="327ADFA5" w:rsidR="004A11A9" w:rsidRPr="001A4B94" w:rsidRDefault="004A11A9" w:rsidP="004A11A9">
            <w:pPr>
              <w:jc w:val="right"/>
              <w:rPr>
                <w:color w:val="000000"/>
                <w:sz w:val="16"/>
                <w:szCs w:val="16"/>
                <w:lang w:val="tr-TR"/>
              </w:rPr>
            </w:pPr>
            <w:r w:rsidRPr="001A4B94">
              <w:rPr>
                <w:color w:val="000000"/>
                <w:sz w:val="16"/>
                <w:szCs w:val="16"/>
                <w:lang w:val="tr-TR"/>
              </w:rPr>
              <w:t>10,0</w:t>
            </w:r>
          </w:p>
        </w:tc>
        <w:tc>
          <w:tcPr>
            <w:tcW w:w="1420" w:type="dxa"/>
            <w:tcBorders>
              <w:top w:val="nil"/>
              <w:left w:val="nil"/>
              <w:bottom w:val="nil"/>
              <w:right w:val="nil"/>
            </w:tcBorders>
            <w:shd w:val="clear" w:color="FFFFFF" w:fill="FFFFFF"/>
            <w:noWrap/>
            <w:vAlign w:val="bottom"/>
            <w:hideMark/>
          </w:tcPr>
          <w:p w14:paraId="21AA13E8" w14:textId="43CE0A34" w:rsidR="004A11A9" w:rsidRPr="001A4B94" w:rsidRDefault="004A11A9" w:rsidP="004A11A9">
            <w:pPr>
              <w:jc w:val="right"/>
              <w:rPr>
                <w:color w:val="000000"/>
                <w:sz w:val="16"/>
                <w:szCs w:val="16"/>
                <w:lang w:val="tr-TR"/>
              </w:rPr>
            </w:pPr>
            <w:r w:rsidRPr="001A4B94">
              <w:rPr>
                <w:color w:val="000000"/>
                <w:sz w:val="16"/>
                <w:szCs w:val="16"/>
                <w:lang w:val="tr-TR"/>
              </w:rPr>
              <w:t>12,0</w:t>
            </w:r>
          </w:p>
        </w:tc>
      </w:tr>
      <w:tr w:rsidR="004A11A9" w:rsidRPr="001A4B94" w14:paraId="4C74DA5C" w14:textId="77777777" w:rsidTr="00747261">
        <w:trPr>
          <w:trHeight w:val="288"/>
        </w:trPr>
        <w:tc>
          <w:tcPr>
            <w:tcW w:w="4140" w:type="dxa"/>
            <w:tcBorders>
              <w:top w:val="nil"/>
              <w:left w:val="nil"/>
              <w:bottom w:val="nil"/>
              <w:right w:val="nil"/>
            </w:tcBorders>
            <w:shd w:val="clear" w:color="FFFFFF" w:fill="FFFFFF"/>
            <w:noWrap/>
            <w:vAlign w:val="bottom"/>
            <w:hideMark/>
          </w:tcPr>
          <w:p w14:paraId="33E3FBAA" w14:textId="04380F1A" w:rsidR="004A11A9" w:rsidRPr="001A4B94" w:rsidRDefault="004A11A9" w:rsidP="004A11A9">
            <w:pPr>
              <w:rPr>
                <w:color w:val="000000"/>
                <w:sz w:val="16"/>
                <w:szCs w:val="16"/>
                <w:lang w:val="tr-TR"/>
              </w:rPr>
            </w:pPr>
            <w:r w:rsidRPr="001A4B94">
              <w:rPr>
                <w:sz w:val="16"/>
                <w:szCs w:val="20"/>
                <w:lang w:val="tr-TR"/>
              </w:rPr>
              <w:t xml:space="preserve">Ortalama Uygulama Süresi (yıl) </w:t>
            </w:r>
            <w:r w:rsidRPr="001A4B94">
              <w:rPr>
                <w:i/>
                <w:iCs/>
                <w:sz w:val="16"/>
                <w:szCs w:val="20"/>
                <w:vertAlign w:val="superscript"/>
                <w:lang w:val="tr-TR"/>
              </w:rPr>
              <w:t>b</w:t>
            </w:r>
          </w:p>
        </w:tc>
        <w:tc>
          <w:tcPr>
            <w:tcW w:w="990" w:type="dxa"/>
            <w:tcBorders>
              <w:top w:val="nil"/>
              <w:left w:val="nil"/>
              <w:bottom w:val="nil"/>
              <w:right w:val="nil"/>
            </w:tcBorders>
            <w:shd w:val="clear" w:color="FFFFFF" w:fill="FFFFFF"/>
            <w:noWrap/>
            <w:vAlign w:val="bottom"/>
            <w:hideMark/>
          </w:tcPr>
          <w:p w14:paraId="4C3A80F3" w14:textId="51E4B89B" w:rsidR="004A11A9" w:rsidRPr="001A4B94" w:rsidRDefault="004A11A9" w:rsidP="004A11A9">
            <w:pPr>
              <w:jc w:val="right"/>
              <w:rPr>
                <w:color w:val="000000"/>
                <w:sz w:val="16"/>
                <w:szCs w:val="16"/>
                <w:lang w:val="tr-TR"/>
              </w:rPr>
            </w:pPr>
            <w:r w:rsidRPr="001A4B94">
              <w:rPr>
                <w:color w:val="000000"/>
                <w:sz w:val="16"/>
                <w:szCs w:val="16"/>
                <w:lang w:val="tr-TR"/>
              </w:rPr>
              <w:t>5,1</w:t>
            </w:r>
          </w:p>
        </w:tc>
        <w:tc>
          <w:tcPr>
            <w:tcW w:w="1260" w:type="dxa"/>
            <w:tcBorders>
              <w:top w:val="nil"/>
              <w:left w:val="nil"/>
              <w:bottom w:val="nil"/>
              <w:right w:val="nil"/>
            </w:tcBorders>
            <w:shd w:val="clear" w:color="FFFFFF" w:fill="FFFFFF"/>
            <w:noWrap/>
            <w:vAlign w:val="bottom"/>
            <w:hideMark/>
          </w:tcPr>
          <w:p w14:paraId="7B71BC19" w14:textId="44FF238B" w:rsidR="004A11A9" w:rsidRPr="001A4B94" w:rsidRDefault="004A11A9" w:rsidP="004A11A9">
            <w:pPr>
              <w:jc w:val="right"/>
              <w:rPr>
                <w:color w:val="000000"/>
                <w:sz w:val="16"/>
                <w:szCs w:val="16"/>
                <w:lang w:val="tr-TR"/>
              </w:rPr>
            </w:pPr>
            <w:r w:rsidRPr="001A4B94">
              <w:rPr>
                <w:color w:val="000000"/>
                <w:sz w:val="16"/>
                <w:szCs w:val="16"/>
                <w:lang w:val="tr-TR"/>
              </w:rPr>
              <w:t>5,7</w:t>
            </w:r>
          </w:p>
        </w:tc>
        <w:tc>
          <w:tcPr>
            <w:tcW w:w="1170" w:type="dxa"/>
            <w:tcBorders>
              <w:top w:val="nil"/>
              <w:left w:val="nil"/>
              <w:bottom w:val="nil"/>
              <w:right w:val="nil"/>
            </w:tcBorders>
            <w:shd w:val="clear" w:color="FFFFFF" w:fill="FFFFFF"/>
            <w:noWrap/>
            <w:vAlign w:val="bottom"/>
            <w:hideMark/>
          </w:tcPr>
          <w:p w14:paraId="5549F268" w14:textId="1B173424" w:rsidR="004A11A9" w:rsidRPr="001A4B94" w:rsidRDefault="004A11A9" w:rsidP="004A11A9">
            <w:pPr>
              <w:jc w:val="right"/>
              <w:rPr>
                <w:color w:val="000000"/>
                <w:sz w:val="16"/>
                <w:szCs w:val="16"/>
                <w:lang w:val="tr-TR"/>
              </w:rPr>
            </w:pPr>
            <w:r w:rsidRPr="001A4B94">
              <w:rPr>
                <w:color w:val="000000"/>
                <w:sz w:val="16"/>
                <w:szCs w:val="16"/>
                <w:lang w:val="tr-TR"/>
              </w:rPr>
              <w:t>5,2</w:t>
            </w:r>
          </w:p>
        </w:tc>
        <w:tc>
          <w:tcPr>
            <w:tcW w:w="1420" w:type="dxa"/>
            <w:tcBorders>
              <w:top w:val="nil"/>
              <w:left w:val="nil"/>
              <w:bottom w:val="nil"/>
              <w:right w:val="nil"/>
            </w:tcBorders>
            <w:shd w:val="clear" w:color="FFFFFF" w:fill="FFFFFF"/>
            <w:noWrap/>
            <w:vAlign w:val="bottom"/>
            <w:hideMark/>
          </w:tcPr>
          <w:p w14:paraId="10E56C35" w14:textId="5780EFF9" w:rsidR="004A11A9" w:rsidRPr="001A4B94" w:rsidRDefault="004A11A9" w:rsidP="004A11A9">
            <w:pPr>
              <w:jc w:val="right"/>
              <w:rPr>
                <w:color w:val="000000"/>
                <w:sz w:val="16"/>
                <w:szCs w:val="16"/>
                <w:lang w:val="tr-TR"/>
              </w:rPr>
            </w:pPr>
            <w:r w:rsidRPr="001A4B94">
              <w:rPr>
                <w:color w:val="000000"/>
                <w:sz w:val="16"/>
                <w:szCs w:val="16"/>
                <w:lang w:val="tr-TR"/>
              </w:rPr>
              <w:t>3,7</w:t>
            </w:r>
          </w:p>
        </w:tc>
      </w:tr>
      <w:tr w:rsidR="004A11A9" w:rsidRPr="001A4B94" w14:paraId="01181D62" w14:textId="77777777" w:rsidTr="00747261">
        <w:trPr>
          <w:trHeight w:val="288"/>
        </w:trPr>
        <w:tc>
          <w:tcPr>
            <w:tcW w:w="4140" w:type="dxa"/>
            <w:tcBorders>
              <w:top w:val="nil"/>
              <w:left w:val="nil"/>
              <w:bottom w:val="nil"/>
              <w:right w:val="nil"/>
            </w:tcBorders>
            <w:shd w:val="clear" w:color="FFFFFF" w:fill="FFFFFF"/>
            <w:noWrap/>
            <w:vAlign w:val="bottom"/>
            <w:hideMark/>
          </w:tcPr>
          <w:p w14:paraId="39E9E299" w14:textId="4C4B3DFB" w:rsidR="004A11A9" w:rsidRPr="001A4B94" w:rsidRDefault="004A11A9" w:rsidP="004A11A9">
            <w:pPr>
              <w:rPr>
                <w:color w:val="000000"/>
                <w:sz w:val="16"/>
                <w:szCs w:val="16"/>
                <w:lang w:val="tr-TR"/>
              </w:rPr>
            </w:pPr>
            <w:r w:rsidRPr="001A4B94">
              <w:rPr>
                <w:sz w:val="16"/>
                <w:szCs w:val="20"/>
                <w:lang w:val="tr-TR"/>
              </w:rPr>
              <w:t xml:space="preserve">Sorunlu Projelerin Yüzdesi -sayıya göre </w:t>
            </w:r>
            <w:r w:rsidRPr="001A4B94">
              <w:rPr>
                <w:i/>
                <w:iCs/>
                <w:sz w:val="16"/>
                <w:szCs w:val="20"/>
                <w:vertAlign w:val="superscript"/>
                <w:lang w:val="tr-TR"/>
              </w:rPr>
              <w:t>a, c</w:t>
            </w:r>
          </w:p>
        </w:tc>
        <w:tc>
          <w:tcPr>
            <w:tcW w:w="990" w:type="dxa"/>
            <w:tcBorders>
              <w:top w:val="nil"/>
              <w:left w:val="nil"/>
              <w:bottom w:val="nil"/>
              <w:right w:val="nil"/>
            </w:tcBorders>
            <w:shd w:val="clear" w:color="FFFFFF" w:fill="FFFFFF"/>
            <w:noWrap/>
            <w:vAlign w:val="bottom"/>
            <w:hideMark/>
          </w:tcPr>
          <w:p w14:paraId="5CA6E5FE" w14:textId="286F2DEA" w:rsidR="004A11A9" w:rsidRPr="001A4B94" w:rsidRDefault="004A11A9" w:rsidP="004A11A9">
            <w:pPr>
              <w:jc w:val="right"/>
              <w:rPr>
                <w:color w:val="000000"/>
                <w:sz w:val="16"/>
                <w:szCs w:val="16"/>
                <w:lang w:val="tr-TR"/>
              </w:rPr>
            </w:pPr>
            <w:r w:rsidRPr="001A4B94">
              <w:rPr>
                <w:color w:val="000000"/>
                <w:sz w:val="16"/>
                <w:szCs w:val="16"/>
                <w:lang w:val="tr-TR"/>
              </w:rPr>
              <w:t>8,3</w:t>
            </w:r>
          </w:p>
        </w:tc>
        <w:tc>
          <w:tcPr>
            <w:tcW w:w="1260" w:type="dxa"/>
            <w:tcBorders>
              <w:top w:val="nil"/>
              <w:left w:val="nil"/>
              <w:bottom w:val="nil"/>
              <w:right w:val="nil"/>
            </w:tcBorders>
            <w:shd w:val="clear" w:color="FFFFFF" w:fill="FFFFFF"/>
            <w:noWrap/>
            <w:vAlign w:val="bottom"/>
            <w:hideMark/>
          </w:tcPr>
          <w:p w14:paraId="09D21605" w14:textId="7DC0B9EA"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170" w:type="dxa"/>
            <w:tcBorders>
              <w:top w:val="nil"/>
              <w:left w:val="nil"/>
              <w:bottom w:val="nil"/>
              <w:right w:val="nil"/>
            </w:tcBorders>
            <w:shd w:val="clear" w:color="FFFFFF" w:fill="FFFFFF"/>
            <w:noWrap/>
            <w:vAlign w:val="bottom"/>
            <w:hideMark/>
          </w:tcPr>
          <w:p w14:paraId="5BA38200" w14:textId="2BB20373"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420" w:type="dxa"/>
            <w:tcBorders>
              <w:top w:val="nil"/>
              <w:left w:val="nil"/>
              <w:bottom w:val="nil"/>
              <w:right w:val="nil"/>
            </w:tcBorders>
            <w:shd w:val="clear" w:color="FFFFFF" w:fill="FFFFFF"/>
            <w:noWrap/>
            <w:vAlign w:val="bottom"/>
            <w:hideMark/>
          </w:tcPr>
          <w:p w14:paraId="2ABF1F14" w14:textId="620673C5" w:rsidR="004A11A9" w:rsidRPr="001A4B94" w:rsidRDefault="004A11A9" w:rsidP="004A11A9">
            <w:pPr>
              <w:jc w:val="right"/>
              <w:rPr>
                <w:color w:val="000000"/>
                <w:sz w:val="16"/>
                <w:szCs w:val="16"/>
                <w:lang w:val="tr-TR"/>
              </w:rPr>
            </w:pPr>
            <w:r w:rsidRPr="001A4B94">
              <w:rPr>
                <w:color w:val="000000"/>
                <w:sz w:val="16"/>
                <w:szCs w:val="16"/>
                <w:lang w:val="tr-TR"/>
              </w:rPr>
              <w:t>25,0</w:t>
            </w:r>
          </w:p>
        </w:tc>
      </w:tr>
      <w:tr w:rsidR="004A11A9" w:rsidRPr="001A4B94" w14:paraId="19D0C595" w14:textId="77777777" w:rsidTr="00747261">
        <w:trPr>
          <w:trHeight w:val="288"/>
        </w:trPr>
        <w:tc>
          <w:tcPr>
            <w:tcW w:w="4140" w:type="dxa"/>
            <w:tcBorders>
              <w:top w:val="nil"/>
              <w:left w:val="nil"/>
              <w:bottom w:val="nil"/>
              <w:right w:val="nil"/>
            </w:tcBorders>
            <w:shd w:val="clear" w:color="FFFFFF" w:fill="FFFFFF"/>
            <w:noWrap/>
            <w:vAlign w:val="bottom"/>
            <w:hideMark/>
          </w:tcPr>
          <w:p w14:paraId="152BE749" w14:textId="722880D4" w:rsidR="004A11A9" w:rsidRPr="001A4B94" w:rsidRDefault="004A11A9" w:rsidP="004A11A9">
            <w:pPr>
              <w:rPr>
                <w:color w:val="000000"/>
                <w:sz w:val="16"/>
                <w:szCs w:val="16"/>
                <w:lang w:val="tr-TR"/>
              </w:rPr>
            </w:pPr>
            <w:r w:rsidRPr="001A4B94">
              <w:rPr>
                <w:sz w:val="16"/>
                <w:szCs w:val="20"/>
                <w:lang w:val="tr-TR"/>
              </w:rPr>
              <w:t xml:space="preserve">Sorunlu Projelerin Yüzdesi -miktara göre </w:t>
            </w:r>
            <w:r w:rsidRPr="001A4B94">
              <w:rPr>
                <w:i/>
                <w:iCs/>
                <w:sz w:val="16"/>
                <w:szCs w:val="20"/>
                <w:vertAlign w:val="superscript"/>
                <w:lang w:val="tr-TR"/>
              </w:rPr>
              <w:t>a, c</w:t>
            </w:r>
          </w:p>
        </w:tc>
        <w:tc>
          <w:tcPr>
            <w:tcW w:w="990" w:type="dxa"/>
            <w:tcBorders>
              <w:top w:val="nil"/>
              <w:left w:val="nil"/>
              <w:bottom w:val="nil"/>
              <w:right w:val="nil"/>
            </w:tcBorders>
            <w:shd w:val="clear" w:color="FFFFFF" w:fill="FFFFFF"/>
            <w:noWrap/>
            <w:vAlign w:val="bottom"/>
            <w:hideMark/>
          </w:tcPr>
          <w:p w14:paraId="50549537" w14:textId="4D7AB3F5" w:rsidR="004A11A9" w:rsidRPr="001A4B94" w:rsidRDefault="004A11A9" w:rsidP="004A11A9">
            <w:pPr>
              <w:jc w:val="right"/>
              <w:rPr>
                <w:color w:val="000000"/>
                <w:sz w:val="16"/>
                <w:szCs w:val="16"/>
                <w:lang w:val="tr-TR"/>
              </w:rPr>
            </w:pPr>
            <w:r w:rsidRPr="001A4B94">
              <w:rPr>
                <w:color w:val="000000"/>
                <w:sz w:val="16"/>
                <w:szCs w:val="16"/>
                <w:lang w:val="tr-TR"/>
              </w:rPr>
              <w:t>4,0</w:t>
            </w:r>
          </w:p>
        </w:tc>
        <w:tc>
          <w:tcPr>
            <w:tcW w:w="1260" w:type="dxa"/>
            <w:tcBorders>
              <w:top w:val="nil"/>
              <w:left w:val="nil"/>
              <w:bottom w:val="nil"/>
              <w:right w:val="nil"/>
            </w:tcBorders>
            <w:shd w:val="clear" w:color="FFFFFF" w:fill="FFFFFF"/>
            <w:noWrap/>
            <w:vAlign w:val="bottom"/>
            <w:hideMark/>
          </w:tcPr>
          <w:p w14:paraId="57ED3F13" w14:textId="51006026"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170" w:type="dxa"/>
            <w:tcBorders>
              <w:top w:val="nil"/>
              <w:left w:val="nil"/>
              <w:bottom w:val="nil"/>
              <w:right w:val="nil"/>
            </w:tcBorders>
            <w:shd w:val="clear" w:color="FFFFFF" w:fill="FFFFFF"/>
            <w:noWrap/>
            <w:vAlign w:val="bottom"/>
            <w:hideMark/>
          </w:tcPr>
          <w:p w14:paraId="4399A733" w14:textId="30E073ED"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420" w:type="dxa"/>
            <w:tcBorders>
              <w:top w:val="nil"/>
              <w:left w:val="nil"/>
              <w:bottom w:val="nil"/>
              <w:right w:val="nil"/>
            </w:tcBorders>
            <w:shd w:val="clear" w:color="FFFFFF" w:fill="FFFFFF"/>
            <w:noWrap/>
            <w:vAlign w:val="bottom"/>
            <w:hideMark/>
          </w:tcPr>
          <w:p w14:paraId="78B02D8F" w14:textId="0A19AF3A" w:rsidR="004A11A9" w:rsidRPr="001A4B94" w:rsidRDefault="004A11A9" w:rsidP="004A11A9">
            <w:pPr>
              <w:jc w:val="right"/>
              <w:rPr>
                <w:color w:val="000000"/>
                <w:sz w:val="16"/>
                <w:szCs w:val="16"/>
                <w:lang w:val="tr-TR"/>
              </w:rPr>
            </w:pPr>
            <w:r w:rsidRPr="001A4B94">
              <w:rPr>
                <w:color w:val="000000"/>
                <w:sz w:val="16"/>
                <w:szCs w:val="16"/>
                <w:lang w:val="tr-TR"/>
              </w:rPr>
              <w:t>13,2</w:t>
            </w:r>
          </w:p>
        </w:tc>
      </w:tr>
      <w:tr w:rsidR="004A11A9" w:rsidRPr="001A4B94" w14:paraId="5CFAA508" w14:textId="77777777" w:rsidTr="00747261">
        <w:trPr>
          <w:trHeight w:val="288"/>
        </w:trPr>
        <w:tc>
          <w:tcPr>
            <w:tcW w:w="4140" w:type="dxa"/>
            <w:tcBorders>
              <w:top w:val="nil"/>
              <w:left w:val="nil"/>
              <w:bottom w:val="nil"/>
              <w:right w:val="nil"/>
            </w:tcBorders>
            <w:shd w:val="clear" w:color="FFFFFF" w:fill="FFFFFF"/>
            <w:noWrap/>
            <w:vAlign w:val="bottom"/>
            <w:hideMark/>
          </w:tcPr>
          <w:p w14:paraId="793897B4" w14:textId="271FCFE3" w:rsidR="004A11A9" w:rsidRPr="001A4B94" w:rsidRDefault="004A11A9" w:rsidP="004A11A9">
            <w:pPr>
              <w:rPr>
                <w:color w:val="000000"/>
                <w:sz w:val="16"/>
                <w:szCs w:val="16"/>
                <w:lang w:val="tr-TR"/>
              </w:rPr>
            </w:pPr>
            <w:r w:rsidRPr="001A4B94">
              <w:rPr>
                <w:sz w:val="16"/>
                <w:szCs w:val="20"/>
                <w:lang w:val="tr-TR"/>
              </w:rPr>
              <w:t xml:space="preserve">Risk altındaki projelerin yüzdesi -sayıya göre </w:t>
            </w:r>
            <w:r w:rsidRPr="001A4B94">
              <w:rPr>
                <w:i/>
                <w:iCs/>
                <w:sz w:val="16"/>
                <w:szCs w:val="20"/>
                <w:vertAlign w:val="superscript"/>
                <w:lang w:val="tr-TR"/>
              </w:rPr>
              <w:t>a, d</w:t>
            </w:r>
          </w:p>
        </w:tc>
        <w:tc>
          <w:tcPr>
            <w:tcW w:w="990" w:type="dxa"/>
            <w:tcBorders>
              <w:top w:val="nil"/>
              <w:left w:val="nil"/>
              <w:bottom w:val="nil"/>
              <w:right w:val="nil"/>
            </w:tcBorders>
            <w:shd w:val="clear" w:color="FFFFFF" w:fill="FFFFFF"/>
            <w:noWrap/>
            <w:vAlign w:val="bottom"/>
            <w:hideMark/>
          </w:tcPr>
          <w:p w14:paraId="0B20C589" w14:textId="1580F77F" w:rsidR="004A11A9" w:rsidRPr="001A4B94" w:rsidRDefault="004A11A9" w:rsidP="004A11A9">
            <w:pPr>
              <w:jc w:val="right"/>
              <w:rPr>
                <w:color w:val="000000"/>
                <w:sz w:val="16"/>
                <w:szCs w:val="16"/>
                <w:lang w:val="tr-TR"/>
              </w:rPr>
            </w:pPr>
            <w:r w:rsidRPr="001A4B94">
              <w:rPr>
                <w:color w:val="000000"/>
                <w:sz w:val="16"/>
                <w:szCs w:val="16"/>
                <w:lang w:val="tr-TR"/>
              </w:rPr>
              <w:t>16,7</w:t>
            </w:r>
          </w:p>
        </w:tc>
        <w:tc>
          <w:tcPr>
            <w:tcW w:w="1260" w:type="dxa"/>
            <w:tcBorders>
              <w:top w:val="nil"/>
              <w:left w:val="nil"/>
              <w:bottom w:val="nil"/>
              <w:right w:val="nil"/>
            </w:tcBorders>
            <w:shd w:val="clear" w:color="FFFFFF" w:fill="FFFFFF"/>
            <w:noWrap/>
            <w:vAlign w:val="bottom"/>
            <w:hideMark/>
          </w:tcPr>
          <w:p w14:paraId="0346D70A" w14:textId="10E14A7B"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170" w:type="dxa"/>
            <w:tcBorders>
              <w:top w:val="nil"/>
              <w:left w:val="nil"/>
              <w:bottom w:val="nil"/>
              <w:right w:val="nil"/>
            </w:tcBorders>
            <w:shd w:val="clear" w:color="FFFFFF" w:fill="FFFFFF"/>
            <w:noWrap/>
            <w:vAlign w:val="bottom"/>
            <w:hideMark/>
          </w:tcPr>
          <w:p w14:paraId="4FB44BEF" w14:textId="60635A03"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420" w:type="dxa"/>
            <w:tcBorders>
              <w:top w:val="nil"/>
              <w:left w:val="nil"/>
              <w:bottom w:val="nil"/>
              <w:right w:val="nil"/>
            </w:tcBorders>
            <w:shd w:val="clear" w:color="FFFFFF" w:fill="FFFFFF"/>
            <w:noWrap/>
            <w:vAlign w:val="bottom"/>
            <w:hideMark/>
          </w:tcPr>
          <w:p w14:paraId="52D1FD98" w14:textId="171F725C" w:rsidR="004A11A9" w:rsidRPr="001A4B94" w:rsidRDefault="004A11A9" w:rsidP="004A11A9">
            <w:pPr>
              <w:jc w:val="right"/>
              <w:rPr>
                <w:color w:val="000000"/>
                <w:sz w:val="16"/>
                <w:szCs w:val="16"/>
                <w:lang w:val="tr-TR"/>
              </w:rPr>
            </w:pPr>
            <w:r w:rsidRPr="001A4B94">
              <w:rPr>
                <w:color w:val="000000"/>
                <w:sz w:val="16"/>
                <w:szCs w:val="16"/>
                <w:lang w:val="tr-TR"/>
              </w:rPr>
              <w:t>25,0</w:t>
            </w:r>
          </w:p>
        </w:tc>
      </w:tr>
      <w:tr w:rsidR="004A11A9" w:rsidRPr="001A4B94" w14:paraId="136FEB51" w14:textId="77777777" w:rsidTr="00747261">
        <w:trPr>
          <w:trHeight w:val="288"/>
        </w:trPr>
        <w:tc>
          <w:tcPr>
            <w:tcW w:w="4140" w:type="dxa"/>
            <w:tcBorders>
              <w:top w:val="nil"/>
              <w:left w:val="nil"/>
              <w:bottom w:val="nil"/>
              <w:right w:val="nil"/>
            </w:tcBorders>
            <w:shd w:val="clear" w:color="FFFFFF" w:fill="FFFFFF"/>
            <w:noWrap/>
            <w:vAlign w:val="bottom"/>
            <w:hideMark/>
          </w:tcPr>
          <w:p w14:paraId="169A0491" w14:textId="11DA71CD" w:rsidR="004A11A9" w:rsidRPr="001A4B94" w:rsidRDefault="004A11A9" w:rsidP="004A11A9">
            <w:pPr>
              <w:rPr>
                <w:color w:val="000000"/>
                <w:sz w:val="16"/>
                <w:szCs w:val="16"/>
                <w:lang w:val="tr-TR"/>
              </w:rPr>
            </w:pPr>
            <w:r w:rsidRPr="001A4B94">
              <w:rPr>
                <w:sz w:val="16"/>
                <w:szCs w:val="20"/>
                <w:lang w:val="tr-TR"/>
              </w:rPr>
              <w:t xml:space="preserve">Risk altındaki projelerin yüzdesi -miktara göre </w:t>
            </w:r>
            <w:r w:rsidRPr="001A4B94">
              <w:rPr>
                <w:i/>
                <w:iCs/>
                <w:sz w:val="16"/>
                <w:szCs w:val="20"/>
                <w:vertAlign w:val="superscript"/>
                <w:lang w:val="tr-TR"/>
              </w:rPr>
              <w:t>a, d</w:t>
            </w:r>
          </w:p>
        </w:tc>
        <w:tc>
          <w:tcPr>
            <w:tcW w:w="990" w:type="dxa"/>
            <w:tcBorders>
              <w:top w:val="nil"/>
              <w:left w:val="nil"/>
              <w:bottom w:val="nil"/>
              <w:right w:val="nil"/>
            </w:tcBorders>
            <w:shd w:val="clear" w:color="FFFFFF" w:fill="FFFFFF"/>
            <w:noWrap/>
            <w:vAlign w:val="bottom"/>
            <w:hideMark/>
          </w:tcPr>
          <w:p w14:paraId="2DADEE4B" w14:textId="4E645EFC" w:rsidR="004A11A9" w:rsidRPr="001A4B94" w:rsidRDefault="004A11A9" w:rsidP="004A11A9">
            <w:pPr>
              <w:jc w:val="right"/>
              <w:rPr>
                <w:color w:val="000000"/>
                <w:sz w:val="16"/>
                <w:szCs w:val="16"/>
                <w:lang w:val="tr-TR"/>
              </w:rPr>
            </w:pPr>
            <w:r w:rsidRPr="001A4B94">
              <w:rPr>
                <w:color w:val="000000"/>
                <w:sz w:val="16"/>
                <w:szCs w:val="16"/>
                <w:lang w:val="tr-TR"/>
              </w:rPr>
              <w:t>14,0</w:t>
            </w:r>
          </w:p>
        </w:tc>
        <w:tc>
          <w:tcPr>
            <w:tcW w:w="1260" w:type="dxa"/>
            <w:tcBorders>
              <w:top w:val="nil"/>
              <w:left w:val="nil"/>
              <w:bottom w:val="nil"/>
              <w:right w:val="nil"/>
            </w:tcBorders>
            <w:shd w:val="clear" w:color="FFFFFF" w:fill="FFFFFF"/>
            <w:noWrap/>
            <w:vAlign w:val="bottom"/>
            <w:hideMark/>
          </w:tcPr>
          <w:p w14:paraId="049B6EE5" w14:textId="4A7EA1ED"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170" w:type="dxa"/>
            <w:tcBorders>
              <w:top w:val="nil"/>
              <w:left w:val="nil"/>
              <w:bottom w:val="nil"/>
              <w:right w:val="nil"/>
            </w:tcBorders>
            <w:shd w:val="clear" w:color="FFFFFF" w:fill="FFFFFF"/>
            <w:noWrap/>
            <w:vAlign w:val="bottom"/>
            <w:hideMark/>
          </w:tcPr>
          <w:p w14:paraId="59F9EAC8" w14:textId="43A8F18C" w:rsidR="004A11A9" w:rsidRPr="001A4B94" w:rsidRDefault="004A11A9" w:rsidP="004A11A9">
            <w:pPr>
              <w:jc w:val="right"/>
              <w:rPr>
                <w:color w:val="000000"/>
                <w:sz w:val="16"/>
                <w:szCs w:val="16"/>
                <w:lang w:val="tr-TR"/>
              </w:rPr>
            </w:pPr>
            <w:r w:rsidRPr="001A4B94">
              <w:rPr>
                <w:color w:val="000000"/>
                <w:sz w:val="16"/>
                <w:szCs w:val="16"/>
                <w:lang w:val="tr-TR"/>
              </w:rPr>
              <w:t>0,0</w:t>
            </w:r>
          </w:p>
        </w:tc>
        <w:tc>
          <w:tcPr>
            <w:tcW w:w="1420" w:type="dxa"/>
            <w:tcBorders>
              <w:top w:val="nil"/>
              <w:left w:val="nil"/>
              <w:bottom w:val="nil"/>
              <w:right w:val="nil"/>
            </w:tcBorders>
            <w:shd w:val="clear" w:color="FFFFFF" w:fill="FFFFFF"/>
            <w:noWrap/>
            <w:vAlign w:val="bottom"/>
            <w:hideMark/>
          </w:tcPr>
          <w:p w14:paraId="63B0DF35" w14:textId="25F750A1" w:rsidR="004A11A9" w:rsidRPr="001A4B94" w:rsidRDefault="004A11A9" w:rsidP="004A11A9">
            <w:pPr>
              <w:jc w:val="right"/>
              <w:rPr>
                <w:color w:val="000000"/>
                <w:sz w:val="16"/>
                <w:szCs w:val="16"/>
                <w:lang w:val="tr-TR"/>
              </w:rPr>
            </w:pPr>
            <w:r w:rsidRPr="001A4B94">
              <w:rPr>
                <w:color w:val="000000"/>
                <w:sz w:val="16"/>
                <w:szCs w:val="16"/>
                <w:lang w:val="tr-TR"/>
              </w:rPr>
              <w:t>13,2</w:t>
            </w:r>
          </w:p>
        </w:tc>
      </w:tr>
      <w:tr w:rsidR="004A11A9" w:rsidRPr="001A4B94" w14:paraId="1D4664D4" w14:textId="77777777" w:rsidTr="001A4B94">
        <w:trPr>
          <w:trHeight w:val="307"/>
        </w:trPr>
        <w:tc>
          <w:tcPr>
            <w:tcW w:w="4140" w:type="dxa"/>
            <w:tcBorders>
              <w:top w:val="nil"/>
              <w:left w:val="nil"/>
              <w:bottom w:val="nil"/>
              <w:right w:val="nil"/>
            </w:tcBorders>
            <w:shd w:val="clear" w:color="FFFFFF" w:fill="FFFFFF"/>
            <w:noWrap/>
            <w:vAlign w:val="bottom"/>
            <w:hideMark/>
          </w:tcPr>
          <w:p w14:paraId="47A34DF4" w14:textId="041F3B95" w:rsidR="004A11A9" w:rsidRPr="001A4B94" w:rsidRDefault="004A11A9" w:rsidP="004A11A9">
            <w:pPr>
              <w:rPr>
                <w:color w:val="000000"/>
                <w:sz w:val="16"/>
                <w:szCs w:val="16"/>
                <w:lang w:val="tr-TR"/>
              </w:rPr>
            </w:pPr>
            <w:r w:rsidRPr="001A4B94">
              <w:rPr>
                <w:sz w:val="16"/>
                <w:szCs w:val="20"/>
                <w:lang w:val="tr-TR"/>
              </w:rPr>
              <w:t xml:space="preserve">Kullandırım Oranı (%) </w:t>
            </w:r>
            <w:r w:rsidRPr="001A4B94">
              <w:rPr>
                <w:i/>
                <w:iCs/>
                <w:sz w:val="16"/>
                <w:szCs w:val="20"/>
                <w:vertAlign w:val="superscript"/>
                <w:lang w:val="tr-TR"/>
              </w:rPr>
              <w:t>e</w:t>
            </w:r>
          </w:p>
        </w:tc>
        <w:tc>
          <w:tcPr>
            <w:tcW w:w="990" w:type="dxa"/>
            <w:tcBorders>
              <w:top w:val="nil"/>
              <w:left w:val="nil"/>
              <w:bottom w:val="nil"/>
              <w:right w:val="nil"/>
            </w:tcBorders>
            <w:shd w:val="clear" w:color="FFFFFF" w:fill="FFFFFF"/>
            <w:noWrap/>
            <w:vAlign w:val="bottom"/>
            <w:hideMark/>
          </w:tcPr>
          <w:p w14:paraId="5EF26713" w14:textId="08C856DD" w:rsidR="004A11A9" w:rsidRPr="001A4B94" w:rsidRDefault="004A11A9" w:rsidP="004A11A9">
            <w:pPr>
              <w:jc w:val="right"/>
              <w:rPr>
                <w:color w:val="000000"/>
                <w:sz w:val="16"/>
                <w:szCs w:val="16"/>
                <w:lang w:val="tr-TR"/>
              </w:rPr>
            </w:pPr>
            <w:r w:rsidRPr="001A4B94">
              <w:rPr>
                <w:color w:val="000000"/>
                <w:sz w:val="16"/>
                <w:szCs w:val="16"/>
                <w:lang w:val="tr-TR"/>
              </w:rPr>
              <w:t>20,3</w:t>
            </w:r>
          </w:p>
        </w:tc>
        <w:tc>
          <w:tcPr>
            <w:tcW w:w="1260" w:type="dxa"/>
            <w:tcBorders>
              <w:top w:val="nil"/>
              <w:left w:val="nil"/>
              <w:bottom w:val="nil"/>
              <w:right w:val="nil"/>
            </w:tcBorders>
            <w:shd w:val="clear" w:color="FFFFFF" w:fill="FFFFFF"/>
            <w:noWrap/>
            <w:vAlign w:val="bottom"/>
            <w:hideMark/>
          </w:tcPr>
          <w:p w14:paraId="14693127" w14:textId="41955B5F" w:rsidR="004A11A9" w:rsidRPr="001A4B94" w:rsidRDefault="004A11A9" w:rsidP="004A11A9">
            <w:pPr>
              <w:jc w:val="right"/>
              <w:rPr>
                <w:color w:val="000000"/>
                <w:sz w:val="16"/>
                <w:szCs w:val="16"/>
                <w:lang w:val="tr-TR"/>
              </w:rPr>
            </w:pPr>
            <w:r w:rsidRPr="001A4B94">
              <w:rPr>
                <w:color w:val="000000"/>
                <w:sz w:val="16"/>
                <w:szCs w:val="16"/>
                <w:lang w:val="tr-TR"/>
              </w:rPr>
              <w:t>35,8</w:t>
            </w:r>
          </w:p>
        </w:tc>
        <w:tc>
          <w:tcPr>
            <w:tcW w:w="1170" w:type="dxa"/>
            <w:tcBorders>
              <w:top w:val="nil"/>
              <w:left w:val="nil"/>
              <w:bottom w:val="nil"/>
              <w:right w:val="nil"/>
            </w:tcBorders>
            <w:shd w:val="clear" w:color="FFFFFF" w:fill="FFFFFF"/>
            <w:noWrap/>
            <w:vAlign w:val="bottom"/>
            <w:hideMark/>
          </w:tcPr>
          <w:p w14:paraId="228F5234" w14:textId="1E8697F1" w:rsidR="004A11A9" w:rsidRPr="001A4B94" w:rsidRDefault="004A11A9" w:rsidP="004A11A9">
            <w:pPr>
              <w:jc w:val="right"/>
              <w:rPr>
                <w:color w:val="000000"/>
                <w:sz w:val="16"/>
                <w:szCs w:val="16"/>
                <w:lang w:val="tr-TR"/>
              </w:rPr>
            </w:pPr>
            <w:r w:rsidRPr="001A4B94">
              <w:rPr>
                <w:color w:val="000000"/>
                <w:sz w:val="16"/>
                <w:szCs w:val="16"/>
                <w:lang w:val="tr-TR"/>
              </w:rPr>
              <w:t>34,5</w:t>
            </w:r>
          </w:p>
        </w:tc>
        <w:tc>
          <w:tcPr>
            <w:tcW w:w="1420" w:type="dxa"/>
            <w:tcBorders>
              <w:top w:val="nil"/>
              <w:left w:val="nil"/>
              <w:bottom w:val="nil"/>
              <w:right w:val="nil"/>
            </w:tcBorders>
            <w:shd w:val="clear" w:color="FFFFFF" w:fill="FFFFFF"/>
            <w:noWrap/>
            <w:vAlign w:val="bottom"/>
            <w:hideMark/>
          </w:tcPr>
          <w:p w14:paraId="6F514EBC" w14:textId="3B41BFD5" w:rsidR="004A11A9" w:rsidRPr="001A4B94" w:rsidRDefault="004A11A9" w:rsidP="004A11A9">
            <w:pPr>
              <w:jc w:val="right"/>
              <w:rPr>
                <w:color w:val="000000"/>
                <w:sz w:val="16"/>
                <w:szCs w:val="16"/>
                <w:lang w:val="tr-TR"/>
              </w:rPr>
            </w:pPr>
            <w:r w:rsidRPr="001A4B94">
              <w:rPr>
                <w:color w:val="000000"/>
                <w:sz w:val="16"/>
                <w:szCs w:val="16"/>
                <w:lang w:val="tr-TR"/>
              </w:rPr>
              <w:t>37,3</w:t>
            </w:r>
          </w:p>
        </w:tc>
      </w:tr>
      <w:tr w:rsidR="00747261" w:rsidRPr="001A4B94" w14:paraId="5A672AE8" w14:textId="77777777" w:rsidTr="00656A24">
        <w:trPr>
          <w:trHeight w:val="288"/>
        </w:trPr>
        <w:tc>
          <w:tcPr>
            <w:tcW w:w="4140" w:type="dxa"/>
            <w:tcBorders>
              <w:top w:val="nil"/>
              <w:left w:val="nil"/>
              <w:bottom w:val="single" w:sz="4" w:space="0" w:color="000000"/>
              <w:right w:val="nil"/>
            </w:tcBorders>
            <w:shd w:val="clear" w:color="FFFFFF" w:fill="FFFFFF"/>
            <w:noWrap/>
            <w:vAlign w:val="bottom"/>
          </w:tcPr>
          <w:p w14:paraId="4D541902" w14:textId="10811C61" w:rsidR="00747261" w:rsidRPr="001A4B94" w:rsidRDefault="00747261" w:rsidP="00747261">
            <w:pPr>
              <w:rPr>
                <w:color w:val="000000"/>
                <w:sz w:val="16"/>
                <w:szCs w:val="16"/>
                <w:lang w:val="tr-TR"/>
              </w:rPr>
            </w:pPr>
          </w:p>
        </w:tc>
        <w:tc>
          <w:tcPr>
            <w:tcW w:w="990" w:type="dxa"/>
            <w:tcBorders>
              <w:top w:val="nil"/>
              <w:left w:val="nil"/>
              <w:bottom w:val="single" w:sz="4" w:space="0" w:color="000000"/>
              <w:right w:val="nil"/>
            </w:tcBorders>
            <w:shd w:val="clear" w:color="FFFFFF" w:fill="FFFFFF"/>
            <w:noWrap/>
            <w:vAlign w:val="center"/>
            <w:hideMark/>
          </w:tcPr>
          <w:p w14:paraId="2E5040D0"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1260" w:type="dxa"/>
            <w:tcBorders>
              <w:top w:val="nil"/>
              <w:left w:val="nil"/>
              <w:bottom w:val="single" w:sz="4" w:space="0" w:color="000000"/>
              <w:right w:val="nil"/>
            </w:tcBorders>
            <w:shd w:val="clear" w:color="FFFFFF" w:fill="FFFFFF"/>
            <w:noWrap/>
            <w:vAlign w:val="center"/>
            <w:hideMark/>
          </w:tcPr>
          <w:p w14:paraId="57D3324B"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1170" w:type="dxa"/>
            <w:tcBorders>
              <w:top w:val="nil"/>
              <w:left w:val="nil"/>
              <w:bottom w:val="single" w:sz="4" w:space="0" w:color="000000"/>
              <w:right w:val="nil"/>
            </w:tcBorders>
            <w:shd w:val="clear" w:color="FFFFFF" w:fill="FFFFFF"/>
            <w:noWrap/>
            <w:vAlign w:val="center"/>
            <w:hideMark/>
          </w:tcPr>
          <w:p w14:paraId="5C3D5311"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1420" w:type="dxa"/>
            <w:tcBorders>
              <w:top w:val="nil"/>
              <w:left w:val="nil"/>
              <w:bottom w:val="single" w:sz="4" w:space="0" w:color="000000"/>
              <w:right w:val="nil"/>
            </w:tcBorders>
            <w:shd w:val="clear" w:color="FFFFFF" w:fill="FFFFFF"/>
            <w:noWrap/>
            <w:vAlign w:val="center"/>
            <w:hideMark/>
          </w:tcPr>
          <w:p w14:paraId="37A89BA0" w14:textId="77777777" w:rsidR="00747261" w:rsidRPr="001A4B94" w:rsidRDefault="00747261" w:rsidP="00747261">
            <w:pPr>
              <w:rPr>
                <w:color w:val="333333"/>
                <w:sz w:val="16"/>
                <w:szCs w:val="16"/>
                <w:lang w:val="tr-TR"/>
              </w:rPr>
            </w:pPr>
            <w:r w:rsidRPr="001A4B94">
              <w:rPr>
                <w:color w:val="333333"/>
                <w:sz w:val="16"/>
                <w:szCs w:val="16"/>
                <w:lang w:val="tr-TR"/>
              </w:rPr>
              <w:t> </w:t>
            </w:r>
          </w:p>
        </w:tc>
      </w:tr>
      <w:tr w:rsidR="00747261" w:rsidRPr="001A4B94" w14:paraId="413B929C" w14:textId="77777777" w:rsidTr="00747261">
        <w:trPr>
          <w:trHeight w:val="288"/>
        </w:trPr>
        <w:tc>
          <w:tcPr>
            <w:tcW w:w="4140" w:type="dxa"/>
            <w:tcBorders>
              <w:top w:val="nil"/>
              <w:left w:val="nil"/>
              <w:bottom w:val="nil"/>
              <w:right w:val="nil"/>
            </w:tcBorders>
            <w:shd w:val="clear" w:color="FFFFFF" w:fill="FFFFFF"/>
            <w:noWrap/>
            <w:vAlign w:val="bottom"/>
            <w:hideMark/>
          </w:tcPr>
          <w:p w14:paraId="42E5E1B2"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08103439"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1260" w:type="dxa"/>
            <w:tcBorders>
              <w:top w:val="nil"/>
              <w:left w:val="nil"/>
              <w:bottom w:val="nil"/>
              <w:right w:val="nil"/>
            </w:tcBorders>
            <w:shd w:val="clear" w:color="FFFFFF" w:fill="FFFFFF"/>
            <w:noWrap/>
            <w:vAlign w:val="bottom"/>
            <w:hideMark/>
          </w:tcPr>
          <w:p w14:paraId="70B017EA"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1170" w:type="dxa"/>
            <w:tcBorders>
              <w:top w:val="nil"/>
              <w:left w:val="nil"/>
              <w:bottom w:val="nil"/>
              <w:right w:val="nil"/>
            </w:tcBorders>
            <w:shd w:val="clear" w:color="FFFFFF" w:fill="FFFFFF"/>
            <w:noWrap/>
            <w:vAlign w:val="bottom"/>
            <w:hideMark/>
          </w:tcPr>
          <w:p w14:paraId="2E926877"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1420" w:type="dxa"/>
            <w:tcBorders>
              <w:top w:val="nil"/>
              <w:left w:val="nil"/>
              <w:bottom w:val="nil"/>
              <w:right w:val="nil"/>
            </w:tcBorders>
            <w:shd w:val="clear" w:color="FFFFFF" w:fill="FFFFFF"/>
            <w:noWrap/>
            <w:vAlign w:val="bottom"/>
            <w:hideMark/>
          </w:tcPr>
          <w:p w14:paraId="41BE6BD5" w14:textId="77777777" w:rsidR="00747261" w:rsidRPr="001A4B94" w:rsidRDefault="00747261" w:rsidP="00747261">
            <w:pPr>
              <w:rPr>
                <w:color w:val="333333"/>
                <w:sz w:val="16"/>
                <w:szCs w:val="16"/>
                <w:lang w:val="tr-TR"/>
              </w:rPr>
            </w:pPr>
            <w:r w:rsidRPr="001A4B94">
              <w:rPr>
                <w:color w:val="333333"/>
                <w:sz w:val="16"/>
                <w:szCs w:val="16"/>
                <w:lang w:val="tr-TR"/>
              </w:rPr>
              <w:t> </w:t>
            </w:r>
          </w:p>
        </w:tc>
      </w:tr>
      <w:tr w:rsidR="00747261" w:rsidRPr="001A4B94" w14:paraId="2E7234C7" w14:textId="77777777" w:rsidTr="00747261">
        <w:trPr>
          <w:trHeight w:val="288"/>
        </w:trPr>
        <w:tc>
          <w:tcPr>
            <w:tcW w:w="5130" w:type="dxa"/>
            <w:gridSpan w:val="2"/>
            <w:tcBorders>
              <w:top w:val="single" w:sz="4" w:space="0" w:color="000000"/>
              <w:left w:val="nil"/>
              <w:bottom w:val="single" w:sz="4" w:space="0" w:color="000000"/>
              <w:right w:val="nil"/>
            </w:tcBorders>
            <w:shd w:val="clear" w:color="FFFFFF" w:fill="FFFFFF"/>
            <w:noWrap/>
            <w:vAlign w:val="bottom"/>
            <w:hideMark/>
          </w:tcPr>
          <w:p w14:paraId="25744869" w14:textId="271BC5DA" w:rsidR="00747261" w:rsidRPr="001A4B94" w:rsidRDefault="004A11A9" w:rsidP="00747261">
            <w:pPr>
              <w:rPr>
                <w:b/>
                <w:bCs/>
                <w:color w:val="000000"/>
                <w:sz w:val="16"/>
                <w:szCs w:val="16"/>
                <w:lang w:val="tr-TR"/>
              </w:rPr>
            </w:pPr>
            <w:r w:rsidRPr="001A4B94">
              <w:rPr>
                <w:b/>
                <w:bCs/>
                <w:sz w:val="18"/>
                <w:szCs w:val="20"/>
                <w:lang w:val="tr-TR"/>
              </w:rPr>
              <w:t>Açıklayıcı Bilgiler</w:t>
            </w:r>
          </w:p>
        </w:tc>
        <w:tc>
          <w:tcPr>
            <w:tcW w:w="1260" w:type="dxa"/>
            <w:tcBorders>
              <w:top w:val="single" w:sz="4" w:space="0" w:color="000000"/>
              <w:left w:val="nil"/>
              <w:bottom w:val="single" w:sz="4" w:space="0" w:color="000000"/>
              <w:right w:val="nil"/>
            </w:tcBorders>
            <w:shd w:val="clear" w:color="FFFFFF" w:fill="FFFFFF"/>
            <w:noWrap/>
            <w:vAlign w:val="center"/>
            <w:hideMark/>
          </w:tcPr>
          <w:p w14:paraId="790AA089" w14:textId="6B9A8CFF" w:rsidR="00747261" w:rsidRPr="001A4B94" w:rsidRDefault="00814075" w:rsidP="00747261">
            <w:pPr>
              <w:jc w:val="center"/>
              <w:rPr>
                <w:b/>
                <w:bCs/>
                <w:color w:val="000000"/>
                <w:sz w:val="16"/>
                <w:szCs w:val="16"/>
                <w:lang w:val="tr-TR"/>
              </w:rPr>
            </w:pPr>
            <w:r w:rsidRPr="001A4B94">
              <w:rPr>
                <w:b/>
                <w:bCs/>
                <w:color w:val="000000"/>
                <w:sz w:val="16"/>
                <w:szCs w:val="16"/>
                <w:lang w:val="tr-TR"/>
              </w:rPr>
              <w:t xml:space="preserve">1980 MY’dan bu yana </w:t>
            </w:r>
          </w:p>
        </w:tc>
        <w:tc>
          <w:tcPr>
            <w:tcW w:w="2590" w:type="dxa"/>
            <w:gridSpan w:val="2"/>
            <w:tcBorders>
              <w:top w:val="single" w:sz="4" w:space="0" w:color="000000"/>
              <w:left w:val="nil"/>
              <w:bottom w:val="single" w:sz="4" w:space="0" w:color="000000"/>
              <w:right w:val="nil"/>
            </w:tcBorders>
            <w:shd w:val="clear" w:color="FFFFFF" w:fill="FFFFFF"/>
            <w:noWrap/>
            <w:vAlign w:val="center"/>
            <w:hideMark/>
          </w:tcPr>
          <w:p w14:paraId="27BD910C" w14:textId="04FAF12A" w:rsidR="00747261" w:rsidRPr="001A4B94" w:rsidRDefault="00814075" w:rsidP="00747261">
            <w:pPr>
              <w:jc w:val="center"/>
              <w:rPr>
                <w:b/>
                <w:bCs/>
                <w:color w:val="000000"/>
                <w:sz w:val="16"/>
                <w:szCs w:val="16"/>
                <w:lang w:val="tr-TR"/>
              </w:rPr>
            </w:pPr>
            <w:r w:rsidRPr="001A4B94">
              <w:rPr>
                <w:b/>
                <w:bCs/>
                <w:color w:val="000000"/>
                <w:sz w:val="16"/>
                <w:szCs w:val="16"/>
                <w:lang w:val="tr-TR"/>
              </w:rPr>
              <w:t xml:space="preserve">Son Beş MY </w:t>
            </w:r>
          </w:p>
        </w:tc>
      </w:tr>
      <w:tr w:rsidR="00747261" w:rsidRPr="001A4B94" w14:paraId="4FF11064" w14:textId="77777777" w:rsidTr="00747261">
        <w:trPr>
          <w:trHeight w:val="288"/>
        </w:trPr>
        <w:tc>
          <w:tcPr>
            <w:tcW w:w="5130" w:type="dxa"/>
            <w:gridSpan w:val="2"/>
            <w:tcBorders>
              <w:top w:val="nil"/>
              <w:left w:val="nil"/>
              <w:bottom w:val="nil"/>
              <w:right w:val="nil"/>
            </w:tcBorders>
            <w:shd w:val="clear" w:color="FFFFFF" w:fill="FFFFFF"/>
            <w:noWrap/>
            <w:vAlign w:val="bottom"/>
            <w:hideMark/>
          </w:tcPr>
          <w:p w14:paraId="6E5F91B4" w14:textId="54735224" w:rsidR="00747261" w:rsidRPr="001A4B94" w:rsidRDefault="004A11A9" w:rsidP="00747261">
            <w:pPr>
              <w:rPr>
                <w:color w:val="000000"/>
                <w:sz w:val="16"/>
                <w:szCs w:val="16"/>
                <w:lang w:val="tr-TR"/>
              </w:rPr>
            </w:pPr>
            <w:r w:rsidRPr="001A4B94">
              <w:rPr>
                <w:sz w:val="16"/>
                <w:szCs w:val="20"/>
                <w:lang w:val="tr-TR"/>
              </w:rPr>
              <w:t>IEG tarafından değerlendirilen projeler-sayıya göre</w:t>
            </w:r>
          </w:p>
        </w:tc>
        <w:tc>
          <w:tcPr>
            <w:tcW w:w="1260" w:type="dxa"/>
            <w:tcBorders>
              <w:top w:val="nil"/>
              <w:left w:val="nil"/>
              <w:bottom w:val="nil"/>
              <w:right w:val="nil"/>
            </w:tcBorders>
            <w:shd w:val="clear" w:color="FFFFFF" w:fill="FFFFFF"/>
            <w:noWrap/>
            <w:vAlign w:val="bottom"/>
            <w:hideMark/>
          </w:tcPr>
          <w:p w14:paraId="6365974E" w14:textId="77777777" w:rsidR="00747261" w:rsidRPr="001A4B94" w:rsidRDefault="00747261" w:rsidP="00747261">
            <w:pPr>
              <w:jc w:val="right"/>
              <w:rPr>
                <w:color w:val="000000"/>
                <w:sz w:val="16"/>
                <w:szCs w:val="16"/>
                <w:lang w:val="tr-TR"/>
              </w:rPr>
            </w:pPr>
            <w:r w:rsidRPr="001A4B94">
              <w:rPr>
                <w:color w:val="000000"/>
                <w:sz w:val="16"/>
                <w:szCs w:val="16"/>
                <w:lang w:val="tr-TR"/>
              </w:rPr>
              <w:t>149</w:t>
            </w:r>
          </w:p>
        </w:tc>
        <w:tc>
          <w:tcPr>
            <w:tcW w:w="2590" w:type="dxa"/>
            <w:gridSpan w:val="2"/>
            <w:tcBorders>
              <w:top w:val="nil"/>
              <w:left w:val="nil"/>
              <w:bottom w:val="nil"/>
              <w:right w:val="nil"/>
            </w:tcBorders>
            <w:shd w:val="clear" w:color="FFFFFF" w:fill="FFFFFF"/>
            <w:noWrap/>
            <w:vAlign w:val="bottom"/>
            <w:hideMark/>
          </w:tcPr>
          <w:p w14:paraId="4B6A8159" w14:textId="3ECEA705" w:rsidR="00747261" w:rsidRPr="001A4B94" w:rsidRDefault="006A0A71" w:rsidP="00747261">
            <w:pPr>
              <w:jc w:val="right"/>
              <w:rPr>
                <w:color w:val="000000"/>
                <w:sz w:val="16"/>
                <w:szCs w:val="16"/>
                <w:lang w:val="tr-TR"/>
              </w:rPr>
            </w:pPr>
            <w:r w:rsidRPr="001A4B94">
              <w:rPr>
                <w:color w:val="000000"/>
                <w:sz w:val="16"/>
                <w:szCs w:val="16"/>
                <w:lang w:val="tr-TR"/>
              </w:rPr>
              <w:t>7</w:t>
            </w:r>
          </w:p>
        </w:tc>
      </w:tr>
      <w:tr w:rsidR="00747261" w:rsidRPr="001A4B94" w14:paraId="58F0F07C" w14:textId="77777777" w:rsidTr="00747261">
        <w:trPr>
          <w:trHeight w:val="288"/>
        </w:trPr>
        <w:tc>
          <w:tcPr>
            <w:tcW w:w="5130" w:type="dxa"/>
            <w:gridSpan w:val="2"/>
            <w:tcBorders>
              <w:top w:val="nil"/>
              <w:left w:val="nil"/>
              <w:bottom w:val="nil"/>
              <w:right w:val="nil"/>
            </w:tcBorders>
            <w:shd w:val="clear" w:color="FFFFFF" w:fill="FFFFFF"/>
            <w:noWrap/>
            <w:vAlign w:val="bottom"/>
            <w:hideMark/>
          </w:tcPr>
          <w:p w14:paraId="6E0EBD18" w14:textId="3B789BD0" w:rsidR="00747261" w:rsidRPr="001A4B94" w:rsidRDefault="004A11A9" w:rsidP="00747261">
            <w:pPr>
              <w:rPr>
                <w:color w:val="000000"/>
                <w:sz w:val="16"/>
                <w:szCs w:val="16"/>
                <w:lang w:val="tr-TR"/>
              </w:rPr>
            </w:pPr>
            <w:r w:rsidRPr="001A4B94">
              <w:rPr>
                <w:sz w:val="16"/>
                <w:szCs w:val="20"/>
                <w:lang w:val="tr-TR"/>
              </w:rPr>
              <w:t>IEG tarafından değerlendirilen projeler-miktara göre (milyon ABD$)</w:t>
            </w:r>
          </w:p>
        </w:tc>
        <w:tc>
          <w:tcPr>
            <w:tcW w:w="1260" w:type="dxa"/>
            <w:tcBorders>
              <w:top w:val="nil"/>
              <w:left w:val="nil"/>
              <w:bottom w:val="nil"/>
              <w:right w:val="nil"/>
            </w:tcBorders>
            <w:shd w:val="clear" w:color="FFFFFF" w:fill="FFFFFF"/>
            <w:noWrap/>
            <w:vAlign w:val="bottom"/>
            <w:hideMark/>
          </w:tcPr>
          <w:p w14:paraId="467929B8" w14:textId="08C63436" w:rsidR="00747261" w:rsidRPr="001A4B94" w:rsidRDefault="004A11A9" w:rsidP="00747261">
            <w:pPr>
              <w:jc w:val="right"/>
              <w:rPr>
                <w:color w:val="000000"/>
                <w:sz w:val="16"/>
                <w:szCs w:val="16"/>
                <w:lang w:val="tr-TR"/>
              </w:rPr>
            </w:pPr>
            <w:r w:rsidRPr="001A4B94">
              <w:rPr>
                <w:color w:val="000000"/>
                <w:sz w:val="16"/>
                <w:szCs w:val="16"/>
                <w:lang w:val="tr-TR"/>
              </w:rPr>
              <w:t>27.</w:t>
            </w:r>
            <w:r w:rsidR="00747261" w:rsidRPr="001A4B94">
              <w:rPr>
                <w:color w:val="000000"/>
                <w:sz w:val="16"/>
                <w:szCs w:val="16"/>
                <w:lang w:val="tr-TR"/>
              </w:rPr>
              <w:t>627</w:t>
            </w:r>
            <w:r w:rsidRPr="001A4B94">
              <w:rPr>
                <w:color w:val="000000"/>
                <w:sz w:val="16"/>
                <w:szCs w:val="16"/>
                <w:lang w:val="tr-TR"/>
              </w:rPr>
              <w:t>,</w:t>
            </w:r>
            <w:r w:rsidR="00747261" w:rsidRPr="001A4B94">
              <w:rPr>
                <w:color w:val="000000"/>
                <w:sz w:val="16"/>
                <w:szCs w:val="16"/>
                <w:lang w:val="tr-TR"/>
              </w:rPr>
              <w:t>7</w:t>
            </w:r>
          </w:p>
        </w:tc>
        <w:tc>
          <w:tcPr>
            <w:tcW w:w="2590" w:type="dxa"/>
            <w:gridSpan w:val="2"/>
            <w:tcBorders>
              <w:top w:val="nil"/>
              <w:left w:val="nil"/>
              <w:bottom w:val="nil"/>
              <w:right w:val="nil"/>
            </w:tcBorders>
            <w:shd w:val="clear" w:color="FFFFFF" w:fill="FFFFFF"/>
            <w:noWrap/>
            <w:vAlign w:val="bottom"/>
            <w:hideMark/>
          </w:tcPr>
          <w:p w14:paraId="3142562E" w14:textId="2D2B2B68" w:rsidR="00747261" w:rsidRPr="001A4B94" w:rsidRDefault="004A11A9" w:rsidP="00747261">
            <w:pPr>
              <w:jc w:val="right"/>
              <w:rPr>
                <w:color w:val="000000"/>
                <w:sz w:val="16"/>
                <w:szCs w:val="16"/>
                <w:lang w:val="tr-TR"/>
              </w:rPr>
            </w:pPr>
            <w:r w:rsidRPr="001A4B94">
              <w:rPr>
                <w:color w:val="000000"/>
                <w:sz w:val="16"/>
                <w:szCs w:val="16"/>
                <w:lang w:val="tr-TR"/>
              </w:rPr>
              <w:t>3.</w:t>
            </w:r>
            <w:r w:rsidR="006A0A71" w:rsidRPr="001A4B94">
              <w:rPr>
                <w:color w:val="000000"/>
                <w:sz w:val="16"/>
                <w:szCs w:val="16"/>
                <w:lang w:val="tr-TR"/>
              </w:rPr>
              <w:t>167</w:t>
            </w:r>
            <w:r w:rsidRPr="001A4B94">
              <w:rPr>
                <w:color w:val="000000"/>
                <w:sz w:val="16"/>
                <w:szCs w:val="16"/>
                <w:lang w:val="tr-TR"/>
              </w:rPr>
              <w:t>,</w:t>
            </w:r>
            <w:r w:rsidR="006A0A71" w:rsidRPr="001A4B94">
              <w:rPr>
                <w:color w:val="000000"/>
                <w:sz w:val="16"/>
                <w:szCs w:val="16"/>
                <w:lang w:val="tr-TR"/>
              </w:rPr>
              <w:t>2</w:t>
            </w:r>
          </w:p>
        </w:tc>
      </w:tr>
      <w:tr w:rsidR="004A11A9" w:rsidRPr="001A4B94" w14:paraId="17A7C668" w14:textId="77777777" w:rsidTr="00747261">
        <w:trPr>
          <w:trHeight w:val="288"/>
        </w:trPr>
        <w:tc>
          <w:tcPr>
            <w:tcW w:w="5130" w:type="dxa"/>
            <w:gridSpan w:val="2"/>
            <w:tcBorders>
              <w:top w:val="nil"/>
              <w:left w:val="nil"/>
              <w:bottom w:val="nil"/>
              <w:right w:val="nil"/>
            </w:tcBorders>
            <w:shd w:val="clear" w:color="FFFFFF" w:fill="FFFFFF"/>
            <w:noWrap/>
            <w:vAlign w:val="bottom"/>
            <w:hideMark/>
          </w:tcPr>
          <w:p w14:paraId="2E46B3B8" w14:textId="06C077CB" w:rsidR="004A11A9" w:rsidRPr="001A4B94" w:rsidRDefault="004A11A9" w:rsidP="004A11A9">
            <w:pPr>
              <w:rPr>
                <w:color w:val="000000"/>
                <w:sz w:val="16"/>
                <w:szCs w:val="16"/>
                <w:lang w:val="tr-TR"/>
              </w:rPr>
            </w:pPr>
            <w:r w:rsidRPr="001A4B94">
              <w:rPr>
                <w:sz w:val="16"/>
                <w:szCs w:val="20"/>
                <w:lang w:val="tr-TR"/>
              </w:rPr>
              <w:t xml:space="preserve">IEG tarafından U veya HU olarak derecelendirilen proje yüzdesi – sayıya göre </w:t>
            </w:r>
          </w:p>
        </w:tc>
        <w:tc>
          <w:tcPr>
            <w:tcW w:w="1260" w:type="dxa"/>
            <w:tcBorders>
              <w:top w:val="nil"/>
              <w:left w:val="nil"/>
              <w:bottom w:val="nil"/>
              <w:right w:val="nil"/>
            </w:tcBorders>
            <w:shd w:val="clear" w:color="FFFFFF" w:fill="FFFFFF"/>
            <w:noWrap/>
            <w:vAlign w:val="bottom"/>
            <w:hideMark/>
          </w:tcPr>
          <w:p w14:paraId="6969582F" w14:textId="29FC1719" w:rsidR="004A11A9" w:rsidRPr="001A4B94" w:rsidRDefault="004A11A9" w:rsidP="004A11A9">
            <w:pPr>
              <w:jc w:val="right"/>
              <w:rPr>
                <w:color w:val="000000"/>
                <w:sz w:val="16"/>
                <w:szCs w:val="16"/>
                <w:lang w:val="tr-TR"/>
              </w:rPr>
            </w:pPr>
            <w:r w:rsidRPr="001A4B94">
              <w:rPr>
                <w:color w:val="000000"/>
                <w:sz w:val="16"/>
                <w:szCs w:val="16"/>
                <w:lang w:val="tr-TR"/>
              </w:rPr>
              <w:t>26,0</w:t>
            </w:r>
          </w:p>
        </w:tc>
        <w:tc>
          <w:tcPr>
            <w:tcW w:w="2590" w:type="dxa"/>
            <w:gridSpan w:val="2"/>
            <w:tcBorders>
              <w:top w:val="nil"/>
              <w:left w:val="nil"/>
              <w:bottom w:val="nil"/>
              <w:right w:val="nil"/>
            </w:tcBorders>
            <w:shd w:val="clear" w:color="FFFFFF" w:fill="FFFFFF"/>
            <w:noWrap/>
            <w:vAlign w:val="bottom"/>
            <w:hideMark/>
          </w:tcPr>
          <w:p w14:paraId="0968E1B6" w14:textId="75D7CE5D" w:rsidR="004A11A9" w:rsidRPr="001A4B94" w:rsidRDefault="004A11A9" w:rsidP="004A11A9">
            <w:pPr>
              <w:jc w:val="right"/>
              <w:rPr>
                <w:color w:val="000000"/>
                <w:sz w:val="16"/>
                <w:szCs w:val="16"/>
                <w:lang w:val="tr-TR"/>
              </w:rPr>
            </w:pPr>
            <w:r w:rsidRPr="001A4B94">
              <w:rPr>
                <w:color w:val="000000"/>
                <w:sz w:val="16"/>
                <w:szCs w:val="16"/>
                <w:lang w:val="tr-TR"/>
              </w:rPr>
              <w:t>28,6</w:t>
            </w:r>
          </w:p>
        </w:tc>
      </w:tr>
      <w:tr w:rsidR="004A11A9" w:rsidRPr="001A4B94" w14:paraId="40490BA6" w14:textId="77777777" w:rsidTr="00747261">
        <w:trPr>
          <w:trHeight w:val="288"/>
        </w:trPr>
        <w:tc>
          <w:tcPr>
            <w:tcW w:w="5130" w:type="dxa"/>
            <w:gridSpan w:val="2"/>
            <w:tcBorders>
              <w:top w:val="nil"/>
              <w:left w:val="nil"/>
              <w:bottom w:val="single" w:sz="4" w:space="0" w:color="000000"/>
              <w:right w:val="nil"/>
            </w:tcBorders>
            <w:shd w:val="clear" w:color="FFFFFF" w:fill="FFFFFF"/>
            <w:noWrap/>
            <w:vAlign w:val="bottom"/>
            <w:hideMark/>
          </w:tcPr>
          <w:p w14:paraId="1A733B9B" w14:textId="0C7D8376" w:rsidR="004A11A9" w:rsidRPr="001A4B94" w:rsidRDefault="004A11A9" w:rsidP="004A11A9">
            <w:pPr>
              <w:rPr>
                <w:color w:val="000000"/>
                <w:sz w:val="16"/>
                <w:szCs w:val="16"/>
                <w:lang w:val="tr-TR"/>
              </w:rPr>
            </w:pPr>
            <w:r w:rsidRPr="001A4B94">
              <w:rPr>
                <w:sz w:val="16"/>
                <w:szCs w:val="20"/>
                <w:lang w:val="tr-TR"/>
              </w:rPr>
              <w:t>IEG tarafından U veya HU olarak derecelendirilen proje yüzdesi – miktara göre</w:t>
            </w:r>
          </w:p>
        </w:tc>
        <w:tc>
          <w:tcPr>
            <w:tcW w:w="1260" w:type="dxa"/>
            <w:tcBorders>
              <w:top w:val="nil"/>
              <w:left w:val="nil"/>
              <w:bottom w:val="single" w:sz="4" w:space="0" w:color="000000"/>
              <w:right w:val="nil"/>
            </w:tcBorders>
            <w:shd w:val="clear" w:color="FFFFFF" w:fill="FFFFFF"/>
            <w:noWrap/>
            <w:vAlign w:val="bottom"/>
            <w:hideMark/>
          </w:tcPr>
          <w:p w14:paraId="51C26926" w14:textId="579454B1" w:rsidR="004A11A9" w:rsidRPr="001A4B94" w:rsidRDefault="004A11A9" w:rsidP="004A11A9">
            <w:pPr>
              <w:jc w:val="right"/>
              <w:rPr>
                <w:color w:val="000000"/>
                <w:sz w:val="16"/>
                <w:szCs w:val="16"/>
                <w:lang w:val="tr-TR"/>
              </w:rPr>
            </w:pPr>
            <w:r w:rsidRPr="001A4B94">
              <w:rPr>
                <w:color w:val="000000"/>
                <w:sz w:val="16"/>
                <w:szCs w:val="16"/>
                <w:lang w:val="tr-TR"/>
              </w:rPr>
              <w:t>16,4</w:t>
            </w:r>
          </w:p>
        </w:tc>
        <w:tc>
          <w:tcPr>
            <w:tcW w:w="2590" w:type="dxa"/>
            <w:gridSpan w:val="2"/>
            <w:tcBorders>
              <w:top w:val="nil"/>
              <w:left w:val="nil"/>
              <w:bottom w:val="single" w:sz="4" w:space="0" w:color="000000"/>
              <w:right w:val="nil"/>
            </w:tcBorders>
            <w:shd w:val="clear" w:color="FFFFFF" w:fill="FFFFFF"/>
            <w:noWrap/>
            <w:vAlign w:val="bottom"/>
            <w:hideMark/>
          </w:tcPr>
          <w:p w14:paraId="2A48A75B" w14:textId="04D4708F" w:rsidR="004A11A9" w:rsidRPr="001A4B94" w:rsidRDefault="004A11A9" w:rsidP="004A11A9">
            <w:pPr>
              <w:jc w:val="right"/>
              <w:rPr>
                <w:color w:val="000000"/>
                <w:sz w:val="16"/>
                <w:szCs w:val="16"/>
                <w:lang w:val="tr-TR"/>
              </w:rPr>
            </w:pPr>
            <w:r w:rsidRPr="001A4B94">
              <w:rPr>
                <w:color w:val="000000"/>
                <w:sz w:val="16"/>
                <w:szCs w:val="16"/>
                <w:lang w:val="tr-TR"/>
              </w:rPr>
              <w:t>6,7</w:t>
            </w:r>
          </w:p>
        </w:tc>
      </w:tr>
      <w:tr w:rsidR="004A11A9" w:rsidRPr="001A4B94" w14:paraId="2EA1BDAE" w14:textId="77777777" w:rsidTr="00747261">
        <w:trPr>
          <w:trHeight w:val="288"/>
        </w:trPr>
        <w:tc>
          <w:tcPr>
            <w:tcW w:w="8980" w:type="dxa"/>
            <w:gridSpan w:val="5"/>
            <w:tcBorders>
              <w:top w:val="nil"/>
              <w:left w:val="nil"/>
              <w:bottom w:val="nil"/>
              <w:right w:val="nil"/>
            </w:tcBorders>
            <w:shd w:val="clear" w:color="FFFFFF" w:fill="FFFFFF"/>
            <w:noWrap/>
            <w:vAlign w:val="bottom"/>
            <w:hideMark/>
          </w:tcPr>
          <w:p w14:paraId="4D50C4FB" w14:textId="2E69956D" w:rsidR="004A11A9" w:rsidRPr="001A4B94" w:rsidRDefault="004A11A9" w:rsidP="004A11A9">
            <w:pPr>
              <w:rPr>
                <w:color w:val="000000"/>
                <w:sz w:val="16"/>
                <w:szCs w:val="16"/>
                <w:lang w:val="tr-TR"/>
              </w:rPr>
            </w:pPr>
            <w:r w:rsidRPr="001A4B94">
              <w:rPr>
                <w:sz w:val="16"/>
                <w:szCs w:val="17"/>
                <w:lang w:val="tr-TR" w:eastAsia="tr-TR"/>
              </w:rPr>
              <w:t>a.  Portföy Yönetimi Yıllık Raporunda gösterildiği gibi (cari MY dışında).</w:t>
            </w:r>
          </w:p>
        </w:tc>
      </w:tr>
      <w:tr w:rsidR="004A11A9" w:rsidRPr="001A4B94" w14:paraId="47FE415C" w14:textId="77777777" w:rsidTr="00747261">
        <w:trPr>
          <w:trHeight w:val="288"/>
        </w:trPr>
        <w:tc>
          <w:tcPr>
            <w:tcW w:w="8980" w:type="dxa"/>
            <w:gridSpan w:val="5"/>
            <w:tcBorders>
              <w:top w:val="nil"/>
              <w:left w:val="nil"/>
              <w:bottom w:val="nil"/>
              <w:right w:val="nil"/>
            </w:tcBorders>
            <w:shd w:val="clear" w:color="FFFFFF" w:fill="FFFFFF"/>
            <w:noWrap/>
            <w:vAlign w:val="bottom"/>
            <w:hideMark/>
          </w:tcPr>
          <w:p w14:paraId="0DF696A7" w14:textId="58C98829" w:rsidR="004A11A9" w:rsidRPr="001A4B94" w:rsidRDefault="004A11A9" w:rsidP="004A11A9">
            <w:pPr>
              <w:rPr>
                <w:color w:val="000000"/>
                <w:sz w:val="16"/>
                <w:szCs w:val="16"/>
                <w:lang w:val="tr-TR"/>
              </w:rPr>
            </w:pPr>
            <w:r w:rsidRPr="001A4B94">
              <w:rPr>
                <w:sz w:val="16"/>
                <w:szCs w:val="17"/>
                <w:lang w:val="tr-TR" w:eastAsia="tr-TR"/>
              </w:rPr>
              <w:t xml:space="preserve">b.  Banka'nın ülke portföyündeki projelerin ortalama yaşı. </w:t>
            </w:r>
          </w:p>
        </w:tc>
      </w:tr>
      <w:tr w:rsidR="004251BE" w:rsidRPr="001A4B94" w14:paraId="2451D37A" w14:textId="77777777" w:rsidTr="00747261">
        <w:trPr>
          <w:trHeight w:val="288"/>
        </w:trPr>
        <w:tc>
          <w:tcPr>
            <w:tcW w:w="8980" w:type="dxa"/>
            <w:gridSpan w:val="5"/>
            <w:tcBorders>
              <w:top w:val="nil"/>
              <w:left w:val="nil"/>
              <w:bottom w:val="nil"/>
              <w:right w:val="nil"/>
            </w:tcBorders>
            <w:shd w:val="clear" w:color="FFFFFF" w:fill="FFFFFF"/>
            <w:noWrap/>
            <w:vAlign w:val="bottom"/>
            <w:hideMark/>
          </w:tcPr>
          <w:p w14:paraId="001E4536" w14:textId="6A22C611" w:rsidR="004251BE" w:rsidRPr="001A4B94" w:rsidRDefault="004251BE" w:rsidP="004251BE">
            <w:pPr>
              <w:rPr>
                <w:color w:val="000000"/>
                <w:sz w:val="16"/>
                <w:szCs w:val="16"/>
                <w:lang w:val="tr-TR"/>
              </w:rPr>
            </w:pPr>
            <w:r w:rsidRPr="001A4B94">
              <w:rPr>
                <w:sz w:val="16"/>
                <w:szCs w:val="17"/>
                <w:lang w:val="tr-TR" w:eastAsia="tr-TR"/>
              </w:rPr>
              <w:t>c.  Kalkınma amaçları (DO) ve/veya uygulamadaki ilerleme (IP) bakımından U/HU olarak derecelendirilen projelerin yüzdesi</w:t>
            </w:r>
          </w:p>
        </w:tc>
      </w:tr>
      <w:tr w:rsidR="004251BE" w:rsidRPr="001A4B94" w14:paraId="6DDE90AD" w14:textId="77777777" w:rsidTr="00747261">
        <w:trPr>
          <w:trHeight w:val="288"/>
        </w:trPr>
        <w:tc>
          <w:tcPr>
            <w:tcW w:w="8980" w:type="dxa"/>
            <w:gridSpan w:val="5"/>
            <w:tcBorders>
              <w:top w:val="nil"/>
              <w:left w:val="nil"/>
              <w:bottom w:val="nil"/>
              <w:right w:val="nil"/>
            </w:tcBorders>
            <w:shd w:val="clear" w:color="FFFFFF" w:fill="FFFFFF"/>
            <w:noWrap/>
            <w:vAlign w:val="bottom"/>
            <w:hideMark/>
          </w:tcPr>
          <w:p w14:paraId="722AC543" w14:textId="6913E6F6" w:rsidR="004251BE" w:rsidRPr="001A4B94" w:rsidRDefault="004251BE" w:rsidP="004251BE">
            <w:pPr>
              <w:rPr>
                <w:color w:val="000000"/>
                <w:sz w:val="16"/>
                <w:szCs w:val="16"/>
                <w:lang w:val="tr-TR"/>
              </w:rPr>
            </w:pPr>
            <w:r w:rsidRPr="001A4B94">
              <w:rPr>
                <w:color w:val="000000"/>
                <w:sz w:val="16"/>
                <w:szCs w:val="16"/>
                <w:lang w:val="tr-TR"/>
              </w:rPr>
              <w:t xml:space="preserve">d.  </w:t>
            </w:r>
            <w:r w:rsidRPr="001A4B94">
              <w:rPr>
                <w:sz w:val="17"/>
                <w:szCs w:val="17"/>
                <w:lang w:val="tr-TR" w:eastAsia="tr-TR"/>
              </w:rPr>
              <w:t>Portföy Geliştirme Programında tanımlandığı gibi</w:t>
            </w:r>
            <w:r w:rsidRPr="001A4B94">
              <w:rPr>
                <w:color w:val="000000"/>
                <w:sz w:val="16"/>
                <w:szCs w:val="16"/>
                <w:lang w:val="tr-TR"/>
              </w:rPr>
              <w:t>.</w:t>
            </w:r>
          </w:p>
        </w:tc>
      </w:tr>
      <w:tr w:rsidR="004251BE" w:rsidRPr="001A4B94" w14:paraId="404B11AE" w14:textId="77777777" w:rsidTr="00747261">
        <w:trPr>
          <w:trHeight w:val="288"/>
        </w:trPr>
        <w:tc>
          <w:tcPr>
            <w:tcW w:w="8980" w:type="dxa"/>
            <w:gridSpan w:val="5"/>
            <w:tcBorders>
              <w:top w:val="nil"/>
              <w:left w:val="nil"/>
              <w:bottom w:val="nil"/>
              <w:right w:val="nil"/>
            </w:tcBorders>
            <w:shd w:val="clear" w:color="FFFFFF" w:fill="FFFFFF"/>
            <w:noWrap/>
            <w:vAlign w:val="bottom"/>
            <w:hideMark/>
          </w:tcPr>
          <w:p w14:paraId="0E612813" w14:textId="61F832D8" w:rsidR="004251BE" w:rsidRPr="001A4B94" w:rsidRDefault="004251BE" w:rsidP="004251BE">
            <w:pPr>
              <w:rPr>
                <w:color w:val="000000"/>
                <w:sz w:val="16"/>
                <w:szCs w:val="16"/>
                <w:lang w:val="tr-TR"/>
              </w:rPr>
            </w:pPr>
            <w:r w:rsidRPr="001A4B94">
              <w:rPr>
                <w:color w:val="000000"/>
                <w:sz w:val="16"/>
                <w:szCs w:val="16"/>
                <w:lang w:val="tr-TR"/>
              </w:rPr>
              <w:t xml:space="preserve">e.  </w:t>
            </w:r>
            <w:r w:rsidRPr="001A4B94">
              <w:rPr>
                <w:sz w:val="17"/>
                <w:szCs w:val="17"/>
                <w:lang w:val="tr-TR" w:eastAsia="tr-TR"/>
              </w:rPr>
              <w:t>Yıl içindeki kullandırımların, yıl başında Banka'nın portföyündeki kullandırılmayan bakiyeye oranı</w:t>
            </w:r>
            <w:r w:rsidRPr="001A4B94">
              <w:rPr>
                <w:color w:val="000000"/>
                <w:sz w:val="16"/>
                <w:szCs w:val="16"/>
                <w:lang w:val="tr-TR"/>
              </w:rPr>
              <w:t xml:space="preserve">: </w:t>
            </w:r>
            <w:r w:rsidRPr="001A4B94">
              <w:rPr>
                <w:sz w:val="17"/>
                <w:szCs w:val="17"/>
                <w:lang w:val="tr-TR" w:eastAsia="tr-TR"/>
              </w:rPr>
              <w:t>Sadece yatırım projeleri</w:t>
            </w:r>
            <w:r w:rsidRPr="001A4B94">
              <w:rPr>
                <w:color w:val="000000"/>
                <w:sz w:val="16"/>
                <w:szCs w:val="16"/>
                <w:lang w:val="tr-TR"/>
              </w:rPr>
              <w:t>.</w:t>
            </w:r>
          </w:p>
        </w:tc>
      </w:tr>
      <w:tr w:rsidR="004251BE" w:rsidRPr="001A4B94" w14:paraId="564B45F8" w14:textId="77777777" w:rsidTr="00747261">
        <w:trPr>
          <w:trHeight w:val="288"/>
        </w:trPr>
        <w:tc>
          <w:tcPr>
            <w:tcW w:w="8980" w:type="dxa"/>
            <w:gridSpan w:val="5"/>
            <w:tcBorders>
              <w:top w:val="nil"/>
              <w:left w:val="nil"/>
              <w:bottom w:val="nil"/>
              <w:right w:val="nil"/>
            </w:tcBorders>
            <w:shd w:val="clear" w:color="FFFFFF" w:fill="FFFFFF"/>
            <w:vAlign w:val="center"/>
            <w:hideMark/>
          </w:tcPr>
          <w:p w14:paraId="1AF22392" w14:textId="5D16B1CE" w:rsidR="004251BE" w:rsidRPr="001A4B94" w:rsidRDefault="004251BE" w:rsidP="004251BE">
            <w:pPr>
              <w:rPr>
                <w:color w:val="000000"/>
                <w:sz w:val="16"/>
                <w:szCs w:val="16"/>
                <w:lang w:val="tr-TR"/>
              </w:rPr>
            </w:pPr>
            <w:r w:rsidRPr="001A4B94">
              <w:rPr>
                <w:color w:val="000000"/>
                <w:sz w:val="16"/>
                <w:szCs w:val="16"/>
                <w:lang w:val="tr-TR"/>
              </w:rPr>
              <w:t xml:space="preserve">*   </w:t>
            </w:r>
            <w:r w:rsidRPr="001A4B94">
              <w:rPr>
                <w:sz w:val="17"/>
                <w:szCs w:val="17"/>
                <w:lang w:val="tr-TR" w:eastAsia="tr-TR"/>
              </w:rPr>
              <w:t>Tüm aktif projeleri ve mali yıl içinde portföyden çıkan projeleri de içeren Kullandırım Oranı dışında, tüm göstergeler Portföydeki aktif projeler içindir</w:t>
            </w:r>
            <w:r w:rsidRPr="001A4B94">
              <w:rPr>
                <w:color w:val="000000"/>
                <w:sz w:val="16"/>
                <w:szCs w:val="16"/>
                <w:lang w:val="tr-TR"/>
              </w:rPr>
              <w:t>.</w:t>
            </w:r>
          </w:p>
        </w:tc>
      </w:tr>
    </w:tbl>
    <w:p w14:paraId="20C82233" w14:textId="77777777" w:rsidR="00747261" w:rsidRPr="001A4B94" w:rsidRDefault="00747261" w:rsidP="00747261">
      <w:pPr>
        <w:autoSpaceDE w:val="0"/>
        <w:autoSpaceDN w:val="0"/>
        <w:adjustRightInd w:val="0"/>
        <w:rPr>
          <w:rFonts w:ascii="Arial" w:hAnsi="Arial" w:cs="Arial"/>
          <w:b/>
          <w:bCs/>
          <w:color w:val="000000"/>
          <w:sz w:val="22"/>
          <w:szCs w:val="22"/>
          <w:lang w:val="tr-TR"/>
        </w:rPr>
      </w:pPr>
    </w:p>
    <w:p w14:paraId="38D4AF9B" w14:textId="77777777" w:rsidR="00747261" w:rsidRPr="001A4B94" w:rsidRDefault="00747261" w:rsidP="00747261">
      <w:pPr>
        <w:autoSpaceDE w:val="0"/>
        <w:autoSpaceDN w:val="0"/>
        <w:adjustRightInd w:val="0"/>
        <w:rPr>
          <w:rFonts w:ascii="Arial" w:eastAsiaTheme="minorEastAsia" w:hAnsi="Arial" w:cs="Arial"/>
          <w:color w:val="000000"/>
          <w:sz w:val="20"/>
          <w:szCs w:val="20"/>
          <w:lang w:val="tr-TR"/>
        </w:rPr>
      </w:pPr>
    </w:p>
    <w:p w14:paraId="5261A62C" w14:textId="77777777" w:rsidR="00747261" w:rsidRPr="001A4B94" w:rsidRDefault="00747261" w:rsidP="00747261">
      <w:pPr>
        <w:autoSpaceDE w:val="0"/>
        <w:autoSpaceDN w:val="0"/>
        <w:adjustRightInd w:val="0"/>
        <w:rPr>
          <w:rFonts w:ascii="Arial" w:eastAsiaTheme="minorEastAsia" w:hAnsi="Arial" w:cs="Arial"/>
          <w:b/>
          <w:bCs/>
          <w:color w:val="000000"/>
          <w:sz w:val="23"/>
          <w:szCs w:val="23"/>
          <w:lang w:val="tr-TR"/>
        </w:rPr>
      </w:pPr>
      <w:r w:rsidRPr="001A4B94">
        <w:rPr>
          <w:rFonts w:ascii="Arial" w:eastAsiaTheme="minorEastAsia" w:hAnsi="Arial" w:cs="Arial"/>
          <w:b/>
          <w:bCs/>
          <w:color w:val="000000"/>
          <w:sz w:val="23"/>
          <w:szCs w:val="23"/>
          <w:lang w:val="tr-TR"/>
        </w:rPr>
        <w:br/>
      </w:r>
    </w:p>
    <w:p w14:paraId="0730D029" w14:textId="77777777" w:rsidR="00747261" w:rsidRPr="001A4B94" w:rsidRDefault="00747261" w:rsidP="00747261">
      <w:pPr>
        <w:spacing w:after="160" w:line="259" w:lineRule="auto"/>
        <w:rPr>
          <w:rFonts w:ascii="Arial" w:eastAsiaTheme="minorEastAsia" w:hAnsi="Arial" w:cs="Arial"/>
          <w:b/>
          <w:bCs/>
          <w:color w:val="000000"/>
          <w:sz w:val="23"/>
          <w:szCs w:val="23"/>
          <w:lang w:val="tr-TR"/>
        </w:rPr>
        <w:sectPr w:rsidR="00747261" w:rsidRPr="001A4B94" w:rsidSect="00747261">
          <w:pgSz w:w="12240" w:h="15840"/>
          <w:pgMar w:top="1440" w:right="1440" w:bottom="1440" w:left="1440" w:header="720" w:footer="720" w:gutter="0"/>
          <w:cols w:space="720"/>
          <w:docGrid w:linePitch="360"/>
        </w:sectPr>
      </w:pPr>
    </w:p>
    <w:p w14:paraId="76AE7721" w14:textId="77777777" w:rsidR="00747261" w:rsidRPr="001A4B94" w:rsidRDefault="00747261" w:rsidP="00747261">
      <w:pPr>
        <w:autoSpaceDE w:val="0"/>
        <w:autoSpaceDN w:val="0"/>
        <w:adjustRightInd w:val="0"/>
        <w:jc w:val="center"/>
        <w:rPr>
          <w:rFonts w:eastAsiaTheme="minorEastAsia"/>
          <w:b/>
          <w:bCs/>
          <w:color w:val="000000"/>
          <w:sz w:val="22"/>
          <w:szCs w:val="22"/>
          <w:lang w:val="tr-TR"/>
        </w:rPr>
      </w:pPr>
    </w:p>
    <w:p w14:paraId="461A3E84" w14:textId="7657D38B" w:rsidR="008678B9" w:rsidRPr="001A4B94" w:rsidRDefault="004251BE" w:rsidP="00A345E6">
      <w:pPr>
        <w:pStyle w:val="Balk1"/>
        <w:jc w:val="center"/>
        <w:rPr>
          <w:rFonts w:eastAsiaTheme="minorEastAsia"/>
          <w:b/>
          <w:bCs/>
          <w:color w:val="000000"/>
          <w:sz w:val="24"/>
          <w:szCs w:val="24"/>
          <w:lang w:val="tr-TR"/>
        </w:rPr>
      </w:pPr>
      <w:bookmarkStart w:id="26" w:name="_Toc494977334"/>
      <w:r w:rsidRPr="001A4B94">
        <w:rPr>
          <w:rFonts w:ascii="Times New Roman" w:hAnsi="Times New Roman" w:cs="Times New Roman"/>
          <w:b/>
          <w:color w:val="000000" w:themeColor="text1"/>
          <w:sz w:val="24"/>
          <w:szCs w:val="24"/>
          <w:lang w:val="tr-TR"/>
        </w:rPr>
        <w:t>Ek</w:t>
      </w:r>
      <w:r w:rsidR="00747261" w:rsidRPr="001A4B94">
        <w:rPr>
          <w:rFonts w:ascii="Times New Roman" w:hAnsi="Times New Roman" w:cs="Times New Roman"/>
          <w:b/>
          <w:color w:val="000000" w:themeColor="text1"/>
          <w:sz w:val="24"/>
          <w:szCs w:val="24"/>
          <w:lang w:val="tr-TR"/>
        </w:rPr>
        <w:t xml:space="preserve"> 4. Opera</w:t>
      </w:r>
      <w:r w:rsidR="000277F2" w:rsidRPr="001A4B94">
        <w:rPr>
          <w:rFonts w:ascii="Times New Roman" w:hAnsi="Times New Roman" w:cs="Times New Roman"/>
          <w:b/>
          <w:color w:val="000000" w:themeColor="text1"/>
          <w:sz w:val="24"/>
          <w:szCs w:val="24"/>
          <w:lang w:val="tr-TR"/>
        </w:rPr>
        <w:t xml:space="preserve">syonlar </w:t>
      </w:r>
      <w:r w:rsidR="00747261" w:rsidRPr="001A4B94">
        <w:rPr>
          <w:rFonts w:ascii="Times New Roman" w:hAnsi="Times New Roman" w:cs="Times New Roman"/>
          <w:b/>
          <w:color w:val="000000" w:themeColor="text1"/>
          <w:sz w:val="24"/>
          <w:szCs w:val="24"/>
          <w:lang w:val="tr-TR"/>
        </w:rPr>
        <w:t>Portf</w:t>
      </w:r>
      <w:r w:rsidR="000277F2" w:rsidRPr="001A4B94">
        <w:rPr>
          <w:rFonts w:ascii="Times New Roman" w:hAnsi="Times New Roman" w:cs="Times New Roman"/>
          <w:b/>
          <w:color w:val="000000" w:themeColor="text1"/>
          <w:sz w:val="24"/>
          <w:szCs w:val="24"/>
          <w:lang w:val="tr-TR"/>
        </w:rPr>
        <w:t xml:space="preserve">öyü </w:t>
      </w:r>
      <w:r w:rsidR="00747261" w:rsidRPr="001A4B94">
        <w:rPr>
          <w:rFonts w:ascii="Times New Roman" w:hAnsi="Times New Roman" w:cs="Times New Roman"/>
          <w:b/>
          <w:color w:val="000000" w:themeColor="text1"/>
          <w:sz w:val="24"/>
          <w:szCs w:val="24"/>
          <w:lang w:val="tr-TR"/>
        </w:rPr>
        <w:t xml:space="preserve">(IBRD/IDA </w:t>
      </w:r>
      <w:r w:rsidR="000277F2" w:rsidRPr="001A4B94">
        <w:rPr>
          <w:rFonts w:ascii="Times New Roman" w:hAnsi="Times New Roman" w:cs="Times New Roman"/>
          <w:b/>
          <w:color w:val="000000" w:themeColor="text1"/>
          <w:sz w:val="24"/>
          <w:szCs w:val="24"/>
          <w:lang w:val="tr-TR"/>
        </w:rPr>
        <w:t>ve Hibeler</w:t>
      </w:r>
      <w:r w:rsidR="00747261" w:rsidRPr="001A4B94">
        <w:rPr>
          <w:rFonts w:ascii="Times New Roman" w:hAnsi="Times New Roman" w:cs="Times New Roman"/>
          <w:b/>
          <w:color w:val="000000" w:themeColor="text1"/>
          <w:sz w:val="24"/>
          <w:szCs w:val="24"/>
          <w:lang w:val="tr-TR"/>
        </w:rPr>
        <w:t>)</w:t>
      </w:r>
      <w:bookmarkEnd w:id="26"/>
      <w:r w:rsidR="00747261" w:rsidRPr="001A4B94">
        <w:rPr>
          <w:rFonts w:eastAsiaTheme="minorEastAsia"/>
          <w:b/>
          <w:bCs/>
          <w:color w:val="000000"/>
          <w:sz w:val="24"/>
          <w:szCs w:val="24"/>
          <w:lang w:val="tr-TR"/>
        </w:rPr>
        <w:t xml:space="preserve"> </w:t>
      </w:r>
    </w:p>
    <w:p w14:paraId="1E1D1CB5" w14:textId="1B81380A" w:rsidR="00747261" w:rsidRPr="001A4B94" w:rsidRDefault="000277F2" w:rsidP="008678B9">
      <w:pPr>
        <w:jc w:val="center"/>
        <w:rPr>
          <w:rFonts w:eastAsiaTheme="minorEastAsia"/>
          <w:b/>
          <w:lang w:val="tr-TR"/>
        </w:rPr>
      </w:pPr>
      <w:r w:rsidRPr="001A4B94">
        <w:rPr>
          <w:rFonts w:eastAsiaTheme="minorEastAsia"/>
          <w:lang w:val="tr-TR"/>
        </w:rPr>
        <w:t xml:space="preserve">29 Temmuz </w:t>
      </w:r>
      <w:r w:rsidR="0092650A" w:rsidRPr="001A4B94">
        <w:rPr>
          <w:rFonts w:eastAsiaTheme="minorEastAsia"/>
          <w:lang w:val="tr-TR"/>
        </w:rPr>
        <w:t>2017</w:t>
      </w:r>
      <w:r w:rsidRPr="001A4B94">
        <w:rPr>
          <w:rFonts w:eastAsiaTheme="minorEastAsia"/>
          <w:lang w:val="tr-TR"/>
        </w:rPr>
        <w:t xml:space="preserve"> itibariyle </w:t>
      </w:r>
    </w:p>
    <w:p w14:paraId="5DE31EFF" w14:textId="77777777" w:rsidR="00747261" w:rsidRPr="001A4B94" w:rsidRDefault="00747261" w:rsidP="00747261">
      <w:pPr>
        <w:autoSpaceDE w:val="0"/>
        <w:autoSpaceDN w:val="0"/>
        <w:adjustRightInd w:val="0"/>
        <w:jc w:val="center"/>
        <w:rPr>
          <w:rFonts w:eastAsiaTheme="minorEastAsia"/>
          <w:b/>
          <w:bCs/>
          <w:color w:val="000000"/>
          <w:sz w:val="22"/>
          <w:szCs w:val="22"/>
          <w:lang w:val="tr-TR"/>
        </w:rPr>
      </w:pPr>
    </w:p>
    <w:tbl>
      <w:tblPr>
        <w:tblW w:w="13715" w:type="dxa"/>
        <w:tblInd w:w="-360" w:type="dxa"/>
        <w:tblLook w:val="04A0" w:firstRow="1" w:lastRow="0" w:firstColumn="1" w:lastColumn="0" w:noHBand="0" w:noVBand="1"/>
      </w:tblPr>
      <w:tblGrid>
        <w:gridCol w:w="1080"/>
        <w:gridCol w:w="2520"/>
        <w:gridCol w:w="990"/>
        <w:gridCol w:w="1350"/>
        <w:gridCol w:w="450"/>
        <w:gridCol w:w="990"/>
        <w:gridCol w:w="990"/>
        <w:gridCol w:w="810"/>
        <w:gridCol w:w="540"/>
        <w:gridCol w:w="732"/>
        <w:gridCol w:w="888"/>
        <w:gridCol w:w="1483"/>
        <w:gridCol w:w="800"/>
        <w:gridCol w:w="699"/>
      </w:tblGrid>
      <w:tr w:rsidR="00747261" w:rsidRPr="001A4B94" w14:paraId="79B1FADA" w14:textId="77777777" w:rsidTr="006A23B6">
        <w:trPr>
          <w:trHeight w:val="390"/>
        </w:trPr>
        <w:tc>
          <w:tcPr>
            <w:tcW w:w="3600" w:type="dxa"/>
            <w:gridSpan w:val="2"/>
            <w:tcBorders>
              <w:top w:val="nil"/>
              <w:left w:val="nil"/>
              <w:bottom w:val="nil"/>
              <w:right w:val="nil"/>
            </w:tcBorders>
            <w:shd w:val="clear" w:color="FFFFFF" w:fill="FFFFFF"/>
            <w:noWrap/>
            <w:vAlign w:val="bottom"/>
            <w:hideMark/>
          </w:tcPr>
          <w:p w14:paraId="6D291545" w14:textId="0F9E1792" w:rsidR="00747261" w:rsidRPr="001A4B94" w:rsidRDefault="00747261" w:rsidP="00747261">
            <w:pPr>
              <w:rPr>
                <w:b/>
                <w:bCs/>
                <w:color w:val="000000"/>
                <w:sz w:val="16"/>
                <w:szCs w:val="16"/>
                <w:u w:val="single"/>
                <w:lang w:val="tr-TR"/>
              </w:rPr>
            </w:pPr>
            <w:r w:rsidRPr="001A4B94">
              <w:rPr>
                <w:rFonts w:eastAsiaTheme="minorEastAsia"/>
                <w:sz w:val="16"/>
                <w:szCs w:val="16"/>
                <w:lang w:val="tr-TR"/>
              </w:rPr>
              <w:br w:type="page"/>
            </w:r>
            <w:r w:rsidR="000277F2" w:rsidRPr="001A4B94">
              <w:rPr>
                <w:b/>
                <w:bCs/>
                <w:color w:val="000000"/>
                <w:sz w:val="16"/>
                <w:szCs w:val="16"/>
                <w:u w:val="single"/>
                <w:lang w:val="tr-TR"/>
              </w:rPr>
              <w:t xml:space="preserve">Kapanan Projeler      </w:t>
            </w:r>
          </w:p>
        </w:tc>
        <w:tc>
          <w:tcPr>
            <w:tcW w:w="2790" w:type="dxa"/>
            <w:gridSpan w:val="3"/>
            <w:tcBorders>
              <w:top w:val="nil"/>
              <w:left w:val="nil"/>
              <w:bottom w:val="nil"/>
              <w:right w:val="nil"/>
            </w:tcBorders>
            <w:shd w:val="clear" w:color="FFFFFF" w:fill="FFFFFF"/>
            <w:noWrap/>
            <w:vAlign w:val="bottom"/>
            <w:hideMark/>
          </w:tcPr>
          <w:p w14:paraId="5C21E2D6" w14:textId="77777777" w:rsidR="00747261" w:rsidRPr="001A4B94" w:rsidRDefault="00747261" w:rsidP="00747261">
            <w:pPr>
              <w:jc w:val="right"/>
              <w:rPr>
                <w:b/>
                <w:bCs/>
                <w:color w:val="000000"/>
                <w:sz w:val="16"/>
                <w:szCs w:val="16"/>
                <w:lang w:val="tr-TR"/>
              </w:rPr>
            </w:pPr>
            <w:r w:rsidRPr="001A4B94">
              <w:rPr>
                <w:b/>
                <w:bCs/>
                <w:color w:val="000000"/>
                <w:sz w:val="16"/>
                <w:szCs w:val="16"/>
                <w:lang w:val="tr-TR"/>
              </w:rPr>
              <w:t>188</w:t>
            </w:r>
          </w:p>
        </w:tc>
        <w:tc>
          <w:tcPr>
            <w:tcW w:w="990" w:type="dxa"/>
            <w:tcBorders>
              <w:top w:val="nil"/>
              <w:left w:val="nil"/>
              <w:bottom w:val="nil"/>
              <w:right w:val="nil"/>
            </w:tcBorders>
            <w:shd w:val="clear" w:color="FFFFFF" w:fill="FFFFFF"/>
            <w:noWrap/>
            <w:vAlign w:val="bottom"/>
            <w:hideMark/>
          </w:tcPr>
          <w:p w14:paraId="1B0825CE"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229EFF31"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48B0CCD9"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41AF76B3"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03699104"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03ECEDB8"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33686637"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4726129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1AA2FC33"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2FDA94B3" w14:textId="77777777" w:rsidTr="006A23B6">
        <w:trPr>
          <w:trHeight w:val="360"/>
        </w:trPr>
        <w:tc>
          <w:tcPr>
            <w:tcW w:w="3600" w:type="dxa"/>
            <w:gridSpan w:val="2"/>
            <w:tcBorders>
              <w:top w:val="nil"/>
              <w:left w:val="nil"/>
              <w:bottom w:val="nil"/>
              <w:right w:val="nil"/>
            </w:tcBorders>
            <w:shd w:val="clear" w:color="FFFFFF" w:fill="FFFFFF"/>
            <w:noWrap/>
            <w:vAlign w:val="center"/>
            <w:hideMark/>
          </w:tcPr>
          <w:p w14:paraId="3BF18497" w14:textId="77777777" w:rsidR="00747261" w:rsidRPr="001A4B94" w:rsidRDefault="00747261" w:rsidP="00747261">
            <w:pPr>
              <w:rPr>
                <w:b/>
                <w:bCs/>
                <w:color w:val="333333"/>
                <w:sz w:val="16"/>
                <w:szCs w:val="16"/>
                <w:u w:val="single"/>
                <w:lang w:val="tr-TR"/>
              </w:rPr>
            </w:pPr>
            <w:r w:rsidRPr="001A4B94">
              <w:rPr>
                <w:b/>
                <w:bCs/>
                <w:color w:val="333333"/>
                <w:sz w:val="16"/>
                <w:szCs w:val="16"/>
                <w:u w:val="single"/>
                <w:lang w:val="tr-TR"/>
              </w:rPr>
              <w:t> </w:t>
            </w:r>
          </w:p>
        </w:tc>
        <w:tc>
          <w:tcPr>
            <w:tcW w:w="2790" w:type="dxa"/>
            <w:gridSpan w:val="3"/>
            <w:tcBorders>
              <w:top w:val="nil"/>
              <w:left w:val="nil"/>
              <w:bottom w:val="nil"/>
              <w:right w:val="nil"/>
            </w:tcBorders>
            <w:shd w:val="clear" w:color="FFFFFF" w:fill="FFFFFF"/>
            <w:noWrap/>
            <w:vAlign w:val="center"/>
            <w:hideMark/>
          </w:tcPr>
          <w:p w14:paraId="3B787763"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1788E556"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79D2DBF2"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294CCC99"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0251E2D3" w14:textId="1106C7A3"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1A7778F2"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7467898B"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4314A217"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099B2B4B"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20D8950B"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2E2C8BA6"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6F87585D" w14:textId="77777777" w:rsidR="00747261" w:rsidRPr="001A4B94" w:rsidRDefault="00747261" w:rsidP="00747261">
            <w:pPr>
              <w:rPr>
                <w:b/>
                <w:bCs/>
                <w:color w:val="000000"/>
                <w:sz w:val="16"/>
                <w:szCs w:val="16"/>
                <w:u w:val="single"/>
                <w:lang w:val="tr-TR"/>
              </w:rPr>
            </w:pPr>
            <w:r w:rsidRPr="001A4B94">
              <w:rPr>
                <w:b/>
                <w:bCs/>
                <w:color w:val="000000"/>
                <w:sz w:val="16"/>
                <w:szCs w:val="16"/>
                <w:u w:val="single"/>
                <w:lang w:val="tr-TR"/>
              </w:rPr>
              <w:t>IBRD/IDA*</w:t>
            </w:r>
          </w:p>
        </w:tc>
        <w:tc>
          <w:tcPr>
            <w:tcW w:w="2790" w:type="dxa"/>
            <w:gridSpan w:val="3"/>
            <w:tcBorders>
              <w:top w:val="nil"/>
              <w:left w:val="nil"/>
              <w:bottom w:val="nil"/>
              <w:right w:val="nil"/>
            </w:tcBorders>
            <w:shd w:val="clear" w:color="FFFFFF" w:fill="FFFFFF"/>
            <w:noWrap/>
            <w:vAlign w:val="center"/>
            <w:hideMark/>
          </w:tcPr>
          <w:p w14:paraId="3655D09C" w14:textId="77777777" w:rsidR="00747261" w:rsidRPr="001A4B94" w:rsidRDefault="00747261" w:rsidP="00747261">
            <w:pPr>
              <w:rPr>
                <w:color w:val="000000"/>
                <w:sz w:val="16"/>
                <w:szCs w:val="16"/>
                <w:lang w:val="tr-TR"/>
              </w:rPr>
            </w:pPr>
            <w:r w:rsidRPr="001A4B94">
              <w:rPr>
                <w:color w:val="000000"/>
                <w:sz w:val="16"/>
                <w:szCs w:val="16"/>
                <w:lang w:val="tr-TR"/>
              </w:rPr>
              <w:t> </w:t>
            </w:r>
          </w:p>
        </w:tc>
        <w:tc>
          <w:tcPr>
            <w:tcW w:w="990" w:type="dxa"/>
            <w:tcBorders>
              <w:top w:val="nil"/>
              <w:left w:val="nil"/>
              <w:bottom w:val="nil"/>
              <w:right w:val="nil"/>
            </w:tcBorders>
            <w:shd w:val="clear" w:color="FFFFFF" w:fill="FFFFFF"/>
            <w:noWrap/>
            <w:vAlign w:val="bottom"/>
            <w:hideMark/>
          </w:tcPr>
          <w:p w14:paraId="1530CF02"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0C824D81"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7DE4162A"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32335453"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7636D2C9"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304152AB"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550D4874"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79A17E47"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43765876"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46AC2A73"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7DF61E8A" w14:textId="14BD3717" w:rsidR="00747261" w:rsidRPr="001A4B94" w:rsidRDefault="000277F2" w:rsidP="00747261">
            <w:pPr>
              <w:rPr>
                <w:color w:val="000000"/>
                <w:sz w:val="16"/>
                <w:szCs w:val="16"/>
                <w:lang w:val="tr-TR"/>
              </w:rPr>
            </w:pPr>
            <w:r w:rsidRPr="001A4B94">
              <w:rPr>
                <w:color w:val="000000"/>
                <w:sz w:val="16"/>
                <w:szCs w:val="16"/>
                <w:lang w:val="tr-TR"/>
              </w:rPr>
              <w:t>Toplam Kullandırılan (Aktif)</w:t>
            </w:r>
          </w:p>
        </w:tc>
        <w:tc>
          <w:tcPr>
            <w:tcW w:w="2790" w:type="dxa"/>
            <w:gridSpan w:val="3"/>
            <w:tcBorders>
              <w:top w:val="nil"/>
              <w:left w:val="nil"/>
              <w:bottom w:val="nil"/>
              <w:right w:val="nil"/>
            </w:tcBorders>
            <w:shd w:val="clear" w:color="FFFFFF" w:fill="FFFFFF"/>
            <w:noWrap/>
            <w:vAlign w:val="bottom"/>
            <w:hideMark/>
          </w:tcPr>
          <w:p w14:paraId="65FEA006" w14:textId="4232C905" w:rsidR="00747261" w:rsidRPr="001A4B94" w:rsidRDefault="000277F2" w:rsidP="00747261">
            <w:pPr>
              <w:jc w:val="right"/>
              <w:rPr>
                <w:color w:val="000000"/>
                <w:sz w:val="16"/>
                <w:szCs w:val="16"/>
                <w:lang w:val="tr-TR"/>
              </w:rPr>
            </w:pPr>
            <w:r w:rsidRPr="001A4B94">
              <w:rPr>
                <w:color w:val="000000"/>
                <w:sz w:val="16"/>
                <w:szCs w:val="16"/>
                <w:lang w:val="tr-TR"/>
              </w:rPr>
              <w:t>1.</w:t>
            </w:r>
            <w:r w:rsidR="00B04E54" w:rsidRPr="001A4B94">
              <w:rPr>
                <w:color w:val="000000"/>
                <w:sz w:val="16"/>
                <w:szCs w:val="16"/>
                <w:lang w:val="tr-TR"/>
              </w:rPr>
              <w:t>597</w:t>
            </w:r>
            <w:r w:rsidRPr="001A4B94">
              <w:rPr>
                <w:color w:val="000000"/>
                <w:sz w:val="16"/>
                <w:szCs w:val="16"/>
                <w:lang w:val="tr-TR"/>
              </w:rPr>
              <w:t>,</w:t>
            </w:r>
            <w:r w:rsidR="00B04E54" w:rsidRPr="001A4B94">
              <w:rPr>
                <w:color w:val="000000"/>
                <w:sz w:val="16"/>
                <w:szCs w:val="16"/>
                <w:lang w:val="tr-TR"/>
              </w:rPr>
              <w:t>46</w:t>
            </w:r>
          </w:p>
        </w:tc>
        <w:tc>
          <w:tcPr>
            <w:tcW w:w="990" w:type="dxa"/>
            <w:tcBorders>
              <w:top w:val="nil"/>
              <w:left w:val="nil"/>
              <w:bottom w:val="nil"/>
              <w:right w:val="nil"/>
            </w:tcBorders>
            <w:shd w:val="clear" w:color="FFFFFF" w:fill="FFFFFF"/>
            <w:noWrap/>
            <w:vAlign w:val="bottom"/>
            <w:hideMark/>
          </w:tcPr>
          <w:p w14:paraId="744DE4D0"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6B4FE936"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73B29AF3"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25EF507E"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68EFC11F"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50D0A9D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700F6B73"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1A9A0148"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212FED37"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79DBAB6B"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55E564F4" w14:textId="6687148C" w:rsidR="00747261" w:rsidRPr="001A4B94" w:rsidRDefault="00747261" w:rsidP="00747261">
            <w:pPr>
              <w:rPr>
                <w:color w:val="000000"/>
                <w:sz w:val="16"/>
                <w:szCs w:val="16"/>
                <w:lang w:val="tr-TR"/>
              </w:rPr>
            </w:pPr>
            <w:r w:rsidRPr="001A4B94">
              <w:rPr>
                <w:color w:val="000000"/>
                <w:sz w:val="16"/>
                <w:szCs w:val="16"/>
                <w:lang w:val="tr-TR"/>
              </w:rPr>
              <w:t xml:space="preserve">          </w:t>
            </w:r>
            <w:r w:rsidR="000277F2" w:rsidRPr="001A4B94">
              <w:rPr>
                <w:color w:val="000000"/>
                <w:sz w:val="16"/>
                <w:szCs w:val="16"/>
                <w:lang w:val="tr-TR"/>
              </w:rPr>
              <w:t xml:space="preserve">geri ödenen </w:t>
            </w:r>
          </w:p>
        </w:tc>
        <w:tc>
          <w:tcPr>
            <w:tcW w:w="2790" w:type="dxa"/>
            <w:gridSpan w:val="3"/>
            <w:tcBorders>
              <w:top w:val="nil"/>
              <w:left w:val="nil"/>
              <w:bottom w:val="nil"/>
              <w:right w:val="nil"/>
            </w:tcBorders>
            <w:shd w:val="clear" w:color="FFFFFF" w:fill="FFFFFF"/>
            <w:noWrap/>
            <w:vAlign w:val="bottom"/>
            <w:hideMark/>
          </w:tcPr>
          <w:p w14:paraId="5C5EC30D" w14:textId="6187D0BC" w:rsidR="00747261" w:rsidRPr="001A4B94" w:rsidRDefault="00747261" w:rsidP="00747261">
            <w:pPr>
              <w:jc w:val="right"/>
              <w:rPr>
                <w:color w:val="000000"/>
                <w:sz w:val="16"/>
                <w:szCs w:val="16"/>
                <w:lang w:val="tr-TR"/>
              </w:rPr>
            </w:pPr>
            <w:r w:rsidRPr="001A4B94">
              <w:rPr>
                <w:color w:val="000000"/>
                <w:sz w:val="16"/>
                <w:szCs w:val="16"/>
                <w:lang w:val="tr-TR"/>
              </w:rPr>
              <w:t>2</w:t>
            </w:r>
            <w:r w:rsidR="00B04E54" w:rsidRPr="001A4B94">
              <w:rPr>
                <w:color w:val="000000"/>
                <w:sz w:val="16"/>
                <w:szCs w:val="16"/>
                <w:lang w:val="tr-TR"/>
              </w:rPr>
              <w:t>43</w:t>
            </w:r>
            <w:r w:rsidR="000277F2" w:rsidRPr="001A4B94">
              <w:rPr>
                <w:color w:val="000000"/>
                <w:sz w:val="16"/>
                <w:szCs w:val="16"/>
                <w:lang w:val="tr-TR"/>
              </w:rPr>
              <w:t>,</w:t>
            </w:r>
            <w:r w:rsidR="00B04E54" w:rsidRPr="001A4B94">
              <w:rPr>
                <w:color w:val="000000"/>
                <w:sz w:val="16"/>
                <w:szCs w:val="16"/>
                <w:lang w:val="tr-TR"/>
              </w:rPr>
              <w:t>68</w:t>
            </w:r>
          </w:p>
        </w:tc>
        <w:tc>
          <w:tcPr>
            <w:tcW w:w="990" w:type="dxa"/>
            <w:tcBorders>
              <w:top w:val="nil"/>
              <w:left w:val="nil"/>
              <w:bottom w:val="nil"/>
              <w:right w:val="nil"/>
            </w:tcBorders>
            <w:shd w:val="clear" w:color="FFFFFF" w:fill="FFFFFF"/>
            <w:noWrap/>
            <w:vAlign w:val="bottom"/>
            <w:hideMark/>
          </w:tcPr>
          <w:p w14:paraId="3A6D9E78"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1A6525C8"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3567285F"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51849FA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67EC922B"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79B05BAD"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7DB9F6CD"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623E1985"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0365F7AF"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0277F2" w:rsidRPr="001A4B94" w14:paraId="1D310C20"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7B4C2692" w14:textId="00D43715" w:rsidR="000277F2" w:rsidRPr="001A4B94" w:rsidRDefault="000277F2" w:rsidP="000277F2">
            <w:pPr>
              <w:rPr>
                <w:color w:val="000000"/>
                <w:sz w:val="16"/>
                <w:szCs w:val="16"/>
                <w:lang w:val="tr-TR"/>
              </w:rPr>
            </w:pPr>
            <w:r w:rsidRPr="001A4B94">
              <w:rPr>
                <w:color w:val="000000"/>
                <w:sz w:val="16"/>
                <w:szCs w:val="16"/>
                <w:lang w:val="tr-TR"/>
              </w:rPr>
              <w:t>Toplam Kullandırılan (Kapanan)</w:t>
            </w:r>
          </w:p>
        </w:tc>
        <w:tc>
          <w:tcPr>
            <w:tcW w:w="2790" w:type="dxa"/>
            <w:gridSpan w:val="3"/>
            <w:tcBorders>
              <w:top w:val="nil"/>
              <w:left w:val="nil"/>
              <w:bottom w:val="nil"/>
              <w:right w:val="nil"/>
            </w:tcBorders>
            <w:shd w:val="clear" w:color="FFFFFF" w:fill="FFFFFF"/>
            <w:noWrap/>
            <w:vAlign w:val="bottom"/>
            <w:hideMark/>
          </w:tcPr>
          <w:p w14:paraId="3370B53D" w14:textId="208A11B9" w:rsidR="000277F2" w:rsidRPr="001A4B94" w:rsidRDefault="000277F2" w:rsidP="000277F2">
            <w:pPr>
              <w:jc w:val="right"/>
              <w:rPr>
                <w:color w:val="000000"/>
                <w:sz w:val="16"/>
                <w:szCs w:val="16"/>
                <w:lang w:val="tr-TR"/>
              </w:rPr>
            </w:pPr>
            <w:r w:rsidRPr="001A4B94">
              <w:rPr>
                <w:color w:val="000000"/>
                <w:sz w:val="16"/>
                <w:szCs w:val="16"/>
                <w:lang w:val="tr-TR"/>
              </w:rPr>
              <w:t>17.314,16</w:t>
            </w:r>
          </w:p>
        </w:tc>
        <w:tc>
          <w:tcPr>
            <w:tcW w:w="990" w:type="dxa"/>
            <w:tcBorders>
              <w:top w:val="nil"/>
              <w:left w:val="nil"/>
              <w:bottom w:val="nil"/>
              <w:right w:val="nil"/>
            </w:tcBorders>
            <w:shd w:val="clear" w:color="FFFFFF" w:fill="FFFFFF"/>
            <w:noWrap/>
            <w:vAlign w:val="bottom"/>
            <w:hideMark/>
          </w:tcPr>
          <w:p w14:paraId="05E5A4EE" w14:textId="77777777" w:rsidR="000277F2" w:rsidRPr="001A4B94" w:rsidRDefault="000277F2" w:rsidP="000277F2">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55F4E1AD"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2E8291ED"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6224F009"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3E19794A"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724ED48F"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553D797E"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326AC73E"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456A61A7" w14:textId="77777777" w:rsidR="000277F2" w:rsidRPr="001A4B94" w:rsidRDefault="000277F2" w:rsidP="000277F2">
            <w:pPr>
              <w:rPr>
                <w:color w:val="333333"/>
                <w:sz w:val="18"/>
                <w:szCs w:val="18"/>
                <w:lang w:val="tr-TR"/>
              </w:rPr>
            </w:pPr>
            <w:r w:rsidRPr="001A4B94">
              <w:rPr>
                <w:color w:val="333333"/>
                <w:sz w:val="18"/>
                <w:szCs w:val="18"/>
                <w:lang w:val="tr-TR"/>
              </w:rPr>
              <w:t> </w:t>
            </w:r>
          </w:p>
        </w:tc>
      </w:tr>
      <w:tr w:rsidR="000277F2" w:rsidRPr="001A4B94" w14:paraId="0271C65D"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7DAAF3E6" w14:textId="18D7569F" w:rsidR="000277F2" w:rsidRPr="001A4B94" w:rsidRDefault="000277F2" w:rsidP="000277F2">
            <w:pPr>
              <w:rPr>
                <w:color w:val="000000"/>
                <w:sz w:val="16"/>
                <w:szCs w:val="16"/>
                <w:lang w:val="tr-TR"/>
              </w:rPr>
            </w:pPr>
            <w:r w:rsidRPr="001A4B94">
              <w:rPr>
                <w:color w:val="000000"/>
                <w:sz w:val="16"/>
                <w:szCs w:val="16"/>
                <w:lang w:val="tr-TR"/>
              </w:rPr>
              <w:t xml:space="preserve">          geri ödenen </w:t>
            </w:r>
          </w:p>
        </w:tc>
        <w:tc>
          <w:tcPr>
            <w:tcW w:w="2790" w:type="dxa"/>
            <w:gridSpan w:val="3"/>
            <w:tcBorders>
              <w:top w:val="nil"/>
              <w:left w:val="nil"/>
              <w:bottom w:val="nil"/>
              <w:right w:val="nil"/>
            </w:tcBorders>
            <w:shd w:val="clear" w:color="FFFFFF" w:fill="FFFFFF"/>
            <w:noWrap/>
            <w:vAlign w:val="bottom"/>
            <w:hideMark/>
          </w:tcPr>
          <w:p w14:paraId="225BBB50" w14:textId="6A0E3BE3" w:rsidR="000277F2" w:rsidRPr="001A4B94" w:rsidRDefault="000277F2" w:rsidP="000277F2">
            <w:pPr>
              <w:jc w:val="right"/>
              <w:rPr>
                <w:color w:val="000000"/>
                <w:sz w:val="16"/>
                <w:szCs w:val="16"/>
                <w:lang w:val="tr-TR"/>
              </w:rPr>
            </w:pPr>
            <w:r w:rsidRPr="001A4B94">
              <w:rPr>
                <w:color w:val="000000"/>
                <w:sz w:val="16"/>
                <w:szCs w:val="16"/>
                <w:lang w:val="tr-TR"/>
              </w:rPr>
              <w:t>10.764,89</w:t>
            </w:r>
          </w:p>
        </w:tc>
        <w:tc>
          <w:tcPr>
            <w:tcW w:w="990" w:type="dxa"/>
            <w:tcBorders>
              <w:top w:val="nil"/>
              <w:left w:val="nil"/>
              <w:bottom w:val="nil"/>
              <w:right w:val="nil"/>
            </w:tcBorders>
            <w:shd w:val="clear" w:color="FFFFFF" w:fill="FFFFFF"/>
            <w:noWrap/>
            <w:vAlign w:val="bottom"/>
            <w:hideMark/>
          </w:tcPr>
          <w:p w14:paraId="342DB02C" w14:textId="77777777" w:rsidR="000277F2" w:rsidRPr="001A4B94" w:rsidRDefault="000277F2" w:rsidP="000277F2">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57CC6618"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577585F4"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52A0B64F"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7A7ED847"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6F3C04FD"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6C985F02"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2C81CEBB" w14:textId="77777777" w:rsidR="000277F2" w:rsidRPr="001A4B94" w:rsidRDefault="000277F2" w:rsidP="000277F2">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0AE4B148" w14:textId="77777777" w:rsidR="000277F2" w:rsidRPr="001A4B94" w:rsidRDefault="000277F2" w:rsidP="000277F2">
            <w:pPr>
              <w:rPr>
                <w:color w:val="333333"/>
                <w:sz w:val="18"/>
                <w:szCs w:val="18"/>
                <w:lang w:val="tr-TR"/>
              </w:rPr>
            </w:pPr>
            <w:r w:rsidRPr="001A4B94">
              <w:rPr>
                <w:color w:val="333333"/>
                <w:sz w:val="18"/>
                <w:szCs w:val="18"/>
                <w:lang w:val="tr-TR"/>
              </w:rPr>
              <w:t> </w:t>
            </w:r>
          </w:p>
        </w:tc>
      </w:tr>
      <w:tr w:rsidR="00747261" w:rsidRPr="001A4B94" w14:paraId="5912D56B"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61D3A1E5" w14:textId="7DA2C2B4" w:rsidR="00747261" w:rsidRPr="001A4B94" w:rsidRDefault="000277F2" w:rsidP="00747261">
            <w:pPr>
              <w:rPr>
                <w:color w:val="000000"/>
                <w:sz w:val="16"/>
                <w:szCs w:val="16"/>
                <w:lang w:val="tr-TR"/>
              </w:rPr>
            </w:pPr>
            <w:r w:rsidRPr="001A4B94">
              <w:rPr>
                <w:color w:val="000000"/>
                <w:sz w:val="16"/>
                <w:szCs w:val="16"/>
                <w:lang w:val="tr-TR"/>
              </w:rPr>
              <w:t xml:space="preserve">Toplam Kullandırılan </w:t>
            </w:r>
            <w:r w:rsidR="00747261" w:rsidRPr="001A4B94">
              <w:rPr>
                <w:color w:val="000000"/>
                <w:sz w:val="16"/>
                <w:szCs w:val="16"/>
                <w:lang w:val="tr-TR"/>
              </w:rPr>
              <w:t>(</w:t>
            </w:r>
            <w:r w:rsidRPr="001A4B94">
              <w:rPr>
                <w:color w:val="000000"/>
                <w:sz w:val="16"/>
                <w:szCs w:val="16"/>
                <w:lang w:val="tr-TR"/>
              </w:rPr>
              <w:t xml:space="preserve">Aktif </w:t>
            </w:r>
            <w:r w:rsidR="00747261" w:rsidRPr="001A4B94">
              <w:rPr>
                <w:color w:val="000000"/>
                <w:sz w:val="16"/>
                <w:szCs w:val="16"/>
                <w:lang w:val="tr-TR"/>
              </w:rPr>
              <w:t xml:space="preserve"> + </w:t>
            </w:r>
            <w:r w:rsidRPr="001A4B94">
              <w:rPr>
                <w:color w:val="000000"/>
                <w:sz w:val="16"/>
                <w:szCs w:val="16"/>
                <w:lang w:val="tr-TR"/>
              </w:rPr>
              <w:t>Kapanan</w:t>
            </w:r>
            <w:r w:rsidR="00747261" w:rsidRPr="001A4B94">
              <w:rPr>
                <w:color w:val="000000"/>
                <w:sz w:val="16"/>
                <w:szCs w:val="16"/>
                <w:lang w:val="tr-TR"/>
              </w:rPr>
              <w:t>)</w:t>
            </w:r>
          </w:p>
        </w:tc>
        <w:tc>
          <w:tcPr>
            <w:tcW w:w="2790" w:type="dxa"/>
            <w:gridSpan w:val="3"/>
            <w:tcBorders>
              <w:top w:val="nil"/>
              <w:left w:val="nil"/>
              <w:bottom w:val="nil"/>
              <w:right w:val="nil"/>
            </w:tcBorders>
            <w:shd w:val="clear" w:color="FFFFFF" w:fill="FFFFFF"/>
            <w:noWrap/>
            <w:vAlign w:val="bottom"/>
            <w:hideMark/>
          </w:tcPr>
          <w:p w14:paraId="0EF6AC4F" w14:textId="5A56F315" w:rsidR="00747261" w:rsidRPr="001A4B94" w:rsidRDefault="00747261" w:rsidP="00747261">
            <w:pPr>
              <w:jc w:val="right"/>
              <w:rPr>
                <w:color w:val="000000"/>
                <w:sz w:val="16"/>
                <w:szCs w:val="16"/>
                <w:lang w:val="tr-TR"/>
              </w:rPr>
            </w:pPr>
            <w:r w:rsidRPr="001A4B94">
              <w:rPr>
                <w:color w:val="000000"/>
                <w:sz w:val="16"/>
                <w:szCs w:val="16"/>
                <w:lang w:val="tr-TR"/>
              </w:rPr>
              <w:t>18</w:t>
            </w:r>
            <w:r w:rsidR="000277F2" w:rsidRPr="001A4B94">
              <w:rPr>
                <w:color w:val="000000"/>
                <w:sz w:val="16"/>
                <w:szCs w:val="16"/>
                <w:lang w:val="tr-TR"/>
              </w:rPr>
              <w:t>.</w:t>
            </w:r>
            <w:r w:rsidR="00B04E54" w:rsidRPr="001A4B94">
              <w:rPr>
                <w:color w:val="000000"/>
                <w:sz w:val="16"/>
                <w:szCs w:val="16"/>
                <w:lang w:val="tr-TR"/>
              </w:rPr>
              <w:t>911</w:t>
            </w:r>
            <w:r w:rsidR="000277F2" w:rsidRPr="001A4B94">
              <w:rPr>
                <w:color w:val="000000"/>
                <w:sz w:val="16"/>
                <w:szCs w:val="16"/>
                <w:lang w:val="tr-TR"/>
              </w:rPr>
              <w:t>,</w:t>
            </w:r>
            <w:r w:rsidR="00B04E54" w:rsidRPr="001A4B94">
              <w:rPr>
                <w:color w:val="000000"/>
                <w:sz w:val="16"/>
                <w:szCs w:val="16"/>
                <w:lang w:val="tr-TR"/>
              </w:rPr>
              <w:t>62</w:t>
            </w:r>
          </w:p>
        </w:tc>
        <w:tc>
          <w:tcPr>
            <w:tcW w:w="990" w:type="dxa"/>
            <w:tcBorders>
              <w:top w:val="nil"/>
              <w:left w:val="nil"/>
              <w:bottom w:val="nil"/>
              <w:right w:val="nil"/>
            </w:tcBorders>
            <w:shd w:val="clear" w:color="FFFFFF" w:fill="FFFFFF"/>
            <w:noWrap/>
            <w:vAlign w:val="bottom"/>
            <w:hideMark/>
          </w:tcPr>
          <w:p w14:paraId="283CFC36"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46A46F38"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2D4B9BC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48A2D783"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2A32905D"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70D8F61B"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4E665E19"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4834BB53"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2A033B9E"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6394F865"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42924C7A" w14:textId="2F4E2DC5" w:rsidR="00747261" w:rsidRPr="001A4B94" w:rsidRDefault="00747261" w:rsidP="00747261">
            <w:pPr>
              <w:rPr>
                <w:color w:val="000000"/>
                <w:sz w:val="16"/>
                <w:szCs w:val="16"/>
                <w:lang w:val="tr-TR"/>
              </w:rPr>
            </w:pPr>
            <w:r w:rsidRPr="001A4B94">
              <w:rPr>
                <w:color w:val="000000"/>
                <w:sz w:val="16"/>
                <w:szCs w:val="16"/>
                <w:lang w:val="tr-TR"/>
              </w:rPr>
              <w:t xml:space="preserve">          </w:t>
            </w:r>
            <w:r w:rsidR="000277F2" w:rsidRPr="001A4B94">
              <w:rPr>
                <w:color w:val="000000"/>
                <w:sz w:val="16"/>
                <w:szCs w:val="16"/>
                <w:lang w:val="tr-TR"/>
              </w:rPr>
              <w:t>geri ödenen</w:t>
            </w:r>
          </w:p>
        </w:tc>
        <w:tc>
          <w:tcPr>
            <w:tcW w:w="2790" w:type="dxa"/>
            <w:gridSpan w:val="3"/>
            <w:tcBorders>
              <w:top w:val="nil"/>
              <w:left w:val="nil"/>
              <w:bottom w:val="nil"/>
              <w:right w:val="nil"/>
            </w:tcBorders>
            <w:shd w:val="clear" w:color="FFFFFF" w:fill="FFFFFF"/>
            <w:noWrap/>
            <w:vAlign w:val="bottom"/>
            <w:hideMark/>
          </w:tcPr>
          <w:p w14:paraId="018CBFA9" w14:textId="74E93789" w:rsidR="00747261" w:rsidRPr="001A4B94" w:rsidRDefault="00747261" w:rsidP="00747261">
            <w:pPr>
              <w:jc w:val="right"/>
              <w:rPr>
                <w:color w:val="000000"/>
                <w:sz w:val="16"/>
                <w:szCs w:val="16"/>
                <w:lang w:val="tr-TR"/>
              </w:rPr>
            </w:pPr>
            <w:r w:rsidRPr="001A4B94">
              <w:rPr>
                <w:color w:val="000000"/>
                <w:sz w:val="16"/>
                <w:szCs w:val="16"/>
                <w:lang w:val="tr-TR"/>
              </w:rPr>
              <w:t>1</w:t>
            </w:r>
            <w:r w:rsidR="00B04E54" w:rsidRPr="001A4B94">
              <w:rPr>
                <w:color w:val="000000"/>
                <w:sz w:val="16"/>
                <w:szCs w:val="16"/>
                <w:lang w:val="tr-TR"/>
              </w:rPr>
              <w:t>1</w:t>
            </w:r>
            <w:r w:rsidR="000277F2" w:rsidRPr="001A4B94">
              <w:rPr>
                <w:color w:val="000000"/>
                <w:sz w:val="16"/>
                <w:szCs w:val="16"/>
                <w:lang w:val="tr-TR"/>
              </w:rPr>
              <w:t>.</w:t>
            </w:r>
            <w:r w:rsidR="00B04E54" w:rsidRPr="001A4B94">
              <w:rPr>
                <w:color w:val="000000"/>
                <w:sz w:val="16"/>
                <w:szCs w:val="16"/>
                <w:lang w:val="tr-TR"/>
              </w:rPr>
              <w:t>008</w:t>
            </w:r>
            <w:r w:rsidR="000277F2" w:rsidRPr="001A4B94">
              <w:rPr>
                <w:color w:val="000000"/>
                <w:sz w:val="16"/>
                <w:szCs w:val="16"/>
                <w:lang w:val="tr-TR"/>
              </w:rPr>
              <w:t>,</w:t>
            </w:r>
            <w:r w:rsidR="00B04E54" w:rsidRPr="001A4B94">
              <w:rPr>
                <w:color w:val="000000"/>
                <w:sz w:val="16"/>
                <w:szCs w:val="16"/>
                <w:lang w:val="tr-TR"/>
              </w:rPr>
              <w:t>57</w:t>
            </w:r>
          </w:p>
        </w:tc>
        <w:tc>
          <w:tcPr>
            <w:tcW w:w="990" w:type="dxa"/>
            <w:tcBorders>
              <w:top w:val="nil"/>
              <w:left w:val="nil"/>
              <w:bottom w:val="nil"/>
              <w:right w:val="nil"/>
            </w:tcBorders>
            <w:shd w:val="clear" w:color="FFFFFF" w:fill="FFFFFF"/>
            <w:noWrap/>
            <w:vAlign w:val="bottom"/>
            <w:hideMark/>
          </w:tcPr>
          <w:p w14:paraId="0FA179FC"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40D165E1"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3C3E49F5"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3CA81CA9"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1860656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451DCF85"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23AEEB46"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08849AA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622C9675"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2915280D"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650A1820" w14:textId="75DF32BD" w:rsidR="00747261" w:rsidRPr="001A4B94" w:rsidRDefault="000277F2" w:rsidP="00747261">
            <w:pPr>
              <w:rPr>
                <w:color w:val="000000"/>
                <w:sz w:val="16"/>
                <w:szCs w:val="16"/>
                <w:lang w:val="tr-TR"/>
              </w:rPr>
            </w:pPr>
            <w:r w:rsidRPr="001A4B94">
              <w:rPr>
                <w:color w:val="000000"/>
                <w:sz w:val="16"/>
                <w:szCs w:val="16"/>
                <w:lang w:val="tr-TR"/>
              </w:rPr>
              <w:t>Toplam Kullanılmayan (Aktif)</w:t>
            </w:r>
          </w:p>
        </w:tc>
        <w:tc>
          <w:tcPr>
            <w:tcW w:w="2790" w:type="dxa"/>
            <w:gridSpan w:val="3"/>
            <w:tcBorders>
              <w:top w:val="nil"/>
              <w:left w:val="nil"/>
              <w:bottom w:val="nil"/>
              <w:right w:val="nil"/>
            </w:tcBorders>
            <w:shd w:val="clear" w:color="FFFFFF" w:fill="FFFFFF"/>
            <w:noWrap/>
            <w:vAlign w:val="bottom"/>
            <w:hideMark/>
          </w:tcPr>
          <w:p w14:paraId="4F4C70DF" w14:textId="6D3FFC9D" w:rsidR="00747261" w:rsidRPr="001A4B94" w:rsidRDefault="00747261" w:rsidP="00747261">
            <w:pPr>
              <w:jc w:val="right"/>
              <w:rPr>
                <w:color w:val="000000"/>
                <w:sz w:val="16"/>
                <w:szCs w:val="16"/>
                <w:lang w:val="tr-TR"/>
              </w:rPr>
            </w:pPr>
            <w:r w:rsidRPr="001A4B94">
              <w:rPr>
                <w:color w:val="000000"/>
                <w:sz w:val="16"/>
                <w:szCs w:val="16"/>
                <w:lang w:val="tr-TR"/>
              </w:rPr>
              <w:t>1</w:t>
            </w:r>
            <w:r w:rsidR="000277F2" w:rsidRPr="001A4B94">
              <w:rPr>
                <w:color w:val="000000"/>
                <w:sz w:val="16"/>
                <w:szCs w:val="16"/>
                <w:lang w:val="tr-TR"/>
              </w:rPr>
              <w:t>.</w:t>
            </w:r>
            <w:r w:rsidR="00B04E54" w:rsidRPr="001A4B94">
              <w:rPr>
                <w:color w:val="000000"/>
                <w:sz w:val="16"/>
                <w:szCs w:val="16"/>
                <w:lang w:val="tr-TR"/>
              </w:rPr>
              <w:t>50</w:t>
            </w:r>
            <w:r w:rsidR="00D80959" w:rsidRPr="001A4B94">
              <w:rPr>
                <w:color w:val="000000"/>
                <w:sz w:val="16"/>
                <w:szCs w:val="16"/>
                <w:lang w:val="tr-TR"/>
              </w:rPr>
              <w:t>8</w:t>
            </w:r>
            <w:r w:rsidR="000277F2" w:rsidRPr="001A4B94">
              <w:rPr>
                <w:color w:val="000000"/>
                <w:sz w:val="16"/>
                <w:szCs w:val="16"/>
                <w:lang w:val="tr-TR"/>
              </w:rPr>
              <w:t>,</w:t>
            </w:r>
            <w:r w:rsidR="00D80959" w:rsidRPr="001A4B94">
              <w:rPr>
                <w:color w:val="000000"/>
                <w:sz w:val="16"/>
                <w:szCs w:val="16"/>
                <w:lang w:val="tr-TR"/>
              </w:rPr>
              <w:t>34</w:t>
            </w:r>
          </w:p>
        </w:tc>
        <w:tc>
          <w:tcPr>
            <w:tcW w:w="990" w:type="dxa"/>
            <w:tcBorders>
              <w:top w:val="nil"/>
              <w:left w:val="nil"/>
              <w:bottom w:val="nil"/>
              <w:right w:val="nil"/>
            </w:tcBorders>
            <w:shd w:val="clear" w:color="FFFFFF" w:fill="FFFFFF"/>
            <w:noWrap/>
            <w:vAlign w:val="bottom"/>
            <w:hideMark/>
          </w:tcPr>
          <w:p w14:paraId="4292EE68"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19D0EBFE"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7EFA2B7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5E61626B"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59099117"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5F10009C"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03F45809"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4FE2124F"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2EE52DA7"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21A5333C"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2BAE4008" w14:textId="0F2DDA89" w:rsidR="00747261" w:rsidRPr="001A4B94" w:rsidRDefault="000277F2" w:rsidP="00747261">
            <w:pPr>
              <w:rPr>
                <w:color w:val="000000"/>
                <w:sz w:val="16"/>
                <w:szCs w:val="16"/>
                <w:lang w:val="tr-TR"/>
              </w:rPr>
            </w:pPr>
            <w:r w:rsidRPr="001A4B94">
              <w:rPr>
                <w:color w:val="000000"/>
                <w:sz w:val="16"/>
                <w:szCs w:val="16"/>
                <w:lang w:val="tr-TR"/>
              </w:rPr>
              <w:t>Toplam Kullanılmayan (Kapanan)</w:t>
            </w:r>
          </w:p>
        </w:tc>
        <w:tc>
          <w:tcPr>
            <w:tcW w:w="2790" w:type="dxa"/>
            <w:gridSpan w:val="3"/>
            <w:tcBorders>
              <w:top w:val="nil"/>
              <w:left w:val="nil"/>
              <w:bottom w:val="nil"/>
              <w:right w:val="nil"/>
            </w:tcBorders>
            <w:shd w:val="clear" w:color="FFFFFF" w:fill="FFFFFF"/>
            <w:noWrap/>
            <w:vAlign w:val="bottom"/>
            <w:hideMark/>
          </w:tcPr>
          <w:p w14:paraId="56DB4D6B" w14:textId="56402FDE" w:rsidR="00747261" w:rsidRPr="001A4B94" w:rsidRDefault="00D80959" w:rsidP="00747261">
            <w:pPr>
              <w:jc w:val="right"/>
              <w:rPr>
                <w:color w:val="000000"/>
                <w:sz w:val="16"/>
                <w:szCs w:val="16"/>
                <w:lang w:val="tr-TR"/>
              </w:rPr>
            </w:pPr>
            <w:r w:rsidRPr="001A4B94">
              <w:rPr>
                <w:color w:val="000000"/>
                <w:sz w:val="16"/>
                <w:szCs w:val="16"/>
                <w:lang w:val="tr-TR"/>
              </w:rPr>
              <w:t>0</w:t>
            </w:r>
            <w:r w:rsidR="000277F2" w:rsidRPr="001A4B94">
              <w:rPr>
                <w:color w:val="000000"/>
                <w:sz w:val="16"/>
                <w:szCs w:val="16"/>
                <w:lang w:val="tr-TR"/>
              </w:rPr>
              <w:t>,</w:t>
            </w:r>
            <w:r w:rsidRPr="001A4B94">
              <w:rPr>
                <w:color w:val="000000"/>
                <w:sz w:val="16"/>
                <w:szCs w:val="16"/>
                <w:lang w:val="tr-TR"/>
              </w:rPr>
              <w:t>00</w:t>
            </w:r>
          </w:p>
        </w:tc>
        <w:tc>
          <w:tcPr>
            <w:tcW w:w="990" w:type="dxa"/>
            <w:tcBorders>
              <w:top w:val="nil"/>
              <w:left w:val="nil"/>
              <w:bottom w:val="nil"/>
              <w:right w:val="nil"/>
            </w:tcBorders>
            <w:shd w:val="clear" w:color="FFFFFF" w:fill="FFFFFF"/>
            <w:noWrap/>
            <w:vAlign w:val="bottom"/>
            <w:hideMark/>
          </w:tcPr>
          <w:p w14:paraId="3635EBE5"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4DA78ADB"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2F86C528"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604661F3"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07289FFE"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3C8E784A"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40A97E62"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416244BA"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71F36637"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235FDAC7" w14:textId="77777777" w:rsidTr="006A23B6">
        <w:trPr>
          <w:trHeight w:val="144"/>
        </w:trPr>
        <w:tc>
          <w:tcPr>
            <w:tcW w:w="3600" w:type="dxa"/>
            <w:gridSpan w:val="2"/>
            <w:tcBorders>
              <w:top w:val="nil"/>
              <w:left w:val="nil"/>
              <w:bottom w:val="nil"/>
              <w:right w:val="nil"/>
            </w:tcBorders>
            <w:shd w:val="clear" w:color="FFFFFF" w:fill="FFFFFF"/>
            <w:noWrap/>
            <w:vAlign w:val="bottom"/>
            <w:hideMark/>
          </w:tcPr>
          <w:p w14:paraId="59AB43F6" w14:textId="2B0F8AD1" w:rsidR="00747261" w:rsidRPr="001A4B94" w:rsidRDefault="000277F2" w:rsidP="00747261">
            <w:pPr>
              <w:rPr>
                <w:color w:val="000000"/>
                <w:sz w:val="16"/>
                <w:szCs w:val="16"/>
                <w:lang w:val="tr-TR"/>
              </w:rPr>
            </w:pPr>
            <w:r w:rsidRPr="001A4B94">
              <w:rPr>
                <w:color w:val="000000"/>
                <w:sz w:val="16"/>
                <w:szCs w:val="16"/>
                <w:lang w:val="tr-TR"/>
              </w:rPr>
              <w:t xml:space="preserve">Toplam Kullanılmayan (Aktif </w:t>
            </w:r>
            <w:r w:rsidR="00747261" w:rsidRPr="001A4B94">
              <w:rPr>
                <w:color w:val="000000"/>
                <w:sz w:val="16"/>
                <w:szCs w:val="16"/>
                <w:lang w:val="tr-TR"/>
              </w:rPr>
              <w:t xml:space="preserve">+ </w:t>
            </w:r>
            <w:r w:rsidRPr="001A4B94">
              <w:rPr>
                <w:color w:val="000000"/>
                <w:sz w:val="16"/>
                <w:szCs w:val="16"/>
                <w:lang w:val="tr-TR"/>
              </w:rPr>
              <w:t xml:space="preserve"> Kapanan</w:t>
            </w:r>
            <w:r w:rsidR="00747261" w:rsidRPr="001A4B94">
              <w:rPr>
                <w:color w:val="000000"/>
                <w:sz w:val="16"/>
                <w:szCs w:val="16"/>
                <w:lang w:val="tr-TR"/>
              </w:rPr>
              <w:t>)</w:t>
            </w:r>
          </w:p>
        </w:tc>
        <w:tc>
          <w:tcPr>
            <w:tcW w:w="2790" w:type="dxa"/>
            <w:gridSpan w:val="3"/>
            <w:tcBorders>
              <w:top w:val="nil"/>
              <w:left w:val="nil"/>
              <w:bottom w:val="nil"/>
              <w:right w:val="nil"/>
            </w:tcBorders>
            <w:shd w:val="clear" w:color="FFFFFF" w:fill="FFFFFF"/>
            <w:noWrap/>
            <w:vAlign w:val="bottom"/>
            <w:hideMark/>
          </w:tcPr>
          <w:p w14:paraId="1A5B12EE" w14:textId="29395C1F" w:rsidR="00747261" w:rsidRPr="001A4B94" w:rsidRDefault="00747261" w:rsidP="00747261">
            <w:pPr>
              <w:jc w:val="right"/>
              <w:rPr>
                <w:color w:val="000000"/>
                <w:sz w:val="16"/>
                <w:szCs w:val="16"/>
                <w:lang w:val="tr-TR"/>
              </w:rPr>
            </w:pPr>
            <w:r w:rsidRPr="001A4B94">
              <w:rPr>
                <w:color w:val="000000"/>
                <w:sz w:val="16"/>
                <w:szCs w:val="16"/>
                <w:lang w:val="tr-TR"/>
              </w:rPr>
              <w:t>1</w:t>
            </w:r>
            <w:r w:rsidR="000277F2" w:rsidRPr="001A4B94">
              <w:rPr>
                <w:color w:val="000000"/>
                <w:sz w:val="16"/>
                <w:szCs w:val="16"/>
                <w:lang w:val="tr-TR"/>
              </w:rPr>
              <w:t>.</w:t>
            </w:r>
            <w:r w:rsidR="0086080D" w:rsidRPr="001A4B94">
              <w:rPr>
                <w:color w:val="000000"/>
                <w:sz w:val="16"/>
                <w:szCs w:val="16"/>
                <w:lang w:val="tr-TR"/>
              </w:rPr>
              <w:t>5</w:t>
            </w:r>
            <w:r w:rsidR="00D80959" w:rsidRPr="001A4B94">
              <w:rPr>
                <w:color w:val="000000"/>
                <w:sz w:val="16"/>
                <w:szCs w:val="16"/>
                <w:lang w:val="tr-TR"/>
              </w:rPr>
              <w:t>08</w:t>
            </w:r>
            <w:r w:rsidR="000277F2" w:rsidRPr="001A4B94">
              <w:rPr>
                <w:color w:val="000000"/>
                <w:sz w:val="16"/>
                <w:szCs w:val="16"/>
                <w:lang w:val="tr-TR"/>
              </w:rPr>
              <w:t>,</w:t>
            </w:r>
            <w:r w:rsidR="00D80959" w:rsidRPr="001A4B94">
              <w:rPr>
                <w:color w:val="000000"/>
                <w:sz w:val="16"/>
                <w:szCs w:val="16"/>
                <w:lang w:val="tr-TR"/>
              </w:rPr>
              <w:t>34</w:t>
            </w:r>
          </w:p>
        </w:tc>
        <w:tc>
          <w:tcPr>
            <w:tcW w:w="990" w:type="dxa"/>
            <w:tcBorders>
              <w:top w:val="nil"/>
              <w:left w:val="nil"/>
              <w:bottom w:val="nil"/>
              <w:right w:val="nil"/>
            </w:tcBorders>
            <w:shd w:val="clear" w:color="FFFFFF" w:fill="FFFFFF"/>
            <w:noWrap/>
            <w:vAlign w:val="bottom"/>
            <w:hideMark/>
          </w:tcPr>
          <w:p w14:paraId="32F1F0C8" w14:textId="77777777" w:rsidR="00747261" w:rsidRPr="001A4B94" w:rsidRDefault="00747261" w:rsidP="00747261">
            <w:pPr>
              <w:rPr>
                <w:color w:val="333333"/>
                <w:sz w:val="16"/>
                <w:szCs w:val="16"/>
                <w:lang w:val="tr-TR"/>
              </w:rPr>
            </w:pPr>
            <w:r w:rsidRPr="001A4B94">
              <w:rPr>
                <w:color w:val="333333"/>
                <w:sz w:val="16"/>
                <w:szCs w:val="16"/>
                <w:lang w:val="tr-TR"/>
              </w:rPr>
              <w:t> </w:t>
            </w:r>
          </w:p>
        </w:tc>
        <w:tc>
          <w:tcPr>
            <w:tcW w:w="990" w:type="dxa"/>
            <w:tcBorders>
              <w:top w:val="nil"/>
              <w:left w:val="nil"/>
              <w:bottom w:val="nil"/>
              <w:right w:val="nil"/>
            </w:tcBorders>
            <w:shd w:val="clear" w:color="FFFFFF" w:fill="FFFFFF"/>
            <w:noWrap/>
            <w:vAlign w:val="bottom"/>
            <w:hideMark/>
          </w:tcPr>
          <w:p w14:paraId="06AEE49A"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7E84A768"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42173B37"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10477F54"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21EC84E5"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09B314B2"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362D996D"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0E63BD3F"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272F3FF7" w14:textId="77777777" w:rsidTr="006A23B6">
        <w:trPr>
          <w:trHeight w:val="216"/>
        </w:trPr>
        <w:tc>
          <w:tcPr>
            <w:tcW w:w="1080" w:type="dxa"/>
            <w:tcBorders>
              <w:top w:val="nil"/>
              <w:left w:val="nil"/>
              <w:bottom w:val="nil"/>
              <w:right w:val="nil"/>
            </w:tcBorders>
            <w:shd w:val="clear" w:color="FFFFFF" w:fill="FFFFFF"/>
            <w:noWrap/>
            <w:vAlign w:val="bottom"/>
            <w:hideMark/>
          </w:tcPr>
          <w:p w14:paraId="2F58C34F"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2520" w:type="dxa"/>
            <w:tcBorders>
              <w:top w:val="nil"/>
              <w:left w:val="nil"/>
              <w:bottom w:val="nil"/>
              <w:right w:val="nil"/>
            </w:tcBorders>
            <w:shd w:val="clear" w:color="FFFFFF" w:fill="FFFFFF"/>
            <w:noWrap/>
            <w:vAlign w:val="bottom"/>
            <w:hideMark/>
          </w:tcPr>
          <w:p w14:paraId="7B497E52"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990" w:type="dxa"/>
            <w:tcBorders>
              <w:top w:val="nil"/>
              <w:left w:val="nil"/>
              <w:bottom w:val="nil"/>
              <w:right w:val="nil"/>
            </w:tcBorders>
            <w:shd w:val="clear" w:color="FFFFFF" w:fill="FFFFFF"/>
            <w:noWrap/>
            <w:vAlign w:val="bottom"/>
            <w:hideMark/>
          </w:tcPr>
          <w:p w14:paraId="4D7FFAB6"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1800" w:type="dxa"/>
            <w:gridSpan w:val="2"/>
            <w:tcBorders>
              <w:top w:val="nil"/>
              <w:left w:val="nil"/>
              <w:bottom w:val="nil"/>
              <w:right w:val="nil"/>
            </w:tcBorders>
            <w:shd w:val="clear" w:color="FFFFFF" w:fill="FFFFFF"/>
            <w:noWrap/>
            <w:vAlign w:val="bottom"/>
            <w:hideMark/>
          </w:tcPr>
          <w:p w14:paraId="41C1F9C0"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990" w:type="dxa"/>
            <w:tcBorders>
              <w:top w:val="nil"/>
              <w:left w:val="nil"/>
              <w:bottom w:val="nil"/>
              <w:right w:val="nil"/>
            </w:tcBorders>
            <w:shd w:val="clear" w:color="FFFFFF" w:fill="FFFFFF"/>
            <w:noWrap/>
            <w:vAlign w:val="bottom"/>
            <w:hideMark/>
          </w:tcPr>
          <w:p w14:paraId="4997083A"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990" w:type="dxa"/>
            <w:tcBorders>
              <w:top w:val="nil"/>
              <w:left w:val="nil"/>
              <w:bottom w:val="nil"/>
              <w:right w:val="nil"/>
            </w:tcBorders>
            <w:shd w:val="clear" w:color="FFFFFF" w:fill="FFFFFF"/>
            <w:noWrap/>
            <w:vAlign w:val="bottom"/>
            <w:hideMark/>
          </w:tcPr>
          <w:p w14:paraId="42236BDE"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10" w:type="dxa"/>
            <w:tcBorders>
              <w:top w:val="nil"/>
              <w:left w:val="nil"/>
              <w:bottom w:val="nil"/>
              <w:right w:val="nil"/>
            </w:tcBorders>
            <w:shd w:val="clear" w:color="FFFFFF" w:fill="FFFFFF"/>
            <w:noWrap/>
            <w:vAlign w:val="bottom"/>
            <w:hideMark/>
          </w:tcPr>
          <w:p w14:paraId="63EDF279"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540" w:type="dxa"/>
            <w:tcBorders>
              <w:top w:val="nil"/>
              <w:left w:val="nil"/>
              <w:bottom w:val="nil"/>
              <w:right w:val="nil"/>
            </w:tcBorders>
            <w:shd w:val="clear" w:color="FFFFFF" w:fill="FFFFFF"/>
            <w:noWrap/>
            <w:vAlign w:val="bottom"/>
            <w:hideMark/>
          </w:tcPr>
          <w:p w14:paraId="3A7BE918"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732" w:type="dxa"/>
            <w:tcBorders>
              <w:top w:val="nil"/>
              <w:left w:val="nil"/>
              <w:bottom w:val="nil"/>
              <w:right w:val="nil"/>
            </w:tcBorders>
            <w:shd w:val="clear" w:color="FFFFFF" w:fill="FFFFFF"/>
            <w:noWrap/>
            <w:vAlign w:val="bottom"/>
            <w:hideMark/>
          </w:tcPr>
          <w:p w14:paraId="3EAA0F17"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88" w:type="dxa"/>
            <w:tcBorders>
              <w:top w:val="nil"/>
              <w:left w:val="nil"/>
              <w:bottom w:val="nil"/>
              <w:right w:val="nil"/>
            </w:tcBorders>
            <w:shd w:val="clear" w:color="FFFFFF" w:fill="FFFFFF"/>
            <w:noWrap/>
            <w:vAlign w:val="bottom"/>
            <w:hideMark/>
          </w:tcPr>
          <w:p w14:paraId="1D11C93D"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76" w:type="dxa"/>
            <w:tcBorders>
              <w:top w:val="nil"/>
              <w:left w:val="nil"/>
              <w:bottom w:val="nil"/>
              <w:right w:val="nil"/>
            </w:tcBorders>
            <w:shd w:val="clear" w:color="FFFFFF" w:fill="FFFFFF"/>
            <w:noWrap/>
            <w:vAlign w:val="bottom"/>
            <w:hideMark/>
          </w:tcPr>
          <w:p w14:paraId="4E61E181"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800" w:type="dxa"/>
            <w:tcBorders>
              <w:top w:val="nil"/>
              <w:left w:val="nil"/>
              <w:bottom w:val="nil"/>
              <w:right w:val="nil"/>
            </w:tcBorders>
            <w:shd w:val="clear" w:color="FFFFFF" w:fill="FFFFFF"/>
            <w:noWrap/>
            <w:vAlign w:val="bottom"/>
            <w:hideMark/>
          </w:tcPr>
          <w:p w14:paraId="1C15027C" w14:textId="77777777" w:rsidR="00747261" w:rsidRPr="001A4B94" w:rsidRDefault="00747261" w:rsidP="00747261">
            <w:pPr>
              <w:rPr>
                <w:color w:val="333333"/>
                <w:sz w:val="18"/>
                <w:szCs w:val="18"/>
                <w:lang w:val="tr-TR"/>
              </w:rPr>
            </w:pPr>
            <w:r w:rsidRPr="001A4B94">
              <w:rPr>
                <w:color w:val="333333"/>
                <w:sz w:val="18"/>
                <w:szCs w:val="18"/>
                <w:lang w:val="tr-TR"/>
              </w:rPr>
              <w:t> </w:t>
            </w:r>
          </w:p>
        </w:tc>
        <w:tc>
          <w:tcPr>
            <w:tcW w:w="699" w:type="dxa"/>
            <w:tcBorders>
              <w:top w:val="nil"/>
              <w:left w:val="nil"/>
              <w:bottom w:val="nil"/>
              <w:right w:val="nil"/>
            </w:tcBorders>
            <w:shd w:val="clear" w:color="FFFFFF" w:fill="FFFFFF"/>
            <w:noWrap/>
            <w:vAlign w:val="bottom"/>
            <w:hideMark/>
          </w:tcPr>
          <w:p w14:paraId="6D0D02BF" w14:textId="77777777" w:rsidR="00747261" w:rsidRPr="001A4B94" w:rsidRDefault="00747261" w:rsidP="00747261">
            <w:pPr>
              <w:rPr>
                <w:color w:val="333333"/>
                <w:sz w:val="18"/>
                <w:szCs w:val="18"/>
                <w:lang w:val="tr-TR"/>
              </w:rPr>
            </w:pPr>
            <w:r w:rsidRPr="001A4B94">
              <w:rPr>
                <w:color w:val="333333"/>
                <w:sz w:val="18"/>
                <w:szCs w:val="18"/>
                <w:lang w:val="tr-TR"/>
              </w:rPr>
              <w:t> </w:t>
            </w:r>
          </w:p>
        </w:tc>
      </w:tr>
      <w:tr w:rsidR="00747261" w:rsidRPr="001A4B94" w14:paraId="1297DBF4" w14:textId="77777777" w:rsidTr="006A23B6">
        <w:trPr>
          <w:trHeight w:val="368"/>
        </w:trPr>
        <w:tc>
          <w:tcPr>
            <w:tcW w:w="4590" w:type="dxa"/>
            <w:gridSpan w:val="3"/>
            <w:tcBorders>
              <w:top w:val="single" w:sz="4" w:space="0" w:color="000000"/>
              <w:left w:val="nil"/>
              <w:bottom w:val="nil"/>
              <w:right w:val="nil"/>
            </w:tcBorders>
            <w:shd w:val="clear" w:color="FFFFFF" w:fill="FFFFFF"/>
            <w:noWrap/>
            <w:vAlign w:val="bottom"/>
            <w:hideMark/>
          </w:tcPr>
          <w:p w14:paraId="5AB5B3D5" w14:textId="5EB5428B" w:rsidR="00747261" w:rsidRPr="001A4B94" w:rsidRDefault="009B401D" w:rsidP="00747261">
            <w:pPr>
              <w:rPr>
                <w:b/>
                <w:bCs/>
                <w:color w:val="000000"/>
                <w:sz w:val="16"/>
                <w:szCs w:val="16"/>
                <w:u w:val="single"/>
                <w:lang w:val="tr-TR"/>
              </w:rPr>
            </w:pPr>
            <w:r w:rsidRPr="001A4B94">
              <w:rPr>
                <w:b/>
                <w:bCs/>
                <w:color w:val="000000"/>
                <w:sz w:val="16"/>
                <w:szCs w:val="16"/>
                <w:u w:val="single"/>
                <w:lang w:val="tr-TR"/>
              </w:rPr>
              <w:t>Aktif Projeler</w:t>
            </w:r>
          </w:p>
        </w:tc>
        <w:tc>
          <w:tcPr>
            <w:tcW w:w="1800" w:type="dxa"/>
            <w:gridSpan w:val="2"/>
            <w:tcBorders>
              <w:top w:val="single" w:sz="4" w:space="0" w:color="000000"/>
              <w:left w:val="nil"/>
              <w:bottom w:val="nil"/>
              <w:right w:val="nil"/>
            </w:tcBorders>
            <w:shd w:val="clear" w:color="FFFFFF" w:fill="FFFFFF"/>
            <w:noWrap/>
            <w:vAlign w:val="center"/>
            <w:hideMark/>
          </w:tcPr>
          <w:p w14:paraId="07C0C8B3"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990" w:type="dxa"/>
            <w:tcBorders>
              <w:top w:val="single" w:sz="4" w:space="0" w:color="000000"/>
              <w:left w:val="nil"/>
              <w:bottom w:val="nil"/>
              <w:right w:val="nil"/>
            </w:tcBorders>
            <w:shd w:val="clear" w:color="FFFFFF" w:fill="FFFFFF"/>
            <w:noWrap/>
            <w:vAlign w:val="center"/>
            <w:hideMark/>
          </w:tcPr>
          <w:p w14:paraId="09E03819"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990" w:type="dxa"/>
            <w:tcBorders>
              <w:top w:val="single" w:sz="4" w:space="0" w:color="000000"/>
              <w:left w:val="nil"/>
              <w:bottom w:val="nil"/>
              <w:right w:val="nil"/>
            </w:tcBorders>
            <w:shd w:val="clear" w:color="FFFFFF" w:fill="FFFFFF"/>
            <w:noWrap/>
            <w:vAlign w:val="center"/>
            <w:hideMark/>
          </w:tcPr>
          <w:p w14:paraId="79D4CBFA"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810" w:type="dxa"/>
            <w:tcBorders>
              <w:top w:val="single" w:sz="4" w:space="0" w:color="000000"/>
              <w:left w:val="nil"/>
              <w:bottom w:val="nil"/>
              <w:right w:val="nil"/>
            </w:tcBorders>
            <w:shd w:val="clear" w:color="FFFFFF" w:fill="FFFFFF"/>
            <w:noWrap/>
            <w:vAlign w:val="center"/>
            <w:hideMark/>
          </w:tcPr>
          <w:p w14:paraId="73A23F29"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540" w:type="dxa"/>
            <w:tcBorders>
              <w:top w:val="single" w:sz="4" w:space="0" w:color="000000"/>
              <w:left w:val="nil"/>
              <w:bottom w:val="nil"/>
              <w:right w:val="nil"/>
            </w:tcBorders>
            <w:shd w:val="clear" w:color="FFFFFF" w:fill="FFFFFF"/>
            <w:noWrap/>
            <w:vAlign w:val="center"/>
            <w:hideMark/>
          </w:tcPr>
          <w:p w14:paraId="325E0626"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732" w:type="dxa"/>
            <w:tcBorders>
              <w:top w:val="single" w:sz="4" w:space="0" w:color="000000"/>
              <w:left w:val="nil"/>
              <w:bottom w:val="nil"/>
              <w:right w:val="nil"/>
            </w:tcBorders>
            <w:shd w:val="clear" w:color="FFFFFF" w:fill="FFFFFF"/>
            <w:noWrap/>
            <w:vAlign w:val="center"/>
            <w:hideMark/>
          </w:tcPr>
          <w:p w14:paraId="5C1EBC31"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888" w:type="dxa"/>
            <w:tcBorders>
              <w:top w:val="single" w:sz="4" w:space="0" w:color="000000"/>
              <w:left w:val="nil"/>
              <w:bottom w:val="nil"/>
              <w:right w:val="nil"/>
            </w:tcBorders>
            <w:shd w:val="clear" w:color="FFFFFF" w:fill="FFFFFF"/>
            <w:noWrap/>
            <w:vAlign w:val="center"/>
            <w:hideMark/>
          </w:tcPr>
          <w:p w14:paraId="22267C38"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876" w:type="dxa"/>
            <w:tcBorders>
              <w:top w:val="single" w:sz="4" w:space="0" w:color="000000"/>
              <w:left w:val="nil"/>
              <w:bottom w:val="nil"/>
              <w:right w:val="nil"/>
            </w:tcBorders>
            <w:shd w:val="clear" w:color="FFFFFF" w:fill="FFFFFF"/>
            <w:noWrap/>
            <w:vAlign w:val="center"/>
            <w:hideMark/>
          </w:tcPr>
          <w:p w14:paraId="397830B5"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1499" w:type="dxa"/>
            <w:gridSpan w:val="2"/>
            <w:vMerge w:val="restart"/>
            <w:tcBorders>
              <w:top w:val="single" w:sz="4" w:space="0" w:color="000000"/>
              <w:left w:val="nil"/>
              <w:bottom w:val="nil"/>
              <w:right w:val="nil"/>
            </w:tcBorders>
            <w:shd w:val="clear" w:color="FFFFFF" w:fill="FFFFFF"/>
            <w:vAlign w:val="center"/>
            <w:hideMark/>
          </w:tcPr>
          <w:p w14:paraId="52F16AB7" w14:textId="41C4B181" w:rsidR="00747261" w:rsidRPr="001A4B94" w:rsidRDefault="00F2426F" w:rsidP="00F2426F">
            <w:pPr>
              <w:jc w:val="center"/>
              <w:rPr>
                <w:b/>
                <w:bCs/>
                <w:color w:val="000000"/>
                <w:sz w:val="16"/>
                <w:szCs w:val="16"/>
                <w:lang w:val="tr-TR"/>
              </w:rPr>
            </w:pPr>
            <w:r w:rsidRPr="001A4B94">
              <w:rPr>
                <w:b/>
                <w:bCs/>
                <w:color w:val="000000"/>
                <w:sz w:val="16"/>
                <w:szCs w:val="16"/>
                <w:lang w:val="tr-TR"/>
              </w:rPr>
              <w:t>Beklenen ve Gerçekleşen</w:t>
            </w:r>
            <w:r w:rsidR="00747261" w:rsidRPr="001A4B94">
              <w:rPr>
                <w:b/>
                <w:bCs/>
                <w:color w:val="000000"/>
                <w:sz w:val="16"/>
                <w:szCs w:val="16"/>
                <w:lang w:val="tr-TR"/>
              </w:rPr>
              <w:br/>
            </w:r>
            <w:r w:rsidRPr="001A4B94">
              <w:rPr>
                <w:b/>
                <w:bCs/>
                <w:color w:val="000000"/>
                <w:sz w:val="16"/>
                <w:szCs w:val="16"/>
                <w:lang w:val="tr-TR"/>
              </w:rPr>
              <w:t>Kullandırımlar</w:t>
            </w:r>
            <w:r w:rsidRPr="001A4B94">
              <w:rPr>
                <w:rFonts w:ascii="Arial" w:hAnsi="Arial" w:cs="Arial"/>
                <w:b/>
                <w:bCs/>
                <w:color w:val="000000"/>
                <w:sz w:val="12"/>
                <w:szCs w:val="12"/>
                <w:lang w:val="tr-TR"/>
              </w:rPr>
              <w:t xml:space="preserve"> </w:t>
            </w:r>
            <w:r w:rsidR="00B80B46" w:rsidRPr="001A4B94">
              <w:rPr>
                <w:b/>
                <w:bCs/>
                <w:color w:val="000000"/>
                <w:sz w:val="16"/>
                <w:szCs w:val="16"/>
                <w:lang w:val="tr-TR"/>
              </w:rPr>
              <w:t xml:space="preserve">Arasındaki </w:t>
            </w:r>
          </w:p>
        </w:tc>
      </w:tr>
      <w:tr w:rsidR="00747261" w:rsidRPr="001A4B94" w14:paraId="768A7653" w14:textId="77777777" w:rsidTr="006A23B6">
        <w:trPr>
          <w:trHeight w:val="252"/>
        </w:trPr>
        <w:tc>
          <w:tcPr>
            <w:tcW w:w="1080" w:type="dxa"/>
            <w:tcBorders>
              <w:top w:val="nil"/>
              <w:left w:val="nil"/>
              <w:bottom w:val="nil"/>
              <w:right w:val="nil"/>
            </w:tcBorders>
            <w:shd w:val="clear" w:color="FFFFFF" w:fill="FFFFFF"/>
            <w:noWrap/>
            <w:vAlign w:val="center"/>
            <w:hideMark/>
          </w:tcPr>
          <w:p w14:paraId="66DDE193"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3510" w:type="dxa"/>
            <w:gridSpan w:val="2"/>
            <w:tcBorders>
              <w:top w:val="nil"/>
              <w:left w:val="nil"/>
              <w:bottom w:val="nil"/>
              <w:right w:val="nil"/>
            </w:tcBorders>
            <w:shd w:val="clear" w:color="FFFFFF" w:fill="FFFFFF"/>
            <w:noWrap/>
            <w:vAlign w:val="center"/>
            <w:hideMark/>
          </w:tcPr>
          <w:p w14:paraId="6923BE9C"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2790" w:type="dxa"/>
            <w:gridSpan w:val="3"/>
            <w:tcBorders>
              <w:top w:val="nil"/>
              <w:left w:val="nil"/>
              <w:bottom w:val="nil"/>
              <w:right w:val="nil"/>
            </w:tcBorders>
            <w:shd w:val="clear" w:color="FFFFFF" w:fill="FFFFFF"/>
            <w:noWrap/>
            <w:vAlign w:val="center"/>
            <w:hideMark/>
          </w:tcPr>
          <w:p w14:paraId="1B544A54" w14:textId="7B332CF3" w:rsidR="00747261" w:rsidRPr="001A4B94" w:rsidRDefault="009E20FB" w:rsidP="00747261">
            <w:pPr>
              <w:jc w:val="center"/>
              <w:rPr>
                <w:b/>
                <w:bCs/>
                <w:color w:val="000000"/>
                <w:sz w:val="16"/>
                <w:szCs w:val="16"/>
                <w:u w:val="single"/>
                <w:lang w:val="tr-TR"/>
              </w:rPr>
            </w:pPr>
            <w:r w:rsidRPr="001A4B94">
              <w:rPr>
                <w:b/>
                <w:bCs/>
                <w:color w:val="000000"/>
                <w:sz w:val="16"/>
                <w:szCs w:val="16"/>
                <w:u w:val="single"/>
                <w:lang w:val="tr-TR"/>
              </w:rPr>
              <w:t xml:space="preserve">Son </w:t>
            </w:r>
            <w:r w:rsidR="00747261" w:rsidRPr="001A4B94">
              <w:rPr>
                <w:b/>
                <w:bCs/>
                <w:color w:val="000000"/>
                <w:sz w:val="16"/>
                <w:szCs w:val="16"/>
                <w:u w:val="single"/>
                <w:lang w:val="tr-TR"/>
              </w:rPr>
              <w:t xml:space="preserve">PSR </w:t>
            </w:r>
          </w:p>
        </w:tc>
        <w:tc>
          <w:tcPr>
            <w:tcW w:w="990" w:type="dxa"/>
            <w:tcBorders>
              <w:top w:val="nil"/>
              <w:left w:val="nil"/>
              <w:bottom w:val="nil"/>
              <w:right w:val="nil"/>
            </w:tcBorders>
            <w:shd w:val="clear" w:color="FFFFFF" w:fill="FFFFFF"/>
            <w:noWrap/>
            <w:vAlign w:val="center"/>
            <w:hideMark/>
          </w:tcPr>
          <w:p w14:paraId="0BB44253"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810" w:type="dxa"/>
            <w:tcBorders>
              <w:top w:val="nil"/>
              <w:left w:val="nil"/>
              <w:bottom w:val="nil"/>
              <w:right w:val="nil"/>
            </w:tcBorders>
            <w:shd w:val="clear" w:color="FFFFFF" w:fill="FFFFFF"/>
            <w:noWrap/>
            <w:vAlign w:val="center"/>
            <w:hideMark/>
          </w:tcPr>
          <w:p w14:paraId="1D611A69"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540" w:type="dxa"/>
            <w:tcBorders>
              <w:top w:val="nil"/>
              <w:left w:val="nil"/>
              <w:bottom w:val="nil"/>
              <w:right w:val="nil"/>
            </w:tcBorders>
            <w:shd w:val="clear" w:color="FFFFFF" w:fill="FFFFFF"/>
            <w:noWrap/>
            <w:vAlign w:val="center"/>
            <w:hideMark/>
          </w:tcPr>
          <w:p w14:paraId="313EE0B9"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732" w:type="dxa"/>
            <w:tcBorders>
              <w:top w:val="nil"/>
              <w:left w:val="nil"/>
              <w:bottom w:val="nil"/>
              <w:right w:val="nil"/>
            </w:tcBorders>
            <w:shd w:val="clear" w:color="FFFFFF" w:fill="FFFFFF"/>
            <w:noWrap/>
            <w:vAlign w:val="center"/>
            <w:hideMark/>
          </w:tcPr>
          <w:p w14:paraId="543FE3FC"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888" w:type="dxa"/>
            <w:tcBorders>
              <w:top w:val="nil"/>
              <w:left w:val="nil"/>
              <w:bottom w:val="nil"/>
              <w:right w:val="nil"/>
            </w:tcBorders>
            <w:shd w:val="clear" w:color="FFFFFF" w:fill="FFFFFF"/>
            <w:noWrap/>
            <w:vAlign w:val="center"/>
            <w:hideMark/>
          </w:tcPr>
          <w:p w14:paraId="321A1F07"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876" w:type="dxa"/>
            <w:tcBorders>
              <w:top w:val="nil"/>
              <w:left w:val="nil"/>
              <w:bottom w:val="nil"/>
              <w:right w:val="nil"/>
            </w:tcBorders>
            <w:shd w:val="clear" w:color="FFFFFF" w:fill="FFFFFF"/>
            <w:noWrap/>
            <w:vAlign w:val="center"/>
            <w:hideMark/>
          </w:tcPr>
          <w:p w14:paraId="2F251946"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1499" w:type="dxa"/>
            <w:gridSpan w:val="2"/>
            <w:vMerge/>
            <w:tcBorders>
              <w:top w:val="nil"/>
              <w:left w:val="nil"/>
              <w:bottom w:val="nil"/>
              <w:right w:val="nil"/>
            </w:tcBorders>
            <w:vAlign w:val="center"/>
            <w:hideMark/>
          </w:tcPr>
          <w:p w14:paraId="3D476214" w14:textId="77777777" w:rsidR="00747261" w:rsidRPr="001A4B94" w:rsidRDefault="00747261" w:rsidP="00747261">
            <w:pPr>
              <w:rPr>
                <w:b/>
                <w:bCs/>
                <w:color w:val="000000"/>
                <w:sz w:val="16"/>
                <w:szCs w:val="16"/>
                <w:lang w:val="tr-TR"/>
              </w:rPr>
            </w:pPr>
          </w:p>
        </w:tc>
      </w:tr>
      <w:tr w:rsidR="00747261" w:rsidRPr="001A4B94" w14:paraId="66BF464C" w14:textId="77777777" w:rsidTr="006A23B6">
        <w:trPr>
          <w:trHeight w:val="306"/>
        </w:trPr>
        <w:tc>
          <w:tcPr>
            <w:tcW w:w="1080" w:type="dxa"/>
            <w:tcBorders>
              <w:top w:val="nil"/>
              <w:left w:val="nil"/>
              <w:bottom w:val="nil"/>
              <w:right w:val="nil"/>
            </w:tcBorders>
            <w:shd w:val="clear" w:color="FFFFFF" w:fill="FFFFFF"/>
            <w:noWrap/>
            <w:vAlign w:val="center"/>
            <w:hideMark/>
          </w:tcPr>
          <w:p w14:paraId="38EA3EEC"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3510" w:type="dxa"/>
            <w:gridSpan w:val="2"/>
            <w:tcBorders>
              <w:top w:val="nil"/>
              <w:left w:val="nil"/>
              <w:bottom w:val="nil"/>
              <w:right w:val="nil"/>
            </w:tcBorders>
            <w:shd w:val="clear" w:color="FFFFFF" w:fill="FFFFFF"/>
            <w:noWrap/>
            <w:vAlign w:val="center"/>
            <w:hideMark/>
          </w:tcPr>
          <w:p w14:paraId="0D7CA573"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2790" w:type="dxa"/>
            <w:gridSpan w:val="3"/>
            <w:tcBorders>
              <w:top w:val="nil"/>
              <w:left w:val="nil"/>
              <w:bottom w:val="nil"/>
              <w:right w:val="nil"/>
            </w:tcBorders>
            <w:shd w:val="clear" w:color="FFFFFF" w:fill="FFFFFF"/>
            <w:noWrap/>
            <w:vAlign w:val="center"/>
            <w:hideMark/>
          </w:tcPr>
          <w:p w14:paraId="01E3EBB9" w14:textId="2A9519E2" w:rsidR="00747261" w:rsidRPr="001A4B94" w:rsidRDefault="009E20FB" w:rsidP="00747261">
            <w:pPr>
              <w:jc w:val="center"/>
              <w:rPr>
                <w:b/>
                <w:bCs/>
                <w:color w:val="000000"/>
                <w:sz w:val="16"/>
                <w:szCs w:val="16"/>
                <w:lang w:val="tr-TR"/>
              </w:rPr>
            </w:pPr>
            <w:r w:rsidRPr="001A4B94">
              <w:rPr>
                <w:b/>
                <w:bCs/>
                <w:color w:val="000000"/>
                <w:sz w:val="16"/>
                <w:szCs w:val="16"/>
                <w:lang w:val="tr-TR"/>
              </w:rPr>
              <w:t xml:space="preserve">Denetleme Derecelendirmesi </w:t>
            </w:r>
          </w:p>
        </w:tc>
        <w:tc>
          <w:tcPr>
            <w:tcW w:w="990" w:type="dxa"/>
            <w:tcBorders>
              <w:top w:val="nil"/>
              <w:left w:val="nil"/>
              <w:bottom w:val="nil"/>
              <w:right w:val="nil"/>
            </w:tcBorders>
            <w:shd w:val="clear" w:color="FFFFFF" w:fill="FFFFFF"/>
            <w:noWrap/>
            <w:vAlign w:val="center"/>
            <w:hideMark/>
          </w:tcPr>
          <w:p w14:paraId="1FD6BB80"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2970" w:type="dxa"/>
            <w:gridSpan w:val="4"/>
            <w:tcBorders>
              <w:top w:val="nil"/>
              <w:left w:val="nil"/>
              <w:bottom w:val="nil"/>
              <w:right w:val="nil"/>
            </w:tcBorders>
            <w:shd w:val="clear" w:color="FFFFFF" w:fill="FFFFFF"/>
            <w:noWrap/>
            <w:vAlign w:val="center"/>
            <w:hideMark/>
          </w:tcPr>
          <w:p w14:paraId="0BE3E630" w14:textId="321CB5CE" w:rsidR="00747261" w:rsidRPr="001A4B94" w:rsidRDefault="00F2426F" w:rsidP="00747261">
            <w:pPr>
              <w:jc w:val="center"/>
              <w:rPr>
                <w:b/>
                <w:bCs/>
                <w:color w:val="000000"/>
                <w:sz w:val="16"/>
                <w:szCs w:val="16"/>
                <w:u w:val="single"/>
                <w:lang w:val="tr-TR"/>
              </w:rPr>
            </w:pPr>
            <w:r w:rsidRPr="001A4B94">
              <w:rPr>
                <w:b/>
                <w:bCs/>
                <w:color w:val="000000"/>
                <w:sz w:val="16"/>
                <w:szCs w:val="16"/>
                <w:u w:val="single"/>
                <w:lang w:val="tr-TR"/>
              </w:rPr>
              <w:t>Orijinal Tutar, Milyon ABD$</w:t>
            </w:r>
          </w:p>
        </w:tc>
        <w:tc>
          <w:tcPr>
            <w:tcW w:w="876" w:type="dxa"/>
            <w:tcBorders>
              <w:top w:val="nil"/>
              <w:left w:val="nil"/>
              <w:bottom w:val="nil"/>
              <w:right w:val="nil"/>
            </w:tcBorders>
            <w:shd w:val="clear" w:color="FFFFFF" w:fill="FFFFFF"/>
            <w:noWrap/>
            <w:vAlign w:val="center"/>
            <w:hideMark/>
          </w:tcPr>
          <w:p w14:paraId="41026AE5" w14:textId="77777777" w:rsidR="00747261" w:rsidRPr="001A4B94" w:rsidRDefault="00747261" w:rsidP="00747261">
            <w:pPr>
              <w:jc w:val="center"/>
              <w:rPr>
                <w:b/>
                <w:bCs/>
                <w:color w:val="333333"/>
                <w:sz w:val="16"/>
                <w:szCs w:val="16"/>
                <w:lang w:val="tr-TR"/>
              </w:rPr>
            </w:pPr>
            <w:r w:rsidRPr="001A4B94">
              <w:rPr>
                <w:b/>
                <w:bCs/>
                <w:color w:val="333333"/>
                <w:sz w:val="16"/>
                <w:szCs w:val="16"/>
                <w:lang w:val="tr-TR"/>
              </w:rPr>
              <w:t> </w:t>
            </w:r>
          </w:p>
        </w:tc>
        <w:tc>
          <w:tcPr>
            <w:tcW w:w="1499" w:type="dxa"/>
            <w:gridSpan w:val="2"/>
            <w:tcBorders>
              <w:top w:val="nil"/>
              <w:left w:val="nil"/>
              <w:bottom w:val="nil"/>
              <w:right w:val="nil"/>
            </w:tcBorders>
            <w:shd w:val="clear" w:color="FFFFFF" w:fill="FFFFFF"/>
            <w:noWrap/>
            <w:vAlign w:val="center"/>
            <w:hideMark/>
          </w:tcPr>
          <w:p w14:paraId="14CBBA85" w14:textId="7B20AC43" w:rsidR="00747261" w:rsidRPr="001A4B94" w:rsidRDefault="00B80B46" w:rsidP="00747261">
            <w:pPr>
              <w:jc w:val="center"/>
              <w:rPr>
                <w:b/>
                <w:bCs/>
                <w:color w:val="000000"/>
                <w:sz w:val="16"/>
                <w:szCs w:val="16"/>
                <w:lang w:val="tr-TR"/>
              </w:rPr>
            </w:pPr>
            <w:r w:rsidRPr="001A4B94">
              <w:rPr>
                <w:b/>
                <w:bCs/>
                <w:color w:val="000000"/>
                <w:sz w:val="16"/>
                <w:szCs w:val="16"/>
                <w:lang w:val="tr-TR"/>
              </w:rPr>
              <w:t>Fark</w:t>
            </w:r>
            <w:r w:rsidR="00747261" w:rsidRPr="001A4B94">
              <w:rPr>
                <w:b/>
                <w:bCs/>
                <w:color w:val="000000"/>
                <w:sz w:val="16"/>
                <w:szCs w:val="16"/>
                <w:lang w:val="tr-TR"/>
              </w:rPr>
              <w:t xml:space="preserve"> ͣ ̷</w:t>
            </w:r>
          </w:p>
        </w:tc>
      </w:tr>
      <w:tr w:rsidR="00747261" w:rsidRPr="001A4B94" w14:paraId="7E5A36B5" w14:textId="77777777" w:rsidTr="006A23B6">
        <w:trPr>
          <w:trHeight w:val="369"/>
        </w:trPr>
        <w:tc>
          <w:tcPr>
            <w:tcW w:w="1080" w:type="dxa"/>
            <w:tcBorders>
              <w:top w:val="nil"/>
              <w:left w:val="nil"/>
              <w:bottom w:val="single" w:sz="4" w:space="0" w:color="000000"/>
              <w:right w:val="nil"/>
            </w:tcBorders>
            <w:shd w:val="clear" w:color="FFFFFF" w:fill="FFFFFF"/>
            <w:noWrap/>
            <w:vAlign w:val="center"/>
            <w:hideMark/>
          </w:tcPr>
          <w:p w14:paraId="52F8C479" w14:textId="77777777" w:rsidR="00747261" w:rsidRPr="001A4B94" w:rsidRDefault="00747261" w:rsidP="00747261">
            <w:pPr>
              <w:jc w:val="center"/>
              <w:rPr>
                <w:b/>
                <w:bCs/>
                <w:color w:val="000000"/>
                <w:sz w:val="16"/>
                <w:szCs w:val="16"/>
                <w:lang w:val="tr-TR"/>
              </w:rPr>
            </w:pPr>
            <w:r w:rsidRPr="001A4B94">
              <w:rPr>
                <w:b/>
                <w:bCs/>
                <w:color w:val="000000"/>
                <w:sz w:val="16"/>
                <w:szCs w:val="16"/>
                <w:lang w:val="tr-TR"/>
              </w:rPr>
              <w:t>Project ID</w:t>
            </w:r>
          </w:p>
        </w:tc>
        <w:tc>
          <w:tcPr>
            <w:tcW w:w="3510" w:type="dxa"/>
            <w:gridSpan w:val="2"/>
            <w:tcBorders>
              <w:top w:val="nil"/>
              <w:left w:val="nil"/>
              <w:bottom w:val="single" w:sz="4" w:space="0" w:color="000000"/>
              <w:right w:val="nil"/>
            </w:tcBorders>
            <w:shd w:val="clear" w:color="FFFFFF" w:fill="FFFFFF"/>
            <w:noWrap/>
            <w:vAlign w:val="center"/>
            <w:hideMark/>
          </w:tcPr>
          <w:p w14:paraId="2C964141" w14:textId="77777777" w:rsidR="00747261" w:rsidRPr="001A4B94" w:rsidRDefault="00747261" w:rsidP="00747261">
            <w:pPr>
              <w:jc w:val="center"/>
              <w:rPr>
                <w:b/>
                <w:bCs/>
                <w:color w:val="000000"/>
                <w:sz w:val="16"/>
                <w:szCs w:val="16"/>
                <w:lang w:val="tr-TR"/>
              </w:rPr>
            </w:pPr>
            <w:r w:rsidRPr="001A4B94">
              <w:rPr>
                <w:b/>
                <w:bCs/>
                <w:color w:val="000000"/>
                <w:sz w:val="16"/>
                <w:szCs w:val="16"/>
                <w:lang w:val="tr-TR"/>
              </w:rPr>
              <w:t>Project Name</w:t>
            </w:r>
          </w:p>
        </w:tc>
        <w:tc>
          <w:tcPr>
            <w:tcW w:w="1350" w:type="dxa"/>
            <w:tcBorders>
              <w:top w:val="nil"/>
              <w:left w:val="nil"/>
              <w:bottom w:val="single" w:sz="4" w:space="0" w:color="000000"/>
              <w:right w:val="nil"/>
            </w:tcBorders>
            <w:shd w:val="clear" w:color="FFFFFF" w:fill="FFFFFF"/>
            <w:vAlign w:val="center"/>
            <w:hideMark/>
          </w:tcPr>
          <w:p w14:paraId="1B5238A7" w14:textId="4CE41272" w:rsidR="00747261" w:rsidRPr="001A4B94" w:rsidRDefault="009E20FB" w:rsidP="00747261">
            <w:pPr>
              <w:jc w:val="center"/>
              <w:rPr>
                <w:b/>
                <w:bCs/>
                <w:color w:val="000000"/>
                <w:sz w:val="16"/>
                <w:szCs w:val="16"/>
                <w:u w:val="single"/>
                <w:lang w:val="tr-TR"/>
              </w:rPr>
            </w:pPr>
            <w:r w:rsidRPr="001A4B94">
              <w:rPr>
                <w:b/>
                <w:bCs/>
                <w:color w:val="000000"/>
                <w:sz w:val="16"/>
                <w:szCs w:val="16"/>
                <w:u w:val="single"/>
                <w:lang w:val="tr-TR"/>
              </w:rPr>
              <w:t xml:space="preserve">Kalkınma Amaçları </w:t>
            </w:r>
          </w:p>
        </w:tc>
        <w:tc>
          <w:tcPr>
            <w:tcW w:w="1440" w:type="dxa"/>
            <w:gridSpan w:val="2"/>
            <w:tcBorders>
              <w:top w:val="nil"/>
              <w:left w:val="nil"/>
              <w:bottom w:val="single" w:sz="4" w:space="0" w:color="000000"/>
              <w:right w:val="nil"/>
            </w:tcBorders>
            <w:shd w:val="clear" w:color="FFFFFF" w:fill="FFFFFF"/>
            <w:vAlign w:val="center"/>
            <w:hideMark/>
          </w:tcPr>
          <w:p w14:paraId="3C541092" w14:textId="509DBA6B" w:rsidR="00747261" w:rsidRPr="001A4B94" w:rsidRDefault="009E20FB" w:rsidP="00747261">
            <w:pPr>
              <w:jc w:val="center"/>
              <w:rPr>
                <w:b/>
                <w:bCs/>
                <w:color w:val="000000"/>
                <w:sz w:val="16"/>
                <w:szCs w:val="16"/>
                <w:u w:val="single"/>
                <w:lang w:val="tr-TR"/>
              </w:rPr>
            </w:pPr>
            <w:r w:rsidRPr="001A4B94">
              <w:rPr>
                <w:b/>
                <w:bCs/>
                <w:color w:val="000000"/>
                <w:sz w:val="16"/>
                <w:szCs w:val="16"/>
                <w:u w:val="single"/>
                <w:lang w:val="tr-TR"/>
              </w:rPr>
              <w:t xml:space="preserve">Uygulamadaki </w:t>
            </w:r>
            <w:r w:rsidR="00747261" w:rsidRPr="001A4B94">
              <w:rPr>
                <w:b/>
                <w:bCs/>
                <w:color w:val="000000"/>
                <w:sz w:val="16"/>
                <w:szCs w:val="16"/>
                <w:u w:val="single"/>
                <w:lang w:val="tr-TR"/>
              </w:rPr>
              <w:br/>
            </w:r>
            <w:r w:rsidRPr="001A4B94">
              <w:rPr>
                <w:b/>
                <w:bCs/>
                <w:color w:val="000000"/>
                <w:sz w:val="16"/>
                <w:szCs w:val="16"/>
                <w:u w:val="single"/>
                <w:lang w:val="tr-TR"/>
              </w:rPr>
              <w:t>İlerleme</w:t>
            </w:r>
          </w:p>
        </w:tc>
        <w:tc>
          <w:tcPr>
            <w:tcW w:w="990" w:type="dxa"/>
            <w:tcBorders>
              <w:top w:val="nil"/>
              <w:left w:val="nil"/>
              <w:bottom w:val="single" w:sz="4" w:space="0" w:color="000000"/>
              <w:right w:val="nil"/>
            </w:tcBorders>
            <w:shd w:val="clear" w:color="FFFFFF" w:fill="FFFFFF"/>
            <w:vAlign w:val="center"/>
            <w:hideMark/>
          </w:tcPr>
          <w:p w14:paraId="000C89D5" w14:textId="5F04B8D4" w:rsidR="00747261" w:rsidRPr="001A4B94" w:rsidRDefault="007064EC" w:rsidP="00747261">
            <w:pPr>
              <w:jc w:val="center"/>
              <w:rPr>
                <w:b/>
                <w:bCs/>
                <w:color w:val="000000"/>
                <w:sz w:val="16"/>
                <w:szCs w:val="16"/>
                <w:lang w:val="tr-TR"/>
              </w:rPr>
            </w:pPr>
            <w:r w:rsidRPr="001A4B94">
              <w:rPr>
                <w:b/>
                <w:bCs/>
                <w:color w:val="000000"/>
                <w:sz w:val="16"/>
                <w:szCs w:val="16"/>
                <w:lang w:val="tr-TR"/>
              </w:rPr>
              <w:t xml:space="preserve">Mali </w:t>
            </w:r>
            <w:r w:rsidR="00747261" w:rsidRPr="001A4B94">
              <w:rPr>
                <w:b/>
                <w:bCs/>
                <w:color w:val="000000"/>
                <w:sz w:val="16"/>
                <w:szCs w:val="16"/>
                <w:lang w:val="tr-TR"/>
              </w:rPr>
              <w:t xml:space="preserve"> </w:t>
            </w:r>
            <w:r w:rsidR="00747261" w:rsidRPr="001A4B94">
              <w:rPr>
                <w:b/>
                <w:bCs/>
                <w:color w:val="000000"/>
                <w:sz w:val="16"/>
                <w:szCs w:val="16"/>
                <w:lang w:val="tr-TR"/>
              </w:rPr>
              <w:br/>
            </w:r>
            <w:r w:rsidRPr="001A4B94">
              <w:rPr>
                <w:b/>
                <w:bCs/>
                <w:color w:val="000000"/>
                <w:sz w:val="16"/>
                <w:szCs w:val="16"/>
                <w:lang w:val="tr-TR"/>
              </w:rPr>
              <w:t>Yıl</w:t>
            </w:r>
          </w:p>
        </w:tc>
        <w:tc>
          <w:tcPr>
            <w:tcW w:w="810" w:type="dxa"/>
            <w:tcBorders>
              <w:top w:val="nil"/>
              <w:left w:val="nil"/>
              <w:bottom w:val="single" w:sz="4" w:space="0" w:color="000000"/>
              <w:right w:val="nil"/>
            </w:tcBorders>
            <w:shd w:val="clear" w:color="FFFFFF" w:fill="FFFFFF"/>
            <w:noWrap/>
            <w:vAlign w:val="center"/>
            <w:hideMark/>
          </w:tcPr>
          <w:p w14:paraId="7C106D38" w14:textId="77777777" w:rsidR="00747261" w:rsidRPr="001A4B94" w:rsidRDefault="00747261" w:rsidP="00747261">
            <w:pPr>
              <w:jc w:val="center"/>
              <w:rPr>
                <w:b/>
                <w:bCs/>
                <w:color w:val="000000"/>
                <w:sz w:val="16"/>
                <w:szCs w:val="16"/>
                <w:lang w:val="tr-TR"/>
              </w:rPr>
            </w:pPr>
            <w:r w:rsidRPr="001A4B94">
              <w:rPr>
                <w:b/>
                <w:bCs/>
                <w:color w:val="000000"/>
                <w:sz w:val="16"/>
                <w:szCs w:val="16"/>
                <w:lang w:val="tr-TR"/>
              </w:rPr>
              <w:t>IBRD</w:t>
            </w:r>
          </w:p>
        </w:tc>
        <w:tc>
          <w:tcPr>
            <w:tcW w:w="540" w:type="dxa"/>
            <w:tcBorders>
              <w:top w:val="nil"/>
              <w:left w:val="nil"/>
              <w:bottom w:val="single" w:sz="4" w:space="0" w:color="000000"/>
              <w:right w:val="nil"/>
            </w:tcBorders>
            <w:shd w:val="clear" w:color="FFFFFF" w:fill="FFFFFF"/>
            <w:noWrap/>
            <w:vAlign w:val="center"/>
            <w:hideMark/>
          </w:tcPr>
          <w:p w14:paraId="1D3AEA12" w14:textId="77777777" w:rsidR="00747261" w:rsidRPr="001A4B94" w:rsidRDefault="00747261" w:rsidP="00747261">
            <w:pPr>
              <w:jc w:val="center"/>
              <w:rPr>
                <w:b/>
                <w:bCs/>
                <w:color w:val="000000"/>
                <w:sz w:val="16"/>
                <w:szCs w:val="16"/>
                <w:lang w:val="tr-TR"/>
              </w:rPr>
            </w:pPr>
            <w:r w:rsidRPr="001A4B94">
              <w:rPr>
                <w:b/>
                <w:bCs/>
                <w:color w:val="000000"/>
                <w:sz w:val="16"/>
                <w:szCs w:val="16"/>
                <w:lang w:val="tr-TR"/>
              </w:rPr>
              <w:t>IDA</w:t>
            </w:r>
          </w:p>
        </w:tc>
        <w:tc>
          <w:tcPr>
            <w:tcW w:w="732" w:type="dxa"/>
            <w:tcBorders>
              <w:top w:val="nil"/>
              <w:left w:val="nil"/>
              <w:bottom w:val="single" w:sz="4" w:space="0" w:color="000000"/>
              <w:right w:val="nil"/>
            </w:tcBorders>
            <w:shd w:val="clear" w:color="FFFFFF" w:fill="FFFFFF"/>
            <w:noWrap/>
            <w:vAlign w:val="center"/>
            <w:hideMark/>
          </w:tcPr>
          <w:p w14:paraId="783264DD" w14:textId="4CA3661A" w:rsidR="00747261" w:rsidRPr="001A4B94" w:rsidRDefault="00F2426F" w:rsidP="00747261">
            <w:pPr>
              <w:jc w:val="center"/>
              <w:rPr>
                <w:b/>
                <w:bCs/>
                <w:color w:val="000000"/>
                <w:sz w:val="16"/>
                <w:szCs w:val="16"/>
                <w:lang w:val="tr-TR"/>
              </w:rPr>
            </w:pPr>
            <w:r w:rsidRPr="001A4B94">
              <w:rPr>
                <w:b/>
                <w:bCs/>
                <w:color w:val="000000"/>
                <w:sz w:val="16"/>
                <w:szCs w:val="16"/>
                <w:lang w:val="tr-TR"/>
              </w:rPr>
              <w:t>Hibe</w:t>
            </w:r>
          </w:p>
        </w:tc>
        <w:tc>
          <w:tcPr>
            <w:tcW w:w="888" w:type="dxa"/>
            <w:tcBorders>
              <w:top w:val="nil"/>
              <w:left w:val="nil"/>
              <w:bottom w:val="single" w:sz="4" w:space="0" w:color="000000"/>
              <w:right w:val="nil"/>
            </w:tcBorders>
            <w:shd w:val="clear" w:color="FFFFFF" w:fill="FFFFFF"/>
            <w:noWrap/>
            <w:vAlign w:val="center"/>
            <w:hideMark/>
          </w:tcPr>
          <w:p w14:paraId="4054788F" w14:textId="7D895AB8" w:rsidR="00747261" w:rsidRPr="001A4B94" w:rsidRDefault="00F2426F" w:rsidP="00747261">
            <w:pPr>
              <w:jc w:val="center"/>
              <w:rPr>
                <w:b/>
                <w:bCs/>
                <w:color w:val="000000"/>
                <w:sz w:val="16"/>
                <w:szCs w:val="16"/>
                <w:lang w:val="tr-TR"/>
              </w:rPr>
            </w:pPr>
            <w:r w:rsidRPr="001A4B94">
              <w:rPr>
                <w:b/>
                <w:bCs/>
                <w:color w:val="000000"/>
                <w:sz w:val="16"/>
                <w:szCs w:val="16"/>
                <w:lang w:val="tr-TR"/>
              </w:rPr>
              <w:t>İptal</w:t>
            </w:r>
          </w:p>
        </w:tc>
        <w:tc>
          <w:tcPr>
            <w:tcW w:w="876" w:type="dxa"/>
            <w:tcBorders>
              <w:top w:val="nil"/>
              <w:left w:val="nil"/>
              <w:bottom w:val="single" w:sz="4" w:space="0" w:color="000000"/>
              <w:right w:val="nil"/>
            </w:tcBorders>
            <w:shd w:val="clear" w:color="FFFFFF" w:fill="FFFFFF"/>
            <w:noWrap/>
            <w:vAlign w:val="center"/>
            <w:hideMark/>
          </w:tcPr>
          <w:p w14:paraId="03A1CC9C" w14:textId="62302968" w:rsidR="00747261" w:rsidRPr="001A4B94" w:rsidRDefault="00F2426F" w:rsidP="00747261">
            <w:pPr>
              <w:jc w:val="center"/>
              <w:rPr>
                <w:b/>
                <w:bCs/>
                <w:color w:val="000000"/>
                <w:sz w:val="16"/>
                <w:szCs w:val="16"/>
                <w:lang w:val="tr-TR"/>
              </w:rPr>
            </w:pPr>
            <w:r w:rsidRPr="001A4B94">
              <w:rPr>
                <w:b/>
                <w:bCs/>
                <w:color w:val="000000"/>
                <w:sz w:val="16"/>
                <w:szCs w:val="16"/>
                <w:lang w:val="tr-TR"/>
              </w:rPr>
              <w:t>Kullandırılmayan</w:t>
            </w:r>
            <w:r w:rsidR="00747261" w:rsidRPr="001A4B94">
              <w:rPr>
                <w:b/>
                <w:bCs/>
                <w:color w:val="000000"/>
                <w:sz w:val="16"/>
                <w:szCs w:val="16"/>
                <w:lang w:val="tr-TR"/>
              </w:rPr>
              <w:t>.</w:t>
            </w:r>
          </w:p>
        </w:tc>
        <w:tc>
          <w:tcPr>
            <w:tcW w:w="800" w:type="dxa"/>
            <w:tcBorders>
              <w:top w:val="nil"/>
              <w:left w:val="nil"/>
              <w:bottom w:val="single" w:sz="4" w:space="0" w:color="000000"/>
              <w:right w:val="nil"/>
            </w:tcBorders>
            <w:shd w:val="clear" w:color="FFFFFF" w:fill="FFFFFF"/>
            <w:noWrap/>
            <w:vAlign w:val="center"/>
            <w:hideMark/>
          </w:tcPr>
          <w:p w14:paraId="71333B29" w14:textId="13F84F6C" w:rsidR="00747261" w:rsidRPr="001A4B94" w:rsidRDefault="00F2426F" w:rsidP="00747261">
            <w:pPr>
              <w:jc w:val="center"/>
              <w:rPr>
                <w:b/>
                <w:bCs/>
                <w:color w:val="000000"/>
                <w:sz w:val="16"/>
                <w:szCs w:val="16"/>
                <w:lang w:val="tr-TR"/>
              </w:rPr>
            </w:pPr>
            <w:r w:rsidRPr="001A4B94">
              <w:rPr>
                <w:b/>
                <w:bCs/>
                <w:color w:val="000000"/>
                <w:sz w:val="16"/>
                <w:szCs w:val="16"/>
                <w:lang w:val="tr-TR"/>
              </w:rPr>
              <w:t>Orj</w:t>
            </w:r>
            <w:r w:rsidR="00747261" w:rsidRPr="001A4B94">
              <w:rPr>
                <w:b/>
                <w:bCs/>
                <w:color w:val="000000"/>
                <w:sz w:val="16"/>
                <w:szCs w:val="16"/>
                <w:lang w:val="tr-TR"/>
              </w:rPr>
              <w:t>.</w:t>
            </w:r>
          </w:p>
        </w:tc>
        <w:tc>
          <w:tcPr>
            <w:tcW w:w="699" w:type="dxa"/>
            <w:tcBorders>
              <w:top w:val="nil"/>
              <w:left w:val="nil"/>
              <w:bottom w:val="single" w:sz="4" w:space="0" w:color="000000"/>
              <w:right w:val="nil"/>
            </w:tcBorders>
            <w:shd w:val="clear" w:color="FFFFFF" w:fill="FFFFFF"/>
            <w:noWrap/>
            <w:vAlign w:val="center"/>
            <w:hideMark/>
          </w:tcPr>
          <w:p w14:paraId="55718077" w14:textId="12A63D5C" w:rsidR="00747261" w:rsidRPr="001A4B94" w:rsidRDefault="00F2426F" w:rsidP="00747261">
            <w:pPr>
              <w:jc w:val="center"/>
              <w:rPr>
                <w:b/>
                <w:bCs/>
                <w:color w:val="000000"/>
                <w:sz w:val="16"/>
                <w:szCs w:val="16"/>
                <w:lang w:val="tr-TR"/>
              </w:rPr>
            </w:pPr>
            <w:r w:rsidRPr="001A4B94">
              <w:rPr>
                <w:b/>
                <w:bCs/>
                <w:color w:val="000000"/>
                <w:sz w:val="16"/>
                <w:szCs w:val="16"/>
                <w:lang w:val="tr-TR"/>
              </w:rPr>
              <w:t>Revize</w:t>
            </w:r>
          </w:p>
        </w:tc>
      </w:tr>
      <w:tr w:rsidR="00747261" w:rsidRPr="001A4B94" w14:paraId="768AFFDC" w14:textId="77777777" w:rsidTr="006A23B6">
        <w:trPr>
          <w:trHeight w:val="144"/>
        </w:trPr>
        <w:tc>
          <w:tcPr>
            <w:tcW w:w="1080" w:type="dxa"/>
            <w:tcBorders>
              <w:top w:val="nil"/>
              <w:left w:val="nil"/>
              <w:bottom w:val="nil"/>
              <w:right w:val="nil"/>
            </w:tcBorders>
            <w:shd w:val="clear" w:color="FFFFFF" w:fill="FFFFFF"/>
            <w:noWrap/>
            <w:vAlign w:val="bottom"/>
            <w:hideMark/>
          </w:tcPr>
          <w:p w14:paraId="65F1CA05" w14:textId="77777777" w:rsidR="00747261" w:rsidRPr="001A4B94" w:rsidRDefault="00747261" w:rsidP="00747261">
            <w:pPr>
              <w:rPr>
                <w:color w:val="000000"/>
                <w:sz w:val="16"/>
                <w:szCs w:val="16"/>
                <w:lang w:val="tr-TR"/>
              </w:rPr>
            </w:pPr>
            <w:r w:rsidRPr="001A4B94">
              <w:rPr>
                <w:color w:val="000000"/>
                <w:sz w:val="16"/>
                <w:szCs w:val="16"/>
                <w:lang w:val="tr-TR"/>
              </w:rPr>
              <w:t>P093765</w:t>
            </w:r>
          </w:p>
        </w:tc>
        <w:tc>
          <w:tcPr>
            <w:tcW w:w="3510" w:type="dxa"/>
            <w:gridSpan w:val="2"/>
            <w:tcBorders>
              <w:top w:val="nil"/>
              <w:left w:val="nil"/>
              <w:bottom w:val="nil"/>
              <w:right w:val="nil"/>
            </w:tcBorders>
            <w:shd w:val="clear" w:color="FFFFFF" w:fill="FFFFFF"/>
            <w:noWrap/>
            <w:vAlign w:val="bottom"/>
            <w:hideMark/>
          </w:tcPr>
          <w:p w14:paraId="07DFFCDC" w14:textId="564E9BDF" w:rsidR="00747261" w:rsidRPr="001A4B94" w:rsidRDefault="00B80B46" w:rsidP="00747261">
            <w:pPr>
              <w:rPr>
                <w:color w:val="000000"/>
                <w:sz w:val="16"/>
                <w:szCs w:val="16"/>
                <w:lang w:val="tr-TR"/>
              </w:rPr>
            </w:pPr>
            <w:r w:rsidRPr="001A4B94">
              <w:rPr>
                <w:color w:val="000000"/>
                <w:sz w:val="16"/>
                <w:szCs w:val="16"/>
                <w:lang w:val="tr-TR"/>
              </w:rPr>
              <w:t xml:space="preserve">GAZ SEKTÖRÜ GELİŞTİRME </w:t>
            </w:r>
          </w:p>
        </w:tc>
        <w:tc>
          <w:tcPr>
            <w:tcW w:w="1350" w:type="dxa"/>
            <w:tcBorders>
              <w:top w:val="nil"/>
              <w:left w:val="nil"/>
              <w:bottom w:val="nil"/>
              <w:right w:val="nil"/>
            </w:tcBorders>
            <w:shd w:val="clear" w:color="FFFFFF" w:fill="FFFFFF"/>
            <w:noWrap/>
            <w:vAlign w:val="bottom"/>
            <w:hideMark/>
          </w:tcPr>
          <w:p w14:paraId="36F42BA2" w14:textId="77777777"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1440" w:type="dxa"/>
            <w:gridSpan w:val="2"/>
            <w:tcBorders>
              <w:top w:val="nil"/>
              <w:left w:val="nil"/>
              <w:bottom w:val="nil"/>
              <w:right w:val="nil"/>
            </w:tcBorders>
            <w:shd w:val="clear" w:color="FFFFFF" w:fill="FFFFFF"/>
            <w:noWrap/>
            <w:vAlign w:val="bottom"/>
            <w:hideMark/>
          </w:tcPr>
          <w:p w14:paraId="503ACA08" w14:textId="4C44DE21" w:rsidR="00747261" w:rsidRPr="001A4B94" w:rsidRDefault="00FE78CE" w:rsidP="00747261">
            <w:pPr>
              <w:jc w:val="center"/>
              <w:rPr>
                <w:color w:val="000000"/>
                <w:sz w:val="16"/>
                <w:szCs w:val="16"/>
                <w:lang w:val="tr-TR"/>
              </w:rPr>
            </w:pPr>
            <w:r w:rsidRPr="001A4B94">
              <w:rPr>
                <w:color w:val="000000"/>
                <w:sz w:val="16"/>
                <w:szCs w:val="16"/>
                <w:lang w:val="tr-TR"/>
              </w:rPr>
              <w:t>MS</w:t>
            </w:r>
          </w:p>
        </w:tc>
        <w:tc>
          <w:tcPr>
            <w:tcW w:w="990" w:type="dxa"/>
            <w:tcBorders>
              <w:top w:val="nil"/>
              <w:left w:val="nil"/>
              <w:bottom w:val="nil"/>
              <w:right w:val="nil"/>
            </w:tcBorders>
            <w:shd w:val="clear" w:color="FFFFFF" w:fill="FFFFFF"/>
            <w:noWrap/>
            <w:vAlign w:val="bottom"/>
            <w:hideMark/>
          </w:tcPr>
          <w:p w14:paraId="7A65691F" w14:textId="77777777" w:rsidR="00747261" w:rsidRPr="001A4B94" w:rsidRDefault="00747261" w:rsidP="00747261">
            <w:pPr>
              <w:jc w:val="center"/>
              <w:rPr>
                <w:color w:val="000000"/>
                <w:sz w:val="16"/>
                <w:szCs w:val="16"/>
                <w:lang w:val="tr-TR"/>
              </w:rPr>
            </w:pPr>
            <w:r w:rsidRPr="001A4B94">
              <w:rPr>
                <w:color w:val="000000"/>
                <w:sz w:val="16"/>
                <w:szCs w:val="16"/>
                <w:lang w:val="tr-TR"/>
              </w:rPr>
              <w:t>2006</w:t>
            </w:r>
          </w:p>
        </w:tc>
        <w:tc>
          <w:tcPr>
            <w:tcW w:w="810" w:type="dxa"/>
            <w:tcBorders>
              <w:top w:val="nil"/>
              <w:left w:val="nil"/>
              <w:bottom w:val="nil"/>
              <w:right w:val="nil"/>
            </w:tcBorders>
            <w:shd w:val="clear" w:color="FFFFFF" w:fill="FFFFFF"/>
            <w:noWrap/>
            <w:vAlign w:val="bottom"/>
            <w:hideMark/>
          </w:tcPr>
          <w:p w14:paraId="1F7ED0C3" w14:textId="5F0C57C2" w:rsidR="00747261" w:rsidRPr="001A4B94" w:rsidRDefault="00747261" w:rsidP="00747261">
            <w:pPr>
              <w:jc w:val="right"/>
              <w:rPr>
                <w:color w:val="000000"/>
                <w:sz w:val="16"/>
                <w:szCs w:val="16"/>
                <w:lang w:val="tr-TR"/>
              </w:rPr>
            </w:pPr>
            <w:r w:rsidRPr="001A4B94">
              <w:rPr>
                <w:color w:val="000000"/>
                <w:sz w:val="16"/>
                <w:szCs w:val="16"/>
                <w:lang w:val="tr-TR"/>
              </w:rPr>
              <w:t>725</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5F1B7E1D" w14:textId="5D46268C"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3CC1FDFF"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7939E2D8" w14:textId="5D1F7248"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3CC0760D" w14:textId="5BB8548F" w:rsidR="00747261" w:rsidRPr="001A4B94" w:rsidRDefault="00747261" w:rsidP="00747261">
            <w:pPr>
              <w:jc w:val="right"/>
              <w:rPr>
                <w:color w:val="000000"/>
                <w:sz w:val="16"/>
                <w:szCs w:val="16"/>
                <w:lang w:val="tr-TR"/>
              </w:rPr>
            </w:pPr>
            <w:r w:rsidRPr="001A4B94">
              <w:rPr>
                <w:color w:val="000000"/>
                <w:sz w:val="16"/>
                <w:szCs w:val="16"/>
                <w:lang w:val="tr-TR"/>
              </w:rPr>
              <w:t>1</w:t>
            </w:r>
            <w:r w:rsidR="00FE78CE" w:rsidRPr="001A4B94">
              <w:rPr>
                <w:color w:val="000000"/>
                <w:sz w:val="16"/>
                <w:szCs w:val="16"/>
                <w:lang w:val="tr-TR"/>
              </w:rPr>
              <w:t>10</w:t>
            </w:r>
            <w:r w:rsidR="00B80B46" w:rsidRPr="001A4B94">
              <w:rPr>
                <w:color w:val="000000"/>
                <w:sz w:val="16"/>
                <w:szCs w:val="16"/>
                <w:lang w:val="tr-TR"/>
              </w:rPr>
              <w:t>,</w:t>
            </w:r>
            <w:r w:rsidR="00FE78CE" w:rsidRPr="001A4B94">
              <w:rPr>
                <w:color w:val="000000"/>
                <w:sz w:val="16"/>
                <w:szCs w:val="16"/>
                <w:lang w:val="tr-TR"/>
              </w:rPr>
              <w:t>3</w:t>
            </w:r>
          </w:p>
        </w:tc>
        <w:tc>
          <w:tcPr>
            <w:tcW w:w="800" w:type="dxa"/>
            <w:tcBorders>
              <w:top w:val="nil"/>
              <w:left w:val="nil"/>
              <w:bottom w:val="nil"/>
              <w:right w:val="nil"/>
            </w:tcBorders>
            <w:shd w:val="clear" w:color="FFFFFF" w:fill="FFFFFF"/>
            <w:noWrap/>
            <w:vAlign w:val="bottom"/>
            <w:hideMark/>
          </w:tcPr>
          <w:p w14:paraId="3E7D94AF" w14:textId="579E1FBD" w:rsidR="00747261" w:rsidRPr="001A4B94" w:rsidRDefault="00747261" w:rsidP="00747261">
            <w:pPr>
              <w:jc w:val="right"/>
              <w:rPr>
                <w:color w:val="000000"/>
                <w:sz w:val="16"/>
                <w:szCs w:val="16"/>
                <w:lang w:val="tr-TR"/>
              </w:rPr>
            </w:pPr>
            <w:r w:rsidRPr="001A4B94">
              <w:rPr>
                <w:color w:val="000000"/>
                <w:sz w:val="16"/>
                <w:szCs w:val="16"/>
                <w:lang w:val="tr-TR"/>
              </w:rPr>
              <w:t>-</w:t>
            </w:r>
            <w:r w:rsidR="00D80959" w:rsidRPr="001A4B94">
              <w:rPr>
                <w:color w:val="000000"/>
                <w:sz w:val="16"/>
                <w:szCs w:val="16"/>
                <w:lang w:val="tr-TR"/>
              </w:rPr>
              <w:t>289</w:t>
            </w:r>
            <w:r w:rsidR="00B80B46" w:rsidRPr="001A4B94">
              <w:rPr>
                <w:color w:val="000000"/>
                <w:sz w:val="16"/>
                <w:szCs w:val="16"/>
                <w:lang w:val="tr-TR"/>
              </w:rPr>
              <w:t>,</w:t>
            </w:r>
            <w:r w:rsidR="00D80959" w:rsidRPr="001A4B94">
              <w:rPr>
                <w:color w:val="000000"/>
                <w:sz w:val="16"/>
                <w:szCs w:val="16"/>
                <w:lang w:val="tr-TR"/>
              </w:rPr>
              <w:t>7</w:t>
            </w:r>
          </w:p>
        </w:tc>
        <w:tc>
          <w:tcPr>
            <w:tcW w:w="699" w:type="dxa"/>
            <w:tcBorders>
              <w:top w:val="nil"/>
              <w:left w:val="nil"/>
              <w:bottom w:val="nil"/>
              <w:right w:val="nil"/>
            </w:tcBorders>
            <w:shd w:val="clear" w:color="FFFFFF" w:fill="FFFFFF"/>
            <w:noWrap/>
            <w:vAlign w:val="bottom"/>
            <w:hideMark/>
          </w:tcPr>
          <w:p w14:paraId="72BDCDBF" w14:textId="3DE89BB5" w:rsidR="00747261" w:rsidRPr="001A4B94" w:rsidRDefault="00747261" w:rsidP="00747261">
            <w:pPr>
              <w:jc w:val="right"/>
              <w:rPr>
                <w:color w:val="000000"/>
                <w:sz w:val="16"/>
                <w:szCs w:val="16"/>
                <w:lang w:val="tr-TR"/>
              </w:rPr>
            </w:pPr>
            <w:r w:rsidRPr="001A4B94">
              <w:rPr>
                <w:color w:val="000000"/>
                <w:sz w:val="16"/>
                <w:szCs w:val="16"/>
                <w:lang w:val="tr-TR"/>
              </w:rPr>
              <w:t>-2</w:t>
            </w:r>
            <w:r w:rsidR="00D80959" w:rsidRPr="001A4B94">
              <w:rPr>
                <w:color w:val="000000"/>
                <w:sz w:val="16"/>
                <w:szCs w:val="16"/>
                <w:lang w:val="tr-TR"/>
              </w:rPr>
              <w:t>89</w:t>
            </w:r>
            <w:r w:rsidR="00B80B46" w:rsidRPr="001A4B94">
              <w:rPr>
                <w:color w:val="000000"/>
                <w:sz w:val="16"/>
                <w:szCs w:val="16"/>
                <w:lang w:val="tr-TR"/>
              </w:rPr>
              <w:t>,</w:t>
            </w:r>
            <w:r w:rsidR="00D80959" w:rsidRPr="001A4B94">
              <w:rPr>
                <w:color w:val="000000"/>
                <w:sz w:val="16"/>
                <w:szCs w:val="16"/>
                <w:lang w:val="tr-TR"/>
              </w:rPr>
              <w:t>0</w:t>
            </w:r>
          </w:p>
        </w:tc>
      </w:tr>
      <w:tr w:rsidR="00747261" w:rsidRPr="001A4B94" w14:paraId="0216D4CF" w14:textId="77777777" w:rsidTr="006A23B6">
        <w:trPr>
          <w:trHeight w:val="144"/>
        </w:trPr>
        <w:tc>
          <w:tcPr>
            <w:tcW w:w="1080" w:type="dxa"/>
            <w:tcBorders>
              <w:top w:val="nil"/>
              <w:left w:val="nil"/>
              <w:bottom w:val="nil"/>
              <w:right w:val="nil"/>
            </w:tcBorders>
            <w:shd w:val="clear" w:color="FFFFFF" w:fill="FFFFFF"/>
            <w:noWrap/>
            <w:vAlign w:val="bottom"/>
            <w:hideMark/>
          </w:tcPr>
          <w:p w14:paraId="4D869547" w14:textId="77777777" w:rsidR="00747261" w:rsidRPr="001A4B94" w:rsidRDefault="00747261" w:rsidP="00747261">
            <w:pPr>
              <w:rPr>
                <w:color w:val="000000"/>
                <w:sz w:val="16"/>
                <w:szCs w:val="16"/>
                <w:lang w:val="tr-TR"/>
              </w:rPr>
            </w:pPr>
            <w:r w:rsidRPr="001A4B94">
              <w:rPr>
                <w:color w:val="000000"/>
                <w:sz w:val="16"/>
                <w:szCs w:val="16"/>
                <w:lang w:val="tr-TR"/>
              </w:rPr>
              <w:t>P152799</w:t>
            </w:r>
          </w:p>
        </w:tc>
        <w:tc>
          <w:tcPr>
            <w:tcW w:w="3510" w:type="dxa"/>
            <w:gridSpan w:val="2"/>
            <w:tcBorders>
              <w:top w:val="nil"/>
              <w:left w:val="nil"/>
              <w:bottom w:val="nil"/>
              <w:right w:val="nil"/>
            </w:tcBorders>
            <w:shd w:val="clear" w:color="FFFFFF" w:fill="FFFFFF"/>
            <w:noWrap/>
            <w:vAlign w:val="bottom"/>
            <w:hideMark/>
          </w:tcPr>
          <w:p w14:paraId="3F19B676" w14:textId="4969903B" w:rsidR="00747261" w:rsidRPr="001A4B94" w:rsidRDefault="00B80B46" w:rsidP="00747261">
            <w:pPr>
              <w:rPr>
                <w:color w:val="000000"/>
                <w:sz w:val="16"/>
                <w:szCs w:val="16"/>
                <w:lang w:val="tr-TR"/>
              </w:rPr>
            </w:pPr>
            <w:r w:rsidRPr="001A4B94">
              <w:rPr>
                <w:color w:val="000000"/>
                <w:sz w:val="16"/>
                <w:szCs w:val="16"/>
                <w:lang w:val="tr-TR"/>
              </w:rPr>
              <w:t xml:space="preserve">Sağlık Sistemi Güçlendirme ve Destek </w:t>
            </w:r>
          </w:p>
        </w:tc>
        <w:tc>
          <w:tcPr>
            <w:tcW w:w="1350" w:type="dxa"/>
            <w:tcBorders>
              <w:top w:val="nil"/>
              <w:left w:val="nil"/>
              <w:bottom w:val="nil"/>
              <w:right w:val="nil"/>
            </w:tcBorders>
            <w:shd w:val="clear" w:color="FFFFFF" w:fill="FFFFFF"/>
            <w:noWrap/>
            <w:vAlign w:val="bottom"/>
            <w:hideMark/>
          </w:tcPr>
          <w:p w14:paraId="58799566" w14:textId="77777777" w:rsidR="00747261" w:rsidRPr="001A4B94" w:rsidRDefault="00747261" w:rsidP="00747261">
            <w:pPr>
              <w:jc w:val="center"/>
              <w:rPr>
                <w:color w:val="000000"/>
                <w:sz w:val="16"/>
                <w:szCs w:val="16"/>
                <w:lang w:val="tr-TR"/>
              </w:rPr>
            </w:pPr>
            <w:r w:rsidRPr="001A4B94">
              <w:rPr>
                <w:color w:val="000000"/>
                <w:sz w:val="16"/>
                <w:szCs w:val="16"/>
                <w:lang w:val="tr-TR"/>
              </w:rPr>
              <w:t>MS</w:t>
            </w:r>
          </w:p>
        </w:tc>
        <w:tc>
          <w:tcPr>
            <w:tcW w:w="1440" w:type="dxa"/>
            <w:gridSpan w:val="2"/>
            <w:tcBorders>
              <w:top w:val="nil"/>
              <w:left w:val="nil"/>
              <w:bottom w:val="nil"/>
              <w:right w:val="nil"/>
            </w:tcBorders>
            <w:shd w:val="clear" w:color="FFFFFF" w:fill="FFFFFF"/>
            <w:noWrap/>
            <w:vAlign w:val="bottom"/>
            <w:hideMark/>
          </w:tcPr>
          <w:p w14:paraId="4B653D4D" w14:textId="77777777" w:rsidR="00747261" w:rsidRPr="001A4B94" w:rsidRDefault="00747261" w:rsidP="00747261">
            <w:pPr>
              <w:jc w:val="center"/>
              <w:rPr>
                <w:color w:val="000000"/>
                <w:sz w:val="16"/>
                <w:szCs w:val="16"/>
                <w:lang w:val="tr-TR"/>
              </w:rPr>
            </w:pPr>
            <w:r w:rsidRPr="001A4B94">
              <w:rPr>
                <w:color w:val="000000"/>
                <w:sz w:val="16"/>
                <w:szCs w:val="16"/>
                <w:lang w:val="tr-TR"/>
              </w:rPr>
              <w:t>MS</w:t>
            </w:r>
          </w:p>
        </w:tc>
        <w:tc>
          <w:tcPr>
            <w:tcW w:w="990" w:type="dxa"/>
            <w:tcBorders>
              <w:top w:val="nil"/>
              <w:left w:val="nil"/>
              <w:bottom w:val="nil"/>
              <w:right w:val="nil"/>
            </w:tcBorders>
            <w:shd w:val="clear" w:color="FFFFFF" w:fill="FFFFFF"/>
            <w:noWrap/>
            <w:vAlign w:val="bottom"/>
            <w:hideMark/>
          </w:tcPr>
          <w:p w14:paraId="05ED853F" w14:textId="77777777" w:rsidR="00747261" w:rsidRPr="001A4B94" w:rsidRDefault="00747261" w:rsidP="00747261">
            <w:pPr>
              <w:jc w:val="center"/>
              <w:rPr>
                <w:color w:val="000000"/>
                <w:sz w:val="16"/>
                <w:szCs w:val="16"/>
                <w:lang w:val="tr-TR"/>
              </w:rPr>
            </w:pPr>
            <w:r w:rsidRPr="001A4B94">
              <w:rPr>
                <w:color w:val="000000"/>
                <w:sz w:val="16"/>
                <w:szCs w:val="16"/>
                <w:lang w:val="tr-TR"/>
              </w:rPr>
              <w:t>2016</w:t>
            </w:r>
          </w:p>
        </w:tc>
        <w:tc>
          <w:tcPr>
            <w:tcW w:w="810" w:type="dxa"/>
            <w:tcBorders>
              <w:top w:val="nil"/>
              <w:left w:val="nil"/>
              <w:bottom w:val="nil"/>
              <w:right w:val="nil"/>
            </w:tcBorders>
            <w:shd w:val="clear" w:color="FFFFFF" w:fill="FFFFFF"/>
            <w:noWrap/>
            <w:vAlign w:val="bottom"/>
            <w:hideMark/>
          </w:tcPr>
          <w:p w14:paraId="041D864D" w14:textId="6322BBB7" w:rsidR="00747261" w:rsidRPr="001A4B94" w:rsidRDefault="00747261" w:rsidP="00747261">
            <w:pPr>
              <w:jc w:val="right"/>
              <w:rPr>
                <w:color w:val="000000"/>
                <w:sz w:val="16"/>
                <w:szCs w:val="16"/>
                <w:lang w:val="tr-TR"/>
              </w:rPr>
            </w:pPr>
            <w:r w:rsidRPr="001A4B94">
              <w:rPr>
                <w:color w:val="000000"/>
                <w:sz w:val="16"/>
                <w:szCs w:val="16"/>
                <w:lang w:val="tr-TR"/>
              </w:rPr>
              <w:t>134</w:t>
            </w:r>
            <w:r w:rsidR="00B80B46" w:rsidRPr="001A4B94">
              <w:rPr>
                <w:color w:val="000000"/>
                <w:sz w:val="16"/>
                <w:szCs w:val="16"/>
                <w:lang w:val="tr-TR"/>
              </w:rPr>
              <w:t>,</w:t>
            </w:r>
            <w:r w:rsidRPr="001A4B94">
              <w:rPr>
                <w:color w:val="000000"/>
                <w:sz w:val="16"/>
                <w:szCs w:val="16"/>
                <w:lang w:val="tr-TR"/>
              </w:rPr>
              <w:t>3</w:t>
            </w:r>
          </w:p>
        </w:tc>
        <w:tc>
          <w:tcPr>
            <w:tcW w:w="540" w:type="dxa"/>
            <w:tcBorders>
              <w:top w:val="nil"/>
              <w:left w:val="nil"/>
              <w:bottom w:val="nil"/>
              <w:right w:val="nil"/>
            </w:tcBorders>
            <w:shd w:val="clear" w:color="FFFFFF" w:fill="FFFFFF"/>
            <w:noWrap/>
            <w:vAlign w:val="bottom"/>
            <w:hideMark/>
          </w:tcPr>
          <w:p w14:paraId="7BB5E53A" w14:textId="766BEEAD"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0C27D730"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6F76FC50" w14:textId="7A9B3E0D"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42BA8BE3" w14:textId="4C0878D7" w:rsidR="00747261" w:rsidRPr="001A4B94" w:rsidRDefault="00FE78CE" w:rsidP="00747261">
            <w:pPr>
              <w:jc w:val="right"/>
              <w:rPr>
                <w:color w:val="000000"/>
                <w:sz w:val="16"/>
                <w:szCs w:val="16"/>
                <w:lang w:val="tr-TR"/>
              </w:rPr>
            </w:pPr>
            <w:r w:rsidRPr="001A4B94">
              <w:rPr>
                <w:color w:val="000000"/>
                <w:sz w:val="16"/>
                <w:szCs w:val="16"/>
                <w:lang w:val="tr-TR"/>
              </w:rPr>
              <w:t>121</w:t>
            </w:r>
            <w:r w:rsidR="00B80B46" w:rsidRPr="001A4B94">
              <w:rPr>
                <w:color w:val="000000"/>
                <w:sz w:val="16"/>
                <w:szCs w:val="16"/>
                <w:lang w:val="tr-TR"/>
              </w:rPr>
              <w:t>,</w:t>
            </w:r>
            <w:r w:rsidRPr="001A4B94">
              <w:rPr>
                <w:color w:val="000000"/>
                <w:sz w:val="16"/>
                <w:szCs w:val="16"/>
                <w:lang w:val="tr-TR"/>
              </w:rPr>
              <w:t>3</w:t>
            </w:r>
          </w:p>
        </w:tc>
        <w:tc>
          <w:tcPr>
            <w:tcW w:w="800" w:type="dxa"/>
            <w:tcBorders>
              <w:top w:val="nil"/>
              <w:left w:val="nil"/>
              <w:bottom w:val="nil"/>
              <w:right w:val="nil"/>
            </w:tcBorders>
            <w:shd w:val="clear" w:color="FFFFFF" w:fill="FFFFFF"/>
            <w:noWrap/>
            <w:vAlign w:val="bottom"/>
            <w:hideMark/>
          </w:tcPr>
          <w:p w14:paraId="09956301" w14:textId="256BA510" w:rsidR="00747261" w:rsidRPr="001A4B94" w:rsidRDefault="00D80959" w:rsidP="00747261">
            <w:pPr>
              <w:jc w:val="right"/>
              <w:rPr>
                <w:color w:val="000000"/>
                <w:sz w:val="16"/>
                <w:szCs w:val="16"/>
                <w:lang w:val="tr-TR"/>
              </w:rPr>
            </w:pPr>
            <w:r w:rsidRPr="001A4B94">
              <w:rPr>
                <w:color w:val="000000"/>
                <w:sz w:val="16"/>
                <w:szCs w:val="16"/>
                <w:lang w:val="tr-TR"/>
              </w:rPr>
              <w:t>53</w:t>
            </w:r>
            <w:r w:rsidR="00B80B46" w:rsidRPr="001A4B94">
              <w:rPr>
                <w:color w:val="000000"/>
                <w:sz w:val="16"/>
                <w:szCs w:val="16"/>
                <w:lang w:val="tr-TR"/>
              </w:rPr>
              <w:t>,</w:t>
            </w:r>
            <w:r w:rsidRPr="001A4B94">
              <w:rPr>
                <w:color w:val="000000"/>
                <w:sz w:val="16"/>
                <w:szCs w:val="16"/>
                <w:lang w:val="tr-TR"/>
              </w:rPr>
              <w:t>7</w:t>
            </w:r>
          </w:p>
        </w:tc>
        <w:tc>
          <w:tcPr>
            <w:tcW w:w="699" w:type="dxa"/>
            <w:tcBorders>
              <w:top w:val="nil"/>
              <w:left w:val="nil"/>
              <w:bottom w:val="nil"/>
              <w:right w:val="nil"/>
            </w:tcBorders>
            <w:shd w:val="clear" w:color="FFFFFF" w:fill="FFFFFF"/>
            <w:noWrap/>
            <w:vAlign w:val="bottom"/>
            <w:hideMark/>
          </w:tcPr>
          <w:p w14:paraId="4303C12E" w14:textId="26991CC6"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r>
      <w:tr w:rsidR="00747261" w:rsidRPr="001A4B94" w14:paraId="014D14F3" w14:textId="77777777" w:rsidTr="006A23B6">
        <w:trPr>
          <w:trHeight w:val="144"/>
        </w:trPr>
        <w:tc>
          <w:tcPr>
            <w:tcW w:w="1080" w:type="dxa"/>
            <w:tcBorders>
              <w:top w:val="nil"/>
              <w:left w:val="nil"/>
              <w:bottom w:val="nil"/>
              <w:right w:val="nil"/>
            </w:tcBorders>
            <w:shd w:val="clear" w:color="FFFFFF" w:fill="FFFFFF"/>
            <w:noWrap/>
            <w:vAlign w:val="bottom"/>
            <w:hideMark/>
          </w:tcPr>
          <w:p w14:paraId="40EECD89" w14:textId="77777777" w:rsidR="00747261" w:rsidRPr="001A4B94" w:rsidRDefault="00747261" w:rsidP="00747261">
            <w:pPr>
              <w:rPr>
                <w:color w:val="000000"/>
                <w:sz w:val="16"/>
                <w:szCs w:val="16"/>
                <w:lang w:val="tr-TR"/>
              </w:rPr>
            </w:pPr>
            <w:r w:rsidRPr="001A4B94">
              <w:rPr>
                <w:color w:val="000000"/>
                <w:sz w:val="16"/>
                <w:szCs w:val="16"/>
                <w:lang w:val="tr-TR"/>
              </w:rPr>
              <w:t>P147183</w:t>
            </w:r>
          </w:p>
        </w:tc>
        <w:tc>
          <w:tcPr>
            <w:tcW w:w="3510" w:type="dxa"/>
            <w:gridSpan w:val="2"/>
            <w:tcBorders>
              <w:top w:val="nil"/>
              <w:left w:val="nil"/>
              <w:bottom w:val="nil"/>
              <w:right w:val="nil"/>
            </w:tcBorders>
            <w:shd w:val="clear" w:color="FFFFFF" w:fill="FFFFFF"/>
            <w:noWrap/>
            <w:vAlign w:val="bottom"/>
            <w:hideMark/>
          </w:tcPr>
          <w:p w14:paraId="244FCD6D" w14:textId="4407EDFE" w:rsidR="00747261" w:rsidRPr="001A4B94" w:rsidRDefault="00B80B46" w:rsidP="00747261">
            <w:pPr>
              <w:rPr>
                <w:color w:val="000000"/>
                <w:sz w:val="16"/>
                <w:szCs w:val="16"/>
                <w:lang w:val="tr-TR"/>
              </w:rPr>
            </w:pPr>
            <w:r w:rsidRPr="001A4B94">
              <w:rPr>
                <w:color w:val="000000"/>
                <w:sz w:val="16"/>
                <w:szCs w:val="16"/>
                <w:lang w:val="tr-TR"/>
              </w:rPr>
              <w:t xml:space="preserve">Yenilikçi Finansmana Erişim </w:t>
            </w:r>
          </w:p>
        </w:tc>
        <w:tc>
          <w:tcPr>
            <w:tcW w:w="1350" w:type="dxa"/>
            <w:tcBorders>
              <w:top w:val="nil"/>
              <w:left w:val="nil"/>
              <w:bottom w:val="nil"/>
              <w:right w:val="nil"/>
            </w:tcBorders>
            <w:shd w:val="clear" w:color="FFFFFF" w:fill="FFFFFF"/>
            <w:noWrap/>
            <w:vAlign w:val="bottom"/>
            <w:hideMark/>
          </w:tcPr>
          <w:p w14:paraId="2488921C" w14:textId="3974F3CF" w:rsidR="00747261" w:rsidRPr="001A4B94" w:rsidRDefault="00FE78CE" w:rsidP="00747261">
            <w:pPr>
              <w:jc w:val="center"/>
              <w:rPr>
                <w:color w:val="000000"/>
                <w:sz w:val="16"/>
                <w:szCs w:val="16"/>
                <w:lang w:val="tr-TR"/>
              </w:rPr>
            </w:pPr>
            <w:r w:rsidRPr="001A4B94">
              <w:rPr>
                <w:color w:val="000000"/>
                <w:sz w:val="16"/>
                <w:szCs w:val="16"/>
                <w:lang w:val="tr-TR"/>
              </w:rPr>
              <w:t>S</w:t>
            </w:r>
          </w:p>
        </w:tc>
        <w:tc>
          <w:tcPr>
            <w:tcW w:w="1440" w:type="dxa"/>
            <w:gridSpan w:val="2"/>
            <w:tcBorders>
              <w:top w:val="nil"/>
              <w:left w:val="nil"/>
              <w:bottom w:val="nil"/>
              <w:right w:val="nil"/>
            </w:tcBorders>
            <w:shd w:val="clear" w:color="FFFFFF" w:fill="FFFFFF"/>
            <w:noWrap/>
            <w:vAlign w:val="bottom"/>
            <w:hideMark/>
          </w:tcPr>
          <w:p w14:paraId="265A08E6" w14:textId="6A4F5F75"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990" w:type="dxa"/>
            <w:tcBorders>
              <w:top w:val="nil"/>
              <w:left w:val="nil"/>
              <w:bottom w:val="nil"/>
              <w:right w:val="nil"/>
            </w:tcBorders>
            <w:shd w:val="clear" w:color="FFFFFF" w:fill="FFFFFF"/>
            <w:noWrap/>
            <w:vAlign w:val="bottom"/>
            <w:hideMark/>
          </w:tcPr>
          <w:p w14:paraId="67143964" w14:textId="77777777" w:rsidR="00747261" w:rsidRPr="001A4B94" w:rsidRDefault="00747261" w:rsidP="00747261">
            <w:pPr>
              <w:jc w:val="center"/>
              <w:rPr>
                <w:color w:val="000000"/>
                <w:sz w:val="16"/>
                <w:szCs w:val="16"/>
                <w:lang w:val="tr-TR"/>
              </w:rPr>
            </w:pPr>
            <w:r w:rsidRPr="001A4B94">
              <w:rPr>
                <w:color w:val="000000"/>
                <w:sz w:val="16"/>
                <w:szCs w:val="16"/>
                <w:lang w:val="tr-TR"/>
              </w:rPr>
              <w:t>2015</w:t>
            </w:r>
          </w:p>
        </w:tc>
        <w:tc>
          <w:tcPr>
            <w:tcW w:w="810" w:type="dxa"/>
            <w:tcBorders>
              <w:top w:val="nil"/>
              <w:left w:val="nil"/>
              <w:bottom w:val="nil"/>
              <w:right w:val="nil"/>
            </w:tcBorders>
            <w:shd w:val="clear" w:color="FFFFFF" w:fill="FFFFFF"/>
            <w:noWrap/>
            <w:vAlign w:val="bottom"/>
            <w:hideMark/>
          </w:tcPr>
          <w:p w14:paraId="0DEAA95E" w14:textId="050426D4" w:rsidR="00747261" w:rsidRPr="001A4B94" w:rsidRDefault="00747261" w:rsidP="00747261">
            <w:pPr>
              <w:jc w:val="right"/>
              <w:rPr>
                <w:color w:val="000000"/>
                <w:sz w:val="16"/>
                <w:szCs w:val="16"/>
                <w:lang w:val="tr-TR"/>
              </w:rPr>
            </w:pPr>
            <w:r w:rsidRPr="001A4B94">
              <w:rPr>
                <w:color w:val="000000"/>
                <w:sz w:val="16"/>
                <w:szCs w:val="16"/>
                <w:lang w:val="tr-TR"/>
              </w:rPr>
              <w:t>250</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7E702E2C" w14:textId="6F305864"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30A84293"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420ECD28" w14:textId="3E92FA54"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4CE14382" w14:textId="662C74FE" w:rsidR="00747261" w:rsidRPr="001A4B94" w:rsidRDefault="00FE78CE" w:rsidP="00747261">
            <w:pPr>
              <w:jc w:val="right"/>
              <w:rPr>
                <w:color w:val="000000"/>
                <w:sz w:val="16"/>
                <w:szCs w:val="16"/>
                <w:lang w:val="tr-TR"/>
              </w:rPr>
            </w:pPr>
            <w:r w:rsidRPr="001A4B94">
              <w:rPr>
                <w:color w:val="000000"/>
                <w:sz w:val="16"/>
                <w:szCs w:val="16"/>
                <w:lang w:val="tr-TR"/>
              </w:rPr>
              <w:t>4</w:t>
            </w:r>
            <w:r w:rsidR="00747261" w:rsidRPr="001A4B94">
              <w:rPr>
                <w:color w:val="000000"/>
                <w:sz w:val="16"/>
                <w:szCs w:val="16"/>
                <w:lang w:val="tr-TR"/>
              </w:rPr>
              <w:t>5</w:t>
            </w:r>
            <w:r w:rsidR="00B80B46" w:rsidRPr="001A4B94">
              <w:rPr>
                <w:color w:val="000000"/>
                <w:sz w:val="16"/>
                <w:szCs w:val="16"/>
                <w:lang w:val="tr-TR"/>
              </w:rPr>
              <w:t>,</w:t>
            </w:r>
            <w:r w:rsidR="00747261" w:rsidRPr="001A4B94">
              <w:rPr>
                <w:color w:val="000000"/>
                <w:sz w:val="16"/>
                <w:szCs w:val="16"/>
                <w:lang w:val="tr-TR"/>
              </w:rPr>
              <w:t>6</w:t>
            </w:r>
          </w:p>
        </w:tc>
        <w:tc>
          <w:tcPr>
            <w:tcW w:w="800" w:type="dxa"/>
            <w:tcBorders>
              <w:top w:val="nil"/>
              <w:left w:val="nil"/>
              <w:bottom w:val="nil"/>
              <w:right w:val="nil"/>
            </w:tcBorders>
            <w:shd w:val="clear" w:color="FFFFFF" w:fill="FFFFFF"/>
            <w:noWrap/>
            <w:vAlign w:val="bottom"/>
            <w:hideMark/>
          </w:tcPr>
          <w:p w14:paraId="78E7B31B" w14:textId="255AF7BB"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699" w:type="dxa"/>
            <w:tcBorders>
              <w:top w:val="nil"/>
              <w:left w:val="nil"/>
              <w:bottom w:val="nil"/>
              <w:right w:val="nil"/>
            </w:tcBorders>
            <w:shd w:val="clear" w:color="FFFFFF" w:fill="FFFFFF"/>
            <w:noWrap/>
            <w:vAlign w:val="bottom"/>
            <w:hideMark/>
          </w:tcPr>
          <w:p w14:paraId="6BCF0DB0" w14:textId="4C3E39A2"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r>
      <w:tr w:rsidR="00747261" w:rsidRPr="001A4B94" w14:paraId="5EC7D8DC" w14:textId="77777777" w:rsidTr="006A23B6">
        <w:trPr>
          <w:trHeight w:val="144"/>
        </w:trPr>
        <w:tc>
          <w:tcPr>
            <w:tcW w:w="1080" w:type="dxa"/>
            <w:tcBorders>
              <w:top w:val="nil"/>
              <w:left w:val="nil"/>
              <w:bottom w:val="nil"/>
              <w:right w:val="nil"/>
            </w:tcBorders>
            <w:shd w:val="clear" w:color="FFFFFF" w:fill="FFFFFF"/>
            <w:noWrap/>
            <w:vAlign w:val="bottom"/>
            <w:hideMark/>
          </w:tcPr>
          <w:p w14:paraId="05295312" w14:textId="77777777" w:rsidR="00747261" w:rsidRPr="001A4B94" w:rsidRDefault="00747261" w:rsidP="00747261">
            <w:pPr>
              <w:rPr>
                <w:color w:val="000000"/>
                <w:sz w:val="16"/>
                <w:szCs w:val="16"/>
                <w:lang w:val="tr-TR"/>
              </w:rPr>
            </w:pPr>
            <w:r w:rsidRPr="001A4B94">
              <w:rPr>
                <w:color w:val="000000"/>
                <w:sz w:val="16"/>
                <w:szCs w:val="16"/>
                <w:lang w:val="tr-TR"/>
              </w:rPr>
              <w:t>P106284</w:t>
            </w:r>
          </w:p>
        </w:tc>
        <w:tc>
          <w:tcPr>
            <w:tcW w:w="3510" w:type="dxa"/>
            <w:gridSpan w:val="2"/>
            <w:tcBorders>
              <w:top w:val="nil"/>
              <w:left w:val="nil"/>
              <w:bottom w:val="nil"/>
              <w:right w:val="nil"/>
            </w:tcBorders>
            <w:shd w:val="clear" w:color="FFFFFF" w:fill="FFFFFF"/>
            <w:noWrap/>
            <w:vAlign w:val="bottom"/>
            <w:hideMark/>
          </w:tcPr>
          <w:p w14:paraId="1D649423" w14:textId="5C59E65D" w:rsidR="00747261" w:rsidRPr="001A4B94" w:rsidRDefault="00B80B46" w:rsidP="00747261">
            <w:pPr>
              <w:rPr>
                <w:color w:val="000000"/>
                <w:sz w:val="16"/>
                <w:szCs w:val="16"/>
                <w:lang w:val="tr-TR"/>
              </w:rPr>
            </w:pPr>
            <w:r w:rsidRPr="001A4B94">
              <w:rPr>
                <w:color w:val="000000"/>
                <w:sz w:val="16"/>
                <w:szCs w:val="16"/>
                <w:lang w:val="tr-TR"/>
              </w:rPr>
              <w:t xml:space="preserve">Tapu ve Kadastro </w:t>
            </w:r>
            <w:r w:rsidR="00747261" w:rsidRPr="001A4B94">
              <w:rPr>
                <w:color w:val="000000"/>
                <w:sz w:val="16"/>
                <w:szCs w:val="16"/>
                <w:lang w:val="tr-TR"/>
              </w:rPr>
              <w:t>Moderniza</w:t>
            </w:r>
            <w:r w:rsidRPr="001A4B94">
              <w:rPr>
                <w:color w:val="000000"/>
                <w:sz w:val="16"/>
                <w:szCs w:val="16"/>
                <w:lang w:val="tr-TR"/>
              </w:rPr>
              <w:t xml:space="preserve">syon </w:t>
            </w:r>
            <w:r w:rsidR="00747261" w:rsidRPr="001A4B94">
              <w:rPr>
                <w:color w:val="000000"/>
                <w:sz w:val="16"/>
                <w:szCs w:val="16"/>
                <w:lang w:val="tr-TR"/>
              </w:rPr>
              <w:t>Proj</w:t>
            </w:r>
            <w:r w:rsidRPr="001A4B94">
              <w:rPr>
                <w:color w:val="000000"/>
                <w:sz w:val="16"/>
                <w:szCs w:val="16"/>
                <w:lang w:val="tr-TR"/>
              </w:rPr>
              <w:t>esi</w:t>
            </w:r>
          </w:p>
        </w:tc>
        <w:tc>
          <w:tcPr>
            <w:tcW w:w="1350" w:type="dxa"/>
            <w:tcBorders>
              <w:top w:val="nil"/>
              <w:left w:val="nil"/>
              <w:bottom w:val="nil"/>
              <w:right w:val="nil"/>
            </w:tcBorders>
            <w:shd w:val="clear" w:color="FFFFFF" w:fill="FFFFFF"/>
            <w:noWrap/>
            <w:vAlign w:val="bottom"/>
            <w:hideMark/>
          </w:tcPr>
          <w:p w14:paraId="3693C356" w14:textId="14E81CA6" w:rsidR="00747261" w:rsidRPr="001A4B94" w:rsidRDefault="00E573D3" w:rsidP="00747261">
            <w:pPr>
              <w:jc w:val="center"/>
              <w:rPr>
                <w:color w:val="000000"/>
                <w:sz w:val="16"/>
                <w:szCs w:val="16"/>
                <w:lang w:val="tr-TR"/>
              </w:rPr>
            </w:pPr>
            <w:r w:rsidRPr="001A4B94">
              <w:rPr>
                <w:color w:val="000000"/>
                <w:sz w:val="16"/>
                <w:szCs w:val="16"/>
                <w:lang w:val="tr-TR"/>
              </w:rPr>
              <w:t>M</w:t>
            </w:r>
            <w:r w:rsidR="00747261" w:rsidRPr="001A4B94">
              <w:rPr>
                <w:color w:val="000000"/>
                <w:sz w:val="16"/>
                <w:szCs w:val="16"/>
                <w:lang w:val="tr-TR"/>
              </w:rPr>
              <w:t>S</w:t>
            </w:r>
          </w:p>
        </w:tc>
        <w:tc>
          <w:tcPr>
            <w:tcW w:w="1440" w:type="dxa"/>
            <w:gridSpan w:val="2"/>
            <w:tcBorders>
              <w:top w:val="nil"/>
              <w:left w:val="nil"/>
              <w:bottom w:val="nil"/>
              <w:right w:val="nil"/>
            </w:tcBorders>
            <w:shd w:val="clear" w:color="FFFFFF" w:fill="FFFFFF"/>
            <w:noWrap/>
            <w:vAlign w:val="bottom"/>
            <w:hideMark/>
          </w:tcPr>
          <w:p w14:paraId="5DB992C5" w14:textId="2A3C6B1B" w:rsidR="00747261" w:rsidRPr="001A4B94" w:rsidRDefault="00E573D3" w:rsidP="00747261">
            <w:pPr>
              <w:jc w:val="center"/>
              <w:rPr>
                <w:color w:val="000000"/>
                <w:sz w:val="16"/>
                <w:szCs w:val="16"/>
                <w:lang w:val="tr-TR"/>
              </w:rPr>
            </w:pPr>
            <w:r w:rsidRPr="001A4B94">
              <w:rPr>
                <w:color w:val="000000"/>
                <w:sz w:val="16"/>
                <w:szCs w:val="16"/>
                <w:lang w:val="tr-TR"/>
              </w:rPr>
              <w:t>MS</w:t>
            </w:r>
          </w:p>
        </w:tc>
        <w:tc>
          <w:tcPr>
            <w:tcW w:w="990" w:type="dxa"/>
            <w:tcBorders>
              <w:top w:val="nil"/>
              <w:left w:val="nil"/>
              <w:bottom w:val="nil"/>
              <w:right w:val="nil"/>
            </w:tcBorders>
            <w:shd w:val="clear" w:color="FFFFFF" w:fill="FFFFFF"/>
            <w:noWrap/>
            <w:vAlign w:val="bottom"/>
            <w:hideMark/>
          </w:tcPr>
          <w:p w14:paraId="33406D87" w14:textId="77777777" w:rsidR="00747261" w:rsidRPr="001A4B94" w:rsidRDefault="00747261" w:rsidP="00747261">
            <w:pPr>
              <w:jc w:val="center"/>
              <w:rPr>
                <w:color w:val="000000"/>
                <w:sz w:val="16"/>
                <w:szCs w:val="16"/>
                <w:lang w:val="tr-TR"/>
              </w:rPr>
            </w:pPr>
            <w:r w:rsidRPr="001A4B94">
              <w:rPr>
                <w:color w:val="000000"/>
                <w:sz w:val="16"/>
                <w:szCs w:val="16"/>
                <w:lang w:val="tr-TR"/>
              </w:rPr>
              <w:t>2008</w:t>
            </w:r>
          </w:p>
        </w:tc>
        <w:tc>
          <w:tcPr>
            <w:tcW w:w="810" w:type="dxa"/>
            <w:tcBorders>
              <w:top w:val="nil"/>
              <w:left w:val="nil"/>
              <w:bottom w:val="nil"/>
              <w:right w:val="nil"/>
            </w:tcBorders>
            <w:shd w:val="clear" w:color="FFFFFF" w:fill="FFFFFF"/>
            <w:noWrap/>
            <w:vAlign w:val="bottom"/>
            <w:hideMark/>
          </w:tcPr>
          <w:p w14:paraId="49B6A557" w14:textId="4DC11F91" w:rsidR="00747261" w:rsidRPr="001A4B94" w:rsidRDefault="00747261" w:rsidP="00747261">
            <w:pPr>
              <w:jc w:val="right"/>
              <w:rPr>
                <w:color w:val="000000"/>
                <w:sz w:val="16"/>
                <w:szCs w:val="16"/>
                <w:lang w:val="tr-TR"/>
              </w:rPr>
            </w:pPr>
            <w:r w:rsidRPr="001A4B94">
              <w:rPr>
                <w:color w:val="000000"/>
                <w:sz w:val="16"/>
                <w:szCs w:val="16"/>
                <w:lang w:val="tr-TR"/>
              </w:rPr>
              <w:t>293</w:t>
            </w:r>
            <w:r w:rsidR="00B80B46" w:rsidRPr="001A4B94">
              <w:rPr>
                <w:color w:val="000000"/>
                <w:sz w:val="16"/>
                <w:szCs w:val="16"/>
                <w:lang w:val="tr-TR"/>
              </w:rPr>
              <w:t>,</w:t>
            </w:r>
            <w:r w:rsidRPr="001A4B94">
              <w:rPr>
                <w:color w:val="000000"/>
                <w:sz w:val="16"/>
                <w:szCs w:val="16"/>
                <w:lang w:val="tr-TR"/>
              </w:rPr>
              <w:t>6</w:t>
            </w:r>
          </w:p>
        </w:tc>
        <w:tc>
          <w:tcPr>
            <w:tcW w:w="540" w:type="dxa"/>
            <w:tcBorders>
              <w:top w:val="nil"/>
              <w:left w:val="nil"/>
              <w:bottom w:val="nil"/>
              <w:right w:val="nil"/>
            </w:tcBorders>
            <w:shd w:val="clear" w:color="FFFFFF" w:fill="FFFFFF"/>
            <w:noWrap/>
            <w:vAlign w:val="bottom"/>
            <w:hideMark/>
          </w:tcPr>
          <w:p w14:paraId="7EF1D783" w14:textId="5CDBB5B7"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1EE5C5C9"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6FE179F9" w14:textId="1D0F71A4" w:rsidR="00747261" w:rsidRPr="001A4B94" w:rsidRDefault="00747261" w:rsidP="00747261">
            <w:pPr>
              <w:jc w:val="right"/>
              <w:rPr>
                <w:color w:val="000000"/>
                <w:sz w:val="16"/>
                <w:szCs w:val="16"/>
                <w:lang w:val="tr-TR"/>
              </w:rPr>
            </w:pPr>
            <w:r w:rsidRPr="001A4B94">
              <w:rPr>
                <w:color w:val="000000"/>
                <w:sz w:val="16"/>
                <w:szCs w:val="16"/>
                <w:lang w:val="tr-TR"/>
              </w:rPr>
              <w:t>15</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38112A03" w14:textId="0AAFC0B9" w:rsidR="00747261" w:rsidRPr="001A4B94" w:rsidRDefault="00FE78CE" w:rsidP="00747261">
            <w:pPr>
              <w:jc w:val="right"/>
              <w:rPr>
                <w:color w:val="000000"/>
                <w:sz w:val="16"/>
                <w:szCs w:val="16"/>
                <w:lang w:val="tr-TR"/>
              </w:rPr>
            </w:pPr>
            <w:r w:rsidRPr="001A4B94">
              <w:rPr>
                <w:color w:val="000000"/>
                <w:sz w:val="16"/>
                <w:szCs w:val="16"/>
                <w:lang w:val="tr-TR"/>
              </w:rPr>
              <w:t>78</w:t>
            </w:r>
            <w:r w:rsidR="00B80B46" w:rsidRPr="001A4B94">
              <w:rPr>
                <w:color w:val="000000"/>
                <w:sz w:val="16"/>
                <w:szCs w:val="16"/>
                <w:lang w:val="tr-TR"/>
              </w:rPr>
              <w:t>,</w:t>
            </w:r>
            <w:r w:rsidRPr="001A4B94">
              <w:rPr>
                <w:color w:val="000000"/>
                <w:sz w:val="16"/>
                <w:szCs w:val="16"/>
                <w:lang w:val="tr-TR"/>
              </w:rPr>
              <w:t>4</w:t>
            </w:r>
          </w:p>
        </w:tc>
        <w:tc>
          <w:tcPr>
            <w:tcW w:w="800" w:type="dxa"/>
            <w:tcBorders>
              <w:top w:val="nil"/>
              <w:left w:val="nil"/>
              <w:bottom w:val="nil"/>
              <w:right w:val="nil"/>
            </w:tcBorders>
            <w:shd w:val="clear" w:color="FFFFFF" w:fill="FFFFFF"/>
            <w:noWrap/>
            <w:vAlign w:val="bottom"/>
            <w:hideMark/>
          </w:tcPr>
          <w:p w14:paraId="058585F1" w14:textId="5C2C17CC" w:rsidR="00747261" w:rsidRPr="001A4B94" w:rsidRDefault="00D80959" w:rsidP="00747261">
            <w:pPr>
              <w:jc w:val="right"/>
              <w:rPr>
                <w:color w:val="000000"/>
                <w:sz w:val="16"/>
                <w:szCs w:val="16"/>
                <w:lang w:val="tr-TR"/>
              </w:rPr>
            </w:pPr>
            <w:r w:rsidRPr="001A4B94">
              <w:rPr>
                <w:color w:val="000000"/>
                <w:sz w:val="16"/>
                <w:szCs w:val="16"/>
                <w:lang w:val="tr-TR"/>
              </w:rPr>
              <w:t>26</w:t>
            </w:r>
            <w:r w:rsidR="00B80B46" w:rsidRPr="001A4B94">
              <w:rPr>
                <w:color w:val="000000"/>
                <w:sz w:val="16"/>
                <w:szCs w:val="16"/>
                <w:lang w:val="tr-TR"/>
              </w:rPr>
              <w:t>,</w:t>
            </w:r>
            <w:r w:rsidRPr="001A4B94">
              <w:rPr>
                <w:color w:val="000000"/>
                <w:sz w:val="16"/>
                <w:szCs w:val="16"/>
                <w:lang w:val="tr-TR"/>
              </w:rPr>
              <w:t>9</w:t>
            </w:r>
          </w:p>
        </w:tc>
        <w:tc>
          <w:tcPr>
            <w:tcW w:w="699" w:type="dxa"/>
            <w:tcBorders>
              <w:top w:val="nil"/>
              <w:left w:val="nil"/>
              <w:bottom w:val="nil"/>
              <w:right w:val="nil"/>
            </w:tcBorders>
            <w:shd w:val="clear" w:color="FFFFFF" w:fill="FFFFFF"/>
            <w:noWrap/>
            <w:vAlign w:val="bottom"/>
            <w:hideMark/>
          </w:tcPr>
          <w:p w14:paraId="6E7021A6" w14:textId="04B0B911" w:rsidR="00747261" w:rsidRPr="001A4B94" w:rsidRDefault="00D80959" w:rsidP="00747261">
            <w:pPr>
              <w:jc w:val="right"/>
              <w:rPr>
                <w:color w:val="000000"/>
                <w:sz w:val="16"/>
                <w:szCs w:val="16"/>
                <w:lang w:val="tr-TR"/>
              </w:rPr>
            </w:pPr>
            <w:r w:rsidRPr="001A4B94">
              <w:rPr>
                <w:color w:val="000000"/>
                <w:sz w:val="16"/>
                <w:szCs w:val="16"/>
                <w:lang w:val="tr-TR"/>
              </w:rPr>
              <w:t>7</w:t>
            </w:r>
            <w:r w:rsidR="00B80B46" w:rsidRPr="001A4B94">
              <w:rPr>
                <w:color w:val="000000"/>
                <w:sz w:val="16"/>
                <w:szCs w:val="16"/>
                <w:lang w:val="tr-TR"/>
              </w:rPr>
              <w:t>,</w:t>
            </w:r>
            <w:r w:rsidRPr="001A4B94">
              <w:rPr>
                <w:color w:val="000000"/>
                <w:sz w:val="16"/>
                <w:szCs w:val="16"/>
                <w:lang w:val="tr-TR"/>
              </w:rPr>
              <w:t>9</w:t>
            </w:r>
          </w:p>
        </w:tc>
      </w:tr>
      <w:tr w:rsidR="00747261" w:rsidRPr="001A4B94" w14:paraId="60E75AEC" w14:textId="77777777" w:rsidTr="006A23B6">
        <w:trPr>
          <w:trHeight w:val="144"/>
        </w:trPr>
        <w:tc>
          <w:tcPr>
            <w:tcW w:w="1080" w:type="dxa"/>
            <w:tcBorders>
              <w:top w:val="nil"/>
              <w:left w:val="nil"/>
              <w:bottom w:val="nil"/>
              <w:right w:val="nil"/>
            </w:tcBorders>
            <w:shd w:val="clear" w:color="FFFFFF" w:fill="FFFFFF"/>
            <w:noWrap/>
            <w:vAlign w:val="bottom"/>
            <w:hideMark/>
          </w:tcPr>
          <w:p w14:paraId="33D75DFE" w14:textId="77777777" w:rsidR="00747261" w:rsidRPr="001A4B94" w:rsidRDefault="00747261" w:rsidP="00747261">
            <w:pPr>
              <w:rPr>
                <w:color w:val="000000"/>
                <w:sz w:val="16"/>
                <w:szCs w:val="16"/>
                <w:lang w:val="tr-TR"/>
              </w:rPr>
            </w:pPr>
            <w:r w:rsidRPr="001A4B94">
              <w:rPr>
                <w:color w:val="000000"/>
                <w:sz w:val="16"/>
                <w:szCs w:val="16"/>
                <w:lang w:val="tr-TR"/>
              </w:rPr>
              <w:t>P156252</w:t>
            </w:r>
          </w:p>
        </w:tc>
        <w:tc>
          <w:tcPr>
            <w:tcW w:w="3510" w:type="dxa"/>
            <w:gridSpan w:val="2"/>
            <w:tcBorders>
              <w:top w:val="nil"/>
              <w:left w:val="nil"/>
              <w:bottom w:val="nil"/>
              <w:right w:val="nil"/>
            </w:tcBorders>
            <w:shd w:val="clear" w:color="FFFFFF" w:fill="FFFFFF"/>
            <w:noWrap/>
            <w:vAlign w:val="bottom"/>
            <w:hideMark/>
          </w:tcPr>
          <w:p w14:paraId="683DAC97" w14:textId="4D8B5FFA" w:rsidR="00747261" w:rsidRPr="001A4B94" w:rsidRDefault="0016261A" w:rsidP="00747261">
            <w:pPr>
              <w:rPr>
                <w:color w:val="000000"/>
                <w:sz w:val="16"/>
                <w:szCs w:val="16"/>
                <w:lang w:val="tr-TR"/>
              </w:rPr>
            </w:pPr>
            <w:r w:rsidRPr="001A4B94">
              <w:rPr>
                <w:color w:val="000000"/>
                <w:sz w:val="16"/>
                <w:szCs w:val="16"/>
                <w:lang w:val="tr-TR"/>
              </w:rPr>
              <w:t xml:space="preserve">Uzun Vadeli İhracat Finansmanı </w:t>
            </w:r>
          </w:p>
        </w:tc>
        <w:tc>
          <w:tcPr>
            <w:tcW w:w="1350" w:type="dxa"/>
            <w:tcBorders>
              <w:top w:val="nil"/>
              <w:left w:val="nil"/>
              <w:bottom w:val="nil"/>
              <w:right w:val="nil"/>
            </w:tcBorders>
            <w:shd w:val="clear" w:color="FFFFFF" w:fill="FFFFFF"/>
            <w:noWrap/>
            <w:vAlign w:val="bottom"/>
            <w:hideMark/>
          </w:tcPr>
          <w:p w14:paraId="21131C76" w14:textId="77777777"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1440" w:type="dxa"/>
            <w:gridSpan w:val="2"/>
            <w:tcBorders>
              <w:top w:val="nil"/>
              <w:left w:val="nil"/>
              <w:bottom w:val="nil"/>
              <w:right w:val="nil"/>
            </w:tcBorders>
            <w:shd w:val="clear" w:color="FFFFFF" w:fill="FFFFFF"/>
            <w:noWrap/>
            <w:vAlign w:val="bottom"/>
            <w:hideMark/>
          </w:tcPr>
          <w:p w14:paraId="75379B27" w14:textId="77777777"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990" w:type="dxa"/>
            <w:tcBorders>
              <w:top w:val="nil"/>
              <w:left w:val="nil"/>
              <w:bottom w:val="nil"/>
              <w:right w:val="nil"/>
            </w:tcBorders>
            <w:shd w:val="clear" w:color="FFFFFF" w:fill="FFFFFF"/>
            <w:noWrap/>
            <w:vAlign w:val="bottom"/>
            <w:hideMark/>
          </w:tcPr>
          <w:p w14:paraId="71482186" w14:textId="77777777" w:rsidR="00747261" w:rsidRPr="001A4B94" w:rsidRDefault="00747261" w:rsidP="00747261">
            <w:pPr>
              <w:jc w:val="center"/>
              <w:rPr>
                <w:color w:val="000000"/>
                <w:sz w:val="16"/>
                <w:szCs w:val="16"/>
                <w:lang w:val="tr-TR"/>
              </w:rPr>
            </w:pPr>
            <w:r w:rsidRPr="001A4B94">
              <w:rPr>
                <w:color w:val="000000"/>
                <w:sz w:val="16"/>
                <w:szCs w:val="16"/>
                <w:lang w:val="tr-TR"/>
              </w:rPr>
              <w:t>2017</w:t>
            </w:r>
          </w:p>
        </w:tc>
        <w:tc>
          <w:tcPr>
            <w:tcW w:w="810" w:type="dxa"/>
            <w:tcBorders>
              <w:top w:val="nil"/>
              <w:left w:val="nil"/>
              <w:bottom w:val="nil"/>
              <w:right w:val="nil"/>
            </w:tcBorders>
            <w:shd w:val="clear" w:color="FFFFFF" w:fill="FFFFFF"/>
            <w:noWrap/>
            <w:vAlign w:val="bottom"/>
            <w:hideMark/>
          </w:tcPr>
          <w:p w14:paraId="773B0358" w14:textId="639362FD" w:rsidR="00747261" w:rsidRPr="001A4B94" w:rsidRDefault="00747261" w:rsidP="00747261">
            <w:pPr>
              <w:jc w:val="right"/>
              <w:rPr>
                <w:color w:val="000000"/>
                <w:sz w:val="16"/>
                <w:szCs w:val="16"/>
                <w:lang w:val="tr-TR"/>
              </w:rPr>
            </w:pPr>
            <w:r w:rsidRPr="001A4B94">
              <w:rPr>
                <w:color w:val="000000"/>
                <w:sz w:val="16"/>
                <w:szCs w:val="16"/>
                <w:lang w:val="tr-TR"/>
              </w:rPr>
              <w:t>300</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2DFC35F0" w14:textId="26FC629B"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3FAE127A"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1407A771" w14:textId="5E97D145"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04AF5AB8" w14:textId="3191AD09" w:rsidR="00747261" w:rsidRPr="001A4B94" w:rsidRDefault="00FE78CE" w:rsidP="00747261">
            <w:pPr>
              <w:jc w:val="right"/>
              <w:rPr>
                <w:color w:val="000000"/>
                <w:sz w:val="16"/>
                <w:szCs w:val="16"/>
                <w:lang w:val="tr-TR"/>
              </w:rPr>
            </w:pPr>
            <w:r w:rsidRPr="001A4B94">
              <w:rPr>
                <w:color w:val="000000"/>
                <w:sz w:val="16"/>
                <w:szCs w:val="16"/>
                <w:lang w:val="tr-TR"/>
              </w:rPr>
              <w:t>249</w:t>
            </w:r>
            <w:r w:rsidR="00B80B46" w:rsidRPr="001A4B94">
              <w:rPr>
                <w:color w:val="000000"/>
                <w:sz w:val="16"/>
                <w:szCs w:val="16"/>
                <w:lang w:val="tr-TR"/>
              </w:rPr>
              <w:t>,</w:t>
            </w:r>
            <w:r w:rsidR="00D80959" w:rsidRPr="001A4B94">
              <w:rPr>
                <w:color w:val="000000"/>
                <w:sz w:val="16"/>
                <w:szCs w:val="16"/>
                <w:lang w:val="tr-TR"/>
              </w:rPr>
              <w:t>3</w:t>
            </w:r>
          </w:p>
        </w:tc>
        <w:tc>
          <w:tcPr>
            <w:tcW w:w="800" w:type="dxa"/>
            <w:tcBorders>
              <w:top w:val="nil"/>
              <w:left w:val="nil"/>
              <w:bottom w:val="nil"/>
              <w:right w:val="nil"/>
            </w:tcBorders>
            <w:shd w:val="clear" w:color="FFFFFF" w:fill="FFFFFF"/>
            <w:noWrap/>
            <w:vAlign w:val="bottom"/>
            <w:hideMark/>
          </w:tcPr>
          <w:p w14:paraId="5637EEF4" w14:textId="13280AE7" w:rsidR="00747261" w:rsidRPr="001A4B94" w:rsidRDefault="00D80959" w:rsidP="00747261">
            <w:pPr>
              <w:jc w:val="right"/>
              <w:rPr>
                <w:color w:val="000000"/>
                <w:sz w:val="16"/>
                <w:szCs w:val="16"/>
                <w:lang w:val="tr-TR"/>
              </w:rPr>
            </w:pPr>
            <w:r w:rsidRPr="001A4B94">
              <w:rPr>
                <w:color w:val="000000"/>
                <w:sz w:val="16"/>
                <w:szCs w:val="16"/>
                <w:lang w:val="tr-TR"/>
              </w:rPr>
              <w:t>-20</w:t>
            </w:r>
            <w:r w:rsidR="00B80B46" w:rsidRPr="001A4B94">
              <w:rPr>
                <w:color w:val="000000"/>
                <w:sz w:val="16"/>
                <w:szCs w:val="16"/>
                <w:lang w:val="tr-TR"/>
              </w:rPr>
              <w:t>,</w:t>
            </w:r>
            <w:r w:rsidRPr="001A4B94">
              <w:rPr>
                <w:color w:val="000000"/>
                <w:sz w:val="16"/>
                <w:szCs w:val="16"/>
                <w:lang w:val="tr-TR"/>
              </w:rPr>
              <w:t>8</w:t>
            </w:r>
          </w:p>
        </w:tc>
        <w:tc>
          <w:tcPr>
            <w:tcW w:w="699" w:type="dxa"/>
            <w:tcBorders>
              <w:top w:val="nil"/>
              <w:left w:val="nil"/>
              <w:bottom w:val="nil"/>
              <w:right w:val="nil"/>
            </w:tcBorders>
            <w:shd w:val="clear" w:color="FFFFFF" w:fill="FFFFFF"/>
            <w:noWrap/>
            <w:vAlign w:val="bottom"/>
            <w:hideMark/>
          </w:tcPr>
          <w:p w14:paraId="3AD6E3A1" w14:textId="1479F4F5"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r>
      <w:tr w:rsidR="00747261" w:rsidRPr="001A4B94" w14:paraId="4688CE8B" w14:textId="77777777" w:rsidTr="006A23B6">
        <w:trPr>
          <w:trHeight w:val="144"/>
        </w:trPr>
        <w:tc>
          <w:tcPr>
            <w:tcW w:w="1080" w:type="dxa"/>
            <w:tcBorders>
              <w:top w:val="nil"/>
              <w:left w:val="nil"/>
              <w:bottom w:val="nil"/>
              <w:right w:val="nil"/>
            </w:tcBorders>
            <w:shd w:val="clear" w:color="FFFFFF" w:fill="FFFFFF"/>
            <w:noWrap/>
            <w:vAlign w:val="bottom"/>
            <w:hideMark/>
          </w:tcPr>
          <w:p w14:paraId="2697FBDC" w14:textId="77777777" w:rsidR="00747261" w:rsidRPr="001A4B94" w:rsidRDefault="00747261" w:rsidP="00747261">
            <w:pPr>
              <w:rPr>
                <w:color w:val="000000"/>
                <w:sz w:val="16"/>
                <w:szCs w:val="16"/>
                <w:lang w:val="tr-TR"/>
              </w:rPr>
            </w:pPr>
            <w:r w:rsidRPr="001A4B94">
              <w:rPr>
                <w:color w:val="000000"/>
                <w:sz w:val="16"/>
                <w:szCs w:val="16"/>
                <w:lang w:val="tr-TR"/>
              </w:rPr>
              <w:t>P157691</w:t>
            </w:r>
          </w:p>
        </w:tc>
        <w:tc>
          <w:tcPr>
            <w:tcW w:w="3510" w:type="dxa"/>
            <w:gridSpan w:val="2"/>
            <w:tcBorders>
              <w:top w:val="nil"/>
              <w:left w:val="nil"/>
              <w:bottom w:val="nil"/>
              <w:right w:val="nil"/>
            </w:tcBorders>
            <w:shd w:val="clear" w:color="FFFFFF" w:fill="FFFFFF"/>
            <w:noWrap/>
            <w:vAlign w:val="bottom"/>
            <w:hideMark/>
          </w:tcPr>
          <w:p w14:paraId="2FA5DE85" w14:textId="31DDD55B" w:rsidR="00747261" w:rsidRPr="001A4B94" w:rsidRDefault="0016261A" w:rsidP="00747261">
            <w:pPr>
              <w:rPr>
                <w:color w:val="000000"/>
                <w:sz w:val="16"/>
                <w:szCs w:val="16"/>
                <w:lang w:val="tr-TR"/>
              </w:rPr>
            </w:pPr>
            <w:r w:rsidRPr="001A4B94">
              <w:rPr>
                <w:color w:val="000000"/>
                <w:sz w:val="16"/>
                <w:szCs w:val="16"/>
                <w:lang w:val="tr-TR"/>
              </w:rPr>
              <w:t xml:space="preserve">M-KOBİ ve LESCF Projesi </w:t>
            </w:r>
          </w:p>
        </w:tc>
        <w:tc>
          <w:tcPr>
            <w:tcW w:w="1350" w:type="dxa"/>
            <w:tcBorders>
              <w:top w:val="nil"/>
              <w:left w:val="nil"/>
              <w:bottom w:val="nil"/>
              <w:right w:val="nil"/>
            </w:tcBorders>
            <w:shd w:val="clear" w:color="FFFFFF" w:fill="FFFFFF"/>
            <w:noWrap/>
            <w:vAlign w:val="bottom"/>
            <w:hideMark/>
          </w:tcPr>
          <w:p w14:paraId="0956659E" w14:textId="7B91F5AF" w:rsidR="00747261" w:rsidRPr="001A4B94" w:rsidRDefault="00747261" w:rsidP="00747261">
            <w:pPr>
              <w:jc w:val="center"/>
              <w:rPr>
                <w:color w:val="000000"/>
                <w:sz w:val="16"/>
                <w:szCs w:val="16"/>
                <w:lang w:val="tr-TR"/>
              </w:rPr>
            </w:pPr>
            <w:r w:rsidRPr="001A4B94">
              <w:rPr>
                <w:color w:val="000000"/>
                <w:sz w:val="16"/>
                <w:szCs w:val="16"/>
                <w:lang w:val="tr-TR"/>
              </w:rPr>
              <w:t>M</w:t>
            </w:r>
            <w:r w:rsidR="00E573D3" w:rsidRPr="001A4B94">
              <w:rPr>
                <w:color w:val="000000"/>
                <w:sz w:val="16"/>
                <w:szCs w:val="16"/>
                <w:lang w:val="tr-TR"/>
              </w:rPr>
              <w:t>U</w:t>
            </w:r>
          </w:p>
        </w:tc>
        <w:tc>
          <w:tcPr>
            <w:tcW w:w="1440" w:type="dxa"/>
            <w:gridSpan w:val="2"/>
            <w:tcBorders>
              <w:top w:val="nil"/>
              <w:left w:val="nil"/>
              <w:bottom w:val="nil"/>
              <w:right w:val="nil"/>
            </w:tcBorders>
            <w:shd w:val="clear" w:color="FFFFFF" w:fill="FFFFFF"/>
            <w:noWrap/>
            <w:vAlign w:val="bottom"/>
            <w:hideMark/>
          </w:tcPr>
          <w:p w14:paraId="528514F2" w14:textId="42C5B9DC" w:rsidR="00747261" w:rsidRPr="001A4B94" w:rsidRDefault="00E573D3" w:rsidP="00747261">
            <w:pPr>
              <w:jc w:val="center"/>
              <w:rPr>
                <w:color w:val="000000"/>
                <w:sz w:val="16"/>
                <w:szCs w:val="16"/>
                <w:lang w:val="tr-TR"/>
              </w:rPr>
            </w:pPr>
            <w:r w:rsidRPr="001A4B94">
              <w:rPr>
                <w:color w:val="000000"/>
                <w:sz w:val="16"/>
                <w:szCs w:val="16"/>
                <w:lang w:val="tr-TR"/>
              </w:rPr>
              <w:t>MU</w:t>
            </w:r>
          </w:p>
        </w:tc>
        <w:tc>
          <w:tcPr>
            <w:tcW w:w="990" w:type="dxa"/>
            <w:tcBorders>
              <w:top w:val="nil"/>
              <w:left w:val="nil"/>
              <w:bottom w:val="nil"/>
              <w:right w:val="nil"/>
            </w:tcBorders>
            <w:shd w:val="clear" w:color="FFFFFF" w:fill="FFFFFF"/>
            <w:noWrap/>
            <w:vAlign w:val="bottom"/>
            <w:hideMark/>
          </w:tcPr>
          <w:p w14:paraId="56816ABE" w14:textId="77777777" w:rsidR="00747261" w:rsidRPr="001A4B94" w:rsidRDefault="00747261" w:rsidP="00747261">
            <w:pPr>
              <w:jc w:val="center"/>
              <w:rPr>
                <w:color w:val="000000"/>
                <w:sz w:val="16"/>
                <w:szCs w:val="16"/>
                <w:lang w:val="tr-TR"/>
              </w:rPr>
            </w:pPr>
            <w:r w:rsidRPr="001A4B94">
              <w:rPr>
                <w:color w:val="000000"/>
                <w:sz w:val="16"/>
                <w:szCs w:val="16"/>
                <w:lang w:val="tr-TR"/>
              </w:rPr>
              <w:t>2016</w:t>
            </w:r>
          </w:p>
        </w:tc>
        <w:tc>
          <w:tcPr>
            <w:tcW w:w="810" w:type="dxa"/>
            <w:tcBorders>
              <w:top w:val="nil"/>
              <w:left w:val="nil"/>
              <w:bottom w:val="nil"/>
              <w:right w:val="nil"/>
            </w:tcBorders>
            <w:shd w:val="clear" w:color="FFFFFF" w:fill="FFFFFF"/>
            <w:noWrap/>
            <w:vAlign w:val="bottom"/>
            <w:hideMark/>
          </w:tcPr>
          <w:p w14:paraId="3DE8EB44" w14:textId="7B2F07CB" w:rsidR="00747261" w:rsidRPr="001A4B94" w:rsidRDefault="00747261" w:rsidP="00747261">
            <w:pPr>
              <w:jc w:val="right"/>
              <w:rPr>
                <w:color w:val="000000"/>
                <w:sz w:val="16"/>
                <w:szCs w:val="16"/>
                <w:lang w:val="tr-TR"/>
              </w:rPr>
            </w:pPr>
            <w:r w:rsidRPr="001A4B94">
              <w:rPr>
                <w:color w:val="000000"/>
                <w:sz w:val="16"/>
                <w:szCs w:val="16"/>
                <w:lang w:val="tr-TR"/>
              </w:rPr>
              <w:t>200</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2B966D4A" w14:textId="15B4113C"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44EB84B4"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1A4EB88C" w14:textId="53669E06"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590A8D74" w14:textId="1C11A4FB" w:rsidR="00747261" w:rsidRPr="001A4B94" w:rsidRDefault="00747261" w:rsidP="00747261">
            <w:pPr>
              <w:jc w:val="right"/>
              <w:rPr>
                <w:color w:val="000000"/>
                <w:sz w:val="16"/>
                <w:szCs w:val="16"/>
                <w:lang w:val="tr-TR"/>
              </w:rPr>
            </w:pPr>
            <w:r w:rsidRPr="001A4B94">
              <w:rPr>
                <w:color w:val="000000"/>
                <w:sz w:val="16"/>
                <w:szCs w:val="16"/>
                <w:lang w:val="tr-TR"/>
              </w:rPr>
              <w:t>1</w:t>
            </w:r>
            <w:r w:rsidR="00E573D3" w:rsidRPr="001A4B94">
              <w:rPr>
                <w:color w:val="000000"/>
                <w:sz w:val="16"/>
                <w:szCs w:val="16"/>
                <w:lang w:val="tr-TR"/>
              </w:rPr>
              <w:t>4</w:t>
            </w:r>
            <w:r w:rsidR="00D80959" w:rsidRPr="001A4B94">
              <w:rPr>
                <w:color w:val="000000"/>
                <w:sz w:val="16"/>
                <w:szCs w:val="16"/>
                <w:lang w:val="tr-TR"/>
              </w:rPr>
              <w:t>9</w:t>
            </w:r>
            <w:r w:rsidR="00B80B46" w:rsidRPr="001A4B94">
              <w:rPr>
                <w:color w:val="000000"/>
                <w:sz w:val="16"/>
                <w:szCs w:val="16"/>
                <w:lang w:val="tr-TR"/>
              </w:rPr>
              <w:t>,</w:t>
            </w:r>
            <w:r w:rsidR="00D80959" w:rsidRPr="001A4B94">
              <w:rPr>
                <w:color w:val="000000"/>
                <w:sz w:val="16"/>
                <w:szCs w:val="16"/>
                <w:lang w:val="tr-TR"/>
              </w:rPr>
              <w:t>0</w:t>
            </w:r>
          </w:p>
        </w:tc>
        <w:tc>
          <w:tcPr>
            <w:tcW w:w="800" w:type="dxa"/>
            <w:tcBorders>
              <w:top w:val="nil"/>
              <w:left w:val="nil"/>
              <w:bottom w:val="nil"/>
              <w:right w:val="nil"/>
            </w:tcBorders>
            <w:shd w:val="clear" w:color="FFFFFF" w:fill="FFFFFF"/>
            <w:noWrap/>
            <w:vAlign w:val="bottom"/>
            <w:hideMark/>
          </w:tcPr>
          <w:p w14:paraId="04E176A2" w14:textId="600A1B43"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699" w:type="dxa"/>
            <w:tcBorders>
              <w:top w:val="nil"/>
              <w:left w:val="nil"/>
              <w:bottom w:val="nil"/>
              <w:right w:val="nil"/>
            </w:tcBorders>
            <w:shd w:val="clear" w:color="FFFFFF" w:fill="FFFFFF"/>
            <w:noWrap/>
            <w:vAlign w:val="bottom"/>
            <w:hideMark/>
          </w:tcPr>
          <w:p w14:paraId="5890D002" w14:textId="5FCC4753"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r>
      <w:tr w:rsidR="00747261" w:rsidRPr="001A4B94" w14:paraId="2EA36ACA" w14:textId="77777777" w:rsidTr="006A23B6">
        <w:trPr>
          <w:trHeight w:val="144"/>
        </w:trPr>
        <w:tc>
          <w:tcPr>
            <w:tcW w:w="1080" w:type="dxa"/>
            <w:tcBorders>
              <w:top w:val="nil"/>
              <w:left w:val="nil"/>
              <w:bottom w:val="nil"/>
              <w:right w:val="nil"/>
            </w:tcBorders>
            <w:shd w:val="clear" w:color="FFFFFF" w:fill="FFFFFF"/>
            <w:noWrap/>
            <w:vAlign w:val="bottom"/>
            <w:hideMark/>
          </w:tcPr>
          <w:p w14:paraId="096880F8" w14:textId="77777777" w:rsidR="00747261" w:rsidRPr="001A4B94" w:rsidRDefault="00747261" w:rsidP="00747261">
            <w:pPr>
              <w:rPr>
                <w:color w:val="000000"/>
                <w:sz w:val="16"/>
                <w:szCs w:val="16"/>
                <w:lang w:val="tr-TR"/>
              </w:rPr>
            </w:pPr>
            <w:r w:rsidRPr="001A4B94">
              <w:rPr>
                <w:color w:val="000000"/>
                <w:sz w:val="16"/>
                <w:szCs w:val="16"/>
                <w:lang w:val="tr-TR"/>
              </w:rPr>
              <w:t>P144534</w:t>
            </w:r>
          </w:p>
        </w:tc>
        <w:tc>
          <w:tcPr>
            <w:tcW w:w="3510" w:type="dxa"/>
            <w:gridSpan w:val="2"/>
            <w:tcBorders>
              <w:top w:val="nil"/>
              <w:left w:val="nil"/>
              <w:bottom w:val="nil"/>
              <w:right w:val="nil"/>
            </w:tcBorders>
            <w:shd w:val="clear" w:color="FFFFFF" w:fill="FFFFFF"/>
            <w:noWrap/>
            <w:vAlign w:val="bottom"/>
            <w:hideMark/>
          </w:tcPr>
          <w:p w14:paraId="09284EBD" w14:textId="1AA983F1" w:rsidR="00747261" w:rsidRPr="001A4B94" w:rsidRDefault="0016261A" w:rsidP="00747261">
            <w:pPr>
              <w:rPr>
                <w:color w:val="000000"/>
                <w:sz w:val="16"/>
                <w:szCs w:val="16"/>
                <w:lang w:val="tr-TR"/>
              </w:rPr>
            </w:pPr>
            <w:r w:rsidRPr="001A4B94">
              <w:rPr>
                <w:color w:val="000000"/>
                <w:sz w:val="16"/>
                <w:szCs w:val="16"/>
                <w:lang w:val="tr-TR"/>
              </w:rPr>
              <w:t xml:space="preserve">Yenilenebilir Enerji Entegrasyon </w:t>
            </w:r>
          </w:p>
        </w:tc>
        <w:tc>
          <w:tcPr>
            <w:tcW w:w="1350" w:type="dxa"/>
            <w:tcBorders>
              <w:top w:val="nil"/>
              <w:left w:val="nil"/>
              <w:bottom w:val="nil"/>
              <w:right w:val="nil"/>
            </w:tcBorders>
            <w:shd w:val="clear" w:color="FFFFFF" w:fill="FFFFFF"/>
            <w:noWrap/>
            <w:vAlign w:val="bottom"/>
            <w:hideMark/>
          </w:tcPr>
          <w:p w14:paraId="6A615551" w14:textId="77777777"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1440" w:type="dxa"/>
            <w:gridSpan w:val="2"/>
            <w:tcBorders>
              <w:top w:val="nil"/>
              <w:left w:val="nil"/>
              <w:bottom w:val="nil"/>
              <w:right w:val="nil"/>
            </w:tcBorders>
            <w:shd w:val="clear" w:color="FFFFFF" w:fill="FFFFFF"/>
            <w:noWrap/>
            <w:vAlign w:val="bottom"/>
            <w:hideMark/>
          </w:tcPr>
          <w:p w14:paraId="3312E828" w14:textId="538EEED1"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990" w:type="dxa"/>
            <w:tcBorders>
              <w:top w:val="nil"/>
              <w:left w:val="nil"/>
              <w:bottom w:val="nil"/>
              <w:right w:val="nil"/>
            </w:tcBorders>
            <w:shd w:val="clear" w:color="FFFFFF" w:fill="FFFFFF"/>
            <w:noWrap/>
            <w:vAlign w:val="bottom"/>
            <w:hideMark/>
          </w:tcPr>
          <w:p w14:paraId="7761174D" w14:textId="77777777" w:rsidR="00747261" w:rsidRPr="001A4B94" w:rsidRDefault="00747261" w:rsidP="00747261">
            <w:pPr>
              <w:jc w:val="center"/>
              <w:rPr>
                <w:color w:val="000000"/>
                <w:sz w:val="16"/>
                <w:szCs w:val="16"/>
                <w:lang w:val="tr-TR"/>
              </w:rPr>
            </w:pPr>
            <w:r w:rsidRPr="001A4B94">
              <w:rPr>
                <w:color w:val="000000"/>
                <w:sz w:val="16"/>
                <w:szCs w:val="16"/>
                <w:lang w:val="tr-TR"/>
              </w:rPr>
              <w:t>2014</w:t>
            </w:r>
          </w:p>
        </w:tc>
        <w:tc>
          <w:tcPr>
            <w:tcW w:w="810" w:type="dxa"/>
            <w:tcBorders>
              <w:top w:val="nil"/>
              <w:left w:val="nil"/>
              <w:bottom w:val="nil"/>
              <w:right w:val="nil"/>
            </w:tcBorders>
            <w:shd w:val="clear" w:color="FFFFFF" w:fill="FFFFFF"/>
            <w:noWrap/>
            <w:vAlign w:val="bottom"/>
            <w:hideMark/>
          </w:tcPr>
          <w:p w14:paraId="62C7DDD5" w14:textId="3585A042" w:rsidR="00747261" w:rsidRPr="001A4B94" w:rsidRDefault="00747261" w:rsidP="00747261">
            <w:pPr>
              <w:jc w:val="right"/>
              <w:rPr>
                <w:color w:val="000000"/>
                <w:sz w:val="16"/>
                <w:szCs w:val="16"/>
                <w:lang w:val="tr-TR"/>
              </w:rPr>
            </w:pPr>
            <w:r w:rsidRPr="001A4B94">
              <w:rPr>
                <w:color w:val="000000"/>
                <w:sz w:val="16"/>
                <w:szCs w:val="16"/>
                <w:lang w:val="tr-TR"/>
              </w:rPr>
              <w:t>300</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28960DC5" w14:textId="5B48DD7B"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1F9B0CCB"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1A469380" w14:textId="77F66C09"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2095617B" w14:textId="3EEB00EF" w:rsidR="00747261" w:rsidRPr="001A4B94" w:rsidRDefault="00747261" w:rsidP="00747261">
            <w:pPr>
              <w:jc w:val="right"/>
              <w:rPr>
                <w:color w:val="000000"/>
                <w:sz w:val="16"/>
                <w:szCs w:val="16"/>
                <w:lang w:val="tr-TR"/>
              </w:rPr>
            </w:pPr>
            <w:r w:rsidRPr="001A4B94">
              <w:rPr>
                <w:color w:val="000000"/>
                <w:sz w:val="16"/>
                <w:szCs w:val="16"/>
                <w:lang w:val="tr-TR"/>
              </w:rPr>
              <w:t>1</w:t>
            </w:r>
            <w:r w:rsidR="00E573D3" w:rsidRPr="001A4B94">
              <w:rPr>
                <w:color w:val="000000"/>
                <w:sz w:val="16"/>
                <w:szCs w:val="16"/>
                <w:lang w:val="tr-TR"/>
              </w:rPr>
              <w:t>86</w:t>
            </w:r>
            <w:r w:rsidR="00B80B46" w:rsidRPr="001A4B94">
              <w:rPr>
                <w:color w:val="000000"/>
                <w:sz w:val="16"/>
                <w:szCs w:val="16"/>
                <w:lang w:val="tr-TR"/>
              </w:rPr>
              <w:t>,</w:t>
            </w:r>
            <w:r w:rsidR="00E573D3" w:rsidRPr="001A4B94">
              <w:rPr>
                <w:color w:val="000000"/>
                <w:sz w:val="16"/>
                <w:szCs w:val="16"/>
                <w:lang w:val="tr-TR"/>
              </w:rPr>
              <w:t>6</w:t>
            </w:r>
          </w:p>
        </w:tc>
        <w:tc>
          <w:tcPr>
            <w:tcW w:w="800" w:type="dxa"/>
            <w:tcBorders>
              <w:top w:val="nil"/>
              <w:left w:val="nil"/>
              <w:bottom w:val="nil"/>
              <w:right w:val="nil"/>
            </w:tcBorders>
            <w:shd w:val="clear" w:color="FFFFFF" w:fill="FFFFFF"/>
            <w:noWrap/>
            <w:vAlign w:val="bottom"/>
            <w:hideMark/>
          </w:tcPr>
          <w:p w14:paraId="1DC96634" w14:textId="1A0BF383" w:rsidR="00747261" w:rsidRPr="001A4B94" w:rsidRDefault="00747261" w:rsidP="00747261">
            <w:pPr>
              <w:jc w:val="right"/>
              <w:rPr>
                <w:color w:val="000000"/>
                <w:sz w:val="16"/>
                <w:szCs w:val="16"/>
                <w:lang w:val="tr-TR"/>
              </w:rPr>
            </w:pPr>
            <w:r w:rsidRPr="001A4B94">
              <w:rPr>
                <w:color w:val="000000"/>
                <w:sz w:val="16"/>
                <w:szCs w:val="16"/>
                <w:lang w:val="tr-TR"/>
              </w:rPr>
              <w:t>23</w:t>
            </w:r>
            <w:r w:rsidR="00D80959" w:rsidRPr="001A4B94">
              <w:rPr>
                <w:color w:val="000000"/>
                <w:sz w:val="16"/>
                <w:szCs w:val="16"/>
                <w:lang w:val="tr-TR"/>
              </w:rPr>
              <w:t>8</w:t>
            </w:r>
            <w:r w:rsidR="00B80B46" w:rsidRPr="001A4B94">
              <w:rPr>
                <w:color w:val="000000"/>
                <w:sz w:val="16"/>
                <w:szCs w:val="16"/>
                <w:lang w:val="tr-TR"/>
              </w:rPr>
              <w:t>,</w:t>
            </w:r>
            <w:r w:rsidR="00D80959" w:rsidRPr="001A4B94">
              <w:rPr>
                <w:color w:val="000000"/>
                <w:sz w:val="16"/>
                <w:szCs w:val="16"/>
                <w:lang w:val="tr-TR"/>
              </w:rPr>
              <w:t>7</w:t>
            </w:r>
          </w:p>
        </w:tc>
        <w:tc>
          <w:tcPr>
            <w:tcW w:w="699" w:type="dxa"/>
            <w:tcBorders>
              <w:top w:val="nil"/>
              <w:left w:val="nil"/>
              <w:bottom w:val="nil"/>
              <w:right w:val="nil"/>
            </w:tcBorders>
            <w:shd w:val="clear" w:color="FFFFFF" w:fill="FFFFFF"/>
            <w:noWrap/>
            <w:vAlign w:val="bottom"/>
            <w:hideMark/>
          </w:tcPr>
          <w:p w14:paraId="5262AD69" w14:textId="556BA764" w:rsidR="00747261" w:rsidRPr="001A4B94" w:rsidRDefault="00D80959" w:rsidP="00747261">
            <w:pPr>
              <w:jc w:val="right"/>
              <w:rPr>
                <w:color w:val="000000"/>
                <w:sz w:val="16"/>
                <w:szCs w:val="16"/>
                <w:lang w:val="tr-TR"/>
              </w:rPr>
            </w:pPr>
            <w:r w:rsidRPr="001A4B94">
              <w:rPr>
                <w:color w:val="000000"/>
                <w:sz w:val="16"/>
                <w:szCs w:val="16"/>
                <w:lang w:val="tr-TR"/>
              </w:rPr>
              <w:t>66</w:t>
            </w:r>
            <w:r w:rsidR="00B80B46" w:rsidRPr="001A4B94">
              <w:rPr>
                <w:color w:val="000000"/>
                <w:sz w:val="16"/>
                <w:szCs w:val="16"/>
                <w:lang w:val="tr-TR"/>
              </w:rPr>
              <w:t>,</w:t>
            </w:r>
            <w:r w:rsidRPr="001A4B94">
              <w:rPr>
                <w:color w:val="000000"/>
                <w:sz w:val="16"/>
                <w:szCs w:val="16"/>
                <w:lang w:val="tr-TR"/>
              </w:rPr>
              <w:t>7</w:t>
            </w:r>
          </w:p>
        </w:tc>
      </w:tr>
      <w:tr w:rsidR="00747261" w:rsidRPr="001A4B94" w14:paraId="6AC9B33C" w14:textId="77777777" w:rsidTr="006A23B6">
        <w:trPr>
          <w:trHeight w:val="144"/>
        </w:trPr>
        <w:tc>
          <w:tcPr>
            <w:tcW w:w="1080" w:type="dxa"/>
            <w:tcBorders>
              <w:top w:val="nil"/>
              <w:left w:val="nil"/>
              <w:bottom w:val="nil"/>
              <w:right w:val="nil"/>
            </w:tcBorders>
            <w:shd w:val="clear" w:color="FFFFFF" w:fill="FFFFFF"/>
            <w:noWrap/>
            <w:vAlign w:val="bottom"/>
            <w:hideMark/>
          </w:tcPr>
          <w:p w14:paraId="4E449276" w14:textId="77777777" w:rsidR="00747261" w:rsidRPr="001A4B94" w:rsidRDefault="00747261" w:rsidP="00747261">
            <w:pPr>
              <w:rPr>
                <w:color w:val="000000"/>
                <w:sz w:val="16"/>
                <w:szCs w:val="16"/>
                <w:lang w:val="tr-TR"/>
              </w:rPr>
            </w:pPr>
            <w:r w:rsidRPr="001A4B94">
              <w:rPr>
                <w:color w:val="000000"/>
                <w:sz w:val="16"/>
                <w:szCs w:val="16"/>
                <w:lang w:val="tr-TR"/>
              </w:rPr>
              <w:t>P128605</w:t>
            </w:r>
          </w:p>
        </w:tc>
        <w:tc>
          <w:tcPr>
            <w:tcW w:w="3510" w:type="dxa"/>
            <w:gridSpan w:val="2"/>
            <w:tcBorders>
              <w:top w:val="nil"/>
              <w:left w:val="nil"/>
              <w:bottom w:val="nil"/>
              <w:right w:val="nil"/>
            </w:tcBorders>
            <w:shd w:val="clear" w:color="FFFFFF" w:fill="FFFFFF"/>
            <w:noWrap/>
            <w:vAlign w:val="bottom"/>
            <w:hideMark/>
          </w:tcPr>
          <w:p w14:paraId="37B392DB" w14:textId="2CED3147" w:rsidR="00747261" w:rsidRPr="001A4B94" w:rsidRDefault="0016261A" w:rsidP="00747261">
            <w:pPr>
              <w:rPr>
                <w:color w:val="000000"/>
                <w:sz w:val="16"/>
                <w:szCs w:val="16"/>
                <w:lang w:val="tr-TR"/>
              </w:rPr>
            </w:pPr>
            <w:r w:rsidRPr="001A4B94">
              <w:rPr>
                <w:color w:val="000000"/>
                <w:sz w:val="16"/>
                <w:szCs w:val="16"/>
                <w:lang w:val="tr-TR"/>
              </w:rPr>
              <w:t xml:space="preserve">Sürdürülebilir Şehirler </w:t>
            </w:r>
          </w:p>
        </w:tc>
        <w:tc>
          <w:tcPr>
            <w:tcW w:w="1350" w:type="dxa"/>
            <w:tcBorders>
              <w:top w:val="nil"/>
              <w:left w:val="nil"/>
              <w:bottom w:val="nil"/>
              <w:right w:val="nil"/>
            </w:tcBorders>
            <w:shd w:val="clear" w:color="FFFFFF" w:fill="FFFFFF"/>
            <w:noWrap/>
            <w:vAlign w:val="bottom"/>
            <w:hideMark/>
          </w:tcPr>
          <w:p w14:paraId="7F15BB2A" w14:textId="77777777"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1440" w:type="dxa"/>
            <w:gridSpan w:val="2"/>
            <w:tcBorders>
              <w:top w:val="nil"/>
              <w:left w:val="nil"/>
              <w:bottom w:val="nil"/>
              <w:right w:val="nil"/>
            </w:tcBorders>
            <w:shd w:val="clear" w:color="FFFFFF" w:fill="FFFFFF"/>
            <w:noWrap/>
            <w:vAlign w:val="bottom"/>
            <w:hideMark/>
          </w:tcPr>
          <w:p w14:paraId="7FBA31C4" w14:textId="77777777"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990" w:type="dxa"/>
            <w:tcBorders>
              <w:top w:val="nil"/>
              <w:left w:val="nil"/>
              <w:bottom w:val="nil"/>
              <w:right w:val="nil"/>
            </w:tcBorders>
            <w:shd w:val="clear" w:color="FFFFFF" w:fill="FFFFFF"/>
            <w:noWrap/>
            <w:vAlign w:val="bottom"/>
            <w:hideMark/>
          </w:tcPr>
          <w:p w14:paraId="2514219E" w14:textId="77777777" w:rsidR="00747261" w:rsidRPr="001A4B94" w:rsidRDefault="00747261" w:rsidP="00747261">
            <w:pPr>
              <w:jc w:val="center"/>
              <w:rPr>
                <w:color w:val="000000"/>
                <w:sz w:val="16"/>
                <w:szCs w:val="16"/>
                <w:lang w:val="tr-TR"/>
              </w:rPr>
            </w:pPr>
            <w:r w:rsidRPr="001A4B94">
              <w:rPr>
                <w:color w:val="000000"/>
                <w:sz w:val="16"/>
                <w:szCs w:val="16"/>
                <w:lang w:val="tr-TR"/>
              </w:rPr>
              <w:t>2017</w:t>
            </w:r>
          </w:p>
        </w:tc>
        <w:tc>
          <w:tcPr>
            <w:tcW w:w="810" w:type="dxa"/>
            <w:tcBorders>
              <w:top w:val="nil"/>
              <w:left w:val="nil"/>
              <w:bottom w:val="nil"/>
              <w:right w:val="nil"/>
            </w:tcBorders>
            <w:shd w:val="clear" w:color="FFFFFF" w:fill="FFFFFF"/>
            <w:noWrap/>
            <w:vAlign w:val="bottom"/>
            <w:hideMark/>
          </w:tcPr>
          <w:p w14:paraId="105A7627" w14:textId="3A7783C9" w:rsidR="00747261" w:rsidRPr="001A4B94" w:rsidRDefault="00747261" w:rsidP="00747261">
            <w:pPr>
              <w:jc w:val="right"/>
              <w:rPr>
                <w:color w:val="000000"/>
                <w:sz w:val="16"/>
                <w:szCs w:val="16"/>
                <w:lang w:val="tr-TR"/>
              </w:rPr>
            </w:pPr>
            <w:r w:rsidRPr="001A4B94">
              <w:rPr>
                <w:color w:val="000000"/>
                <w:sz w:val="16"/>
                <w:szCs w:val="16"/>
                <w:lang w:val="tr-TR"/>
              </w:rPr>
              <w:t>132</w:t>
            </w:r>
            <w:r w:rsidR="00B80B46" w:rsidRPr="001A4B94">
              <w:rPr>
                <w:color w:val="000000"/>
                <w:sz w:val="16"/>
                <w:szCs w:val="16"/>
                <w:lang w:val="tr-TR"/>
              </w:rPr>
              <w:t>,</w:t>
            </w:r>
            <w:r w:rsidRPr="001A4B94">
              <w:rPr>
                <w:color w:val="000000"/>
                <w:sz w:val="16"/>
                <w:szCs w:val="16"/>
                <w:lang w:val="tr-TR"/>
              </w:rPr>
              <w:t>8</w:t>
            </w:r>
          </w:p>
        </w:tc>
        <w:tc>
          <w:tcPr>
            <w:tcW w:w="540" w:type="dxa"/>
            <w:tcBorders>
              <w:top w:val="nil"/>
              <w:left w:val="nil"/>
              <w:bottom w:val="nil"/>
              <w:right w:val="nil"/>
            </w:tcBorders>
            <w:shd w:val="clear" w:color="FFFFFF" w:fill="FFFFFF"/>
            <w:noWrap/>
            <w:vAlign w:val="bottom"/>
            <w:hideMark/>
          </w:tcPr>
          <w:p w14:paraId="79738224" w14:textId="3A82E3F7"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5F54A652"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4D7D92BF" w14:textId="530D0F57"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657385FF" w14:textId="54C4CE02" w:rsidR="00747261" w:rsidRPr="001A4B94" w:rsidRDefault="00747261" w:rsidP="00747261">
            <w:pPr>
              <w:jc w:val="right"/>
              <w:rPr>
                <w:color w:val="000000"/>
                <w:sz w:val="16"/>
                <w:szCs w:val="16"/>
                <w:lang w:val="tr-TR"/>
              </w:rPr>
            </w:pPr>
            <w:r w:rsidRPr="001A4B94">
              <w:rPr>
                <w:color w:val="000000"/>
                <w:sz w:val="16"/>
                <w:szCs w:val="16"/>
                <w:lang w:val="tr-TR"/>
              </w:rPr>
              <w:t>132</w:t>
            </w:r>
            <w:r w:rsidR="00B80B46" w:rsidRPr="001A4B94">
              <w:rPr>
                <w:color w:val="000000"/>
                <w:sz w:val="16"/>
                <w:szCs w:val="16"/>
                <w:lang w:val="tr-TR"/>
              </w:rPr>
              <w:t>,</w:t>
            </w:r>
            <w:r w:rsidRPr="001A4B94">
              <w:rPr>
                <w:color w:val="000000"/>
                <w:sz w:val="16"/>
                <w:szCs w:val="16"/>
                <w:lang w:val="tr-TR"/>
              </w:rPr>
              <w:t>4</w:t>
            </w:r>
          </w:p>
        </w:tc>
        <w:tc>
          <w:tcPr>
            <w:tcW w:w="800" w:type="dxa"/>
            <w:tcBorders>
              <w:top w:val="nil"/>
              <w:left w:val="nil"/>
              <w:bottom w:val="nil"/>
              <w:right w:val="nil"/>
            </w:tcBorders>
            <w:shd w:val="clear" w:color="FFFFFF" w:fill="FFFFFF"/>
            <w:noWrap/>
            <w:vAlign w:val="bottom"/>
            <w:hideMark/>
          </w:tcPr>
          <w:p w14:paraId="1BE874F6" w14:textId="71765DD5" w:rsidR="00747261" w:rsidRPr="001A4B94" w:rsidRDefault="00C6764C" w:rsidP="00747261">
            <w:pPr>
              <w:jc w:val="right"/>
              <w:rPr>
                <w:color w:val="000000"/>
                <w:sz w:val="16"/>
                <w:szCs w:val="16"/>
                <w:lang w:val="tr-TR"/>
              </w:rPr>
            </w:pPr>
            <w:r w:rsidRPr="001A4B94">
              <w:rPr>
                <w:color w:val="000000"/>
                <w:sz w:val="16"/>
                <w:szCs w:val="16"/>
                <w:lang w:val="tr-TR"/>
              </w:rPr>
              <w:t>1</w:t>
            </w:r>
            <w:r w:rsidR="00B80B46" w:rsidRPr="001A4B94">
              <w:rPr>
                <w:color w:val="000000"/>
                <w:sz w:val="16"/>
                <w:szCs w:val="16"/>
                <w:lang w:val="tr-TR"/>
              </w:rPr>
              <w:t>,</w:t>
            </w:r>
            <w:r w:rsidRPr="001A4B94">
              <w:rPr>
                <w:color w:val="000000"/>
                <w:sz w:val="16"/>
                <w:szCs w:val="16"/>
                <w:lang w:val="tr-TR"/>
              </w:rPr>
              <w:t>8</w:t>
            </w:r>
          </w:p>
        </w:tc>
        <w:tc>
          <w:tcPr>
            <w:tcW w:w="699" w:type="dxa"/>
            <w:tcBorders>
              <w:top w:val="nil"/>
              <w:left w:val="nil"/>
              <w:bottom w:val="nil"/>
              <w:right w:val="nil"/>
            </w:tcBorders>
            <w:shd w:val="clear" w:color="FFFFFF" w:fill="FFFFFF"/>
            <w:noWrap/>
            <w:vAlign w:val="bottom"/>
            <w:hideMark/>
          </w:tcPr>
          <w:p w14:paraId="3FDBB55E" w14:textId="00BDAC27"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r>
      <w:tr w:rsidR="00747261" w:rsidRPr="001A4B94" w14:paraId="1DC87DC2" w14:textId="77777777" w:rsidTr="006A23B6">
        <w:trPr>
          <w:trHeight w:val="144"/>
        </w:trPr>
        <w:tc>
          <w:tcPr>
            <w:tcW w:w="1080" w:type="dxa"/>
            <w:tcBorders>
              <w:top w:val="nil"/>
              <w:left w:val="nil"/>
              <w:bottom w:val="nil"/>
              <w:right w:val="nil"/>
            </w:tcBorders>
            <w:shd w:val="clear" w:color="FFFFFF" w:fill="FFFFFF"/>
            <w:noWrap/>
            <w:vAlign w:val="bottom"/>
            <w:hideMark/>
          </w:tcPr>
          <w:p w14:paraId="56EDE7B3" w14:textId="77777777" w:rsidR="00747261" w:rsidRPr="001A4B94" w:rsidRDefault="00747261" w:rsidP="00747261">
            <w:pPr>
              <w:rPr>
                <w:color w:val="000000"/>
                <w:sz w:val="16"/>
                <w:szCs w:val="16"/>
                <w:lang w:val="tr-TR"/>
              </w:rPr>
            </w:pPr>
            <w:r w:rsidRPr="001A4B94">
              <w:rPr>
                <w:color w:val="000000"/>
                <w:sz w:val="16"/>
                <w:szCs w:val="16"/>
                <w:lang w:val="tr-TR"/>
              </w:rPr>
              <w:t>P130864</w:t>
            </w:r>
          </w:p>
        </w:tc>
        <w:tc>
          <w:tcPr>
            <w:tcW w:w="3510" w:type="dxa"/>
            <w:gridSpan w:val="2"/>
            <w:tcBorders>
              <w:top w:val="nil"/>
              <w:left w:val="nil"/>
              <w:bottom w:val="nil"/>
              <w:right w:val="nil"/>
            </w:tcBorders>
            <w:shd w:val="clear" w:color="FFFFFF" w:fill="FFFFFF"/>
            <w:noWrap/>
            <w:vAlign w:val="bottom"/>
            <w:hideMark/>
          </w:tcPr>
          <w:p w14:paraId="7FDEB53C" w14:textId="40FCEB4F" w:rsidR="00747261" w:rsidRPr="001A4B94" w:rsidRDefault="00747261" w:rsidP="00747261">
            <w:pPr>
              <w:rPr>
                <w:color w:val="000000"/>
                <w:sz w:val="16"/>
                <w:szCs w:val="16"/>
                <w:lang w:val="tr-TR"/>
              </w:rPr>
            </w:pPr>
            <w:r w:rsidRPr="001A4B94">
              <w:rPr>
                <w:color w:val="000000"/>
                <w:sz w:val="16"/>
                <w:szCs w:val="16"/>
                <w:lang w:val="tr-TR"/>
              </w:rPr>
              <w:t xml:space="preserve">TR </w:t>
            </w:r>
            <w:r w:rsidR="0016261A" w:rsidRPr="001A4B94">
              <w:rPr>
                <w:color w:val="000000"/>
                <w:sz w:val="16"/>
                <w:szCs w:val="16"/>
                <w:lang w:val="tr-TR"/>
              </w:rPr>
              <w:t>KOBİ</w:t>
            </w:r>
            <w:r w:rsidRPr="001A4B94">
              <w:rPr>
                <w:color w:val="000000"/>
                <w:sz w:val="16"/>
                <w:szCs w:val="16"/>
                <w:lang w:val="tr-TR"/>
              </w:rPr>
              <w:t xml:space="preserve"> III</w:t>
            </w:r>
          </w:p>
        </w:tc>
        <w:tc>
          <w:tcPr>
            <w:tcW w:w="1350" w:type="dxa"/>
            <w:tcBorders>
              <w:top w:val="nil"/>
              <w:left w:val="nil"/>
              <w:bottom w:val="nil"/>
              <w:right w:val="nil"/>
            </w:tcBorders>
            <w:shd w:val="clear" w:color="FFFFFF" w:fill="FFFFFF"/>
            <w:noWrap/>
            <w:vAlign w:val="bottom"/>
            <w:hideMark/>
          </w:tcPr>
          <w:p w14:paraId="1DDBBEA1" w14:textId="77777777" w:rsidR="00747261" w:rsidRPr="001A4B94" w:rsidRDefault="00747261" w:rsidP="00747261">
            <w:pPr>
              <w:jc w:val="center"/>
              <w:rPr>
                <w:color w:val="000000"/>
                <w:sz w:val="16"/>
                <w:szCs w:val="16"/>
                <w:lang w:val="tr-TR"/>
              </w:rPr>
            </w:pPr>
            <w:r w:rsidRPr="001A4B94">
              <w:rPr>
                <w:color w:val="000000"/>
                <w:sz w:val="16"/>
                <w:szCs w:val="16"/>
                <w:lang w:val="tr-TR"/>
              </w:rPr>
              <w:t>MS</w:t>
            </w:r>
          </w:p>
        </w:tc>
        <w:tc>
          <w:tcPr>
            <w:tcW w:w="1440" w:type="dxa"/>
            <w:gridSpan w:val="2"/>
            <w:tcBorders>
              <w:top w:val="nil"/>
              <w:left w:val="nil"/>
              <w:bottom w:val="nil"/>
              <w:right w:val="nil"/>
            </w:tcBorders>
            <w:shd w:val="clear" w:color="FFFFFF" w:fill="FFFFFF"/>
            <w:noWrap/>
            <w:vAlign w:val="bottom"/>
            <w:hideMark/>
          </w:tcPr>
          <w:p w14:paraId="122CD579" w14:textId="77777777" w:rsidR="00747261" w:rsidRPr="001A4B94" w:rsidRDefault="00747261" w:rsidP="00747261">
            <w:pPr>
              <w:jc w:val="center"/>
              <w:rPr>
                <w:color w:val="000000"/>
                <w:sz w:val="16"/>
                <w:szCs w:val="16"/>
                <w:lang w:val="tr-TR"/>
              </w:rPr>
            </w:pPr>
            <w:r w:rsidRPr="001A4B94">
              <w:rPr>
                <w:color w:val="000000"/>
                <w:sz w:val="16"/>
                <w:szCs w:val="16"/>
                <w:lang w:val="tr-TR"/>
              </w:rPr>
              <w:t>MS</w:t>
            </w:r>
          </w:p>
        </w:tc>
        <w:tc>
          <w:tcPr>
            <w:tcW w:w="990" w:type="dxa"/>
            <w:tcBorders>
              <w:top w:val="nil"/>
              <w:left w:val="nil"/>
              <w:bottom w:val="nil"/>
              <w:right w:val="nil"/>
            </w:tcBorders>
            <w:shd w:val="clear" w:color="FFFFFF" w:fill="FFFFFF"/>
            <w:noWrap/>
            <w:vAlign w:val="bottom"/>
            <w:hideMark/>
          </w:tcPr>
          <w:p w14:paraId="5D063229" w14:textId="77777777" w:rsidR="00747261" w:rsidRPr="001A4B94" w:rsidRDefault="00747261" w:rsidP="00747261">
            <w:pPr>
              <w:jc w:val="center"/>
              <w:rPr>
                <w:color w:val="000000"/>
                <w:sz w:val="16"/>
                <w:szCs w:val="16"/>
                <w:lang w:val="tr-TR"/>
              </w:rPr>
            </w:pPr>
            <w:r w:rsidRPr="001A4B94">
              <w:rPr>
                <w:color w:val="000000"/>
                <w:sz w:val="16"/>
                <w:szCs w:val="16"/>
                <w:lang w:val="tr-TR"/>
              </w:rPr>
              <w:t>2013</w:t>
            </w:r>
          </w:p>
        </w:tc>
        <w:tc>
          <w:tcPr>
            <w:tcW w:w="810" w:type="dxa"/>
            <w:tcBorders>
              <w:top w:val="nil"/>
              <w:left w:val="nil"/>
              <w:bottom w:val="nil"/>
              <w:right w:val="nil"/>
            </w:tcBorders>
            <w:shd w:val="clear" w:color="FFFFFF" w:fill="FFFFFF"/>
            <w:noWrap/>
            <w:vAlign w:val="bottom"/>
            <w:hideMark/>
          </w:tcPr>
          <w:p w14:paraId="51BF395E" w14:textId="2371AAD9" w:rsidR="00747261" w:rsidRPr="001A4B94" w:rsidRDefault="00747261" w:rsidP="00747261">
            <w:pPr>
              <w:jc w:val="right"/>
              <w:rPr>
                <w:color w:val="000000"/>
                <w:sz w:val="16"/>
                <w:szCs w:val="16"/>
                <w:lang w:val="tr-TR"/>
              </w:rPr>
            </w:pPr>
            <w:r w:rsidRPr="001A4B94">
              <w:rPr>
                <w:color w:val="000000"/>
                <w:sz w:val="16"/>
                <w:szCs w:val="16"/>
                <w:lang w:val="tr-TR"/>
              </w:rPr>
              <w:t>300</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3008A942" w14:textId="4889086C"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57522836"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05DD744A" w14:textId="5C1D844E"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1BC2F81A" w14:textId="3100772F" w:rsidR="00747261" w:rsidRPr="001A4B94" w:rsidRDefault="00747261" w:rsidP="00747261">
            <w:pPr>
              <w:jc w:val="right"/>
              <w:rPr>
                <w:color w:val="000000"/>
                <w:sz w:val="16"/>
                <w:szCs w:val="16"/>
                <w:lang w:val="tr-TR"/>
              </w:rPr>
            </w:pPr>
            <w:r w:rsidRPr="001A4B94">
              <w:rPr>
                <w:color w:val="000000"/>
                <w:sz w:val="16"/>
                <w:szCs w:val="16"/>
                <w:lang w:val="tr-TR"/>
              </w:rPr>
              <w:t>1</w:t>
            </w:r>
            <w:r w:rsidR="00E573D3" w:rsidRPr="001A4B94">
              <w:rPr>
                <w:color w:val="000000"/>
                <w:sz w:val="16"/>
                <w:szCs w:val="16"/>
                <w:lang w:val="tr-TR"/>
              </w:rPr>
              <w:t>07</w:t>
            </w:r>
            <w:r w:rsidR="00B80B46" w:rsidRPr="001A4B94">
              <w:rPr>
                <w:color w:val="000000"/>
                <w:sz w:val="16"/>
                <w:szCs w:val="16"/>
                <w:lang w:val="tr-TR"/>
              </w:rPr>
              <w:t>,</w:t>
            </w:r>
            <w:r w:rsidR="00C6764C" w:rsidRPr="001A4B94">
              <w:rPr>
                <w:color w:val="000000"/>
                <w:sz w:val="16"/>
                <w:szCs w:val="16"/>
                <w:lang w:val="tr-TR"/>
              </w:rPr>
              <w:t>6</w:t>
            </w:r>
          </w:p>
        </w:tc>
        <w:tc>
          <w:tcPr>
            <w:tcW w:w="800" w:type="dxa"/>
            <w:tcBorders>
              <w:top w:val="nil"/>
              <w:left w:val="nil"/>
              <w:bottom w:val="nil"/>
              <w:right w:val="nil"/>
            </w:tcBorders>
            <w:shd w:val="clear" w:color="FFFFFF" w:fill="FFFFFF"/>
            <w:noWrap/>
            <w:vAlign w:val="bottom"/>
            <w:hideMark/>
          </w:tcPr>
          <w:p w14:paraId="21B4C049" w14:textId="7F3AE885"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699" w:type="dxa"/>
            <w:tcBorders>
              <w:top w:val="nil"/>
              <w:left w:val="nil"/>
              <w:bottom w:val="nil"/>
              <w:right w:val="nil"/>
            </w:tcBorders>
            <w:shd w:val="clear" w:color="FFFFFF" w:fill="FFFFFF"/>
            <w:noWrap/>
            <w:vAlign w:val="bottom"/>
            <w:hideMark/>
          </w:tcPr>
          <w:p w14:paraId="2E4164E5" w14:textId="55F8C6C9" w:rsidR="00747261" w:rsidRPr="001A4B94" w:rsidRDefault="00C6764C" w:rsidP="00747261">
            <w:pPr>
              <w:jc w:val="right"/>
              <w:rPr>
                <w:color w:val="000000"/>
                <w:sz w:val="16"/>
                <w:szCs w:val="16"/>
                <w:lang w:val="tr-TR"/>
              </w:rPr>
            </w:pPr>
            <w:r w:rsidRPr="001A4B94">
              <w:rPr>
                <w:color w:val="000000"/>
                <w:sz w:val="16"/>
                <w:szCs w:val="16"/>
                <w:lang w:val="tr-TR"/>
              </w:rPr>
              <w:t>20</w:t>
            </w:r>
            <w:r w:rsidR="00B80B46" w:rsidRPr="001A4B94">
              <w:rPr>
                <w:color w:val="000000"/>
                <w:sz w:val="16"/>
                <w:szCs w:val="16"/>
                <w:lang w:val="tr-TR"/>
              </w:rPr>
              <w:t>,</w:t>
            </w:r>
            <w:r w:rsidRPr="001A4B94">
              <w:rPr>
                <w:color w:val="000000"/>
                <w:sz w:val="16"/>
                <w:szCs w:val="16"/>
                <w:lang w:val="tr-TR"/>
              </w:rPr>
              <w:t>6</w:t>
            </w:r>
          </w:p>
        </w:tc>
      </w:tr>
      <w:tr w:rsidR="00747261" w:rsidRPr="001A4B94" w14:paraId="56E8F4BB" w14:textId="77777777" w:rsidTr="006A23B6">
        <w:trPr>
          <w:trHeight w:val="144"/>
        </w:trPr>
        <w:tc>
          <w:tcPr>
            <w:tcW w:w="1080" w:type="dxa"/>
            <w:tcBorders>
              <w:top w:val="nil"/>
              <w:left w:val="nil"/>
              <w:bottom w:val="nil"/>
              <w:right w:val="nil"/>
            </w:tcBorders>
            <w:shd w:val="clear" w:color="FFFFFF" w:fill="FFFFFF"/>
            <w:noWrap/>
            <w:vAlign w:val="bottom"/>
            <w:hideMark/>
          </w:tcPr>
          <w:p w14:paraId="2F8D49C7" w14:textId="77777777" w:rsidR="00747261" w:rsidRPr="001A4B94" w:rsidRDefault="00747261" w:rsidP="00747261">
            <w:pPr>
              <w:rPr>
                <w:color w:val="000000"/>
                <w:sz w:val="16"/>
                <w:szCs w:val="16"/>
                <w:lang w:val="tr-TR"/>
              </w:rPr>
            </w:pPr>
            <w:r w:rsidRPr="001A4B94">
              <w:rPr>
                <w:color w:val="000000"/>
                <w:sz w:val="16"/>
                <w:szCs w:val="16"/>
                <w:lang w:val="tr-TR"/>
              </w:rPr>
              <w:t>P151739</w:t>
            </w:r>
          </w:p>
        </w:tc>
        <w:tc>
          <w:tcPr>
            <w:tcW w:w="3510" w:type="dxa"/>
            <w:gridSpan w:val="2"/>
            <w:tcBorders>
              <w:top w:val="nil"/>
              <w:left w:val="nil"/>
              <w:bottom w:val="nil"/>
              <w:right w:val="nil"/>
            </w:tcBorders>
            <w:shd w:val="clear" w:color="FFFFFF" w:fill="FFFFFF"/>
            <w:noWrap/>
            <w:vAlign w:val="bottom"/>
            <w:hideMark/>
          </w:tcPr>
          <w:p w14:paraId="5A542A03" w14:textId="190706BF" w:rsidR="00747261" w:rsidRPr="001A4B94" w:rsidRDefault="00747261" w:rsidP="00747261">
            <w:pPr>
              <w:rPr>
                <w:color w:val="000000"/>
                <w:sz w:val="16"/>
                <w:szCs w:val="16"/>
                <w:lang w:val="tr-TR"/>
              </w:rPr>
            </w:pPr>
            <w:r w:rsidRPr="001A4B94">
              <w:rPr>
                <w:color w:val="000000"/>
                <w:sz w:val="16"/>
                <w:szCs w:val="16"/>
                <w:lang w:val="tr-TR"/>
              </w:rPr>
              <w:t>T</w:t>
            </w:r>
            <w:r w:rsidR="0016261A" w:rsidRPr="001A4B94">
              <w:rPr>
                <w:color w:val="000000"/>
                <w:sz w:val="16"/>
                <w:szCs w:val="16"/>
                <w:lang w:val="tr-TR"/>
              </w:rPr>
              <w:t xml:space="preserve">ürkiye </w:t>
            </w:r>
            <w:r w:rsidR="00662723" w:rsidRPr="001A4B94">
              <w:rPr>
                <w:color w:val="000000"/>
                <w:sz w:val="16"/>
                <w:szCs w:val="16"/>
                <w:lang w:val="tr-TR"/>
              </w:rPr>
              <w:t>Jeotermal</w:t>
            </w:r>
            <w:r w:rsidR="0016261A" w:rsidRPr="001A4B94">
              <w:rPr>
                <w:color w:val="000000"/>
                <w:sz w:val="16"/>
                <w:szCs w:val="16"/>
                <w:lang w:val="tr-TR"/>
              </w:rPr>
              <w:t xml:space="preserve"> Geliştirme Projesi </w:t>
            </w:r>
          </w:p>
        </w:tc>
        <w:tc>
          <w:tcPr>
            <w:tcW w:w="1350" w:type="dxa"/>
            <w:tcBorders>
              <w:top w:val="nil"/>
              <w:left w:val="nil"/>
              <w:bottom w:val="nil"/>
              <w:right w:val="nil"/>
            </w:tcBorders>
            <w:shd w:val="clear" w:color="FFFFFF" w:fill="FFFFFF"/>
            <w:noWrap/>
            <w:vAlign w:val="bottom"/>
            <w:hideMark/>
          </w:tcPr>
          <w:p w14:paraId="69DCA34F" w14:textId="77777777" w:rsidR="00747261" w:rsidRPr="001A4B94" w:rsidRDefault="00747261" w:rsidP="00747261">
            <w:pPr>
              <w:jc w:val="center"/>
              <w:rPr>
                <w:color w:val="000000"/>
                <w:sz w:val="16"/>
                <w:szCs w:val="16"/>
                <w:lang w:val="tr-TR"/>
              </w:rPr>
            </w:pPr>
            <w:r w:rsidRPr="001A4B94">
              <w:rPr>
                <w:color w:val="000000"/>
                <w:sz w:val="16"/>
                <w:szCs w:val="16"/>
                <w:lang w:val="tr-TR"/>
              </w:rPr>
              <w:t>S</w:t>
            </w:r>
          </w:p>
        </w:tc>
        <w:tc>
          <w:tcPr>
            <w:tcW w:w="1440" w:type="dxa"/>
            <w:gridSpan w:val="2"/>
            <w:tcBorders>
              <w:top w:val="nil"/>
              <w:left w:val="nil"/>
              <w:bottom w:val="nil"/>
              <w:right w:val="nil"/>
            </w:tcBorders>
            <w:shd w:val="clear" w:color="FFFFFF" w:fill="FFFFFF"/>
            <w:noWrap/>
            <w:vAlign w:val="bottom"/>
            <w:hideMark/>
          </w:tcPr>
          <w:p w14:paraId="5071EEF5" w14:textId="77777777" w:rsidR="00747261" w:rsidRPr="001A4B94" w:rsidRDefault="00747261" w:rsidP="00747261">
            <w:pPr>
              <w:jc w:val="center"/>
              <w:rPr>
                <w:color w:val="000000"/>
                <w:sz w:val="16"/>
                <w:szCs w:val="16"/>
                <w:lang w:val="tr-TR"/>
              </w:rPr>
            </w:pPr>
            <w:r w:rsidRPr="001A4B94">
              <w:rPr>
                <w:color w:val="000000"/>
                <w:sz w:val="16"/>
                <w:szCs w:val="16"/>
                <w:lang w:val="tr-TR"/>
              </w:rPr>
              <w:t>MS</w:t>
            </w:r>
          </w:p>
        </w:tc>
        <w:tc>
          <w:tcPr>
            <w:tcW w:w="990" w:type="dxa"/>
            <w:tcBorders>
              <w:top w:val="nil"/>
              <w:left w:val="nil"/>
              <w:bottom w:val="nil"/>
              <w:right w:val="nil"/>
            </w:tcBorders>
            <w:shd w:val="clear" w:color="FFFFFF" w:fill="FFFFFF"/>
            <w:noWrap/>
            <w:vAlign w:val="bottom"/>
            <w:hideMark/>
          </w:tcPr>
          <w:p w14:paraId="3DE8FE00" w14:textId="77777777" w:rsidR="00747261" w:rsidRPr="001A4B94" w:rsidRDefault="00747261" w:rsidP="00747261">
            <w:pPr>
              <w:jc w:val="center"/>
              <w:rPr>
                <w:color w:val="000000"/>
                <w:sz w:val="16"/>
                <w:szCs w:val="16"/>
                <w:lang w:val="tr-TR"/>
              </w:rPr>
            </w:pPr>
            <w:r w:rsidRPr="001A4B94">
              <w:rPr>
                <w:color w:val="000000"/>
                <w:sz w:val="16"/>
                <w:szCs w:val="16"/>
                <w:lang w:val="tr-TR"/>
              </w:rPr>
              <w:t>2017</w:t>
            </w:r>
          </w:p>
        </w:tc>
        <w:tc>
          <w:tcPr>
            <w:tcW w:w="810" w:type="dxa"/>
            <w:tcBorders>
              <w:top w:val="nil"/>
              <w:left w:val="nil"/>
              <w:bottom w:val="nil"/>
              <w:right w:val="nil"/>
            </w:tcBorders>
            <w:shd w:val="clear" w:color="FFFFFF" w:fill="FFFFFF"/>
            <w:noWrap/>
            <w:vAlign w:val="bottom"/>
            <w:hideMark/>
          </w:tcPr>
          <w:p w14:paraId="2E652D67" w14:textId="3E270296" w:rsidR="00747261" w:rsidRPr="001A4B94" w:rsidRDefault="00747261" w:rsidP="00747261">
            <w:pPr>
              <w:jc w:val="right"/>
              <w:rPr>
                <w:color w:val="000000"/>
                <w:sz w:val="16"/>
                <w:szCs w:val="16"/>
                <w:lang w:val="tr-TR"/>
              </w:rPr>
            </w:pPr>
            <w:r w:rsidRPr="001A4B94">
              <w:rPr>
                <w:color w:val="000000"/>
                <w:sz w:val="16"/>
                <w:szCs w:val="16"/>
                <w:lang w:val="tr-TR"/>
              </w:rPr>
              <w:t>250</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7A8B955E" w14:textId="4D30FCA9"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57EE25E4"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663087A6" w14:textId="6EA7E77F"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6ED0D3C1" w14:textId="66E4A702" w:rsidR="00747261" w:rsidRPr="001A4B94" w:rsidRDefault="00E573D3" w:rsidP="00747261">
            <w:pPr>
              <w:jc w:val="right"/>
              <w:rPr>
                <w:color w:val="000000"/>
                <w:sz w:val="16"/>
                <w:szCs w:val="16"/>
                <w:lang w:val="tr-TR"/>
              </w:rPr>
            </w:pPr>
            <w:r w:rsidRPr="001A4B94">
              <w:rPr>
                <w:color w:val="000000"/>
                <w:sz w:val="16"/>
                <w:szCs w:val="16"/>
                <w:lang w:val="tr-TR"/>
              </w:rPr>
              <w:t>219</w:t>
            </w:r>
            <w:r w:rsidR="00B80B46" w:rsidRPr="001A4B94">
              <w:rPr>
                <w:color w:val="000000"/>
                <w:sz w:val="16"/>
                <w:szCs w:val="16"/>
                <w:lang w:val="tr-TR"/>
              </w:rPr>
              <w:t>,</w:t>
            </w:r>
            <w:r w:rsidR="00C6764C" w:rsidRPr="001A4B94">
              <w:rPr>
                <w:color w:val="000000"/>
                <w:sz w:val="16"/>
                <w:szCs w:val="16"/>
                <w:lang w:val="tr-TR"/>
              </w:rPr>
              <w:t>4</w:t>
            </w:r>
          </w:p>
        </w:tc>
        <w:tc>
          <w:tcPr>
            <w:tcW w:w="800" w:type="dxa"/>
            <w:tcBorders>
              <w:top w:val="nil"/>
              <w:left w:val="nil"/>
              <w:bottom w:val="nil"/>
              <w:right w:val="nil"/>
            </w:tcBorders>
            <w:shd w:val="clear" w:color="FFFFFF" w:fill="FFFFFF"/>
            <w:noWrap/>
            <w:vAlign w:val="bottom"/>
            <w:hideMark/>
          </w:tcPr>
          <w:p w14:paraId="5C5874E5" w14:textId="149616E5" w:rsidR="00747261" w:rsidRPr="001A4B94" w:rsidRDefault="00747261" w:rsidP="00747261">
            <w:pPr>
              <w:jc w:val="right"/>
              <w:rPr>
                <w:color w:val="000000"/>
                <w:sz w:val="16"/>
                <w:szCs w:val="16"/>
                <w:lang w:val="tr-TR"/>
              </w:rPr>
            </w:pPr>
            <w:r w:rsidRPr="001A4B94">
              <w:rPr>
                <w:color w:val="000000"/>
                <w:sz w:val="16"/>
                <w:szCs w:val="16"/>
                <w:lang w:val="tr-TR"/>
              </w:rPr>
              <w:t>-</w:t>
            </w:r>
            <w:r w:rsidR="00C6764C" w:rsidRPr="001A4B94">
              <w:rPr>
                <w:color w:val="000000"/>
                <w:sz w:val="16"/>
                <w:szCs w:val="16"/>
                <w:lang w:val="tr-TR"/>
              </w:rPr>
              <w:t>30</w:t>
            </w:r>
            <w:r w:rsidR="00B80B46" w:rsidRPr="001A4B94">
              <w:rPr>
                <w:color w:val="000000"/>
                <w:sz w:val="16"/>
                <w:szCs w:val="16"/>
                <w:lang w:val="tr-TR"/>
              </w:rPr>
              <w:t>,</w:t>
            </w:r>
            <w:r w:rsidR="00C6764C" w:rsidRPr="001A4B94">
              <w:rPr>
                <w:color w:val="000000"/>
                <w:sz w:val="16"/>
                <w:szCs w:val="16"/>
                <w:lang w:val="tr-TR"/>
              </w:rPr>
              <w:t>4</w:t>
            </w:r>
          </w:p>
        </w:tc>
        <w:tc>
          <w:tcPr>
            <w:tcW w:w="699" w:type="dxa"/>
            <w:tcBorders>
              <w:top w:val="nil"/>
              <w:left w:val="nil"/>
              <w:bottom w:val="nil"/>
              <w:right w:val="nil"/>
            </w:tcBorders>
            <w:shd w:val="clear" w:color="FFFFFF" w:fill="FFFFFF"/>
            <w:noWrap/>
            <w:vAlign w:val="bottom"/>
            <w:hideMark/>
          </w:tcPr>
          <w:p w14:paraId="488950AE" w14:textId="579D6F27"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r>
      <w:tr w:rsidR="00747261" w:rsidRPr="001A4B94" w14:paraId="433BA32C" w14:textId="77777777" w:rsidTr="006A23B6">
        <w:trPr>
          <w:trHeight w:val="144"/>
        </w:trPr>
        <w:tc>
          <w:tcPr>
            <w:tcW w:w="1080" w:type="dxa"/>
            <w:tcBorders>
              <w:top w:val="nil"/>
              <w:left w:val="nil"/>
              <w:bottom w:val="nil"/>
              <w:right w:val="nil"/>
            </w:tcBorders>
            <w:shd w:val="clear" w:color="FFFFFF" w:fill="FFFFFF"/>
            <w:noWrap/>
            <w:vAlign w:val="bottom"/>
            <w:hideMark/>
          </w:tcPr>
          <w:p w14:paraId="42019BC0" w14:textId="77777777" w:rsidR="00747261" w:rsidRPr="001A4B94" w:rsidRDefault="00747261" w:rsidP="00747261">
            <w:pPr>
              <w:rPr>
                <w:color w:val="000000"/>
                <w:sz w:val="16"/>
                <w:szCs w:val="16"/>
                <w:lang w:val="tr-TR"/>
              </w:rPr>
            </w:pPr>
            <w:r w:rsidRPr="001A4B94">
              <w:rPr>
                <w:color w:val="000000"/>
                <w:sz w:val="16"/>
                <w:szCs w:val="16"/>
                <w:lang w:val="tr-TR"/>
              </w:rPr>
              <w:t>P122178</w:t>
            </w:r>
          </w:p>
        </w:tc>
        <w:tc>
          <w:tcPr>
            <w:tcW w:w="3510" w:type="dxa"/>
            <w:gridSpan w:val="2"/>
            <w:tcBorders>
              <w:top w:val="nil"/>
              <w:left w:val="nil"/>
              <w:bottom w:val="nil"/>
              <w:right w:val="nil"/>
            </w:tcBorders>
            <w:shd w:val="clear" w:color="FFFFFF" w:fill="FFFFFF"/>
            <w:noWrap/>
            <w:vAlign w:val="bottom"/>
            <w:hideMark/>
          </w:tcPr>
          <w:p w14:paraId="52C0EB37" w14:textId="1F76CA8F" w:rsidR="00747261" w:rsidRPr="001A4B94" w:rsidRDefault="0016261A" w:rsidP="00747261">
            <w:pPr>
              <w:rPr>
                <w:color w:val="000000"/>
                <w:sz w:val="16"/>
                <w:szCs w:val="16"/>
                <w:lang w:val="tr-TR"/>
              </w:rPr>
            </w:pPr>
            <w:r w:rsidRPr="001A4B94">
              <w:rPr>
                <w:color w:val="000000"/>
                <w:sz w:val="16"/>
                <w:szCs w:val="16"/>
                <w:lang w:val="tr-TR"/>
              </w:rPr>
              <w:t xml:space="preserve">Türkiye KOBİ Enerji Verimliliği </w:t>
            </w:r>
            <w:r w:rsidR="00747261" w:rsidRPr="001A4B94">
              <w:rPr>
                <w:color w:val="000000"/>
                <w:sz w:val="16"/>
                <w:szCs w:val="16"/>
                <w:lang w:val="tr-TR"/>
              </w:rPr>
              <w:t>Proje</w:t>
            </w:r>
            <w:r w:rsidRPr="001A4B94">
              <w:rPr>
                <w:color w:val="000000"/>
                <w:sz w:val="16"/>
                <w:szCs w:val="16"/>
                <w:lang w:val="tr-TR"/>
              </w:rPr>
              <w:t xml:space="preserve">si </w:t>
            </w:r>
            <w:r w:rsidR="00747261" w:rsidRPr="001A4B94">
              <w:rPr>
                <w:color w:val="000000"/>
                <w:sz w:val="16"/>
                <w:szCs w:val="16"/>
                <w:lang w:val="tr-TR"/>
              </w:rPr>
              <w:t>GEF</w:t>
            </w:r>
          </w:p>
        </w:tc>
        <w:tc>
          <w:tcPr>
            <w:tcW w:w="1350" w:type="dxa"/>
            <w:tcBorders>
              <w:top w:val="nil"/>
              <w:left w:val="nil"/>
              <w:bottom w:val="nil"/>
              <w:right w:val="nil"/>
            </w:tcBorders>
            <w:shd w:val="clear" w:color="FFFFFF" w:fill="FFFFFF"/>
            <w:noWrap/>
            <w:vAlign w:val="bottom"/>
            <w:hideMark/>
          </w:tcPr>
          <w:p w14:paraId="4E0C8E59" w14:textId="77777777" w:rsidR="00747261" w:rsidRPr="001A4B94" w:rsidRDefault="00747261" w:rsidP="00747261">
            <w:pPr>
              <w:jc w:val="center"/>
              <w:rPr>
                <w:color w:val="000000"/>
                <w:sz w:val="16"/>
                <w:szCs w:val="16"/>
                <w:lang w:val="tr-TR"/>
              </w:rPr>
            </w:pPr>
            <w:r w:rsidRPr="001A4B94">
              <w:rPr>
                <w:color w:val="000000"/>
                <w:sz w:val="16"/>
                <w:szCs w:val="16"/>
                <w:lang w:val="tr-TR"/>
              </w:rPr>
              <w:t>MS</w:t>
            </w:r>
          </w:p>
        </w:tc>
        <w:tc>
          <w:tcPr>
            <w:tcW w:w="1440" w:type="dxa"/>
            <w:gridSpan w:val="2"/>
            <w:tcBorders>
              <w:top w:val="nil"/>
              <w:left w:val="nil"/>
              <w:bottom w:val="nil"/>
              <w:right w:val="nil"/>
            </w:tcBorders>
            <w:shd w:val="clear" w:color="FFFFFF" w:fill="FFFFFF"/>
            <w:noWrap/>
            <w:vAlign w:val="bottom"/>
            <w:hideMark/>
          </w:tcPr>
          <w:p w14:paraId="52BDBF5A" w14:textId="77777777" w:rsidR="00747261" w:rsidRPr="001A4B94" w:rsidRDefault="00747261" w:rsidP="00747261">
            <w:pPr>
              <w:jc w:val="center"/>
              <w:rPr>
                <w:color w:val="000000"/>
                <w:sz w:val="16"/>
                <w:szCs w:val="16"/>
                <w:lang w:val="tr-TR"/>
              </w:rPr>
            </w:pPr>
            <w:r w:rsidRPr="001A4B94">
              <w:rPr>
                <w:color w:val="000000"/>
                <w:sz w:val="16"/>
                <w:szCs w:val="16"/>
                <w:lang w:val="tr-TR"/>
              </w:rPr>
              <w:t>MU</w:t>
            </w:r>
          </w:p>
        </w:tc>
        <w:tc>
          <w:tcPr>
            <w:tcW w:w="990" w:type="dxa"/>
            <w:tcBorders>
              <w:top w:val="nil"/>
              <w:left w:val="nil"/>
              <w:bottom w:val="nil"/>
              <w:right w:val="nil"/>
            </w:tcBorders>
            <w:shd w:val="clear" w:color="FFFFFF" w:fill="FFFFFF"/>
            <w:noWrap/>
            <w:vAlign w:val="bottom"/>
            <w:hideMark/>
          </w:tcPr>
          <w:p w14:paraId="5462C36D" w14:textId="77777777" w:rsidR="00747261" w:rsidRPr="001A4B94" w:rsidRDefault="00747261" w:rsidP="00747261">
            <w:pPr>
              <w:jc w:val="center"/>
              <w:rPr>
                <w:color w:val="000000"/>
                <w:sz w:val="16"/>
                <w:szCs w:val="16"/>
                <w:lang w:val="tr-TR"/>
              </w:rPr>
            </w:pPr>
            <w:r w:rsidRPr="001A4B94">
              <w:rPr>
                <w:color w:val="000000"/>
                <w:sz w:val="16"/>
                <w:szCs w:val="16"/>
                <w:lang w:val="tr-TR"/>
              </w:rPr>
              <w:t>2013</w:t>
            </w:r>
          </w:p>
        </w:tc>
        <w:tc>
          <w:tcPr>
            <w:tcW w:w="810" w:type="dxa"/>
            <w:tcBorders>
              <w:top w:val="nil"/>
              <w:left w:val="nil"/>
              <w:bottom w:val="nil"/>
              <w:right w:val="nil"/>
            </w:tcBorders>
            <w:shd w:val="clear" w:color="FFFFFF" w:fill="FFFFFF"/>
            <w:noWrap/>
            <w:vAlign w:val="bottom"/>
            <w:hideMark/>
          </w:tcPr>
          <w:p w14:paraId="6BEFFD5E" w14:textId="1250BBAC" w:rsidR="00747261" w:rsidRPr="001A4B94" w:rsidRDefault="00747261" w:rsidP="00747261">
            <w:pPr>
              <w:jc w:val="right"/>
              <w:rPr>
                <w:color w:val="000000"/>
                <w:sz w:val="16"/>
                <w:szCs w:val="16"/>
                <w:lang w:val="tr-TR"/>
              </w:rPr>
            </w:pPr>
            <w:r w:rsidRPr="001A4B94">
              <w:rPr>
                <w:color w:val="000000"/>
                <w:sz w:val="16"/>
                <w:szCs w:val="16"/>
                <w:lang w:val="tr-TR"/>
              </w:rPr>
              <w:t>201</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70D7F801" w14:textId="2EB035BF"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28523E1E" w14:textId="77777777" w:rsidR="00747261" w:rsidRPr="001A4B94" w:rsidRDefault="00747261" w:rsidP="00747261">
            <w:pPr>
              <w:jc w:val="right"/>
              <w:rPr>
                <w:color w:val="000000"/>
                <w:sz w:val="16"/>
                <w:szCs w:val="16"/>
                <w:lang w:val="tr-TR"/>
              </w:rPr>
            </w:pPr>
            <w:r w:rsidRPr="001A4B94">
              <w:rPr>
                <w:color w:val="000000"/>
                <w:sz w:val="16"/>
                <w:szCs w:val="16"/>
                <w:lang w:val="tr-TR"/>
              </w:rPr>
              <w:t> </w:t>
            </w:r>
          </w:p>
        </w:tc>
        <w:tc>
          <w:tcPr>
            <w:tcW w:w="888" w:type="dxa"/>
            <w:tcBorders>
              <w:top w:val="nil"/>
              <w:left w:val="nil"/>
              <w:bottom w:val="nil"/>
              <w:right w:val="nil"/>
            </w:tcBorders>
            <w:shd w:val="clear" w:color="FFFFFF" w:fill="FFFFFF"/>
            <w:noWrap/>
            <w:vAlign w:val="bottom"/>
            <w:hideMark/>
          </w:tcPr>
          <w:p w14:paraId="7625D332" w14:textId="6B189A6E"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24241E40" w14:textId="799065E2" w:rsidR="00747261" w:rsidRPr="001A4B94" w:rsidRDefault="00747261" w:rsidP="00747261">
            <w:pPr>
              <w:jc w:val="right"/>
              <w:rPr>
                <w:color w:val="000000"/>
                <w:sz w:val="16"/>
                <w:szCs w:val="16"/>
                <w:lang w:val="tr-TR"/>
              </w:rPr>
            </w:pPr>
            <w:r w:rsidRPr="001A4B94">
              <w:rPr>
                <w:color w:val="000000"/>
                <w:sz w:val="16"/>
                <w:szCs w:val="16"/>
                <w:lang w:val="tr-TR"/>
              </w:rPr>
              <w:t>1</w:t>
            </w:r>
            <w:r w:rsidR="00E573D3" w:rsidRPr="001A4B94">
              <w:rPr>
                <w:color w:val="000000"/>
                <w:sz w:val="16"/>
                <w:szCs w:val="16"/>
                <w:lang w:val="tr-TR"/>
              </w:rPr>
              <w:t>05</w:t>
            </w:r>
            <w:r w:rsidR="00B80B46" w:rsidRPr="001A4B94">
              <w:rPr>
                <w:color w:val="000000"/>
                <w:sz w:val="16"/>
                <w:szCs w:val="16"/>
                <w:lang w:val="tr-TR"/>
              </w:rPr>
              <w:t>,</w:t>
            </w:r>
            <w:r w:rsidR="00E573D3" w:rsidRPr="001A4B94">
              <w:rPr>
                <w:color w:val="000000"/>
                <w:sz w:val="16"/>
                <w:szCs w:val="16"/>
                <w:lang w:val="tr-TR"/>
              </w:rPr>
              <w:t>9</w:t>
            </w:r>
          </w:p>
        </w:tc>
        <w:tc>
          <w:tcPr>
            <w:tcW w:w="800" w:type="dxa"/>
            <w:tcBorders>
              <w:top w:val="nil"/>
              <w:left w:val="nil"/>
              <w:bottom w:val="nil"/>
              <w:right w:val="nil"/>
            </w:tcBorders>
            <w:shd w:val="clear" w:color="FFFFFF" w:fill="FFFFFF"/>
            <w:noWrap/>
            <w:vAlign w:val="bottom"/>
            <w:hideMark/>
          </w:tcPr>
          <w:p w14:paraId="18A9451C" w14:textId="572BDEB5"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699" w:type="dxa"/>
            <w:tcBorders>
              <w:top w:val="nil"/>
              <w:left w:val="nil"/>
              <w:bottom w:val="nil"/>
              <w:right w:val="nil"/>
            </w:tcBorders>
            <w:shd w:val="clear" w:color="FFFFFF" w:fill="FFFFFF"/>
            <w:noWrap/>
            <w:vAlign w:val="bottom"/>
            <w:hideMark/>
          </w:tcPr>
          <w:p w14:paraId="30CCFE11" w14:textId="5E3878EA" w:rsidR="00747261" w:rsidRPr="001A4B94" w:rsidRDefault="00747261" w:rsidP="00747261">
            <w:pPr>
              <w:jc w:val="right"/>
              <w:rPr>
                <w:color w:val="000000"/>
                <w:sz w:val="16"/>
                <w:szCs w:val="16"/>
                <w:lang w:val="tr-TR"/>
              </w:rPr>
            </w:pPr>
            <w:r w:rsidRPr="001A4B94">
              <w:rPr>
                <w:color w:val="000000"/>
                <w:sz w:val="16"/>
                <w:szCs w:val="16"/>
                <w:lang w:val="tr-TR"/>
              </w:rPr>
              <w:t>61</w:t>
            </w:r>
            <w:r w:rsidR="00B80B46" w:rsidRPr="001A4B94">
              <w:rPr>
                <w:color w:val="000000"/>
                <w:sz w:val="16"/>
                <w:szCs w:val="16"/>
                <w:lang w:val="tr-TR"/>
              </w:rPr>
              <w:t>,</w:t>
            </w:r>
            <w:r w:rsidR="00C6764C" w:rsidRPr="001A4B94">
              <w:rPr>
                <w:color w:val="000000"/>
                <w:sz w:val="16"/>
                <w:szCs w:val="16"/>
                <w:lang w:val="tr-TR"/>
              </w:rPr>
              <w:t>7</w:t>
            </w:r>
          </w:p>
        </w:tc>
      </w:tr>
      <w:tr w:rsidR="00747261" w:rsidRPr="001A4B94" w14:paraId="3CF919B5" w14:textId="77777777" w:rsidTr="006A23B6">
        <w:trPr>
          <w:trHeight w:val="144"/>
        </w:trPr>
        <w:tc>
          <w:tcPr>
            <w:tcW w:w="1080" w:type="dxa"/>
            <w:tcBorders>
              <w:top w:val="nil"/>
              <w:left w:val="nil"/>
              <w:bottom w:val="nil"/>
              <w:right w:val="nil"/>
            </w:tcBorders>
            <w:shd w:val="clear" w:color="FFFFFF" w:fill="FFFFFF"/>
            <w:noWrap/>
            <w:vAlign w:val="bottom"/>
            <w:hideMark/>
          </w:tcPr>
          <w:p w14:paraId="61EFB662" w14:textId="77777777" w:rsidR="00747261" w:rsidRPr="001A4B94" w:rsidRDefault="00747261" w:rsidP="00747261">
            <w:pPr>
              <w:rPr>
                <w:color w:val="000000"/>
                <w:sz w:val="16"/>
                <w:szCs w:val="16"/>
                <w:lang w:val="tr-TR"/>
              </w:rPr>
            </w:pPr>
            <w:r w:rsidRPr="001A4B94">
              <w:rPr>
                <w:color w:val="000000"/>
                <w:sz w:val="16"/>
                <w:szCs w:val="16"/>
                <w:lang w:val="tr-TR"/>
              </w:rPr>
              <w:t>P132189</w:t>
            </w:r>
          </w:p>
        </w:tc>
        <w:tc>
          <w:tcPr>
            <w:tcW w:w="3510" w:type="dxa"/>
            <w:gridSpan w:val="2"/>
            <w:tcBorders>
              <w:top w:val="nil"/>
              <w:left w:val="nil"/>
              <w:bottom w:val="nil"/>
              <w:right w:val="nil"/>
            </w:tcBorders>
            <w:shd w:val="clear" w:color="FFFFFF" w:fill="FFFFFF"/>
            <w:noWrap/>
            <w:vAlign w:val="bottom"/>
            <w:hideMark/>
          </w:tcPr>
          <w:p w14:paraId="4434C0EB" w14:textId="44077634" w:rsidR="00747261" w:rsidRPr="001A4B94" w:rsidRDefault="0016261A" w:rsidP="00747261">
            <w:pPr>
              <w:rPr>
                <w:color w:val="000000"/>
                <w:sz w:val="16"/>
                <w:szCs w:val="16"/>
                <w:lang w:val="tr-TR"/>
              </w:rPr>
            </w:pPr>
            <w:r w:rsidRPr="001A4B94">
              <w:rPr>
                <w:color w:val="000000"/>
                <w:sz w:val="16"/>
                <w:szCs w:val="16"/>
                <w:lang w:val="tr-TR"/>
              </w:rPr>
              <w:t xml:space="preserve">Türkiye KOBİ Enerji Verimliliği Projesi </w:t>
            </w:r>
            <w:r w:rsidR="00747261" w:rsidRPr="001A4B94">
              <w:rPr>
                <w:color w:val="000000"/>
                <w:sz w:val="16"/>
                <w:szCs w:val="16"/>
                <w:lang w:val="tr-TR"/>
              </w:rPr>
              <w:t>GEF</w:t>
            </w:r>
          </w:p>
        </w:tc>
        <w:tc>
          <w:tcPr>
            <w:tcW w:w="1350" w:type="dxa"/>
            <w:tcBorders>
              <w:top w:val="nil"/>
              <w:left w:val="nil"/>
              <w:bottom w:val="nil"/>
              <w:right w:val="nil"/>
            </w:tcBorders>
            <w:shd w:val="clear" w:color="FFFFFF" w:fill="FFFFFF"/>
            <w:noWrap/>
            <w:vAlign w:val="bottom"/>
            <w:hideMark/>
          </w:tcPr>
          <w:p w14:paraId="36D9BFC1" w14:textId="77777777" w:rsidR="00747261" w:rsidRPr="001A4B94" w:rsidRDefault="00747261" w:rsidP="00747261">
            <w:pPr>
              <w:jc w:val="center"/>
              <w:rPr>
                <w:color w:val="000000"/>
                <w:sz w:val="16"/>
                <w:szCs w:val="16"/>
                <w:lang w:val="tr-TR"/>
              </w:rPr>
            </w:pPr>
            <w:r w:rsidRPr="001A4B94">
              <w:rPr>
                <w:color w:val="000000"/>
                <w:sz w:val="16"/>
                <w:szCs w:val="16"/>
                <w:lang w:val="tr-TR"/>
              </w:rPr>
              <w:t>MS</w:t>
            </w:r>
          </w:p>
        </w:tc>
        <w:tc>
          <w:tcPr>
            <w:tcW w:w="1440" w:type="dxa"/>
            <w:gridSpan w:val="2"/>
            <w:tcBorders>
              <w:top w:val="nil"/>
              <w:left w:val="nil"/>
              <w:bottom w:val="nil"/>
              <w:right w:val="nil"/>
            </w:tcBorders>
            <w:shd w:val="clear" w:color="FFFFFF" w:fill="FFFFFF"/>
            <w:noWrap/>
            <w:vAlign w:val="bottom"/>
            <w:hideMark/>
          </w:tcPr>
          <w:p w14:paraId="5A9E146C" w14:textId="77777777" w:rsidR="00747261" w:rsidRPr="001A4B94" w:rsidRDefault="00747261" w:rsidP="00747261">
            <w:pPr>
              <w:jc w:val="center"/>
              <w:rPr>
                <w:color w:val="000000"/>
                <w:sz w:val="16"/>
                <w:szCs w:val="16"/>
                <w:lang w:val="tr-TR"/>
              </w:rPr>
            </w:pPr>
            <w:r w:rsidRPr="001A4B94">
              <w:rPr>
                <w:color w:val="000000"/>
                <w:sz w:val="16"/>
                <w:szCs w:val="16"/>
                <w:lang w:val="tr-TR"/>
              </w:rPr>
              <w:t>MU</w:t>
            </w:r>
          </w:p>
        </w:tc>
        <w:tc>
          <w:tcPr>
            <w:tcW w:w="990" w:type="dxa"/>
            <w:tcBorders>
              <w:top w:val="nil"/>
              <w:left w:val="nil"/>
              <w:bottom w:val="nil"/>
              <w:right w:val="nil"/>
            </w:tcBorders>
            <w:shd w:val="clear" w:color="FFFFFF" w:fill="FFFFFF"/>
            <w:noWrap/>
            <w:vAlign w:val="bottom"/>
            <w:hideMark/>
          </w:tcPr>
          <w:p w14:paraId="7D824DBF" w14:textId="77777777" w:rsidR="00747261" w:rsidRPr="001A4B94" w:rsidRDefault="00747261" w:rsidP="00747261">
            <w:pPr>
              <w:jc w:val="center"/>
              <w:rPr>
                <w:color w:val="000000"/>
                <w:sz w:val="16"/>
                <w:szCs w:val="16"/>
                <w:lang w:val="tr-TR"/>
              </w:rPr>
            </w:pPr>
            <w:r w:rsidRPr="001A4B94">
              <w:rPr>
                <w:color w:val="000000"/>
                <w:sz w:val="16"/>
                <w:szCs w:val="16"/>
                <w:lang w:val="tr-TR"/>
              </w:rPr>
              <w:t>2013</w:t>
            </w:r>
          </w:p>
        </w:tc>
        <w:tc>
          <w:tcPr>
            <w:tcW w:w="810" w:type="dxa"/>
            <w:tcBorders>
              <w:top w:val="nil"/>
              <w:left w:val="nil"/>
              <w:bottom w:val="nil"/>
              <w:right w:val="nil"/>
            </w:tcBorders>
            <w:shd w:val="clear" w:color="FFFFFF" w:fill="FFFFFF"/>
            <w:noWrap/>
            <w:vAlign w:val="bottom"/>
            <w:hideMark/>
          </w:tcPr>
          <w:p w14:paraId="0AED826A" w14:textId="4E394E3B"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540" w:type="dxa"/>
            <w:tcBorders>
              <w:top w:val="nil"/>
              <w:left w:val="nil"/>
              <w:bottom w:val="nil"/>
              <w:right w:val="nil"/>
            </w:tcBorders>
            <w:shd w:val="clear" w:color="FFFFFF" w:fill="FFFFFF"/>
            <w:noWrap/>
            <w:vAlign w:val="bottom"/>
            <w:hideMark/>
          </w:tcPr>
          <w:p w14:paraId="54B0D0E2" w14:textId="18D25793"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732" w:type="dxa"/>
            <w:tcBorders>
              <w:top w:val="nil"/>
              <w:left w:val="nil"/>
              <w:bottom w:val="nil"/>
              <w:right w:val="nil"/>
            </w:tcBorders>
            <w:shd w:val="clear" w:color="FFFFFF" w:fill="FFFFFF"/>
            <w:noWrap/>
            <w:vAlign w:val="bottom"/>
            <w:hideMark/>
          </w:tcPr>
          <w:p w14:paraId="1E4A46AB" w14:textId="508CB61B" w:rsidR="00747261" w:rsidRPr="001A4B94" w:rsidRDefault="00747261" w:rsidP="00747261">
            <w:pPr>
              <w:jc w:val="right"/>
              <w:rPr>
                <w:color w:val="000000"/>
                <w:sz w:val="16"/>
                <w:szCs w:val="16"/>
                <w:lang w:val="tr-TR"/>
              </w:rPr>
            </w:pPr>
            <w:r w:rsidRPr="001A4B94">
              <w:rPr>
                <w:color w:val="000000"/>
                <w:sz w:val="16"/>
                <w:szCs w:val="16"/>
                <w:lang w:val="tr-TR"/>
              </w:rPr>
              <w:t>3</w:t>
            </w:r>
            <w:r w:rsidR="00B80B46" w:rsidRPr="001A4B94">
              <w:rPr>
                <w:color w:val="000000"/>
                <w:sz w:val="16"/>
                <w:szCs w:val="16"/>
                <w:lang w:val="tr-TR"/>
              </w:rPr>
              <w:t>,</w:t>
            </w:r>
            <w:r w:rsidRPr="001A4B94">
              <w:rPr>
                <w:color w:val="000000"/>
                <w:sz w:val="16"/>
                <w:szCs w:val="16"/>
                <w:lang w:val="tr-TR"/>
              </w:rPr>
              <w:t>6</w:t>
            </w:r>
          </w:p>
        </w:tc>
        <w:tc>
          <w:tcPr>
            <w:tcW w:w="888" w:type="dxa"/>
            <w:tcBorders>
              <w:top w:val="nil"/>
              <w:left w:val="nil"/>
              <w:bottom w:val="nil"/>
              <w:right w:val="nil"/>
            </w:tcBorders>
            <w:shd w:val="clear" w:color="FFFFFF" w:fill="FFFFFF"/>
            <w:noWrap/>
            <w:vAlign w:val="bottom"/>
            <w:hideMark/>
          </w:tcPr>
          <w:p w14:paraId="2285DC6C" w14:textId="5DD4E0D4"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876" w:type="dxa"/>
            <w:tcBorders>
              <w:top w:val="nil"/>
              <w:left w:val="nil"/>
              <w:bottom w:val="nil"/>
              <w:right w:val="nil"/>
            </w:tcBorders>
            <w:shd w:val="clear" w:color="FFFFFF" w:fill="FFFFFF"/>
            <w:noWrap/>
            <w:vAlign w:val="bottom"/>
            <w:hideMark/>
          </w:tcPr>
          <w:p w14:paraId="0465EDF6" w14:textId="109FBA9F" w:rsidR="00747261" w:rsidRPr="001A4B94" w:rsidRDefault="00747261" w:rsidP="00747261">
            <w:pPr>
              <w:jc w:val="right"/>
              <w:rPr>
                <w:color w:val="000000"/>
                <w:sz w:val="16"/>
                <w:szCs w:val="16"/>
                <w:lang w:val="tr-TR"/>
              </w:rPr>
            </w:pPr>
            <w:r w:rsidRPr="001A4B94">
              <w:rPr>
                <w:color w:val="000000"/>
                <w:sz w:val="16"/>
                <w:szCs w:val="16"/>
                <w:lang w:val="tr-TR"/>
              </w:rPr>
              <w:t>2</w:t>
            </w:r>
            <w:r w:rsidR="00B80B46" w:rsidRPr="001A4B94">
              <w:rPr>
                <w:color w:val="000000"/>
                <w:sz w:val="16"/>
                <w:szCs w:val="16"/>
                <w:lang w:val="tr-TR"/>
              </w:rPr>
              <w:t>,</w:t>
            </w:r>
            <w:r w:rsidR="00E573D3" w:rsidRPr="001A4B94">
              <w:rPr>
                <w:color w:val="000000"/>
                <w:sz w:val="16"/>
                <w:szCs w:val="16"/>
                <w:lang w:val="tr-TR"/>
              </w:rPr>
              <w:t>4</w:t>
            </w:r>
          </w:p>
        </w:tc>
        <w:tc>
          <w:tcPr>
            <w:tcW w:w="800" w:type="dxa"/>
            <w:tcBorders>
              <w:top w:val="nil"/>
              <w:left w:val="nil"/>
              <w:bottom w:val="nil"/>
              <w:right w:val="nil"/>
            </w:tcBorders>
            <w:shd w:val="clear" w:color="FFFFFF" w:fill="FFFFFF"/>
            <w:noWrap/>
            <w:vAlign w:val="bottom"/>
            <w:hideMark/>
          </w:tcPr>
          <w:p w14:paraId="556697DC" w14:textId="2242B4CB"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c>
          <w:tcPr>
            <w:tcW w:w="699" w:type="dxa"/>
            <w:tcBorders>
              <w:top w:val="nil"/>
              <w:left w:val="nil"/>
              <w:bottom w:val="nil"/>
              <w:right w:val="nil"/>
            </w:tcBorders>
            <w:shd w:val="clear" w:color="FFFFFF" w:fill="FFFFFF"/>
            <w:noWrap/>
            <w:vAlign w:val="bottom"/>
            <w:hideMark/>
          </w:tcPr>
          <w:p w14:paraId="5BDCB42D" w14:textId="531B422D" w:rsidR="00747261" w:rsidRPr="001A4B94" w:rsidRDefault="00747261" w:rsidP="00747261">
            <w:pPr>
              <w:jc w:val="right"/>
              <w:rPr>
                <w:color w:val="000000"/>
                <w:sz w:val="16"/>
                <w:szCs w:val="16"/>
                <w:lang w:val="tr-TR"/>
              </w:rPr>
            </w:pPr>
            <w:r w:rsidRPr="001A4B94">
              <w:rPr>
                <w:color w:val="000000"/>
                <w:sz w:val="16"/>
                <w:szCs w:val="16"/>
                <w:lang w:val="tr-TR"/>
              </w:rPr>
              <w:t>0</w:t>
            </w:r>
            <w:r w:rsidR="00B80B46" w:rsidRPr="001A4B94">
              <w:rPr>
                <w:color w:val="000000"/>
                <w:sz w:val="16"/>
                <w:szCs w:val="16"/>
                <w:lang w:val="tr-TR"/>
              </w:rPr>
              <w:t>,</w:t>
            </w:r>
            <w:r w:rsidRPr="001A4B94">
              <w:rPr>
                <w:color w:val="000000"/>
                <w:sz w:val="16"/>
                <w:szCs w:val="16"/>
                <w:lang w:val="tr-TR"/>
              </w:rPr>
              <w:t>0</w:t>
            </w:r>
          </w:p>
        </w:tc>
      </w:tr>
      <w:tr w:rsidR="00747261" w:rsidRPr="001A4B94" w14:paraId="0998C5F4" w14:textId="77777777" w:rsidTr="006A23B6">
        <w:trPr>
          <w:trHeight w:val="323"/>
        </w:trPr>
        <w:tc>
          <w:tcPr>
            <w:tcW w:w="4590" w:type="dxa"/>
            <w:gridSpan w:val="3"/>
            <w:tcBorders>
              <w:top w:val="single" w:sz="4" w:space="0" w:color="000000"/>
              <w:left w:val="nil"/>
              <w:bottom w:val="single" w:sz="4" w:space="0" w:color="000000"/>
              <w:right w:val="nil"/>
            </w:tcBorders>
            <w:shd w:val="clear" w:color="FFFFFF" w:fill="FFFFFF"/>
            <w:noWrap/>
            <w:vAlign w:val="bottom"/>
            <w:hideMark/>
          </w:tcPr>
          <w:p w14:paraId="3B5C1C28" w14:textId="24C57D57" w:rsidR="00747261" w:rsidRPr="001A4B94" w:rsidRDefault="00B80B46" w:rsidP="00747261">
            <w:pPr>
              <w:rPr>
                <w:b/>
                <w:lang w:val="tr-TR"/>
              </w:rPr>
            </w:pPr>
            <w:r w:rsidRPr="001A4B94">
              <w:rPr>
                <w:rFonts w:ascii="Arial" w:hAnsi="Arial" w:cs="Arial"/>
                <w:b/>
                <w:color w:val="000000"/>
                <w:sz w:val="14"/>
                <w:szCs w:val="14"/>
                <w:lang w:val="tr-TR"/>
              </w:rPr>
              <w:t>Genel Sonuç</w:t>
            </w:r>
          </w:p>
        </w:tc>
        <w:tc>
          <w:tcPr>
            <w:tcW w:w="1350" w:type="dxa"/>
            <w:tcBorders>
              <w:top w:val="single" w:sz="4" w:space="0" w:color="000000"/>
              <w:left w:val="nil"/>
              <w:bottom w:val="single" w:sz="4" w:space="0" w:color="000000"/>
              <w:right w:val="nil"/>
            </w:tcBorders>
            <w:shd w:val="clear" w:color="FFFFFF" w:fill="FFFFFF"/>
            <w:noWrap/>
            <w:vAlign w:val="center"/>
            <w:hideMark/>
          </w:tcPr>
          <w:p w14:paraId="57B0F77B" w14:textId="77777777" w:rsidR="00747261" w:rsidRPr="001A4B94" w:rsidRDefault="00747261" w:rsidP="00747261">
            <w:pPr>
              <w:rPr>
                <w:b/>
                <w:bCs/>
                <w:color w:val="333333"/>
                <w:sz w:val="16"/>
                <w:szCs w:val="16"/>
                <w:lang w:val="tr-TR"/>
              </w:rPr>
            </w:pPr>
            <w:r w:rsidRPr="001A4B94">
              <w:rPr>
                <w:b/>
                <w:bCs/>
                <w:color w:val="333333"/>
                <w:sz w:val="16"/>
                <w:szCs w:val="16"/>
                <w:lang w:val="tr-TR"/>
              </w:rPr>
              <w:t> </w:t>
            </w:r>
          </w:p>
        </w:tc>
        <w:tc>
          <w:tcPr>
            <w:tcW w:w="1440" w:type="dxa"/>
            <w:gridSpan w:val="2"/>
            <w:tcBorders>
              <w:top w:val="single" w:sz="4" w:space="0" w:color="000000"/>
              <w:left w:val="nil"/>
              <w:bottom w:val="single" w:sz="4" w:space="0" w:color="000000"/>
              <w:right w:val="nil"/>
            </w:tcBorders>
            <w:shd w:val="clear" w:color="FFFFFF" w:fill="FFFFFF"/>
            <w:noWrap/>
            <w:vAlign w:val="center"/>
            <w:hideMark/>
          </w:tcPr>
          <w:p w14:paraId="3B13186E" w14:textId="77777777" w:rsidR="00747261" w:rsidRPr="001A4B94" w:rsidRDefault="00747261" w:rsidP="00747261">
            <w:pPr>
              <w:rPr>
                <w:b/>
                <w:bCs/>
                <w:color w:val="333333"/>
                <w:sz w:val="16"/>
                <w:szCs w:val="16"/>
                <w:lang w:val="tr-TR"/>
              </w:rPr>
            </w:pPr>
            <w:r w:rsidRPr="001A4B94">
              <w:rPr>
                <w:b/>
                <w:bCs/>
                <w:color w:val="333333"/>
                <w:sz w:val="16"/>
                <w:szCs w:val="16"/>
                <w:lang w:val="tr-TR"/>
              </w:rPr>
              <w:t> </w:t>
            </w:r>
          </w:p>
        </w:tc>
        <w:tc>
          <w:tcPr>
            <w:tcW w:w="990" w:type="dxa"/>
            <w:tcBorders>
              <w:top w:val="single" w:sz="4" w:space="0" w:color="000000"/>
              <w:left w:val="nil"/>
              <w:bottom w:val="single" w:sz="4" w:space="0" w:color="000000"/>
              <w:right w:val="nil"/>
            </w:tcBorders>
            <w:shd w:val="clear" w:color="FFFFFF" w:fill="FFFFFF"/>
            <w:noWrap/>
            <w:vAlign w:val="center"/>
            <w:hideMark/>
          </w:tcPr>
          <w:p w14:paraId="669CF945" w14:textId="77777777" w:rsidR="00747261" w:rsidRPr="001A4B94" w:rsidRDefault="00747261" w:rsidP="00747261">
            <w:pPr>
              <w:rPr>
                <w:b/>
                <w:bCs/>
                <w:color w:val="333333"/>
                <w:sz w:val="16"/>
                <w:szCs w:val="16"/>
                <w:lang w:val="tr-TR"/>
              </w:rPr>
            </w:pPr>
            <w:r w:rsidRPr="001A4B94">
              <w:rPr>
                <w:b/>
                <w:bCs/>
                <w:color w:val="333333"/>
                <w:sz w:val="16"/>
                <w:szCs w:val="16"/>
                <w:lang w:val="tr-TR"/>
              </w:rPr>
              <w:t> </w:t>
            </w:r>
          </w:p>
        </w:tc>
        <w:tc>
          <w:tcPr>
            <w:tcW w:w="810" w:type="dxa"/>
            <w:tcBorders>
              <w:top w:val="single" w:sz="4" w:space="0" w:color="000000"/>
              <w:left w:val="nil"/>
              <w:bottom w:val="single" w:sz="4" w:space="0" w:color="000000"/>
              <w:right w:val="nil"/>
            </w:tcBorders>
            <w:shd w:val="clear" w:color="FFFFFF" w:fill="FFFFFF"/>
            <w:noWrap/>
            <w:vAlign w:val="bottom"/>
            <w:hideMark/>
          </w:tcPr>
          <w:p w14:paraId="2F13A695" w14:textId="09B9349C" w:rsidR="00747261" w:rsidRPr="001A4B94" w:rsidRDefault="00747261" w:rsidP="00747261">
            <w:pPr>
              <w:jc w:val="right"/>
              <w:rPr>
                <w:b/>
                <w:bCs/>
                <w:color w:val="000000"/>
                <w:sz w:val="16"/>
                <w:szCs w:val="16"/>
                <w:lang w:val="tr-TR"/>
              </w:rPr>
            </w:pPr>
            <w:r w:rsidRPr="001A4B94">
              <w:rPr>
                <w:b/>
                <w:bCs/>
                <w:color w:val="000000"/>
                <w:sz w:val="16"/>
                <w:szCs w:val="16"/>
                <w:lang w:val="tr-TR"/>
              </w:rPr>
              <w:t>3</w:t>
            </w:r>
            <w:r w:rsidR="00B80B46" w:rsidRPr="001A4B94">
              <w:rPr>
                <w:b/>
                <w:bCs/>
                <w:color w:val="000000"/>
                <w:sz w:val="16"/>
                <w:szCs w:val="16"/>
                <w:lang w:val="tr-TR"/>
              </w:rPr>
              <w:t>,</w:t>
            </w:r>
            <w:r w:rsidRPr="001A4B94">
              <w:rPr>
                <w:b/>
                <w:bCs/>
                <w:color w:val="000000"/>
                <w:sz w:val="16"/>
                <w:szCs w:val="16"/>
                <w:lang w:val="tr-TR"/>
              </w:rPr>
              <w:t>086</w:t>
            </w:r>
            <w:r w:rsidR="00B80B46" w:rsidRPr="001A4B94">
              <w:rPr>
                <w:b/>
                <w:bCs/>
                <w:color w:val="000000"/>
                <w:sz w:val="16"/>
                <w:szCs w:val="16"/>
                <w:lang w:val="tr-TR"/>
              </w:rPr>
              <w:t>,</w:t>
            </w:r>
            <w:r w:rsidRPr="001A4B94">
              <w:rPr>
                <w:b/>
                <w:bCs/>
                <w:color w:val="000000"/>
                <w:sz w:val="16"/>
                <w:szCs w:val="16"/>
                <w:lang w:val="tr-TR"/>
              </w:rPr>
              <w:t>7</w:t>
            </w:r>
          </w:p>
        </w:tc>
        <w:tc>
          <w:tcPr>
            <w:tcW w:w="540" w:type="dxa"/>
            <w:tcBorders>
              <w:top w:val="single" w:sz="4" w:space="0" w:color="000000"/>
              <w:left w:val="nil"/>
              <w:bottom w:val="single" w:sz="4" w:space="0" w:color="000000"/>
              <w:right w:val="nil"/>
            </w:tcBorders>
            <w:shd w:val="clear" w:color="FFFFFF" w:fill="FFFFFF"/>
            <w:noWrap/>
            <w:vAlign w:val="bottom"/>
            <w:hideMark/>
          </w:tcPr>
          <w:p w14:paraId="1FEA65CB" w14:textId="125AD675" w:rsidR="00747261" w:rsidRPr="001A4B94" w:rsidRDefault="00B80B46" w:rsidP="00747261">
            <w:pPr>
              <w:jc w:val="right"/>
              <w:rPr>
                <w:b/>
                <w:bCs/>
                <w:color w:val="000000"/>
                <w:sz w:val="16"/>
                <w:szCs w:val="16"/>
                <w:lang w:val="tr-TR"/>
              </w:rPr>
            </w:pPr>
            <w:r w:rsidRPr="001A4B94">
              <w:rPr>
                <w:b/>
                <w:bCs/>
                <w:color w:val="000000"/>
                <w:sz w:val="16"/>
                <w:szCs w:val="16"/>
                <w:lang w:val="tr-TR"/>
              </w:rPr>
              <w:t>0,</w:t>
            </w:r>
            <w:r w:rsidR="00747261" w:rsidRPr="001A4B94">
              <w:rPr>
                <w:b/>
                <w:bCs/>
                <w:color w:val="000000"/>
                <w:sz w:val="16"/>
                <w:szCs w:val="16"/>
                <w:lang w:val="tr-TR"/>
              </w:rPr>
              <w:t>0</w:t>
            </w:r>
          </w:p>
        </w:tc>
        <w:tc>
          <w:tcPr>
            <w:tcW w:w="732" w:type="dxa"/>
            <w:tcBorders>
              <w:top w:val="single" w:sz="4" w:space="0" w:color="000000"/>
              <w:left w:val="nil"/>
              <w:bottom w:val="single" w:sz="4" w:space="0" w:color="000000"/>
              <w:right w:val="nil"/>
            </w:tcBorders>
            <w:shd w:val="clear" w:color="FFFFFF" w:fill="FFFFFF"/>
            <w:noWrap/>
            <w:vAlign w:val="bottom"/>
            <w:hideMark/>
          </w:tcPr>
          <w:p w14:paraId="7E4FD10B" w14:textId="5AD051A3" w:rsidR="00747261" w:rsidRPr="001A4B94" w:rsidRDefault="00747261" w:rsidP="00747261">
            <w:pPr>
              <w:jc w:val="right"/>
              <w:rPr>
                <w:b/>
                <w:bCs/>
                <w:color w:val="000000"/>
                <w:sz w:val="16"/>
                <w:szCs w:val="16"/>
                <w:lang w:val="tr-TR"/>
              </w:rPr>
            </w:pPr>
            <w:r w:rsidRPr="001A4B94">
              <w:rPr>
                <w:b/>
                <w:bCs/>
                <w:color w:val="000000"/>
                <w:sz w:val="16"/>
                <w:szCs w:val="16"/>
                <w:lang w:val="tr-TR"/>
              </w:rPr>
              <w:t>3</w:t>
            </w:r>
            <w:r w:rsidR="00B80B46" w:rsidRPr="001A4B94">
              <w:rPr>
                <w:b/>
                <w:bCs/>
                <w:color w:val="000000"/>
                <w:sz w:val="16"/>
                <w:szCs w:val="16"/>
                <w:lang w:val="tr-TR"/>
              </w:rPr>
              <w:t>,</w:t>
            </w:r>
            <w:r w:rsidRPr="001A4B94">
              <w:rPr>
                <w:b/>
                <w:bCs/>
                <w:color w:val="000000"/>
                <w:sz w:val="16"/>
                <w:szCs w:val="16"/>
                <w:lang w:val="tr-TR"/>
              </w:rPr>
              <w:t>6</w:t>
            </w:r>
          </w:p>
        </w:tc>
        <w:tc>
          <w:tcPr>
            <w:tcW w:w="888" w:type="dxa"/>
            <w:tcBorders>
              <w:top w:val="single" w:sz="4" w:space="0" w:color="000000"/>
              <w:left w:val="nil"/>
              <w:bottom w:val="single" w:sz="4" w:space="0" w:color="000000"/>
              <w:right w:val="nil"/>
            </w:tcBorders>
            <w:shd w:val="clear" w:color="FFFFFF" w:fill="FFFFFF"/>
            <w:noWrap/>
            <w:vAlign w:val="bottom"/>
            <w:hideMark/>
          </w:tcPr>
          <w:p w14:paraId="57138AF5" w14:textId="6B0C6A9C" w:rsidR="00747261" w:rsidRPr="001A4B94" w:rsidRDefault="00747261" w:rsidP="00747261">
            <w:pPr>
              <w:jc w:val="right"/>
              <w:rPr>
                <w:b/>
                <w:bCs/>
                <w:color w:val="000000"/>
                <w:sz w:val="16"/>
                <w:szCs w:val="16"/>
                <w:lang w:val="tr-TR"/>
              </w:rPr>
            </w:pPr>
            <w:r w:rsidRPr="001A4B94">
              <w:rPr>
                <w:b/>
                <w:bCs/>
                <w:color w:val="000000"/>
                <w:sz w:val="16"/>
                <w:szCs w:val="16"/>
                <w:lang w:val="tr-TR"/>
              </w:rPr>
              <w:t>15</w:t>
            </w:r>
            <w:r w:rsidR="00B80B46" w:rsidRPr="001A4B94">
              <w:rPr>
                <w:b/>
                <w:bCs/>
                <w:color w:val="000000"/>
                <w:sz w:val="16"/>
                <w:szCs w:val="16"/>
                <w:lang w:val="tr-TR"/>
              </w:rPr>
              <w:t>,</w:t>
            </w:r>
            <w:r w:rsidRPr="001A4B94">
              <w:rPr>
                <w:b/>
                <w:bCs/>
                <w:color w:val="000000"/>
                <w:sz w:val="16"/>
                <w:szCs w:val="16"/>
                <w:lang w:val="tr-TR"/>
              </w:rPr>
              <w:t>0</w:t>
            </w:r>
          </w:p>
        </w:tc>
        <w:tc>
          <w:tcPr>
            <w:tcW w:w="876" w:type="dxa"/>
            <w:tcBorders>
              <w:top w:val="single" w:sz="4" w:space="0" w:color="000000"/>
              <w:left w:val="nil"/>
              <w:bottom w:val="single" w:sz="4" w:space="0" w:color="000000"/>
              <w:right w:val="nil"/>
            </w:tcBorders>
            <w:shd w:val="clear" w:color="FFFFFF" w:fill="FFFFFF"/>
            <w:noWrap/>
            <w:vAlign w:val="bottom"/>
            <w:hideMark/>
          </w:tcPr>
          <w:p w14:paraId="23C6AB81" w14:textId="21025E8F" w:rsidR="00747261" w:rsidRPr="001A4B94" w:rsidRDefault="00E573D3" w:rsidP="00747261">
            <w:pPr>
              <w:jc w:val="right"/>
              <w:rPr>
                <w:b/>
                <w:bCs/>
                <w:color w:val="000000"/>
                <w:sz w:val="16"/>
                <w:szCs w:val="16"/>
                <w:lang w:val="tr-TR"/>
              </w:rPr>
            </w:pPr>
            <w:r w:rsidRPr="001A4B94">
              <w:rPr>
                <w:b/>
                <w:bCs/>
                <w:color w:val="000000"/>
                <w:sz w:val="16"/>
                <w:szCs w:val="16"/>
                <w:lang w:val="tr-TR"/>
              </w:rPr>
              <w:t>1</w:t>
            </w:r>
            <w:r w:rsidR="00B80B46" w:rsidRPr="001A4B94">
              <w:rPr>
                <w:b/>
                <w:bCs/>
                <w:color w:val="000000"/>
                <w:sz w:val="16"/>
                <w:szCs w:val="16"/>
                <w:lang w:val="tr-TR"/>
              </w:rPr>
              <w:t>.</w:t>
            </w:r>
            <w:r w:rsidRPr="001A4B94">
              <w:rPr>
                <w:b/>
                <w:bCs/>
                <w:color w:val="000000"/>
                <w:sz w:val="16"/>
                <w:szCs w:val="16"/>
                <w:lang w:val="tr-TR"/>
              </w:rPr>
              <w:t>50</w:t>
            </w:r>
            <w:r w:rsidR="00C6764C" w:rsidRPr="001A4B94">
              <w:rPr>
                <w:b/>
                <w:bCs/>
                <w:color w:val="000000"/>
                <w:sz w:val="16"/>
                <w:szCs w:val="16"/>
                <w:lang w:val="tr-TR"/>
              </w:rPr>
              <w:t>8</w:t>
            </w:r>
            <w:r w:rsidR="00B80B46" w:rsidRPr="001A4B94">
              <w:rPr>
                <w:b/>
                <w:bCs/>
                <w:color w:val="000000"/>
                <w:sz w:val="16"/>
                <w:szCs w:val="16"/>
                <w:lang w:val="tr-TR"/>
              </w:rPr>
              <w:t>,</w:t>
            </w:r>
            <w:r w:rsidR="00C6764C" w:rsidRPr="001A4B94">
              <w:rPr>
                <w:b/>
                <w:bCs/>
                <w:color w:val="000000"/>
                <w:sz w:val="16"/>
                <w:szCs w:val="16"/>
                <w:lang w:val="tr-TR"/>
              </w:rPr>
              <w:t>3</w:t>
            </w:r>
          </w:p>
        </w:tc>
        <w:tc>
          <w:tcPr>
            <w:tcW w:w="800" w:type="dxa"/>
            <w:tcBorders>
              <w:top w:val="single" w:sz="4" w:space="0" w:color="000000"/>
              <w:left w:val="nil"/>
              <w:bottom w:val="single" w:sz="4" w:space="0" w:color="000000"/>
              <w:right w:val="nil"/>
            </w:tcBorders>
            <w:shd w:val="clear" w:color="FFFFFF" w:fill="FFFFFF"/>
            <w:noWrap/>
            <w:vAlign w:val="bottom"/>
            <w:hideMark/>
          </w:tcPr>
          <w:p w14:paraId="17AE26D1" w14:textId="0C89BF05" w:rsidR="00747261" w:rsidRPr="001A4B94" w:rsidRDefault="00C6764C" w:rsidP="00747261">
            <w:pPr>
              <w:jc w:val="right"/>
              <w:rPr>
                <w:b/>
                <w:bCs/>
                <w:color w:val="000000"/>
                <w:sz w:val="16"/>
                <w:szCs w:val="16"/>
                <w:lang w:val="tr-TR"/>
              </w:rPr>
            </w:pPr>
            <w:r w:rsidRPr="001A4B94">
              <w:rPr>
                <w:b/>
                <w:bCs/>
                <w:color w:val="000000"/>
                <w:sz w:val="16"/>
                <w:szCs w:val="16"/>
                <w:lang w:val="tr-TR"/>
              </w:rPr>
              <w:t>-19</w:t>
            </w:r>
            <w:r w:rsidR="00B80B46" w:rsidRPr="001A4B94">
              <w:rPr>
                <w:b/>
                <w:bCs/>
                <w:color w:val="000000"/>
                <w:sz w:val="16"/>
                <w:szCs w:val="16"/>
                <w:lang w:val="tr-TR"/>
              </w:rPr>
              <w:t>,</w:t>
            </w:r>
            <w:r w:rsidRPr="001A4B94">
              <w:rPr>
                <w:b/>
                <w:bCs/>
                <w:color w:val="000000"/>
                <w:sz w:val="16"/>
                <w:szCs w:val="16"/>
                <w:lang w:val="tr-TR"/>
              </w:rPr>
              <w:t>7</w:t>
            </w:r>
          </w:p>
        </w:tc>
        <w:tc>
          <w:tcPr>
            <w:tcW w:w="699" w:type="dxa"/>
            <w:tcBorders>
              <w:top w:val="single" w:sz="4" w:space="0" w:color="000000"/>
              <w:left w:val="nil"/>
              <w:bottom w:val="single" w:sz="4" w:space="0" w:color="000000"/>
              <w:right w:val="nil"/>
            </w:tcBorders>
            <w:shd w:val="clear" w:color="FFFFFF" w:fill="FFFFFF"/>
            <w:noWrap/>
            <w:vAlign w:val="bottom"/>
            <w:hideMark/>
          </w:tcPr>
          <w:p w14:paraId="0F13E730" w14:textId="5C70D7A7" w:rsidR="00747261" w:rsidRPr="001A4B94" w:rsidRDefault="00747261" w:rsidP="00747261">
            <w:pPr>
              <w:jc w:val="right"/>
              <w:rPr>
                <w:b/>
                <w:bCs/>
                <w:color w:val="000000"/>
                <w:sz w:val="16"/>
                <w:szCs w:val="16"/>
                <w:lang w:val="tr-TR"/>
              </w:rPr>
            </w:pPr>
            <w:r w:rsidRPr="001A4B94">
              <w:rPr>
                <w:b/>
                <w:bCs/>
                <w:color w:val="000000"/>
                <w:sz w:val="16"/>
                <w:szCs w:val="16"/>
                <w:lang w:val="tr-TR"/>
              </w:rPr>
              <w:t>-</w:t>
            </w:r>
            <w:r w:rsidR="00C6764C" w:rsidRPr="001A4B94">
              <w:rPr>
                <w:b/>
                <w:bCs/>
                <w:color w:val="000000"/>
                <w:sz w:val="16"/>
                <w:szCs w:val="16"/>
                <w:lang w:val="tr-TR"/>
              </w:rPr>
              <w:t>132</w:t>
            </w:r>
            <w:r w:rsidR="00B80B46" w:rsidRPr="001A4B94">
              <w:rPr>
                <w:b/>
                <w:bCs/>
                <w:color w:val="000000"/>
                <w:sz w:val="16"/>
                <w:szCs w:val="16"/>
                <w:lang w:val="tr-TR"/>
              </w:rPr>
              <w:t>,</w:t>
            </w:r>
            <w:r w:rsidR="00C6764C" w:rsidRPr="001A4B94">
              <w:rPr>
                <w:b/>
                <w:bCs/>
                <w:color w:val="000000"/>
                <w:sz w:val="16"/>
                <w:szCs w:val="16"/>
                <w:lang w:val="tr-TR"/>
              </w:rPr>
              <w:t>8</w:t>
            </w:r>
          </w:p>
        </w:tc>
      </w:tr>
      <w:tr w:rsidR="00747261" w:rsidRPr="001A4B94" w14:paraId="17508A25" w14:textId="77777777" w:rsidTr="006A23B6">
        <w:trPr>
          <w:trHeight w:val="251"/>
        </w:trPr>
        <w:tc>
          <w:tcPr>
            <w:tcW w:w="13715" w:type="dxa"/>
            <w:gridSpan w:val="14"/>
            <w:tcBorders>
              <w:top w:val="nil"/>
              <w:left w:val="nil"/>
              <w:bottom w:val="nil"/>
              <w:right w:val="nil"/>
            </w:tcBorders>
            <w:shd w:val="clear" w:color="FFFFFF" w:fill="FFFFFF"/>
            <w:noWrap/>
            <w:vAlign w:val="bottom"/>
            <w:hideMark/>
          </w:tcPr>
          <w:p w14:paraId="44EEC6E1" w14:textId="11E874F8" w:rsidR="00747261" w:rsidRPr="001A4B94" w:rsidRDefault="00BD3126" w:rsidP="00747261">
            <w:pPr>
              <w:rPr>
                <w:color w:val="000000"/>
                <w:sz w:val="16"/>
                <w:szCs w:val="16"/>
                <w:lang w:val="tr-TR"/>
              </w:rPr>
            </w:pPr>
            <w:r w:rsidRPr="001A4B94">
              <w:rPr>
                <w:color w:val="000000"/>
                <w:sz w:val="16"/>
                <w:szCs w:val="16"/>
                <w:lang w:val="tr-TR"/>
              </w:rPr>
              <w:t xml:space="preserve">* </w:t>
            </w:r>
            <w:r w:rsidR="00B80B46" w:rsidRPr="001A4B94">
              <w:rPr>
                <w:color w:val="000000"/>
                <w:sz w:val="16"/>
                <w:szCs w:val="16"/>
                <w:lang w:val="tr-TR"/>
              </w:rPr>
              <w:t>Kullandırım verileri ayın ilk haftasının sonunda güncellenmektedir</w:t>
            </w:r>
            <w:r w:rsidR="00747261" w:rsidRPr="001A4B94">
              <w:rPr>
                <w:color w:val="000000"/>
                <w:sz w:val="16"/>
                <w:szCs w:val="16"/>
                <w:lang w:val="tr-TR"/>
              </w:rPr>
              <w:t>.</w:t>
            </w:r>
          </w:p>
        </w:tc>
      </w:tr>
      <w:tr w:rsidR="00747261" w:rsidRPr="001A4B94" w14:paraId="626D4EA9" w14:textId="77777777" w:rsidTr="006A23B6">
        <w:trPr>
          <w:trHeight w:val="144"/>
        </w:trPr>
        <w:tc>
          <w:tcPr>
            <w:tcW w:w="13715" w:type="dxa"/>
            <w:gridSpan w:val="14"/>
            <w:tcBorders>
              <w:top w:val="nil"/>
              <w:left w:val="nil"/>
              <w:bottom w:val="nil"/>
              <w:right w:val="nil"/>
            </w:tcBorders>
            <w:shd w:val="clear" w:color="FFFFFF" w:fill="FFFFFF"/>
            <w:noWrap/>
            <w:vAlign w:val="bottom"/>
            <w:hideMark/>
          </w:tcPr>
          <w:p w14:paraId="07D07035" w14:textId="1132EF92" w:rsidR="00747261" w:rsidRPr="001A4B94" w:rsidRDefault="00747261" w:rsidP="00747261">
            <w:pPr>
              <w:rPr>
                <w:color w:val="000000"/>
                <w:sz w:val="16"/>
                <w:szCs w:val="16"/>
                <w:lang w:val="tr-TR"/>
              </w:rPr>
            </w:pPr>
            <w:r w:rsidRPr="001A4B94">
              <w:rPr>
                <w:color w:val="000000"/>
                <w:sz w:val="16"/>
                <w:szCs w:val="16"/>
                <w:lang w:val="tr-TR"/>
              </w:rPr>
              <w:t xml:space="preserve">a. </w:t>
            </w:r>
            <w:r w:rsidR="00B80B46" w:rsidRPr="001A4B94">
              <w:rPr>
                <w:color w:val="000000"/>
                <w:sz w:val="16"/>
                <w:szCs w:val="16"/>
                <w:lang w:val="tr-TR"/>
              </w:rPr>
              <w:t>Bugüne kadar hedeflenen kullandırımlar eksi değerlendirme zamanında tahmin edildiği şekliyle bugüne kadar gerçekleşen kullandırımlar</w:t>
            </w:r>
            <w:r w:rsidRPr="001A4B94">
              <w:rPr>
                <w:color w:val="000000"/>
                <w:sz w:val="16"/>
                <w:szCs w:val="16"/>
                <w:lang w:val="tr-TR"/>
              </w:rPr>
              <w:t>.</w:t>
            </w:r>
          </w:p>
        </w:tc>
      </w:tr>
    </w:tbl>
    <w:p w14:paraId="166F8615" w14:textId="77777777" w:rsidR="00747261" w:rsidRPr="001A4B94" w:rsidRDefault="00747261" w:rsidP="00747261">
      <w:pPr>
        <w:spacing w:after="160" w:line="259" w:lineRule="auto"/>
        <w:rPr>
          <w:rFonts w:eastAsiaTheme="minorEastAsia"/>
          <w:lang w:val="tr-TR"/>
        </w:rPr>
      </w:pPr>
    </w:p>
    <w:p w14:paraId="58C5B984" w14:textId="5D1BBA70" w:rsidR="008678B9" w:rsidRPr="001A4B94" w:rsidRDefault="00747261" w:rsidP="00A345E6">
      <w:pPr>
        <w:pStyle w:val="Balk1"/>
        <w:jc w:val="center"/>
        <w:rPr>
          <w:rFonts w:ascii="Times New Roman" w:hAnsi="Times New Roman" w:cs="Times New Roman"/>
          <w:b/>
          <w:color w:val="000000" w:themeColor="text1"/>
          <w:sz w:val="24"/>
          <w:szCs w:val="24"/>
          <w:lang w:val="tr-TR"/>
        </w:rPr>
      </w:pPr>
      <w:r w:rsidRPr="001A4B94">
        <w:rPr>
          <w:rFonts w:eastAsiaTheme="minorEastAsia"/>
          <w:b/>
          <w:bCs/>
          <w:color w:val="000000"/>
          <w:sz w:val="22"/>
          <w:szCs w:val="22"/>
          <w:lang w:val="tr-TR"/>
        </w:rPr>
        <w:lastRenderedPageBreak/>
        <w:t xml:space="preserve"> </w:t>
      </w:r>
      <w:bookmarkStart w:id="27" w:name="_Toc494977335"/>
      <w:r w:rsidR="00662723" w:rsidRPr="001A4B94">
        <w:rPr>
          <w:rFonts w:ascii="Times New Roman" w:hAnsi="Times New Roman" w:cs="Times New Roman"/>
          <w:b/>
          <w:color w:val="000000" w:themeColor="text1"/>
          <w:sz w:val="24"/>
          <w:szCs w:val="24"/>
          <w:lang w:val="tr-TR"/>
        </w:rPr>
        <w:t>Ek</w:t>
      </w:r>
      <w:r w:rsidRPr="001A4B94">
        <w:rPr>
          <w:rFonts w:ascii="Times New Roman" w:hAnsi="Times New Roman" w:cs="Times New Roman"/>
          <w:b/>
          <w:color w:val="000000" w:themeColor="text1"/>
          <w:sz w:val="24"/>
          <w:szCs w:val="24"/>
          <w:lang w:val="tr-TR"/>
        </w:rPr>
        <w:t xml:space="preserve"> 5. </w:t>
      </w:r>
      <w:r w:rsidR="009866A8" w:rsidRPr="001A4B94">
        <w:rPr>
          <w:rFonts w:ascii="Times New Roman" w:hAnsi="Times New Roman" w:cs="Times New Roman"/>
          <w:b/>
          <w:color w:val="000000" w:themeColor="text1"/>
          <w:sz w:val="24"/>
          <w:szCs w:val="24"/>
          <w:lang w:val="tr-TR"/>
        </w:rPr>
        <w:t>Taahhüt Edilen ve Kullandırılan  Yatırım Portföyü</w:t>
      </w:r>
      <w:bookmarkEnd w:id="27"/>
      <w:r w:rsidR="009866A8" w:rsidRPr="001A4B94">
        <w:rPr>
          <w:rFonts w:ascii="Times New Roman" w:hAnsi="Times New Roman" w:cs="Times New Roman"/>
          <w:b/>
          <w:color w:val="000000" w:themeColor="text1"/>
          <w:sz w:val="24"/>
          <w:szCs w:val="24"/>
          <w:lang w:val="tr-TR"/>
        </w:rPr>
        <w:t xml:space="preserve">  </w:t>
      </w:r>
    </w:p>
    <w:p w14:paraId="65B51B27" w14:textId="28A745E6" w:rsidR="00F16E72" w:rsidRPr="001A4B94" w:rsidRDefault="009866A8" w:rsidP="00F16E72">
      <w:pPr>
        <w:spacing w:after="240"/>
        <w:jc w:val="center"/>
        <w:rPr>
          <w:lang w:val="tr-TR"/>
        </w:rPr>
      </w:pPr>
      <w:r w:rsidRPr="001A4B94">
        <w:rPr>
          <w:lang w:val="tr-TR"/>
        </w:rPr>
        <w:t xml:space="preserve">29 Temmuz 2017 itibariyle </w:t>
      </w:r>
    </w:p>
    <w:p w14:paraId="624CDC14" w14:textId="0BB9F700" w:rsidR="00F16E72" w:rsidRPr="001A4B94" w:rsidRDefault="00F16E72" w:rsidP="00F16E72">
      <w:pPr>
        <w:autoSpaceDE w:val="0"/>
        <w:autoSpaceDN w:val="0"/>
        <w:adjustRightInd w:val="0"/>
        <w:spacing w:after="120"/>
        <w:jc w:val="center"/>
        <w:rPr>
          <w:bCs/>
          <w:sz w:val="22"/>
          <w:szCs w:val="22"/>
          <w:lang w:val="tr-TR"/>
        </w:rPr>
      </w:pPr>
      <w:r w:rsidRPr="001A4B94">
        <w:rPr>
          <w:bCs/>
          <w:sz w:val="22"/>
          <w:szCs w:val="22"/>
          <w:lang w:val="tr-TR"/>
        </w:rPr>
        <w:t>(</w:t>
      </w:r>
      <w:r w:rsidR="009866A8" w:rsidRPr="001A4B94">
        <w:rPr>
          <w:bCs/>
          <w:sz w:val="22"/>
          <w:szCs w:val="22"/>
          <w:lang w:val="tr-TR"/>
        </w:rPr>
        <w:t>milyon ABD$</w:t>
      </w:r>
      <w:r w:rsidRPr="001A4B94">
        <w:rPr>
          <w:bCs/>
          <w:sz w:val="22"/>
          <w:szCs w:val="22"/>
          <w:lang w:val="tr-TR"/>
        </w:rPr>
        <w:t>)</w:t>
      </w:r>
    </w:p>
    <w:p w14:paraId="23CC5BF8" w14:textId="77777777" w:rsidR="00F16E72" w:rsidRPr="001A4B94" w:rsidRDefault="00F16E72" w:rsidP="00F16E72">
      <w:pPr>
        <w:autoSpaceDE w:val="0"/>
        <w:autoSpaceDN w:val="0"/>
        <w:adjustRightInd w:val="0"/>
        <w:spacing w:after="120"/>
        <w:jc w:val="center"/>
        <w:rPr>
          <w:bCs/>
          <w:sz w:val="22"/>
          <w:szCs w:val="22"/>
          <w:lang w:val="tr-TR"/>
        </w:rPr>
      </w:pPr>
    </w:p>
    <w:tbl>
      <w:tblPr>
        <w:tblW w:w="14874" w:type="dxa"/>
        <w:jc w:val="center"/>
        <w:tblLook w:val="04A0" w:firstRow="1" w:lastRow="0" w:firstColumn="1" w:lastColumn="0" w:noHBand="0" w:noVBand="1"/>
      </w:tblPr>
      <w:tblGrid>
        <w:gridCol w:w="1900"/>
        <w:gridCol w:w="1470"/>
        <w:gridCol w:w="776"/>
        <w:gridCol w:w="812"/>
        <w:gridCol w:w="812"/>
        <w:gridCol w:w="706"/>
        <w:gridCol w:w="710"/>
        <w:gridCol w:w="919"/>
        <w:gridCol w:w="1069"/>
        <w:gridCol w:w="776"/>
        <w:gridCol w:w="812"/>
        <w:gridCol w:w="812"/>
        <w:gridCol w:w="706"/>
        <w:gridCol w:w="685"/>
        <w:gridCol w:w="919"/>
        <w:gridCol w:w="990"/>
      </w:tblGrid>
      <w:tr w:rsidR="00F16E72" w:rsidRPr="001A4B94" w14:paraId="48F7A5B7" w14:textId="77777777" w:rsidTr="007C4843">
        <w:trPr>
          <w:trHeight w:val="285"/>
          <w:jc w:val="center"/>
        </w:trPr>
        <w:tc>
          <w:tcPr>
            <w:tcW w:w="1900" w:type="dxa"/>
            <w:tcBorders>
              <w:top w:val="nil"/>
              <w:left w:val="nil"/>
              <w:bottom w:val="nil"/>
              <w:right w:val="nil"/>
            </w:tcBorders>
            <w:shd w:val="clear" w:color="auto" w:fill="auto"/>
            <w:noWrap/>
            <w:vAlign w:val="bottom"/>
            <w:hideMark/>
          </w:tcPr>
          <w:p w14:paraId="39A3D0A5" w14:textId="77777777" w:rsidR="00F16E72" w:rsidRPr="001A4B94" w:rsidRDefault="00F16E72" w:rsidP="00F16E72">
            <w:pPr>
              <w:rPr>
                <w:sz w:val="20"/>
                <w:szCs w:val="20"/>
                <w:lang w:val="tr-TR"/>
              </w:rPr>
            </w:pPr>
          </w:p>
        </w:tc>
        <w:tc>
          <w:tcPr>
            <w:tcW w:w="1470" w:type="dxa"/>
            <w:tcBorders>
              <w:top w:val="nil"/>
              <w:left w:val="nil"/>
              <w:bottom w:val="nil"/>
              <w:right w:val="nil"/>
            </w:tcBorders>
            <w:shd w:val="clear" w:color="auto" w:fill="auto"/>
            <w:noWrap/>
            <w:vAlign w:val="bottom"/>
            <w:hideMark/>
          </w:tcPr>
          <w:p w14:paraId="5C881A90" w14:textId="77777777" w:rsidR="00F16E72" w:rsidRPr="001A4B94" w:rsidRDefault="00F16E72" w:rsidP="00F16E72">
            <w:pPr>
              <w:rPr>
                <w:sz w:val="20"/>
                <w:szCs w:val="20"/>
                <w:lang w:val="tr-TR"/>
              </w:rPr>
            </w:pPr>
          </w:p>
        </w:tc>
        <w:tc>
          <w:tcPr>
            <w:tcW w:w="5804" w:type="dxa"/>
            <w:gridSpan w:val="7"/>
            <w:tcBorders>
              <w:top w:val="double" w:sz="6" w:space="0" w:color="auto"/>
              <w:left w:val="single" w:sz="4" w:space="0" w:color="auto"/>
              <w:bottom w:val="single" w:sz="8" w:space="0" w:color="auto"/>
              <w:right w:val="single" w:sz="4" w:space="0" w:color="000000"/>
            </w:tcBorders>
            <w:shd w:val="clear" w:color="auto" w:fill="auto"/>
            <w:noWrap/>
            <w:vAlign w:val="bottom"/>
            <w:hideMark/>
          </w:tcPr>
          <w:p w14:paraId="6C6FF13C" w14:textId="6C31808B" w:rsidR="00F16E72" w:rsidRPr="001A4B94" w:rsidRDefault="009866A8" w:rsidP="009866A8">
            <w:pPr>
              <w:jc w:val="center"/>
              <w:rPr>
                <w:b/>
                <w:bCs/>
                <w:sz w:val="20"/>
                <w:szCs w:val="20"/>
                <w:lang w:val="tr-TR"/>
              </w:rPr>
            </w:pPr>
            <w:r w:rsidRPr="001A4B94">
              <w:rPr>
                <w:b/>
                <w:bCs/>
                <w:sz w:val="20"/>
                <w:szCs w:val="20"/>
                <w:lang w:val="tr-TR"/>
              </w:rPr>
              <w:t>Taahhüt Edilen</w:t>
            </w:r>
          </w:p>
        </w:tc>
        <w:tc>
          <w:tcPr>
            <w:tcW w:w="5700" w:type="dxa"/>
            <w:gridSpan w:val="7"/>
            <w:tcBorders>
              <w:top w:val="double" w:sz="6" w:space="0" w:color="auto"/>
              <w:left w:val="nil"/>
              <w:bottom w:val="single" w:sz="8" w:space="0" w:color="auto"/>
              <w:right w:val="single" w:sz="4" w:space="0" w:color="000000"/>
            </w:tcBorders>
            <w:shd w:val="clear" w:color="auto" w:fill="auto"/>
            <w:noWrap/>
            <w:vAlign w:val="bottom"/>
            <w:hideMark/>
          </w:tcPr>
          <w:p w14:paraId="1D866C5B" w14:textId="30B748DC" w:rsidR="00F16E72" w:rsidRPr="001A4B94" w:rsidRDefault="009866A8" w:rsidP="009866A8">
            <w:pPr>
              <w:jc w:val="center"/>
              <w:rPr>
                <w:b/>
                <w:bCs/>
                <w:sz w:val="20"/>
                <w:szCs w:val="20"/>
                <w:lang w:val="tr-TR"/>
              </w:rPr>
            </w:pPr>
            <w:r w:rsidRPr="001A4B94">
              <w:rPr>
                <w:b/>
                <w:bCs/>
                <w:sz w:val="20"/>
                <w:szCs w:val="20"/>
                <w:lang w:val="tr-TR"/>
              </w:rPr>
              <w:t xml:space="preserve">Kullandırılan ve Ödenmemiş </w:t>
            </w:r>
          </w:p>
        </w:tc>
      </w:tr>
      <w:tr w:rsidR="009866A8" w:rsidRPr="001A4B94" w14:paraId="0F907FCD" w14:textId="77777777" w:rsidTr="007C4843">
        <w:trPr>
          <w:trHeight w:val="255"/>
          <w:jc w:val="center"/>
        </w:trPr>
        <w:tc>
          <w:tcPr>
            <w:tcW w:w="1900" w:type="dxa"/>
            <w:tcBorders>
              <w:top w:val="single" w:sz="8" w:space="0" w:color="auto"/>
              <w:left w:val="nil"/>
              <w:bottom w:val="nil"/>
              <w:right w:val="nil"/>
            </w:tcBorders>
            <w:shd w:val="clear" w:color="auto" w:fill="auto"/>
            <w:vAlign w:val="center"/>
            <w:hideMark/>
          </w:tcPr>
          <w:p w14:paraId="5F9D4255" w14:textId="435AAEAC" w:rsidR="009866A8" w:rsidRPr="001A4B94" w:rsidRDefault="009866A8" w:rsidP="009866A8">
            <w:pPr>
              <w:rPr>
                <w:b/>
                <w:bCs/>
                <w:sz w:val="16"/>
                <w:szCs w:val="16"/>
                <w:lang w:val="tr-TR"/>
              </w:rPr>
            </w:pPr>
            <w:r w:rsidRPr="001A4B94">
              <w:rPr>
                <w:b/>
                <w:bCs/>
                <w:sz w:val="16"/>
                <w:szCs w:val="16"/>
                <w:lang w:val="tr-TR"/>
              </w:rPr>
              <w:t>Taahhüt</w:t>
            </w:r>
          </w:p>
        </w:tc>
        <w:tc>
          <w:tcPr>
            <w:tcW w:w="1470" w:type="dxa"/>
            <w:tcBorders>
              <w:top w:val="single" w:sz="8" w:space="0" w:color="auto"/>
              <w:left w:val="nil"/>
              <w:bottom w:val="nil"/>
              <w:right w:val="nil"/>
            </w:tcBorders>
            <w:shd w:val="clear" w:color="auto" w:fill="auto"/>
            <w:noWrap/>
            <w:vAlign w:val="center"/>
            <w:hideMark/>
          </w:tcPr>
          <w:p w14:paraId="2F06A374" w14:textId="73854199" w:rsidR="009866A8" w:rsidRPr="001A4B94" w:rsidRDefault="009866A8" w:rsidP="009866A8">
            <w:pPr>
              <w:rPr>
                <w:b/>
                <w:bCs/>
                <w:sz w:val="16"/>
                <w:szCs w:val="16"/>
                <w:lang w:val="tr-TR"/>
              </w:rPr>
            </w:pPr>
            <w:r w:rsidRPr="001A4B94">
              <w:rPr>
                <w:b/>
                <w:bCs/>
                <w:sz w:val="16"/>
                <w:szCs w:val="16"/>
                <w:lang w:val="tr-TR"/>
              </w:rPr>
              <w:t xml:space="preserve">Kurum </w:t>
            </w:r>
          </w:p>
        </w:tc>
        <w:tc>
          <w:tcPr>
            <w:tcW w:w="776" w:type="dxa"/>
            <w:vMerge w:val="restart"/>
            <w:tcBorders>
              <w:top w:val="nil"/>
              <w:left w:val="nil"/>
              <w:bottom w:val="single" w:sz="8" w:space="0" w:color="000000"/>
              <w:right w:val="nil"/>
            </w:tcBorders>
            <w:shd w:val="clear" w:color="auto" w:fill="auto"/>
            <w:noWrap/>
            <w:vAlign w:val="center"/>
            <w:hideMark/>
          </w:tcPr>
          <w:p w14:paraId="2CB95430" w14:textId="5229362F" w:rsidR="009866A8" w:rsidRPr="001A4B94" w:rsidRDefault="009866A8" w:rsidP="009866A8">
            <w:pPr>
              <w:jc w:val="center"/>
              <w:rPr>
                <w:b/>
                <w:bCs/>
                <w:sz w:val="16"/>
                <w:szCs w:val="16"/>
                <w:lang w:val="tr-TR"/>
              </w:rPr>
            </w:pPr>
            <w:r w:rsidRPr="001A4B94">
              <w:rPr>
                <w:b/>
                <w:bCs/>
                <w:sz w:val="16"/>
                <w:szCs w:val="16"/>
                <w:lang w:val="tr-TR"/>
              </w:rPr>
              <w:t>Kredi</w:t>
            </w:r>
          </w:p>
        </w:tc>
        <w:tc>
          <w:tcPr>
            <w:tcW w:w="812" w:type="dxa"/>
            <w:vMerge w:val="restart"/>
            <w:tcBorders>
              <w:top w:val="nil"/>
              <w:left w:val="nil"/>
              <w:bottom w:val="single" w:sz="8" w:space="0" w:color="000000"/>
              <w:right w:val="nil"/>
            </w:tcBorders>
            <w:shd w:val="clear" w:color="auto" w:fill="auto"/>
            <w:noWrap/>
            <w:vAlign w:val="center"/>
            <w:hideMark/>
          </w:tcPr>
          <w:p w14:paraId="5CDF6E02" w14:textId="33F6F6EF" w:rsidR="009866A8" w:rsidRPr="001A4B94" w:rsidRDefault="009866A8" w:rsidP="009866A8">
            <w:pPr>
              <w:jc w:val="center"/>
              <w:rPr>
                <w:b/>
                <w:bCs/>
                <w:sz w:val="16"/>
                <w:szCs w:val="16"/>
                <w:lang w:val="tr-TR"/>
              </w:rPr>
            </w:pPr>
            <w:r w:rsidRPr="001A4B94">
              <w:rPr>
                <w:b/>
                <w:bCs/>
                <w:sz w:val="16"/>
                <w:szCs w:val="16"/>
                <w:lang w:val="tr-TR"/>
              </w:rPr>
              <w:t>Sermaye</w:t>
            </w:r>
          </w:p>
        </w:tc>
        <w:tc>
          <w:tcPr>
            <w:tcW w:w="812" w:type="dxa"/>
            <w:vMerge w:val="restart"/>
            <w:tcBorders>
              <w:top w:val="nil"/>
              <w:left w:val="nil"/>
              <w:bottom w:val="single" w:sz="8" w:space="0" w:color="000000"/>
              <w:right w:val="nil"/>
            </w:tcBorders>
            <w:shd w:val="clear" w:color="auto" w:fill="auto"/>
            <w:vAlign w:val="center"/>
            <w:hideMark/>
          </w:tcPr>
          <w:p w14:paraId="028C21E4" w14:textId="028D37CA" w:rsidR="009866A8" w:rsidRPr="001A4B94" w:rsidRDefault="009866A8" w:rsidP="009866A8">
            <w:pPr>
              <w:jc w:val="center"/>
              <w:rPr>
                <w:b/>
                <w:bCs/>
                <w:sz w:val="16"/>
                <w:szCs w:val="16"/>
                <w:lang w:val="tr-TR"/>
              </w:rPr>
            </w:pPr>
            <w:r w:rsidRPr="001A4B94">
              <w:rPr>
                <w:b/>
                <w:bCs/>
                <w:sz w:val="16"/>
                <w:szCs w:val="16"/>
                <w:lang w:val="tr-TR"/>
              </w:rPr>
              <w:t xml:space="preserve">Sermaye Benzeri </w:t>
            </w:r>
          </w:p>
        </w:tc>
        <w:tc>
          <w:tcPr>
            <w:tcW w:w="706" w:type="dxa"/>
            <w:vMerge w:val="restart"/>
            <w:tcBorders>
              <w:top w:val="nil"/>
              <w:left w:val="nil"/>
              <w:bottom w:val="single" w:sz="8" w:space="0" w:color="000000"/>
              <w:right w:val="nil"/>
            </w:tcBorders>
            <w:shd w:val="clear" w:color="auto" w:fill="auto"/>
            <w:noWrap/>
            <w:vAlign w:val="center"/>
            <w:hideMark/>
          </w:tcPr>
          <w:p w14:paraId="54FCCF2A" w14:textId="77777777" w:rsidR="009866A8" w:rsidRPr="001A4B94" w:rsidRDefault="009866A8" w:rsidP="009866A8">
            <w:pPr>
              <w:jc w:val="center"/>
              <w:rPr>
                <w:b/>
                <w:bCs/>
                <w:sz w:val="16"/>
                <w:szCs w:val="16"/>
                <w:lang w:val="tr-TR"/>
              </w:rPr>
            </w:pPr>
            <w:r w:rsidRPr="001A4B94">
              <w:rPr>
                <w:b/>
                <w:bCs/>
                <w:sz w:val="16"/>
                <w:szCs w:val="16"/>
                <w:lang w:val="tr-TR"/>
              </w:rPr>
              <w:t>GT</w:t>
            </w:r>
          </w:p>
        </w:tc>
        <w:tc>
          <w:tcPr>
            <w:tcW w:w="710" w:type="dxa"/>
            <w:vMerge w:val="restart"/>
            <w:tcBorders>
              <w:top w:val="nil"/>
              <w:left w:val="nil"/>
              <w:bottom w:val="single" w:sz="8" w:space="0" w:color="000000"/>
              <w:right w:val="nil"/>
            </w:tcBorders>
            <w:shd w:val="clear" w:color="auto" w:fill="auto"/>
            <w:vAlign w:val="center"/>
            <w:hideMark/>
          </w:tcPr>
          <w:p w14:paraId="01A465F7" w14:textId="18041218" w:rsidR="009866A8" w:rsidRPr="001A4B94" w:rsidRDefault="009866A8" w:rsidP="009866A8">
            <w:pPr>
              <w:jc w:val="center"/>
              <w:rPr>
                <w:b/>
                <w:bCs/>
                <w:sz w:val="16"/>
                <w:szCs w:val="16"/>
                <w:lang w:val="tr-TR"/>
              </w:rPr>
            </w:pPr>
            <w:r w:rsidRPr="001A4B94">
              <w:rPr>
                <w:b/>
                <w:bCs/>
                <w:sz w:val="16"/>
                <w:szCs w:val="16"/>
                <w:lang w:val="tr-TR"/>
              </w:rPr>
              <w:t>Risk Yön</w:t>
            </w:r>
          </w:p>
        </w:tc>
        <w:tc>
          <w:tcPr>
            <w:tcW w:w="919" w:type="dxa"/>
            <w:vMerge w:val="restart"/>
            <w:tcBorders>
              <w:top w:val="nil"/>
              <w:left w:val="nil"/>
              <w:bottom w:val="single" w:sz="8" w:space="0" w:color="000000"/>
              <w:right w:val="nil"/>
            </w:tcBorders>
            <w:shd w:val="clear" w:color="auto" w:fill="auto"/>
            <w:vAlign w:val="center"/>
            <w:hideMark/>
          </w:tcPr>
          <w:p w14:paraId="1AE867D6" w14:textId="67455B81" w:rsidR="009866A8" w:rsidRPr="001A4B94" w:rsidRDefault="009866A8" w:rsidP="009866A8">
            <w:pPr>
              <w:jc w:val="center"/>
              <w:rPr>
                <w:b/>
                <w:bCs/>
                <w:sz w:val="16"/>
                <w:szCs w:val="16"/>
                <w:lang w:val="tr-TR"/>
              </w:rPr>
            </w:pPr>
            <w:r w:rsidRPr="001A4B94">
              <w:rPr>
                <w:b/>
                <w:bCs/>
                <w:sz w:val="16"/>
                <w:szCs w:val="16"/>
                <w:lang w:val="tr-TR"/>
              </w:rPr>
              <w:t>IFC TOPLAM</w:t>
            </w:r>
          </w:p>
        </w:tc>
        <w:tc>
          <w:tcPr>
            <w:tcW w:w="1069" w:type="dxa"/>
            <w:vMerge w:val="restart"/>
            <w:tcBorders>
              <w:top w:val="nil"/>
              <w:left w:val="nil"/>
              <w:bottom w:val="single" w:sz="8" w:space="0" w:color="000000"/>
              <w:right w:val="nil"/>
            </w:tcBorders>
            <w:shd w:val="clear" w:color="auto" w:fill="auto"/>
            <w:vAlign w:val="center"/>
            <w:hideMark/>
          </w:tcPr>
          <w:p w14:paraId="60E42B92" w14:textId="1A472D4F" w:rsidR="009866A8" w:rsidRPr="001A4B94" w:rsidRDefault="009866A8" w:rsidP="009866A8">
            <w:pPr>
              <w:jc w:val="center"/>
              <w:rPr>
                <w:b/>
                <w:bCs/>
                <w:sz w:val="16"/>
                <w:szCs w:val="16"/>
                <w:lang w:val="tr-TR"/>
              </w:rPr>
            </w:pPr>
            <w:r w:rsidRPr="001A4B94">
              <w:rPr>
                <w:b/>
                <w:bCs/>
                <w:sz w:val="16"/>
                <w:szCs w:val="16"/>
                <w:lang w:val="tr-TR"/>
              </w:rPr>
              <w:t>Katılımcı</w:t>
            </w:r>
          </w:p>
        </w:tc>
        <w:tc>
          <w:tcPr>
            <w:tcW w:w="776" w:type="dxa"/>
            <w:vMerge w:val="restart"/>
            <w:tcBorders>
              <w:top w:val="nil"/>
              <w:left w:val="nil"/>
              <w:bottom w:val="single" w:sz="8" w:space="0" w:color="000000"/>
              <w:right w:val="nil"/>
            </w:tcBorders>
            <w:shd w:val="clear" w:color="auto" w:fill="auto"/>
            <w:noWrap/>
            <w:vAlign w:val="center"/>
            <w:hideMark/>
          </w:tcPr>
          <w:p w14:paraId="2C687989" w14:textId="36155644" w:rsidR="009866A8" w:rsidRPr="001A4B94" w:rsidRDefault="009866A8" w:rsidP="009866A8">
            <w:pPr>
              <w:jc w:val="center"/>
              <w:rPr>
                <w:b/>
                <w:bCs/>
                <w:sz w:val="16"/>
                <w:szCs w:val="16"/>
                <w:lang w:val="tr-TR"/>
              </w:rPr>
            </w:pPr>
            <w:r w:rsidRPr="001A4B94">
              <w:rPr>
                <w:b/>
                <w:bCs/>
                <w:sz w:val="16"/>
                <w:szCs w:val="16"/>
                <w:lang w:val="tr-TR"/>
              </w:rPr>
              <w:t>Kredi</w:t>
            </w:r>
          </w:p>
        </w:tc>
        <w:tc>
          <w:tcPr>
            <w:tcW w:w="812" w:type="dxa"/>
            <w:vMerge w:val="restart"/>
            <w:tcBorders>
              <w:top w:val="nil"/>
              <w:left w:val="nil"/>
              <w:bottom w:val="single" w:sz="8" w:space="0" w:color="000000"/>
              <w:right w:val="nil"/>
            </w:tcBorders>
            <w:shd w:val="clear" w:color="auto" w:fill="auto"/>
            <w:noWrap/>
            <w:vAlign w:val="center"/>
            <w:hideMark/>
          </w:tcPr>
          <w:p w14:paraId="3F0B57BC" w14:textId="3DBF5F3D" w:rsidR="009866A8" w:rsidRPr="001A4B94" w:rsidRDefault="009866A8" w:rsidP="009866A8">
            <w:pPr>
              <w:jc w:val="center"/>
              <w:rPr>
                <w:b/>
                <w:bCs/>
                <w:sz w:val="16"/>
                <w:szCs w:val="16"/>
                <w:lang w:val="tr-TR"/>
              </w:rPr>
            </w:pPr>
            <w:r w:rsidRPr="001A4B94">
              <w:rPr>
                <w:b/>
                <w:bCs/>
                <w:sz w:val="16"/>
                <w:szCs w:val="16"/>
                <w:lang w:val="tr-TR"/>
              </w:rPr>
              <w:t>Sermaye</w:t>
            </w:r>
          </w:p>
        </w:tc>
        <w:tc>
          <w:tcPr>
            <w:tcW w:w="812" w:type="dxa"/>
            <w:vMerge w:val="restart"/>
            <w:tcBorders>
              <w:top w:val="nil"/>
              <w:left w:val="nil"/>
              <w:bottom w:val="single" w:sz="8" w:space="0" w:color="000000"/>
              <w:right w:val="nil"/>
            </w:tcBorders>
            <w:shd w:val="clear" w:color="auto" w:fill="auto"/>
            <w:vAlign w:val="center"/>
            <w:hideMark/>
          </w:tcPr>
          <w:p w14:paraId="31318E68" w14:textId="5C1FA34A" w:rsidR="009866A8" w:rsidRPr="001A4B94" w:rsidRDefault="009866A8" w:rsidP="009866A8">
            <w:pPr>
              <w:jc w:val="center"/>
              <w:rPr>
                <w:b/>
                <w:bCs/>
                <w:sz w:val="16"/>
                <w:szCs w:val="16"/>
                <w:lang w:val="tr-TR"/>
              </w:rPr>
            </w:pPr>
            <w:r w:rsidRPr="001A4B94">
              <w:rPr>
                <w:b/>
                <w:bCs/>
                <w:sz w:val="16"/>
                <w:szCs w:val="16"/>
                <w:lang w:val="tr-TR"/>
              </w:rPr>
              <w:t xml:space="preserve">Sermaye Benzeri </w:t>
            </w:r>
          </w:p>
        </w:tc>
        <w:tc>
          <w:tcPr>
            <w:tcW w:w="706" w:type="dxa"/>
            <w:vMerge w:val="restart"/>
            <w:tcBorders>
              <w:top w:val="nil"/>
              <w:left w:val="nil"/>
              <w:bottom w:val="single" w:sz="8" w:space="0" w:color="000000"/>
              <w:right w:val="nil"/>
            </w:tcBorders>
            <w:shd w:val="clear" w:color="auto" w:fill="auto"/>
            <w:vAlign w:val="center"/>
            <w:hideMark/>
          </w:tcPr>
          <w:p w14:paraId="5530EDB8" w14:textId="50C2122F" w:rsidR="009866A8" w:rsidRPr="001A4B94" w:rsidRDefault="009866A8" w:rsidP="009866A8">
            <w:pPr>
              <w:jc w:val="center"/>
              <w:rPr>
                <w:b/>
                <w:bCs/>
                <w:sz w:val="16"/>
                <w:szCs w:val="16"/>
                <w:lang w:val="tr-TR"/>
              </w:rPr>
            </w:pPr>
            <w:r w:rsidRPr="001A4B94">
              <w:rPr>
                <w:b/>
                <w:bCs/>
                <w:sz w:val="16"/>
                <w:szCs w:val="16"/>
                <w:lang w:val="tr-TR"/>
              </w:rPr>
              <w:t>GT</w:t>
            </w:r>
          </w:p>
        </w:tc>
        <w:tc>
          <w:tcPr>
            <w:tcW w:w="685" w:type="dxa"/>
            <w:vMerge w:val="restart"/>
            <w:tcBorders>
              <w:top w:val="nil"/>
              <w:left w:val="nil"/>
              <w:bottom w:val="single" w:sz="8" w:space="0" w:color="000000"/>
              <w:right w:val="nil"/>
            </w:tcBorders>
            <w:shd w:val="clear" w:color="auto" w:fill="auto"/>
            <w:vAlign w:val="center"/>
            <w:hideMark/>
          </w:tcPr>
          <w:p w14:paraId="511C7FB0" w14:textId="04E0022E" w:rsidR="009866A8" w:rsidRPr="001A4B94" w:rsidRDefault="009866A8" w:rsidP="009866A8">
            <w:pPr>
              <w:jc w:val="center"/>
              <w:rPr>
                <w:b/>
                <w:bCs/>
                <w:sz w:val="16"/>
                <w:szCs w:val="16"/>
                <w:lang w:val="tr-TR"/>
              </w:rPr>
            </w:pPr>
            <w:r w:rsidRPr="001A4B94">
              <w:rPr>
                <w:b/>
                <w:bCs/>
                <w:sz w:val="16"/>
                <w:szCs w:val="16"/>
                <w:lang w:val="tr-TR"/>
              </w:rPr>
              <w:t>Risk Yön</w:t>
            </w:r>
          </w:p>
        </w:tc>
        <w:tc>
          <w:tcPr>
            <w:tcW w:w="919" w:type="dxa"/>
            <w:vMerge w:val="restart"/>
            <w:tcBorders>
              <w:top w:val="nil"/>
              <w:left w:val="nil"/>
              <w:bottom w:val="single" w:sz="8" w:space="0" w:color="000000"/>
              <w:right w:val="nil"/>
            </w:tcBorders>
            <w:shd w:val="clear" w:color="auto" w:fill="auto"/>
            <w:vAlign w:val="center"/>
            <w:hideMark/>
          </w:tcPr>
          <w:p w14:paraId="4D5B6697" w14:textId="5CFB7F4D" w:rsidR="009866A8" w:rsidRPr="001A4B94" w:rsidRDefault="009866A8" w:rsidP="009866A8">
            <w:pPr>
              <w:jc w:val="center"/>
              <w:rPr>
                <w:b/>
                <w:bCs/>
                <w:sz w:val="16"/>
                <w:szCs w:val="16"/>
                <w:lang w:val="tr-TR"/>
              </w:rPr>
            </w:pPr>
            <w:r w:rsidRPr="001A4B94">
              <w:rPr>
                <w:b/>
                <w:bCs/>
                <w:sz w:val="16"/>
                <w:szCs w:val="16"/>
                <w:lang w:val="tr-TR"/>
              </w:rPr>
              <w:t>IFC TOPLAM</w:t>
            </w:r>
          </w:p>
        </w:tc>
        <w:tc>
          <w:tcPr>
            <w:tcW w:w="990" w:type="dxa"/>
            <w:vMerge w:val="restart"/>
            <w:tcBorders>
              <w:top w:val="nil"/>
              <w:left w:val="nil"/>
              <w:bottom w:val="single" w:sz="8" w:space="0" w:color="000000"/>
              <w:right w:val="nil"/>
            </w:tcBorders>
            <w:shd w:val="clear" w:color="auto" w:fill="auto"/>
            <w:vAlign w:val="center"/>
            <w:hideMark/>
          </w:tcPr>
          <w:p w14:paraId="467B9F06" w14:textId="01D6C106" w:rsidR="009866A8" w:rsidRPr="001A4B94" w:rsidRDefault="009866A8" w:rsidP="009866A8">
            <w:pPr>
              <w:jc w:val="center"/>
              <w:rPr>
                <w:b/>
                <w:bCs/>
                <w:sz w:val="16"/>
                <w:szCs w:val="16"/>
                <w:lang w:val="tr-TR"/>
              </w:rPr>
            </w:pPr>
            <w:r w:rsidRPr="001A4B94">
              <w:rPr>
                <w:b/>
                <w:bCs/>
                <w:sz w:val="16"/>
                <w:szCs w:val="16"/>
                <w:lang w:val="tr-TR"/>
              </w:rPr>
              <w:t>Katılımcı</w:t>
            </w:r>
          </w:p>
        </w:tc>
      </w:tr>
      <w:tr w:rsidR="00F16E72" w:rsidRPr="001A4B94" w14:paraId="2C5CC880" w14:textId="77777777" w:rsidTr="007C4843">
        <w:trPr>
          <w:trHeight w:val="270"/>
          <w:jc w:val="center"/>
        </w:trPr>
        <w:tc>
          <w:tcPr>
            <w:tcW w:w="1900" w:type="dxa"/>
            <w:tcBorders>
              <w:top w:val="nil"/>
              <w:left w:val="nil"/>
              <w:bottom w:val="single" w:sz="8" w:space="0" w:color="auto"/>
              <w:right w:val="nil"/>
            </w:tcBorders>
            <w:shd w:val="clear" w:color="auto" w:fill="auto"/>
            <w:vAlign w:val="center"/>
            <w:hideMark/>
          </w:tcPr>
          <w:p w14:paraId="35838E0D" w14:textId="6EEBB9C6" w:rsidR="00F16E72" w:rsidRPr="001A4B94" w:rsidRDefault="009866A8" w:rsidP="00F16E72">
            <w:pPr>
              <w:rPr>
                <w:b/>
                <w:bCs/>
                <w:sz w:val="16"/>
                <w:szCs w:val="16"/>
                <w:lang w:val="tr-TR"/>
              </w:rPr>
            </w:pPr>
            <w:r w:rsidRPr="001A4B94">
              <w:rPr>
                <w:b/>
                <w:bCs/>
                <w:sz w:val="16"/>
                <w:szCs w:val="16"/>
                <w:lang w:val="tr-TR"/>
              </w:rPr>
              <w:t xml:space="preserve">Mali Yıl </w:t>
            </w:r>
          </w:p>
        </w:tc>
        <w:tc>
          <w:tcPr>
            <w:tcW w:w="1470" w:type="dxa"/>
            <w:tcBorders>
              <w:top w:val="nil"/>
              <w:left w:val="nil"/>
              <w:bottom w:val="single" w:sz="8" w:space="0" w:color="auto"/>
              <w:right w:val="nil"/>
            </w:tcBorders>
            <w:shd w:val="clear" w:color="auto" w:fill="auto"/>
            <w:noWrap/>
            <w:vAlign w:val="center"/>
            <w:hideMark/>
          </w:tcPr>
          <w:p w14:paraId="12ED5381" w14:textId="38108100" w:rsidR="00F16E72" w:rsidRPr="001A4B94" w:rsidRDefault="009866A8" w:rsidP="00F16E72">
            <w:pPr>
              <w:rPr>
                <w:b/>
                <w:bCs/>
                <w:sz w:val="16"/>
                <w:szCs w:val="16"/>
                <w:lang w:val="tr-TR"/>
              </w:rPr>
            </w:pPr>
            <w:r w:rsidRPr="001A4B94">
              <w:rPr>
                <w:b/>
                <w:bCs/>
                <w:sz w:val="16"/>
                <w:szCs w:val="16"/>
                <w:lang w:val="tr-TR"/>
              </w:rPr>
              <w:t>Kısa Adı</w:t>
            </w:r>
          </w:p>
        </w:tc>
        <w:tc>
          <w:tcPr>
            <w:tcW w:w="776" w:type="dxa"/>
            <w:vMerge/>
            <w:tcBorders>
              <w:top w:val="nil"/>
              <w:left w:val="nil"/>
              <w:bottom w:val="single" w:sz="8" w:space="0" w:color="000000"/>
              <w:right w:val="nil"/>
            </w:tcBorders>
            <w:vAlign w:val="center"/>
            <w:hideMark/>
          </w:tcPr>
          <w:p w14:paraId="35A939FB" w14:textId="77777777" w:rsidR="00F16E72" w:rsidRPr="001A4B94" w:rsidRDefault="00F16E72" w:rsidP="00F16E72">
            <w:pPr>
              <w:rPr>
                <w:b/>
                <w:bCs/>
                <w:sz w:val="16"/>
                <w:szCs w:val="16"/>
                <w:lang w:val="tr-TR"/>
              </w:rPr>
            </w:pPr>
          </w:p>
        </w:tc>
        <w:tc>
          <w:tcPr>
            <w:tcW w:w="812" w:type="dxa"/>
            <w:vMerge/>
            <w:tcBorders>
              <w:top w:val="nil"/>
              <w:left w:val="nil"/>
              <w:bottom w:val="single" w:sz="8" w:space="0" w:color="000000"/>
              <w:right w:val="nil"/>
            </w:tcBorders>
            <w:vAlign w:val="center"/>
            <w:hideMark/>
          </w:tcPr>
          <w:p w14:paraId="38221BEA" w14:textId="77777777" w:rsidR="00F16E72" w:rsidRPr="001A4B94" w:rsidRDefault="00F16E72" w:rsidP="00F16E72">
            <w:pPr>
              <w:rPr>
                <w:b/>
                <w:bCs/>
                <w:sz w:val="16"/>
                <w:szCs w:val="16"/>
                <w:lang w:val="tr-TR"/>
              </w:rPr>
            </w:pPr>
          </w:p>
        </w:tc>
        <w:tc>
          <w:tcPr>
            <w:tcW w:w="812" w:type="dxa"/>
            <w:vMerge/>
            <w:tcBorders>
              <w:top w:val="nil"/>
              <w:left w:val="nil"/>
              <w:bottom w:val="single" w:sz="8" w:space="0" w:color="000000"/>
              <w:right w:val="nil"/>
            </w:tcBorders>
            <w:vAlign w:val="center"/>
            <w:hideMark/>
          </w:tcPr>
          <w:p w14:paraId="0F95AFA9" w14:textId="77777777" w:rsidR="00F16E72" w:rsidRPr="001A4B94" w:rsidRDefault="00F16E72" w:rsidP="00F16E72">
            <w:pPr>
              <w:rPr>
                <w:b/>
                <w:bCs/>
                <w:sz w:val="16"/>
                <w:szCs w:val="16"/>
                <w:lang w:val="tr-TR"/>
              </w:rPr>
            </w:pPr>
          </w:p>
        </w:tc>
        <w:tc>
          <w:tcPr>
            <w:tcW w:w="706" w:type="dxa"/>
            <w:vMerge/>
            <w:tcBorders>
              <w:top w:val="nil"/>
              <w:left w:val="nil"/>
              <w:bottom w:val="single" w:sz="8" w:space="0" w:color="000000"/>
              <w:right w:val="nil"/>
            </w:tcBorders>
            <w:vAlign w:val="center"/>
            <w:hideMark/>
          </w:tcPr>
          <w:p w14:paraId="7C809D17" w14:textId="77777777" w:rsidR="00F16E72" w:rsidRPr="001A4B94" w:rsidRDefault="00F16E72" w:rsidP="00F16E72">
            <w:pPr>
              <w:rPr>
                <w:b/>
                <w:bCs/>
                <w:sz w:val="16"/>
                <w:szCs w:val="16"/>
                <w:lang w:val="tr-TR"/>
              </w:rPr>
            </w:pPr>
          </w:p>
        </w:tc>
        <w:tc>
          <w:tcPr>
            <w:tcW w:w="710" w:type="dxa"/>
            <w:vMerge/>
            <w:tcBorders>
              <w:top w:val="nil"/>
              <w:left w:val="nil"/>
              <w:bottom w:val="single" w:sz="8" w:space="0" w:color="000000"/>
              <w:right w:val="nil"/>
            </w:tcBorders>
            <w:vAlign w:val="center"/>
            <w:hideMark/>
          </w:tcPr>
          <w:p w14:paraId="6D176C1F" w14:textId="77777777" w:rsidR="00F16E72" w:rsidRPr="001A4B94" w:rsidRDefault="00F16E72" w:rsidP="00F16E72">
            <w:pPr>
              <w:rPr>
                <w:b/>
                <w:bCs/>
                <w:sz w:val="16"/>
                <w:szCs w:val="16"/>
                <w:lang w:val="tr-TR"/>
              </w:rPr>
            </w:pPr>
          </w:p>
        </w:tc>
        <w:tc>
          <w:tcPr>
            <w:tcW w:w="919" w:type="dxa"/>
            <w:vMerge/>
            <w:tcBorders>
              <w:top w:val="nil"/>
              <w:left w:val="nil"/>
              <w:bottom w:val="single" w:sz="8" w:space="0" w:color="000000"/>
              <w:right w:val="nil"/>
            </w:tcBorders>
            <w:vAlign w:val="center"/>
            <w:hideMark/>
          </w:tcPr>
          <w:p w14:paraId="369BC957" w14:textId="77777777" w:rsidR="00F16E72" w:rsidRPr="001A4B94" w:rsidRDefault="00F16E72" w:rsidP="00F16E72">
            <w:pPr>
              <w:rPr>
                <w:b/>
                <w:bCs/>
                <w:sz w:val="16"/>
                <w:szCs w:val="16"/>
                <w:lang w:val="tr-TR"/>
              </w:rPr>
            </w:pPr>
          </w:p>
        </w:tc>
        <w:tc>
          <w:tcPr>
            <w:tcW w:w="1069" w:type="dxa"/>
            <w:vMerge/>
            <w:tcBorders>
              <w:top w:val="nil"/>
              <w:left w:val="nil"/>
              <w:bottom w:val="single" w:sz="8" w:space="0" w:color="000000"/>
              <w:right w:val="nil"/>
            </w:tcBorders>
            <w:vAlign w:val="center"/>
            <w:hideMark/>
          </w:tcPr>
          <w:p w14:paraId="1187CDA0" w14:textId="77777777" w:rsidR="00F16E72" w:rsidRPr="001A4B94" w:rsidRDefault="00F16E72" w:rsidP="00F16E72">
            <w:pPr>
              <w:rPr>
                <w:b/>
                <w:bCs/>
                <w:sz w:val="16"/>
                <w:szCs w:val="16"/>
                <w:lang w:val="tr-TR"/>
              </w:rPr>
            </w:pPr>
          </w:p>
        </w:tc>
        <w:tc>
          <w:tcPr>
            <w:tcW w:w="776" w:type="dxa"/>
            <w:vMerge/>
            <w:tcBorders>
              <w:top w:val="nil"/>
              <w:left w:val="nil"/>
              <w:bottom w:val="single" w:sz="8" w:space="0" w:color="000000"/>
              <w:right w:val="nil"/>
            </w:tcBorders>
            <w:vAlign w:val="center"/>
            <w:hideMark/>
          </w:tcPr>
          <w:p w14:paraId="21E81D63" w14:textId="77777777" w:rsidR="00F16E72" w:rsidRPr="001A4B94" w:rsidRDefault="00F16E72" w:rsidP="00F16E72">
            <w:pPr>
              <w:rPr>
                <w:b/>
                <w:bCs/>
                <w:sz w:val="16"/>
                <w:szCs w:val="16"/>
                <w:lang w:val="tr-TR"/>
              </w:rPr>
            </w:pPr>
          </w:p>
        </w:tc>
        <w:tc>
          <w:tcPr>
            <w:tcW w:w="812" w:type="dxa"/>
            <w:vMerge/>
            <w:tcBorders>
              <w:top w:val="nil"/>
              <w:left w:val="nil"/>
              <w:bottom w:val="single" w:sz="8" w:space="0" w:color="000000"/>
              <w:right w:val="nil"/>
            </w:tcBorders>
            <w:vAlign w:val="center"/>
            <w:hideMark/>
          </w:tcPr>
          <w:p w14:paraId="60BC2386" w14:textId="77777777" w:rsidR="00F16E72" w:rsidRPr="001A4B94" w:rsidRDefault="00F16E72" w:rsidP="00F16E72">
            <w:pPr>
              <w:rPr>
                <w:b/>
                <w:bCs/>
                <w:sz w:val="16"/>
                <w:szCs w:val="16"/>
                <w:lang w:val="tr-TR"/>
              </w:rPr>
            </w:pPr>
          </w:p>
        </w:tc>
        <w:tc>
          <w:tcPr>
            <w:tcW w:w="812" w:type="dxa"/>
            <w:vMerge/>
            <w:tcBorders>
              <w:top w:val="nil"/>
              <w:left w:val="nil"/>
              <w:bottom w:val="single" w:sz="8" w:space="0" w:color="000000"/>
              <w:right w:val="nil"/>
            </w:tcBorders>
            <w:vAlign w:val="center"/>
            <w:hideMark/>
          </w:tcPr>
          <w:p w14:paraId="2CABAD3D" w14:textId="77777777" w:rsidR="00F16E72" w:rsidRPr="001A4B94" w:rsidRDefault="00F16E72" w:rsidP="00F16E72">
            <w:pPr>
              <w:rPr>
                <w:b/>
                <w:bCs/>
                <w:sz w:val="16"/>
                <w:szCs w:val="16"/>
                <w:lang w:val="tr-TR"/>
              </w:rPr>
            </w:pPr>
          </w:p>
        </w:tc>
        <w:tc>
          <w:tcPr>
            <w:tcW w:w="706" w:type="dxa"/>
            <w:vMerge/>
            <w:tcBorders>
              <w:top w:val="nil"/>
              <w:left w:val="nil"/>
              <w:bottom w:val="single" w:sz="8" w:space="0" w:color="000000"/>
              <w:right w:val="nil"/>
            </w:tcBorders>
            <w:vAlign w:val="center"/>
            <w:hideMark/>
          </w:tcPr>
          <w:p w14:paraId="5121C3AB" w14:textId="77777777" w:rsidR="00F16E72" w:rsidRPr="001A4B94" w:rsidRDefault="00F16E72" w:rsidP="00F16E72">
            <w:pPr>
              <w:rPr>
                <w:b/>
                <w:bCs/>
                <w:sz w:val="16"/>
                <w:szCs w:val="16"/>
                <w:lang w:val="tr-TR"/>
              </w:rPr>
            </w:pPr>
          </w:p>
        </w:tc>
        <w:tc>
          <w:tcPr>
            <w:tcW w:w="685" w:type="dxa"/>
            <w:vMerge/>
            <w:tcBorders>
              <w:top w:val="nil"/>
              <w:left w:val="nil"/>
              <w:bottom w:val="single" w:sz="8" w:space="0" w:color="000000"/>
              <w:right w:val="nil"/>
            </w:tcBorders>
            <w:vAlign w:val="center"/>
            <w:hideMark/>
          </w:tcPr>
          <w:p w14:paraId="175C4E0A" w14:textId="77777777" w:rsidR="00F16E72" w:rsidRPr="001A4B94" w:rsidRDefault="00F16E72" w:rsidP="00F16E72">
            <w:pPr>
              <w:rPr>
                <w:b/>
                <w:bCs/>
                <w:sz w:val="16"/>
                <w:szCs w:val="16"/>
                <w:lang w:val="tr-TR"/>
              </w:rPr>
            </w:pPr>
          </w:p>
        </w:tc>
        <w:tc>
          <w:tcPr>
            <w:tcW w:w="919" w:type="dxa"/>
            <w:vMerge/>
            <w:tcBorders>
              <w:top w:val="nil"/>
              <w:left w:val="nil"/>
              <w:bottom w:val="single" w:sz="8" w:space="0" w:color="000000"/>
              <w:right w:val="nil"/>
            </w:tcBorders>
            <w:vAlign w:val="center"/>
            <w:hideMark/>
          </w:tcPr>
          <w:p w14:paraId="4B2AA415" w14:textId="77777777" w:rsidR="00F16E72" w:rsidRPr="001A4B94" w:rsidRDefault="00F16E72" w:rsidP="00F16E72">
            <w:pPr>
              <w:rPr>
                <w:b/>
                <w:bCs/>
                <w:sz w:val="16"/>
                <w:szCs w:val="16"/>
                <w:lang w:val="tr-TR"/>
              </w:rPr>
            </w:pPr>
          </w:p>
        </w:tc>
        <w:tc>
          <w:tcPr>
            <w:tcW w:w="990" w:type="dxa"/>
            <w:vMerge/>
            <w:tcBorders>
              <w:top w:val="nil"/>
              <w:left w:val="nil"/>
              <w:bottom w:val="single" w:sz="8" w:space="0" w:color="000000"/>
              <w:right w:val="nil"/>
            </w:tcBorders>
            <w:vAlign w:val="center"/>
            <w:hideMark/>
          </w:tcPr>
          <w:p w14:paraId="3DE59A49" w14:textId="77777777" w:rsidR="00F16E72" w:rsidRPr="001A4B94" w:rsidRDefault="00F16E72" w:rsidP="00F16E72">
            <w:pPr>
              <w:rPr>
                <w:b/>
                <w:bCs/>
                <w:sz w:val="16"/>
                <w:szCs w:val="16"/>
                <w:lang w:val="tr-TR"/>
              </w:rPr>
            </w:pPr>
          </w:p>
        </w:tc>
      </w:tr>
      <w:tr w:rsidR="00F16E72" w:rsidRPr="001A4B94" w14:paraId="2E3A95B8" w14:textId="77777777" w:rsidTr="007C4843">
        <w:trPr>
          <w:trHeight w:val="255"/>
          <w:jc w:val="center"/>
        </w:trPr>
        <w:tc>
          <w:tcPr>
            <w:tcW w:w="1900" w:type="dxa"/>
            <w:tcBorders>
              <w:top w:val="nil"/>
              <w:left w:val="nil"/>
              <w:bottom w:val="nil"/>
              <w:right w:val="nil"/>
            </w:tcBorders>
            <w:shd w:val="clear" w:color="auto" w:fill="D9D9D9"/>
            <w:vAlign w:val="center"/>
            <w:hideMark/>
          </w:tcPr>
          <w:p w14:paraId="7E849224"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auto" w:fill="D9D9D9"/>
            <w:noWrap/>
            <w:vAlign w:val="center"/>
            <w:hideMark/>
          </w:tcPr>
          <w:p w14:paraId="3EE75F65" w14:textId="165FFCAA" w:rsidR="00F16E72" w:rsidRPr="001A4B94" w:rsidRDefault="00F16E72" w:rsidP="00F16E72">
            <w:pPr>
              <w:rPr>
                <w:sz w:val="16"/>
                <w:szCs w:val="16"/>
                <w:lang w:val="tr-TR"/>
              </w:rPr>
            </w:pPr>
            <w:r w:rsidRPr="001A4B94">
              <w:rPr>
                <w:sz w:val="16"/>
                <w:szCs w:val="16"/>
                <w:lang w:val="tr-TR"/>
              </w:rPr>
              <w:t>ACWA G</w:t>
            </w:r>
            <w:r w:rsidR="009866A8" w:rsidRPr="001A4B94">
              <w:rPr>
                <w:sz w:val="16"/>
                <w:szCs w:val="16"/>
                <w:lang w:val="tr-TR"/>
              </w:rPr>
              <w:t>üç</w:t>
            </w:r>
          </w:p>
        </w:tc>
        <w:tc>
          <w:tcPr>
            <w:tcW w:w="776" w:type="dxa"/>
            <w:tcBorders>
              <w:top w:val="nil"/>
              <w:left w:val="nil"/>
              <w:bottom w:val="nil"/>
              <w:right w:val="nil"/>
            </w:tcBorders>
            <w:shd w:val="clear" w:color="auto" w:fill="D9D9D9"/>
            <w:noWrap/>
            <w:vAlign w:val="center"/>
            <w:hideMark/>
          </w:tcPr>
          <w:p w14:paraId="4D438A52" w14:textId="0008161E" w:rsidR="00F16E72" w:rsidRPr="001A4B94" w:rsidRDefault="00F16E72" w:rsidP="00F16E72">
            <w:pPr>
              <w:jc w:val="right"/>
              <w:rPr>
                <w:sz w:val="16"/>
                <w:szCs w:val="16"/>
                <w:lang w:val="tr-TR"/>
              </w:rPr>
            </w:pPr>
            <w:r w:rsidRPr="001A4B94">
              <w:rPr>
                <w:sz w:val="16"/>
                <w:szCs w:val="16"/>
                <w:lang w:val="tr-TR"/>
              </w:rPr>
              <w:t>125</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auto" w:fill="D9D9D9"/>
            <w:noWrap/>
            <w:vAlign w:val="center"/>
            <w:hideMark/>
          </w:tcPr>
          <w:p w14:paraId="331E437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B0EA6E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C261674"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0C3849D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6768883" w14:textId="64DC75E0" w:rsidR="00F16E72" w:rsidRPr="001A4B94" w:rsidRDefault="00F16E72" w:rsidP="00F16E72">
            <w:pPr>
              <w:jc w:val="right"/>
              <w:rPr>
                <w:sz w:val="16"/>
                <w:szCs w:val="16"/>
                <w:lang w:val="tr-TR"/>
              </w:rPr>
            </w:pPr>
            <w:r w:rsidRPr="001A4B94">
              <w:rPr>
                <w:sz w:val="16"/>
                <w:szCs w:val="16"/>
                <w:lang w:val="tr-TR"/>
              </w:rPr>
              <w:t>125</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auto" w:fill="D9D9D9"/>
            <w:noWrap/>
            <w:vAlign w:val="center"/>
            <w:hideMark/>
          </w:tcPr>
          <w:p w14:paraId="6C5FF2A3" w14:textId="218B5AC5" w:rsidR="00F16E72" w:rsidRPr="001A4B94" w:rsidRDefault="00F16E72" w:rsidP="00F16E72">
            <w:pPr>
              <w:jc w:val="right"/>
              <w:rPr>
                <w:sz w:val="16"/>
                <w:szCs w:val="16"/>
                <w:lang w:val="tr-TR"/>
              </w:rPr>
            </w:pPr>
            <w:r w:rsidRPr="001A4B94">
              <w:rPr>
                <w:sz w:val="16"/>
                <w:szCs w:val="16"/>
                <w:lang w:val="tr-TR"/>
              </w:rPr>
              <w:t>45</w:t>
            </w:r>
            <w:r w:rsidR="007C4843" w:rsidRPr="001A4B94">
              <w:rPr>
                <w:sz w:val="16"/>
                <w:szCs w:val="16"/>
                <w:lang w:val="tr-TR"/>
              </w:rPr>
              <w:t>,</w:t>
            </w:r>
            <w:r w:rsidRPr="001A4B94">
              <w:rPr>
                <w:sz w:val="16"/>
                <w:szCs w:val="16"/>
                <w:lang w:val="tr-TR"/>
              </w:rPr>
              <w:t>00</w:t>
            </w:r>
          </w:p>
        </w:tc>
        <w:tc>
          <w:tcPr>
            <w:tcW w:w="776" w:type="dxa"/>
            <w:tcBorders>
              <w:top w:val="nil"/>
              <w:left w:val="nil"/>
              <w:bottom w:val="nil"/>
              <w:right w:val="nil"/>
            </w:tcBorders>
            <w:shd w:val="clear" w:color="auto" w:fill="D9D9D9"/>
            <w:noWrap/>
            <w:vAlign w:val="center"/>
            <w:hideMark/>
          </w:tcPr>
          <w:p w14:paraId="37EC4A61" w14:textId="1DEA3D53" w:rsidR="00F16E72" w:rsidRPr="001A4B94" w:rsidRDefault="00F16E72" w:rsidP="00F16E72">
            <w:pPr>
              <w:jc w:val="right"/>
              <w:rPr>
                <w:sz w:val="16"/>
                <w:szCs w:val="16"/>
                <w:lang w:val="tr-TR"/>
              </w:rPr>
            </w:pPr>
            <w:r w:rsidRPr="001A4B94">
              <w:rPr>
                <w:sz w:val="16"/>
                <w:szCs w:val="16"/>
                <w:lang w:val="tr-TR"/>
              </w:rPr>
              <w:t>118</w:t>
            </w:r>
            <w:r w:rsidR="007C4843" w:rsidRPr="001A4B94">
              <w:rPr>
                <w:sz w:val="16"/>
                <w:szCs w:val="16"/>
                <w:lang w:val="tr-TR"/>
              </w:rPr>
              <w:t>,</w:t>
            </w:r>
            <w:r w:rsidRPr="001A4B94">
              <w:rPr>
                <w:sz w:val="16"/>
                <w:szCs w:val="16"/>
                <w:lang w:val="tr-TR"/>
              </w:rPr>
              <w:t>33</w:t>
            </w:r>
          </w:p>
        </w:tc>
        <w:tc>
          <w:tcPr>
            <w:tcW w:w="812" w:type="dxa"/>
            <w:tcBorders>
              <w:top w:val="nil"/>
              <w:left w:val="nil"/>
              <w:bottom w:val="nil"/>
              <w:right w:val="nil"/>
            </w:tcBorders>
            <w:shd w:val="clear" w:color="auto" w:fill="D9D9D9"/>
            <w:noWrap/>
            <w:vAlign w:val="center"/>
            <w:hideMark/>
          </w:tcPr>
          <w:p w14:paraId="7EEE4C1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16EB15C9"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53AF6F4C"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0C4DA80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A34D4B7" w14:textId="1D0F924D" w:rsidR="00F16E72" w:rsidRPr="001A4B94" w:rsidRDefault="00F16E72" w:rsidP="00F16E72">
            <w:pPr>
              <w:jc w:val="right"/>
              <w:rPr>
                <w:sz w:val="16"/>
                <w:szCs w:val="16"/>
                <w:lang w:val="tr-TR"/>
              </w:rPr>
            </w:pPr>
            <w:r w:rsidRPr="001A4B94">
              <w:rPr>
                <w:sz w:val="16"/>
                <w:szCs w:val="16"/>
                <w:lang w:val="tr-TR"/>
              </w:rPr>
              <w:t>118</w:t>
            </w:r>
            <w:r w:rsidR="007C4843" w:rsidRPr="001A4B94">
              <w:rPr>
                <w:sz w:val="16"/>
                <w:szCs w:val="16"/>
                <w:lang w:val="tr-TR"/>
              </w:rPr>
              <w:t>,</w:t>
            </w:r>
            <w:r w:rsidRPr="001A4B94">
              <w:rPr>
                <w:sz w:val="16"/>
                <w:szCs w:val="16"/>
                <w:lang w:val="tr-TR"/>
              </w:rPr>
              <w:t>33</w:t>
            </w:r>
          </w:p>
        </w:tc>
        <w:tc>
          <w:tcPr>
            <w:tcW w:w="990" w:type="dxa"/>
            <w:tcBorders>
              <w:top w:val="nil"/>
              <w:left w:val="nil"/>
              <w:bottom w:val="nil"/>
              <w:right w:val="nil"/>
            </w:tcBorders>
            <w:shd w:val="clear" w:color="auto" w:fill="D9D9D9"/>
            <w:noWrap/>
            <w:vAlign w:val="center"/>
            <w:hideMark/>
          </w:tcPr>
          <w:p w14:paraId="77D129B9" w14:textId="4C707C41" w:rsidR="00F16E72" w:rsidRPr="001A4B94" w:rsidRDefault="00F16E72" w:rsidP="00F16E72">
            <w:pPr>
              <w:jc w:val="right"/>
              <w:rPr>
                <w:sz w:val="16"/>
                <w:szCs w:val="16"/>
                <w:lang w:val="tr-TR"/>
              </w:rPr>
            </w:pPr>
            <w:r w:rsidRPr="001A4B94">
              <w:rPr>
                <w:sz w:val="16"/>
                <w:szCs w:val="16"/>
                <w:lang w:val="tr-TR"/>
              </w:rPr>
              <w:t>42</w:t>
            </w:r>
            <w:r w:rsidR="007C4843" w:rsidRPr="001A4B94">
              <w:rPr>
                <w:sz w:val="16"/>
                <w:szCs w:val="16"/>
                <w:lang w:val="tr-TR"/>
              </w:rPr>
              <w:t>,</w:t>
            </w:r>
            <w:r w:rsidRPr="001A4B94">
              <w:rPr>
                <w:sz w:val="16"/>
                <w:szCs w:val="16"/>
                <w:lang w:val="tr-TR"/>
              </w:rPr>
              <w:t>60</w:t>
            </w:r>
          </w:p>
        </w:tc>
      </w:tr>
      <w:tr w:rsidR="00F16E72" w:rsidRPr="001A4B94" w14:paraId="7E85BA60" w14:textId="77777777" w:rsidTr="007C4843">
        <w:trPr>
          <w:trHeight w:val="255"/>
          <w:jc w:val="center"/>
        </w:trPr>
        <w:tc>
          <w:tcPr>
            <w:tcW w:w="1900" w:type="dxa"/>
            <w:tcBorders>
              <w:top w:val="nil"/>
              <w:left w:val="nil"/>
              <w:bottom w:val="nil"/>
              <w:right w:val="nil"/>
            </w:tcBorders>
            <w:shd w:val="clear" w:color="000000" w:fill="FFFFFF"/>
            <w:vAlign w:val="center"/>
            <w:hideMark/>
          </w:tcPr>
          <w:p w14:paraId="188E82E5" w14:textId="77777777" w:rsidR="00F16E72" w:rsidRPr="001A4B94" w:rsidRDefault="00F16E72" w:rsidP="00F16E72">
            <w:pPr>
              <w:rPr>
                <w:sz w:val="16"/>
                <w:szCs w:val="16"/>
                <w:lang w:val="tr-TR"/>
              </w:rPr>
            </w:pPr>
            <w:r w:rsidRPr="001A4B94">
              <w:rPr>
                <w:sz w:val="16"/>
                <w:szCs w:val="16"/>
                <w:lang w:val="tr-TR"/>
              </w:rPr>
              <w:t>2016</w:t>
            </w:r>
          </w:p>
        </w:tc>
        <w:tc>
          <w:tcPr>
            <w:tcW w:w="1470" w:type="dxa"/>
            <w:tcBorders>
              <w:top w:val="nil"/>
              <w:left w:val="nil"/>
              <w:bottom w:val="nil"/>
              <w:right w:val="nil"/>
            </w:tcBorders>
            <w:shd w:val="clear" w:color="000000" w:fill="FFFFFF"/>
            <w:noWrap/>
            <w:vAlign w:val="center"/>
            <w:hideMark/>
          </w:tcPr>
          <w:p w14:paraId="2E4056DF" w14:textId="77777777" w:rsidR="00F16E72" w:rsidRPr="001A4B94" w:rsidRDefault="00F16E72" w:rsidP="00F16E72">
            <w:pPr>
              <w:rPr>
                <w:sz w:val="16"/>
                <w:szCs w:val="16"/>
                <w:lang w:val="tr-TR"/>
              </w:rPr>
            </w:pPr>
            <w:r w:rsidRPr="001A4B94">
              <w:rPr>
                <w:sz w:val="16"/>
                <w:szCs w:val="16"/>
                <w:lang w:val="tr-TR"/>
              </w:rPr>
              <w:t>AKCEZ</w:t>
            </w:r>
          </w:p>
        </w:tc>
        <w:tc>
          <w:tcPr>
            <w:tcW w:w="776" w:type="dxa"/>
            <w:tcBorders>
              <w:top w:val="nil"/>
              <w:left w:val="nil"/>
              <w:bottom w:val="nil"/>
              <w:right w:val="nil"/>
            </w:tcBorders>
            <w:shd w:val="clear" w:color="000000" w:fill="FFFFFF"/>
            <w:noWrap/>
            <w:vAlign w:val="center"/>
            <w:hideMark/>
          </w:tcPr>
          <w:p w14:paraId="75516E05" w14:textId="63E1C50C" w:rsidR="00F16E72" w:rsidRPr="001A4B94" w:rsidRDefault="00F16E72" w:rsidP="00F16E72">
            <w:pPr>
              <w:jc w:val="right"/>
              <w:rPr>
                <w:sz w:val="16"/>
                <w:szCs w:val="16"/>
                <w:lang w:val="tr-TR"/>
              </w:rPr>
            </w:pPr>
            <w:r w:rsidRPr="001A4B94">
              <w:rPr>
                <w:sz w:val="16"/>
                <w:szCs w:val="16"/>
                <w:lang w:val="tr-TR"/>
              </w:rPr>
              <w:t>97</w:t>
            </w:r>
            <w:r w:rsidR="007C4843" w:rsidRPr="001A4B94">
              <w:rPr>
                <w:sz w:val="16"/>
                <w:szCs w:val="16"/>
                <w:lang w:val="tr-TR"/>
              </w:rPr>
              <w:t>,</w:t>
            </w:r>
            <w:r w:rsidRPr="001A4B94">
              <w:rPr>
                <w:sz w:val="16"/>
                <w:szCs w:val="16"/>
                <w:lang w:val="tr-TR"/>
              </w:rPr>
              <w:t>29</w:t>
            </w:r>
          </w:p>
        </w:tc>
        <w:tc>
          <w:tcPr>
            <w:tcW w:w="812" w:type="dxa"/>
            <w:tcBorders>
              <w:top w:val="nil"/>
              <w:left w:val="nil"/>
              <w:bottom w:val="nil"/>
              <w:right w:val="nil"/>
            </w:tcBorders>
            <w:shd w:val="clear" w:color="000000" w:fill="FFFFFF"/>
            <w:noWrap/>
            <w:vAlign w:val="center"/>
            <w:hideMark/>
          </w:tcPr>
          <w:p w14:paraId="4FF69AD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29E3E6F"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4BCE017D"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391BF81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010988D7" w14:textId="35518813" w:rsidR="00F16E72" w:rsidRPr="001A4B94" w:rsidRDefault="00F16E72" w:rsidP="00F16E72">
            <w:pPr>
              <w:jc w:val="right"/>
              <w:rPr>
                <w:sz w:val="16"/>
                <w:szCs w:val="16"/>
                <w:lang w:val="tr-TR"/>
              </w:rPr>
            </w:pPr>
            <w:r w:rsidRPr="001A4B94">
              <w:rPr>
                <w:sz w:val="16"/>
                <w:szCs w:val="16"/>
                <w:lang w:val="tr-TR"/>
              </w:rPr>
              <w:t>97</w:t>
            </w:r>
            <w:r w:rsidR="007C4843" w:rsidRPr="001A4B94">
              <w:rPr>
                <w:sz w:val="16"/>
                <w:szCs w:val="16"/>
                <w:lang w:val="tr-TR"/>
              </w:rPr>
              <w:t>,</w:t>
            </w:r>
            <w:r w:rsidRPr="001A4B94">
              <w:rPr>
                <w:sz w:val="16"/>
                <w:szCs w:val="16"/>
                <w:lang w:val="tr-TR"/>
              </w:rPr>
              <w:t>29</w:t>
            </w:r>
          </w:p>
        </w:tc>
        <w:tc>
          <w:tcPr>
            <w:tcW w:w="1069" w:type="dxa"/>
            <w:tcBorders>
              <w:top w:val="nil"/>
              <w:left w:val="nil"/>
              <w:bottom w:val="nil"/>
              <w:right w:val="nil"/>
            </w:tcBorders>
            <w:shd w:val="clear" w:color="000000" w:fill="FFFFFF"/>
            <w:noWrap/>
            <w:vAlign w:val="center"/>
            <w:hideMark/>
          </w:tcPr>
          <w:p w14:paraId="65D34498" w14:textId="49B7C813" w:rsidR="00F16E72" w:rsidRPr="001A4B94" w:rsidRDefault="00F16E72" w:rsidP="00F16E72">
            <w:pPr>
              <w:jc w:val="right"/>
              <w:rPr>
                <w:sz w:val="16"/>
                <w:szCs w:val="16"/>
                <w:lang w:val="tr-TR"/>
              </w:rPr>
            </w:pPr>
            <w:r w:rsidRPr="001A4B94">
              <w:rPr>
                <w:sz w:val="16"/>
                <w:szCs w:val="16"/>
                <w:lang w:val="tr-TR"/>
              </w:rPr>
              <w:t>54</w:t>
            </w:r>
            <w:r w:rsidR="007C4843" w:rsidRPr="001A4B94">
              <w:rPr>
                <w:sz w:val="16"/>
                <w:szCs w:val="16"/>
                <w:lang w:val="tr-TR"/>
              </w:rPr>
              <w:t>,</w:t>
            </w:r>
            <w:r w:rsidRPr="001A4B94">
              <w:rPr>
                <w:sz w:val="16"/>
                <w:szCs w:val="16"/>
                <w:lang w:val="tr-TR"/>
              </w:rPr>
              <w:t>78</w:t>
            </w:r>
          </w:p>
        </w:tc>
        <w:tc>
          <w:tcPr>
            <w:tcW w:w="776" w:type="dxa"/>
            <w:tcBorders>
              <w:top w:val="nil"/>
              <w:left w:val="nil"/>
              <w:bottom w:val="nil"/>
              <w:right w:val="nil"/>
            </w:tcBorders>
            <w:shd w:val="clear" w:color="000000" w:fill="FFFFFF"/>
            <w:noWrap/>
            <w:vAlign w:val="center"/>
            <w:hideMark/>
          </w:tcPr>
          <w:p w14:paraId="74FB66AA" w14:textId="0EC69F79" w:rsidR="00F16E72" w:rsidRPr="001A4B94" w:rsidRDefault="00F16E72" w:rsidP="00F16E72">
            <w:pPr>
              <w:jc w:val="right"/>
              <w:rPr>
                <w:sz w:val="16"/>
                <w:szCs w:val="16"/>
                <w:lang w:val="tr-TR"/>
              </w:rPr>
            </w:pPr>
            <w:r w:rsidRPr="001A4B94">
              <w:rPr>
                <w:sz w:val="16"/>
                <w:szCs w:val="16"/>
                <w:lang w:val="tr-TR"/>
              </w:rPr>
              <w:t>65</w:t>
            </w:r>
            <w:r w:rsidR="007C4843" w:rsidRPr="001A4B94">
              <w:rPr>
                <w:sz w:val="16"/>
                <w:szCs w:val="16"/>
                <w:lang w:val="tr-TR"/>
              </w:rPr>
              <w:t>,</w:t>
            </w:r>
            <w:r w:rsidRPr="001A4B94">
              <w:rPr>
                <w:sz w:val="16"/>
                <w:szCs w:val="16"/>
                <w:lang w:val="tr-TR"/>
              </w:rPr>
              <w:t>76</w:t>
            </w:r>
          </w:p>
        </w:tc>
        <w:tc>
          <w:tcPr>
            <w:tcW w:w="812" w:type="dxa"/>
            <w:tcBorders>
              <w:top w:val="nil"/>
              <w:left w:val="nil"/>
              <w:bottom w:val="nil"/>
              <w:right w:val="nil"/>
            </w:tcBorders>
            <w:shd w:val="clear" w:color="000000" w:fill="FFFFFF"/>
            <w:noWrap/>
            <w:vAlign w:val="center"/>
            <w:hideMark/>
          </w:tcPr>
          <w:p w14:paraId="6B9E7F3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A82695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80F45A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3CEF1F5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3C91E4A8" w14:textId="659B3F22" w:rsidR="00F16E72" w:rsidRPr="001A4B94" w:rsidRDefault="00F16E72" w:rsidP="00F16E72">
            <w:pPr>
              <w:jc w:val="right"/>
              <w:rPr>
                <w:sz w:val="16"/>
                <w:szCs w:val="16"/>
                <w:lang w:val="tr-TR"/>
              </w:rPr>
            </w:pPr>
            <w:r w:rsidRPr="001A4B94">
              <w:rPr>
                <w:sz w:val="16"/>
                <w:szCs w:val="16"/>
                <w:lang w:val="tr-TR"/>
              </w:rPr>
              <w:t>65</w:t>
            </w:r>
            <w:r w:rsidR="007C4843" w:rsidRPr="001A4B94">
              <w:rPr>
                <w:sz w:val="16"/>
                <w:szCs w:val="16"/>
                <w:lang w:val="tr-TR"/>
              </w:rPr>
              <w:t>,</w:t>
            </w:r>
            <w:r w:rsidRPr="001A4B94">
              <w:rPr>
                <w:sz w:val="16"/>
                <w:szCs w:val="16"/>
                <w:lang w:val="tr-TR"/>
              </w:rPr>
              <w:t>76</w:t>
            </w:r>
          </w:p>
        </w:tc>
        <w:tc>
          <w:tcPr>
            <w:tcW w:w="990" w:type="dxa"/>
            <w:tcBorders>
              <w:top w:val="nil"/>
              <w:left w:val="nil"/>
              <w:bottom w:val="nil"/>
              <w:right w:val="nil"/>
            </w:tcBorders>
            <w:shd w:val="clear" w:color="000000" w:fill="FFFFFF"/>
            <w:noWrap/>
            <w:vAlign w:val="center"/>
            <w:hideMark/>
          </w:tcPr>
          <w:p w14:paraId="43FDE6A2" w14:textId="050B4F81" w:rsidR="00F16E72" w:rsidRPr="001A4B94" w:rsidRDefault="00F16E72" w:rsidP="00F16E72">
            <w:pPr>
              <w:jc w:val="right"/>
              <w:rPr>
                <w:sz w:val="16"/>
                <w:szCs w:val="16"/>
                <w:lang w:val="tr-TR"/>
              </w:rPr>
            </w:pPr>
            <w:r w:rsidRPr="001A4B94">
              <w:rPr>
                <w:sz w:val="16"/>
                <w:szCs w:val="16"/>
                <w:lang w:val="tr-TR"/>
              </w:rPr>
              <w:t>50</w:t>
            </w:r>
            <w:r w:rsidR="007C4843" w:rsidRPr="001A4B94">
              <w:rPr>
                <w:sz w:val="16"/>
                <w:szCs w:val="16"/>
                <w:lang w:val="tr-TR"/>
              </w:rPr>
              <w:t>,</w:t>
            </w:r>
            <w:r w:rsidRPr="001A4B94">
              <w:rPr>
                <w:sz w:val="16"/>
                <w:szCs w:val="16"/>
                <w:lang w:val="tr-TR"/>
              </w:rPr>
              <w:t>56</w:t>
            </w:r>
          </w:p>
        </w:tc>
      </w:tr>
      <w:tr w:rsidR="00F16E72" w:rsidRPr="001A4B94" w14:paraId="4CC30A85" w14:textId="77777777" w:rsidTr="007C4843">
        <w:trPr>
          <w:trHeight w:val="255"/>
          <w:jc w:val="center"/>
        </w:trPr>
        <w:tc>
          <w:tcPr>
            <w:tcW w:w="1900" w:type="dxa"/>
            <w:tcBorders>
              <w:top w:val="nil"/>
              <w:left w:val="nil"/>
              <w:bottom w:val="nil"/>
              <w:right w:val="nil"/>
            </w:tcBorders>
            <w:shd w:val="clear" w:color="auto" w:fill="D9D9D9"/>
            <w:vAlign w:val="center"/>
            <w:hideMark/>
          </w:tcPr>
          <w:p w14:paraId="6B4BF9CC"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auto" w:fill="D9D9D9"/>
            <w:noWrap/>
            <w:vAlign w:val="center"/>
            <w:hideMark/>
          </w:tcPr>
          <w:p w14:paraId="5CBAE9F0" w14:textId="52944044" w:rsidR="00F16E72" w:rsidRPr="001A4B94" w:rsidRDefault="00F16E72" w:rsidP="00F16E72">
            <w:pPr>
              <w:rPr>
                <w:sz w:val="16"/>
                <w:szCs w:val="16"/>
                <w:lang w:val="tr-TR"/>
              </w:rPr>
            </w:pPr>
            <w:r w:rsidRPr="001A4B94">
              <w:rPr>
                <w:sz w:val="16"/>
                <w:szCs w:val="16"/>
                <w:lang w:val="tr-TR"/>
              </w:rPr>
              <w:t>Abraaj T</w:t>
            </w:r>
            <w:r w:rsidR="009866A8" w:rsidRPr="001A4B94">
              <w:rPr>
                <w:sz w:val="16"/>
                <w:szCs w:val="16"/>
                <w:lang w:val="tr-TR"/>
              </w:rPr>
              <w:t xml:space="preserve">ürkiye </w:t>
            </w:r>
            <w:r w:rsidRPr="001A4B94">
              <w:rPr>
                <w:sz w:val="16"/>
                <w:szCs w:val="16"/>
                <w:lang w:val="tr-TR"/>
              </w:rPr>
              <w:t>I</w:t>
            </w:r>
          </w:p>
        </w:tc>
        <w:tc>
          <w:tcPr>
            <w:tcW w:w="776" w:type="dxa"/>
            <w:tcBorders>
              <w:top w:val="nil"/>
              <w:left w:val="nil"/>
              <w:bottom w:val="nil"/>
              <w:right w:val="nil"/>
            </w:tcBorders>
            <w:shd w:val="clear" w:color="auto" w:fill="D9D9D9"/>
            <w:noWrap/>
            <w:vAlign w:val="center"/>
            <w:hideMark/>
          </w:tcPr>
          <w:p w14:paraId="09AD8C8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1F4156A" w14:textId="77268A04" w:rsidR="00F16E72" w:rsidRPr="001A4B94" w:rsidRDefault="00F16E72" w:rsidP="00F16E72">
            <w:pPr>
              <w:jc w:val="right"/>
              <w:rPr>
                <w:sz w:val="16"/>
                <w:szCs w:val="16"/>
                <w:lang w:val="tr-TR"/>
              </w:rPr>
            </w:pPr>
            <w:r w:rsidRPr="001A4B94">
              <w:rPr>
                <w:sz w:val="16"/>
                <w:szCs w:val="16"/>
                <w:lang w:val="tr-TR"/>
              </w:rPr>
              <w:t>39</w:t>
            </w:r>
            <w:r w:rsidR="007C4843" w:rsidRPr="001A4B94">
              <w:rPr>
                <w:sz w:val="16"/>
                <w:szCs w:val="16"/>
                <w:lang w:val="tr-TR"/>
              </w:rPr>
              <w:t>,</w:t>
            </w:r>
            <w:r w:rsidRPr="001A4B94">
              <w:rPr>
                <w:sz w:val="16"/>
                <w:szCs w:val="16"/>
                <w:lang w:val="tr-TR"/>
              </w:rPr>
              <w:t>98</w:t>
            </w:r>
          </w:p>
        </w:tc>
        <w:tc>
          <w:tcPr>
            <w:tcW w:w="812" w:type="dxa"/>
            <w:tcBorders>
              <w:top w:val="nil"/>
              <w:left w:val="nil"/>
              <w:bottom w:val="nil"/>
              <w:right w:val="nil"/>
            </w:tcBorders>
            <w:shd w:val="clear" w:color="auto" w:fill="D9D9D9"/>
            <w:noWrap/>
            <w:vAlign w:val="center"/>
            <w:hideMark/>
          </w:tcPr>
          <w:p w14:paraId="6BE67A91"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3F8FE92"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024ADE1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D37C56C" w14:textId="69A37CC7" w:rsidR="00F16E72" w:rsidRPr="001A4B94" w:rsidRDefault="00F16E72" w:rsidP="00F16E72">
            <w:pPr>
              <w:jc w:val="right"/>
              <w:rPr>
                <w:sz w:val="16"/>
                <w:szCs w:val="16"/>
                <w:lang w:val="tr-TR"/>
              </w:rPr>
            </w:pPr>
            <w:r w:rsidRPr="001A4B94">
              <w:rPr>
                <w:sz w:val="16"/>
                <w:szCs w:val="16"/>
                <w:lang w:val="tr-TR"/>
              </w:rPr>
              <w:t>39</w:t>
            </w:r>
            <w:r w:rsidR="007C4843" w:rsidRPr="001A4B94">
              <w:rPr>
                <w:sz w:val="16"/>
                <w:szCs w:val="16"/>
                <w:lang w:val="tr-TR"/>
              </w:rPr>
              <w:t>,</w:t>
            </w:r>
            <w:r w:rsidRPr="001A4B94">
              <w:rPr>
                <w:sz w:val="16"/>
                <w:szCs w:val="16"/>
                <w:lang w:val="tr-TR"/>
              </w:rPr>
              <w:t>98</w:t>
            </w:r>
          </w:p>
        </w:tc>
        <w:tc>
          <w:tcPr>
            <w:tcW w:w="1069" w:type="dxa"/>
            <w:tcBorders>
              <w:top w:val="nil"/>
              <w:left w:val="nil"/>
              <w:bottom w:val="nil"/>
              <w:right w:val="nil"/>
            </w:tcBorders>
            <w:shd w:val="clear" w:color="auto" w:fill="D9D9D9"/>
            <w:noWrap/>
            <w:vAlign w:val="center"/>
            <w:hideMark/>
          </w:tcPr>
          <w:p w14:paraId="2F9D6D45"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4575C0E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51764E7F" w14:textId="7AA3383F" w:rsidR="00F16E72" w:rsidRPr="001A4B94" w:rsidRDefault="00F16E72" w:rsidP="00F16E72">
            <w:pPr>
              <w:jc w:val="right"/>
              <w:rPr>
                <w:sz w:val="16"/>
                <w:szCs w:val="16"/>
                <w:lang w:val="tr-TR"/>
              </w:rPr>
            </w:pPr>
            <w:r w:rsidRPr="001A4B94">
              <w:rPr>
                <w:sz w:val="16"/>
                <w:szCs w:val="16"/>
                <w:lang w:val="tr-TR"/>
              </w:rPr>
              <w:t>13</w:t>
            </w:r>
            <w:r w:rsidR="007C4843" w:rsidRPr="001A4B94">
              <w:rPr>
                <w:sz w:val="16"/>
                <w:szCs w:val="16"/>
                <w:lang w:val="tr-TR"/>
              </w:rPr>
              <w:t>,</w:t>
            </w:r>
            <w:r w:rsidRPr="001A4B94">
              <w:rPr>
                <w:sz w:val="16"/>
                <w:szCs w:val="16"/>
                <w:lang w:val="tr-TR"/>
              </w:rPr>
              <w:t>81</w:t>
            </w:r>
          </w:p>
        </w:tc>
        <w:tc>
          <w:tcPr>
            <w:tcW w:w="812" w:type="dxa"/>
            <w:tcBorders>
              <w:top w:val="nil"/>
              <w:left w:val="nil"/>
              <w:bottom w:val="nil"/>
              <w:right w:val="nil"/>
            </w:tcBorders>
            <w:shd w:val="clear" w:color="auto" w:fill="D9D9D9"/>
            <w:noWrap/>
            <w:vAlign w:val="center"/>
            <w:hideMark/>
          </w:tcPr>
          <w:p w14:paraId="42AE47F0"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330A87F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360E2CE0"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8DC5EAC" w14:textId="5B2895C2" w:rsidR="00F16E72" w:rsidRPr="001A4B94" w:rsidRDefault="00F16E72" w:rsidP="00F16E72">
            <w:pPr>
              <w:jc w:val="right"/>
              <w:rPr>
                <w:sz w:val="16"/>
                <w:szCs w:val="16"/>
                <w:lang w:val="tr-TR"/>
              </w:rPr>
            </w:pPr>
            <w:r w:rsidRPr="001A4B94">
              <w:rPr>
                <w:sz w:val="16"/>
                <w:szCs w:val="16"/>
                <w:lang w:val="tr-TR"/>
              </w:rPr>
              <w:t>13</w:t>
            </w:r>
            <w:r w:rsidR="007C4843" w:rsidRPr="001A4B94">
              <w:rPr>
                <w:sz w:val="16"/>
                <w:szCs w:val="16"/>
                <w:lang w:val="tr-TR"/>
              </w:rPr>
              <w:t>,</w:t>
            </w:r>
            <w:r w:rsidRPr="001A4B94">
              <w:rPr>
                <w:sz w:val="16"/>
                <w:szCs w:val="16"/>
                <w:lang w:val="tr-TR"/>
              </w:rPr>
              <w:t>81</w:t>
            </w:r>
          </w:p>
        </w:tc>
        <w:tc>
          <w:tcPr>
            <w:tcW w:w="990" w:type="dxa"/>
            <w:tcBorders>
              <w:top w:val="nil"/>
              <w:left w:val="nil"/>
              <w:bottom w:val="nil"/>
              <w:right w:val="nil"/>
            </w:tcBorders>
            <w:shd w:val="clear" w:color="auto" w:fill="D9D9D9"/>
            <w:noWrap/>
            <w:vAlign w:val="center"/>
            <w:hideMark/>
          </w:tcPr>
          <w:p w14:paraId="1928C966" w14:textId="661FCF42"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287F1093" w14:textId="77777777" w:rsidTr="007C4843">
        <w:trPr>
          <w:trHeight w:val="255"/>
          <w:jc w:val="center"/>
        </w:trPr>
        <w:tc>
          <w:tcPr>
            <w:tcW w:w="1900" w:type="dxa"/>
            <w:tcBorders>
              <w:top w:val="nil"/>
              <w:left w:val="nil"/>
              <w:bottom w:val="nil"/>
              <w:right w:val="nil"/>
            </w:tcBorders>
            <w:shd w:val="clear" w:color="000000" w:fill="FFFFFF"/>
            <w:vAlign w:val="center"/>
            <w:hideMark/>
          </w:tcPr>
          <w:p w14:paraId="7177808E"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000000" w:fill="FFFFFF"/>
            <w:noWrap/>
            <w:vAlign w:val="center"/>
            <w:hideMark/>
          </w:tcPr>
          <w:p w14:paraId="108BCB8A" w14:textId="5A725390" w:rsidR="00F16E72" w:rsidRPr="001A4B94" w:rsidRDefault="00F16E72" w:rsidP="00F16E72">
            <w:pPr>
              <w:rPr>
                <w:sz w:val="16"/>
                <w:szCs w:val="16"/>
                <w:lang w:val="tr-TR"/>
              </w:rPr>
            </w:pPr>
            <w:r w:rsidRPr="001A4B94">
              <w:rPr>
                <w:sz w:val="16"/>
                <w:szCs w:val="16"/>
                <w:lang w:val="tr-TR"/>
              </w:rPr>
              <w:t xml:space="preserve">Adana </w:t>
            </w:r>
            <w:r w:rsidR="009866A8" w:rsidRPr="001A4B94">
              <w:rPr>
                <w:sz w:val="16"/>
                <w:szCs w:val="16"/>
                <w:lang w:val="tr-TR"/>
              </w:rPr>
              <w:t xml:space="preserve">Sağlık </w:t>
            </w:r>
          </w:p>
        </w:tc>
        <w:tc>
          <w:tcPr>
            <w:tcW w:w="776" w:type="dxa"/>
            <w:tcBorders>
              <w:top w:val="nil"/>
              <w:left w:val="nil"/>
              <w:bottom w:val="nil"/>
              <w:right w:val="nil"/>
            </w:tcBorders>
            <w:shd w:val="clear" w:color="000000" w:fill="FFFFFF"/>
            <w:noWrap/>
            <w:vAlign w:val="center"/>
            <w:hideMark/>
          </w:tcPr>
          <w:p w14:paraId="5E0C1BA9" w14:textId="73C6F45B" w:rsidR="00F16E72" w:rsidRPr="001A4B94" w:rsidRDefault="00F16E72" w:rsidP="00F16E72">
            <w:pPr>
              <w:jc w:val="right"/>
              <w:rPr>
                <w:sz w:val="16"/>
                <w:szCs w:val="16"/>
                <w:lang w:val="tr-TR"/>
              </w:rPr>
            </w:pPr>
            <w:r w:rsidRPr="001A4B94">
              <w:rPr>
                <w:sz w:val="16"/>
                <w:szCs w:val="16"/>
                <w:lang w:val="tr-TR"/>
              </w:rPr>
              <w:t>39</w:t>
            </w:r>
            <w:r w:rsidR="007C4843" w:rsidRPr="001A4B94">
              <w:rPr>
                <w:sz w:val="16"/>
                <w:szCs w:val="16"/>
                <w:lang w:val="tr-TR"/>
              </w:rPr>
              <w:t>,</w:t>
            </w:r>
            <w:r w:rsidRPr="001A4B94">
              <w:rPr>
                <w:sz w:val="16"/>
                <w:szCs w:val="16"/>
                <w:lang w:val="tr-TR"/>
              </w:rPr>
              <w:t>91</w:t>
            </w:r>
          </w:p>
        </w:tc>
        <w:tc>
          <w:tcPr>
            <w:tcW w:w="812" w:type="dxa"/>
            <w:tcBorders>
              <w:top w:val="nil"/>
              <w:left w:val="nil"/>
              <w:bottom w:val="nil"/>
              <w:right w:val="nil"/>
            </w:tcBorders>
            <w:shd w:val="clear" w:color="000000" w:fill="FFFFFF"/>
            <w:noWrap/>
            <w:vAlign w:val="center"/>
            <w:hideMark/>
          </w:tcPr>
          <w:p w14:paraId="118E1AE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13AA069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7CCB1143"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15622BB5" w14:textId="3A364AC8"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88</w:t>
            </w:r>
          </w:p>
        </w:tc>
        <w:tc>
          <w:tcPr>
            <w:tcW w:w="919" w:type="dxa"/>
            <w:tcBorders>
              <w:top w:val="nil"/>
              <w:left w:val="nil"/>
              <w:bottom w:val="nil"/>
              <w:right w:val="nil"/>
            </w:tcBorders>
            <w:shd w:val="clear" w:color="000000" w:fill="FFFFFF"/>
            <w:noWrap/>
            <w:vAlign w:val="center"/>
            <w:hideMark/>
          </w:tcPr>
          <w:p w14:paraId="723375AC" w14:textId="5310E9D6" w:rsidR="00F16E72" w:rsidRPr="001A4B94" w:rsidRDefault="00F16E72" w:rsidP="00F16E72">
            <w:pPr>
              <w:jc w:val="right"/>
              <w:rPr>
                <w:sz w:val="16"/>
                <w:szCs w:val="16"/>
                <w:lang w:val="tr-TR"/>
              </w:rPr>
            </w:pPr>
            <w:r w:rsidRPr="001A4B94">
              <w:rPr>
                <w:sz w:val="16"/>
                <w:szCs w:val="16"/>
                <w:lang w:val="tr-TR"/>
              </w:rPr>
              <w:t>44</w:t>
            </w:r>
            <w:r w:rsidR="007C4843" w:rsidRPr="001A4B94">
              <w:rPr>
                <w:sz w:val="16"/>
                <w:szCs w:val="16"/>
                <w:lang w:val="tr-TR"/>
              </w:rPr>
              <w:t>,</w:t>
            </w:r>
            <w:r w:rsidRPr="001A4B94">
              <w:rPr>
                <w:sz w:val="16"/>
                <w:szCs w:val="16"/>
                <w:lang w:val="tr-TR"/>
              </w:rPr>
              <w:t>79</w:t>
            </w:r>
          </w:p>
        </w:tc>
        <w:tc>
          <w:tcPr>
            <w:tcW w:w="1069" w:type="dxa"/>
            <w:tcBorders>
              <w:top w:val="nil"/>
              <w:left w:val="nil"/>
              <w:bottom w:val="nil"/>
              <w:right w:val="nil"/>
            </w:tcBorders>
            <w:shd w:val="clear" w:color="000000" w:fill="FFFFFF"/>
            <w:noWrap/>
            <w:vAlign w:val="center"/>
            <w:hideMark/>
          </w:tcPr>
          <w:p w14:paraId="3B364D28" w14:textId="3082D739" w:rsidR="00F16E72" w:rsidRPr="001A4B94" w:rsidRDefault="00F16E72" w:rsidP="00F16E72">
            <w:pPr>
              <w:jc w:val="right"/>
              <w:rPr>
                <w:sz w:val="16"/>
                <w:szCs w:val="16"/>
                <w:lang w:val="tr-TR"/>
              </w:rPr>
            </w:pPr>
            <w:r w:rsidRPr="001A4B94">
              <w:rPr>
                <w:sz w:val="16"/>
                <w:szCs w:val="16"/>
                <w:lang w:val="tr-TR"/>
              </w:rPr>
              <w:t>57</w:t>
            </w:r>
            <w:r w:rsidR="007C4843" w:rsidRPr="001A4B94">
              <w:rPr>
                <w:sz w:val="16"/>
                <w:szCs w:val="16"/>
                <w:lang w:val="tr-TR"/>
              </w:rPr>
              <w:t>,</w:t>
            </w:r>
            <w:r w:rsidRPr="001A4B94">
              <w:rPr>
                <w:sz w:val="16"/>
                <w:szCs w:val="16"/>
                <w:lang w:val="tr-TR"/>
              </w:rPr>
              <w:t>01</w:t>
            </w:r>
          </w:p>
        </w:tc>
        <w:tc>
          <w:tcPr>
            <w:tcW w:w="776" w:type="dxa"/>
            <w:tcBorders>
              <w:top w:val="nil"/>
              <w:left w:val="nil"/>
              <w:bottom w:val="nil"/>
              <w:right w:val="nil"/>
            </w:tcBorders>
            <w:shd w:val="clear" w:color="000000" w:fill="FFFFFF"/>
            <w:noWrap/>
            <w:vAlign w:val="center"/>
            <w:hideMark/>
          </w:tcPr>
          <w:p w14:paraId="2D3AD32C" w14:textId="382F0448" w:rsidR="00F16E72" w:rsidRPr="001A4B94" w:rsidRDefault="00F16E72" w:rsidP="00F16E72">
            <w:pPr>
              <w:jc w:val="right"/>
              <w:rPr>
                <w:sz w:val="16"/>
                <w:szCs w:val="16"/>
                <w:lang w:val="tr-TR"/>
              </w:rPr>
            </w:pPr>
            <w:r w:rsidRPr="001A4B94">
              <w:rPr>
                <w:sz w:val="16"/>
                <w:szCs w:val="16"/>
                <w:lang w:val="tr-TR"/>
              </w:rPr>
              <w:t>35</w:t>
            </w:r>
            <w:r w:rsidR="007C4843" w:rsidRPr="001A4B94">
              <w:rPr>
                <w:sz w:val="16"/>
                <w:szCs w:val="16"/>
                <w:lang w:val="tr-TR"/>
              </w:rPr>
              <w:t>,</w:t>
            </w:r>
            <w:r w:rsidRPr="001A4B94">
              <w:rPr>
                <w:sz w:val="16"/>
                <w:szCs w:val="16"/>
                <w:lang w:val="tr-TR"/>
              </w:rPr>
              <w:t>71</w:t>
            </w:r>
          </w:p>
        </w:tc>
        <w:tc>
          <w:tcPr>
            <w:tcW w:w="812" w:type="dxa"/>
            <w:tcBorders>
              <w:top w:val="nil"/>
              <w:left w:val="nil"/>
              <w:bottom w:val="nil"/>
              <w:right w:val="nil"/>
            </w:tcBorders>
            <w:shd w:val="clear" w:color="000000" w:fill="FFFFFF"/>
            <w:noWrap/>
            <w:vAlign w:val="center"/>
            <w:hideMark/>
          </w:tcPr>
          <w:p w14:paraId="44C3F81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D1100D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05A0F54"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1A0AA71D" w14:textId="41CB5AFA"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88</w:t>
            </w:r>
          </w:p>
        </w:tc>
        <w:tc>
          <w:tcPr>
            <w:tcW w:w="919" w:type="dxa"/>
            <w:tcBorders>
              <w:top w:val="nil"/>
              <w:left w:val="nil"/>
              <w:bottom w:val="nil"/>
              <w:right w:val="nil"/>
            </w:tcBorders>
            <w:shd w:val="clear" w:color="000000" w:fill="FFFFFF"/>
            <w:noWrap/>
            <w:vAlign w:val="center"/>
            <w:hideMark/>
          </w:tcPr>
          <w:p w14:paraId="25B9D3B6" w14:textId="62637658" w:rsidR="00F16E72" w:rsidRPr="001A4B94" w:rsidRDefault="00F16E72" w:rsidP="00F16E72">
            <w:pPr>
              <w:jc w:val="right"/>
              <w:rPr>
                <w:sz w:val="16"/>
                <w:szCs w:val="16"/>
                <w:lang w:val="tr-TR"/>
              </w:rPr>
            </w:pPr>
            <w:r w:rsidRPr="001A4B94">
              <w:rPr>
                <w:sz w:val="16"/>
                <w:szCs w:val="16"/>
                <w:lang w:val="tr-TR"/>
              </w:rPr>
              <w:t>40</w:t>
            </w:r>
            <w:r w:rsidR="007C4843" w:rsidRPr="001A4B94">
              <w:rPr>
                <w:sz w:val="16"/>
                <w:szCs w:val="16"/>
                <w:lang w:val="tr-TR"/>
              </w:rPr>
              <w:t>,</w:t>
            </w:r>
            <w:r w:rsidRPr="001A4B94">
              <w:rPr>
                <w:sz w:val="16"/>
                <w:szCs w:val="16"/>
                <w:lang w:val="tr-TR"/>
              </w:rPr>
              <w:t>59</w:t>
            </w:r>
          </w:p>
        </w:tc>
        <w:tc>
          <w:tcPr>
            <w:tcW w:w="990" w:type="dxa"/>
            <w:tcBorders>
              <w:top w:val="nil"/>
              <w:left w:val="nil"/>
              <w:bottom w:val="nil"/>
              <w:right w:val="nil"/>
            </w:tcBorders>
            <w:shd w:val="clear" w:color="000000" w:fill="FFFFFF"/>
            <w:noWrap/>
            <w:vAlign w:val="center"/>
            <w:hideMark/>
          </w:tcPr>
          <w:p w14:paraId="64FBBC98" w14:textId="0B09EC68" w:rsidR="00F16E72" w:rsidRPr="001A4B94" w:rsidRDefault="00F16E72" w:rsidP="00F16E72">
            <w:pPr>
              <w:jc w:val="right"/>
              <w:rPr>
                <w:sz w:val="16"/>
                <w:szCs w:val="16"/>
                <w:lang w:val="tr-TR"/>
              </w:rPr>
            </w:pPr>
            <w:r w:rsidRPr="001A4B94">
              <w:rPr>
                <w:sz w:val="16"/>
                <w:szCs w:val="16"/>
                <w:lang w:val="tr-TR"/>
              </w:rPr>
              <w:t>51</w:t>
            </w:r>
            <w:r w:rsidR="007C4843" w:rsidRPr="001A4B94">
              <w:rPr>
                <w:sz w:val="16"/>
                <w:szCs w:val="16"/>
                <w:lang w:val="tr-TR"/>
              </w:rPr>
              <w:t>,</w:t>
            </w:r>
            <w:r w:rsidRPr="001A4B94">
              <w:rPr>
                <w:sz w:val="16"/>
                <w:szCs w:val="16"/>
                <w:lang w:val="tr-TR"/>
              </w:rPr>
              <w:t>02</w:t>
            </w:r>
          </w:p>
        </w:tc>
      </w:tr>
      <w:tr w:rsidR="00F16E72" w:rsidRPr="001A4B94" w14:paraId="753DB911" w14:textId="77777777" w:rsidTr="007C4843">
        <w:trPr>
          <w:trHeight w:val="435"/>
          <w:jc w:val="center"/>
        </w:trPr>
        <w:tc>
          <w:tcPr>
            <w:tcW w:w="1900" w:type="dxa"/>
            <w:tcBorders>
              <w:top w:val="nil"/>
              <w:left w:val="nil"/>
              <w:bottom w:val="nil"/>
              <w:right w:val="nil"/>
            </w:tcBorders>
            <w:shd w:val="clear" w:color="auto" w:fill="D9D9D9"/>
            <w:vAlign w:val="center"/>
            <w:hideMark/>
          </w:tcPr>
          <w:p w14:paraId="2DABACD2" w14:textId="77777777" w:rsidR="00F16E72" w:rsidRPr="001A4B94" w:rsidRDefault="00F16E72" w:rsidP="00F16E72">
            <w:pPr>
              <w:rPr>
                <w:sz w:val="16"/>
                <w:szCs w:val="16"/>
                <w:lang w:val="tr-TR"/>
              </w:rPr>
            </w:pPr>
            <w:r w:rsidRPr="001A4B94">
              <w:rPr>
                <w:sz w:val="16"/>
                <w:szCs w:val="16"/>
                <w:lang w:val="tr-TR"/>
              </w:rPr>
              <w:t>2010/ 2017/ 2011/ 2003/ 2004</w:t>
            </w:r>
          </w:p>
        </w:tc>
        <w:tc>
          <w:tcPr>
            <w:tcW w:w="1470" w:type="dxa"/>
            <w:tcBorders>
              <w:top w:val="nil"/>
              <w:left w:val="nil"/>
              <w:bottom w:val="nil"/>
              <w:right w:val="nil"/>
            </w:tcBorders>
            <w:shd w:val="clear" w:color="auto" w:fill="D9D9D9"/>
            <w:noWrap/>
            <w:vAlign w:val="center"/>
            <w:hideMark/>
          </w:tcPr>
          <w:p w14:paraId="2E11D0D4" w14:textId="77777777" w:rsidR="00F16E72" w:rsidRPr="001A4B94" w:rsidRDefault="00F16E72" w:rsidP="00F16E72">
            <w:pPr>
              <w:rPr>
                <w:sz w:val="16"/>
                <w:szCs w:val="16"/>
                <w:lang w:val="tr-TR"/>
              </w:rPr>
            </w:pPr>
            <w:r w:rsidRPr="001A4B94">
              <w:rPr>
                <w:sz w:val="16"/>
                <w:szCs w:val="16"/>
                <w:lang w:val="tr-TR"/>
              </w:rPr>
              <w:t>Akbank TK</w:t>
            </w:r>
          </w:p>
        </w:tc>
        <w:tc>
          <w:tcPr>
            <w:tcW w:w="776" w:type="dxa"/>
            <w:tcBorders>
              <w:top w:val="nil"/>
              <w:left w:val="nil"/>
              <w:bottom w:val="nil"/>
              <w:right w:val="nil"/>
            </w:tcBorders>
            <w:shd w:val="clear" w:color="auto" w:fill="D9D9D9"/>
            <w:noWrap/>
            <w:vAlign w:val="center"/>
            <w:hideMark/>
          </w:tcPr>
          <w:p w14:paraId="7C851500" w14:textId="3A1F7C4E" w:rsidR="00F16E72" w:rsidRPr="001A4B94" w:rsidRDefault="00F16E72" w:rsidP="00F16E72">
            <w:pPr>
              <w:jc w:val="right"/>
              <w:rPr>
                <w:sz w:val="16"/>
                <w:szCs w:val="16"/>
                <w:lang w:val="tr-TR"/>
              </w:rPr>
            </w:pPr>
            <w:r w:rsidRPr="001A4B94">
              <w:rPr>
                <w:sz w:val="16"/>
                <w:szCs w:val="16"/>
                <w:lang w:val="tr-TR"/>
              </w:rPr>
              <w:t>250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auto" w:fill="D9D9D9"/>
            <w:noWrap/>
            <w:vAlign w:val="center"/>
            <w:hideMark/>
          </w:tcPr>
          <w:p w14:paraId="1883A5D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D7E519F"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20E07CB"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2F4DD814"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8674F3B" w14:textId="7942F61B" w:rsidR="00F16E72" w:rsidRPr="001A4B94" w:rsidRDefault="00F16E72" w:rsidP="00F16E72">
            <w:pPr>
              <w:jc w:val="right"/>
              <w:rPr>
                <w:sz w:val="16"/>
                <w:szCs w:val="16"/>
                <w:lang w:val="tr-TR"/>
              </w:rPr>
            </w:pPr>
            <w:r w:rsidRPr="001A4B94">
              <w:rPr>
                <w:sz w:val="16"/>
                <w:szCs w:val="16"/>
                <w:lang w:val="tr-TR"/>
              </w:rPr>
              <w:t>250</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auto" w:fill="D9D9D9"/>
            <w:noWrap/>
            <w:vAlign w:val="center"/>
            <w:hideMark/>
          </w:tcPr>
          <w:p w14:paraId="0E576DB8"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4B18D2CE" w14:textId="28E133B3" w:rsidR="00F16E72" w:rsidRPr="001A4B94" w:rsidRDefault="00F16E72" w:rsidP="00F16E72">
            <w:pPr>
              <w:jc w:val="right"/>
              <w:rPr>
                <w:sz w:val="16"/>
                <w:szCs w:val="16"/>
                <w:lang w:val="tr-TR"/>
              </w:rPr>
            </w:pPr>
            <w:r w:rsidRPr="001A4B94">
              <w:rPr>
                <w:sz w:val="16"/>
                <w:szCs w:val="16"/>
                <w:lang w:val="tr-TR"/>
              </w:rPr>
              <w:t>250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auto" w:fill="D9D9D9"/>
            <w:noWrap/>
            <w:vAlign w:val="center"/>
            <w:hideMark/>
          </w:tcPr>
          <w:p w14:paraId="125C1410"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717A5A83"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7DEF5656"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61D0201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86C267E" w14:textId="40676D8F" w:rsidR="00F16E72" w:rsidRPr="001A4B94" w:rsidRDefault="00F16E72" w:rsidP="00F16E72">
            <w:pPr>
              <w:jc w:val="right"/>
              <w:rPr>
                <w:sz w:val="16"/>
                <w:szCs w:val="16"/>
                <w:lang w:val="tr-TR"/>
              </w:rPr>
            </w:pPr>
            <w:r w:rsidRPr="001A4B94">
              <w:rPr>
                <w:sz w:val="16"/>
                <w:szCs w:val="16"/>
                <w:lang w:val="tr-TR"/>
              </w:rPr>
              <w:t>250</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auto" w:fill="D9D9D9"/>
            <w:noWrap/>
            <w:vAlign w:val="center"/>
            <w:hideMark/>
          </w:tcPr>
          <w:p w14:paraId="380D6739" w14:textId="4D29D34E"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4817B966" w14:textId="77777777" w:rsidTr="007C4843">
        <w:trPr>
          <w:trHeight w:val="255"/>
          <w:jc w:val="center"/>
        </w:trPr>
        <w:tc>
          <w:tcPr>
            <w:tcW w:w="1900" w:type="dxa"/>
            <w:tcBorders>
              <w:top w:val="nil"/>
              <w:left w:val="nil"/>
              <w:bottom w:val="nil"/>
              <w:right w:val="nil"/>
            </w:tcBorders>
            <w:shd w:val="clear" w:color="000000" w:fill="FFFFFF"/>
            <w:vAlign w:val="center"/>
            <w:hideMark/>
          </w:tcPr>
          <w:p w14:paraId="5BF1A654" w14:textId="77777777" w:rsidR="00F16E72" w:rsidRPr="001A4B94" w:rsidRDefault="00F16E72" w:rsidP="00F16E72">
            <w:pPr>
              <w:rPr>
                <w:sz w:val="16"/>
                <w:szCs w:val="16"/>
                <w:lang w:val="tr-TR"/>
              </w:rPr>
            </w:pPr>
            <w:r w:rsidRPr="001A4B94">
              <w:rPr>
                <w:sz w:val="16"/>
                <w:szCs w:val="16"/>
                <w:lang w:val="tr-TR"/>
              </w:rPr>
              <w:t>2016</w:t>
            </w:r>
          </w:p>
        </w:tc>
        <w:tc>
          <w:tcPr>
            <w:tcW w:w="1470" w:type="dxa"/>
            <w:tcBorders>
              <w:top w:val="nil"/>
              <w:left w:val="nil"/>
              <w:bottom w:val="nil"/>
              <w:right w:val="nil"/>
            </w:tcBorders>
            <w:shd w:val="clear" w:color="000000" w:fill="FFFFFF"/>
            <w:noWrap/>
            <w:vAlign w:val="center"/>
            <w:hideMark/>
          </w:tcPr>
          <w:p w14:paraId="6086C6BF" w14:textId="0E657778" w:rsidR="00F16E72" w:rsidRPr="001A4B94" w:rsidRDefault="00F16E72" w:rsidP="00F16E72">
            <w:pPr>
              <w:rPr>
                <w:sz w:val="16"/>
                <w:szCs w:val="16"/>
                <w:lang w:val="tr-TR"/>
              </w:rPr>
            </w:pPr>
            <w:r w:rsidRPr="001A4B94">
              <w:rPr>
                <w:sz w:val="16"/>
                <w:szCs w:val="16"/>
                <w:lang w:val="tr-TR"/>
              </w:rPr>
              <w:t>Akfen Ener</w:t>
            </w:r>
            <w:r w:rsidR="009866A8" w:rsidRPr="001A4B94">
              <w:rPr>
                <w:sz w:val="16"/>
                <w:szCs w:val="16"/>
                <w:lang w:val="tr-TR"/>
              </w:rPr>
              <w:t>ji</w:t>
            </w:r>
          </w:p>
        </w:tc>
        <w:tc>
          <w:tcPr>
            <w:tcW w:w="776" w:type="dxa"/>
            <w:tcBorders>
              <w:top w:val="nil"/>
              <w:left w:val="nil"/>
              <w:bottom w:val="nil"/>
              <w:right w:val="nil"/>
            </w:tcBorders>
            <w:shd w:val="clear" w:color="000000" w:fill="FFFFFF"/>
            <w:noWrap/>
            <w:vAlign w:val="center"/>
            <w:hideMark/>
          </w:tcPr>
          <w:p w14:paraId="2D836C3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5DC8514" w14:textId="7A5C856C" w:rsidR="00F16E72" w:rsidRPr="001A4B94" w:rsidRDefault="00F16E72" w:rsidP="00F16E72">
            <w:pPr>
              <w:jc w:val="right"/>
              <w:rPr>
                <w:sz w:val="16"/>
                <w:szCs w:val="16"/>
                <w:lang w:val="tr-TR"/>
              </w:rPr>
            </w:pPr>
            <w:r w:rsidRPr="001A4B94">
              <w:rPr>
                <w:sz w:val="16"/>
                <w:szCs w:val="16"/>
                <w:lang w:val="tr-TR"/>
              </w:rPr>
              <w:t>100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17EA221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C2A8D52"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577C48C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600A06E" w14:textId="655BFC4C" w:rsidR="00F16E72" w:rsidRPr="001A4B94" w:rsidRDefault="00F16E72" w:rsidP="00F16E72">
            <w:pPr>
              <w:jc w:val="right"/>
              <w:rPr>
                <w:sz w:val="16"/>
                <w:szCs w:val="16"/>
                <w:lang w:val="tr-TR"/>
              </w:rPr>
            </w:pPr>
            <w:r w:rsidRPr="001A4B94">
              <w:rPr>
                <w:sz w:val="16"/>
                <w:szCs w:val="16"/>
                <w:lang w:val="tr-TR"/>
              </w:rPr>
              <w:t>100</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71178741"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2EACCD0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641C46E" w14:textId="11B18AC0" w:rsidR="00F16E72" w:rsidRPr="001A4B94" w:rsidRDefault="00F16E72" w:rsidP="00F16E72">
            <w:pPr>
              <w:jc w:val="right"/>
              <w:rPr>
                <w:sz w:val="16"/>
                <w:szCs w:val="16"/>
                <w:lang w:val="tr-TR"/>
              </w:rPr>
            </w:pPr>
            <w:r w:rsidRPr="001A4B94">
              <w:rPr>
                <w:sz w:val="16"/>
                <w:szCs w:val="16"/>
                <w:lang w:val="tr-TR"/>
              </w:rPr>
              <w:t>49</w:t>
            </w:r>
            <w:r w:rsidR="007C4843" w:rsidRPr="001A4B94">
              <w:rPr>
                <w:sz w:val="16"/>
                <w:szCs w:val="16"/>
                <w:lang w:val="tr-TR"/>
              </w:rPr>
              <w:t>,</w:t>
            </w:r>
            <w:r w:rsidRPr="001A4B94">
              <w:rPr>
                <w:sz w:val="16"/>
                <w:szCs w:val="16"/>
                <w:lang w:val="tr-TR"/>
              </w:rPr>
              <w:t>96</w:t>
            </w:r>
          </w:p>
        </w:tc>
        <w:tc>
          <w:tcPr>
            <w:tcW w:w="812" w:type="dxa"/>
            <w:tcBorders>
              <w:top w:val="nil"/>
              <w:left w:val="nil"/>
              <w:bottom w:val="nil"/>
              <w:right w:val="nil"/>
            </w:tcBorders>
            <w:shd w:val="clear" w:color="000000" w:fill="FFFFFF"/>
            <w:noWrap/>
            <w:vAlign w:val="center"/>
            <w:hideMark/>
          </w:tcPr>
          <w:p w14:paraId="14198FB9"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3AB64EE"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514BC531"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2D8D49F" w14:textId="0E723119" w:rsidR="00F16E72" w:rsidRPr="001A4B94" w:rsidRDefault="00F16E72" w:rsidP="00F16E72">
            <w:pPr>
              <w:jc w:val="right"/>
              <w:rPr>
                <w:sz w:val="16"/>
                <w:szCs w:val="16"/>
                <w:lang w:val="tr-TR"/>
              </w:rPr>
            </w:pPr>
            <w:r w:rsidRPr="001A4B94">
              <w:rPr>
                <w:sz w:val="16"/>
                <w:szCs w:val="16"/>
                <w:lang w:val="tr-TR"/>
              </w:rPr>
              <w:t>49</w:t>
            </w:r>
            <w:r w:rsidR="007C4843" w:rsidRPr="001A4B94">
              <w:rPr>
                <w:sz w:val="16"/>
                <w:szCs w:val="16"/>
                <w:lang w:val="tr-TR"/>
              </w:rPr>
              <w:t>,</w:t>
            </w:r>
            <w:r w:rsidRPr="001A4B94">
              <w:rPr>
                <w:sz w:val="16"/>
                <w:szCs w:val="16"/>
                <w:lang w:val="tr-TR"/>
              </w:rPr>
              <w:t>96</w:t>
            </w:r>
          </w:p>
        </w:tc>
        <w:tc>
          <w:tcPr>
            <w:tcW w:w="990" w:type="dxa"/>
            <w:tcBorders>
              <w:top w:val="nil"/>
              <w:left w:val="nil"/>
              <w:bottom w:val="nil"/>
              <w:right w:val="nil"/>
            </w:tcBorders>
            <w:shd w:val="clear" w:color="000000" w:fill="FFFFFF"/>
            <w:noWrap/>
            <w:vAlign w:val="center"/>
            <w:hideMark/>
          </w:tcPr>
          <w:p w14:paraId="3361C036" w14:textId="187524C0"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1B49A045" w14:textId="77777777" w:rsidTr="007C4843">
        <w:trPr>
          <w:trHeight w:val="510"/>
          <w:jc w:val="center"/>
        </w:trPr>
        <w:tc>
          <w:tcPr>
            <w:tcW w:w="1900" w:type="dxa"/>
            <w:tcBorders>
              <w:top w:val="nil"/>
              <w:left w:val="nil"/>
              <w:bottom w:val="nil"/>
              <w:right w:val="nil"/>
            </w:tcBorders>
            <w:shd w:val="clear" w:color="auto" w:fill="D9D9D9"/>
            <w:vAlign w:val="center"/>
            <w:hideMark/>
          </w:tcPr>
          <w:p w14:paraId="51305977" w14:textId="77777777" w:rsidR="00F16E72" w:rsidRPr="001A4B94" w:rsidRDefault="00F16E72" w:rsidP="00F16E72">
            <w:pPr>
              <w:rPr>
                <w:sz w:val="16"/>
                <w:szCs w:val="16"/>
                <w:lang w:val="tr-TR"/>
              </w:rPr>
            </w:pPr>
            <w:r w:rsidRPr="001A4B94">
              <w:rPr>
                <w:sz w:val="16"/>
                <w:szCs w:val="16"/>
                <w:lang w:val="tr-TR"/>
              </w:rPr>
              <w:t>1999/ 2014/ 2017/ 2011/ 2015/ 2016/ 2012</w:t>
            </w:r>
          </w:p>
        </w:tc>
        <w:tc>
          <w:tcPr>
            <w:tcW w:w="1470" w:type="dxa"/>
            <w:tcBorders>
              <w:top w:val="nil"/>
              <w:left w:val="nil"/>
              <w:bottom w:val="nil"/>
              <w:right w:val="nil"/>
            </w:tcBorders>
            <w:shd w:val="clear" w:color="auto" w:fill="D9D9D9"/>
            <w:noWrap/>
            <w:vAlign w:val="center"/>
            <w:hideMark/>
          </w:tcPr>
          <w:p w14:paraId="46E51B26" w14:textId="77777777" w:rsidR="00F16E72" w:rsidRPr="001A4B94" w:rsidRDefault="00F16E72" w:rsidP="00F16E72">
            <w:pPr>
              <w:rPr>
                <w:sz w:val="16"/>
                <w:szCs w:val="16"/>
                <w:lang w:val="tr-TR"/>
              </w:rPr>
            </w:pPr>
            <w:r w:rsidRPr="001A4B94">
              <w:rPr>
                <w:sz w:val="16"/>
                <w:szCs w:val="16"/>
                <w:lang w:val="tr-TR"/>
              </w:rPr>
              <w:t>Alternatifbank</w:t>
            </w:r>
          </w:p>
        </w:tc>
        <w:tc>
          <w:tcPr>
            <w:tcW w:w="776" w:type="dxa"/>
            <w:tcBorders>
              <w:top w:val="nil"/>
              <w:left w:val="nil"/>
              <w:bottom w:val="nil"/>
              <w:right w:val="nil"/>
            </w:tcBorders>
            <w:shd w:val="clear" w:color="auto" w:fill="D9D9D9"/>
            <w:noWrap/>
            <w:vAlign w:val="center"/>
            <w:hideMark/>
          </w:tcPr>
          <w:p w14:paraId="5E4F5061" w14:textId="2DA9903C" w:rsidR="00F16E72" w:rsidRPr="001A4B94" w:rsidRDefault="00F16E72" w:rsidP="00F16E72">
            <w:pPr>
              <w:jc w:val="right"/>
              <w:rPr>
                <w:sz w:val="16"/>
                <w:szCs w:val="16"/>
                <w:lang w:val="tr-TR"/>
              </w:rPr>
            </w:pPr>
            <w:r w:rsidRPr="001A4B94">
              <w:rPr>
                <w:sz w:val="16"/>
                <w:szCs w:val="16"/>
                <w:lang w:val="tr-TR"/>
              </w:rPr>
              <w:t>95</w:t>
            </w:r>
            <w:r w:rsidR="007C4843" w:rsidRPr="001A4B94">
              <w:rPr>
                <w:sz w:val="16"/>
                <w:szCs w:val="16"/>
                <w:lang w:val="tr-TR"/>
              </w:rPr>
              <w:t>,</w:t>
            </w:r>
            <w:r w:rsidRPr="001A4B94">
              <w:rPr>
                <w:sz w:val="16"/>
                <w:szCs w:val="16"/>
                <w:lang w:val="tr-TR"/>
              </w:rPr>
              <w:t>45</w:t>
            </w:r>
          </w:p>
        </w:tc>
        <w:tc>
          <w:tcPr>
            <w:tcW w:w="812" w:type="dxa"/>
            <w:tcBorders>
              <w:top w:val="nil"/>
              <w:left w:val="nil"/>
              <w:bottom w:val="nil"/>
              <w:right w:val="nil"/>
            </w:tcBorders>
            <w:shd w:val="clear" w:color="auto" w:fill="D9D9D9"/>
            <w:noWrap/>
            <w:vAlign w:val="center"/>
            <w:hideMark/>
          </w:tcPr>
          <w:p w14:paraId="23CB6F5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E7ADE6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5AB2FD0B" w14:textId="26262FC8" w:rsidR="00F16E72" w:rsidRPr="001A4B94" w:rsidRDefault="00F16E72" w:rsidP="00F16E72">
            <w:pPr>
              <w:jc w:val="right"/>
              <w:rPr>
                <w:sz w:val="16"/>
                <w:szCs w:val="16"/>
                <w:lang w:val="tr-TR"/>
              </w:rPr>
            </w:pPr>
            <w:r w:rsidRPr="001A4B94">
              <w:rPr>
                <w:sz w:val="16"/>
                <w:szCs w:val="16"/>
                <w:lang w:val="tr-TR"/>
              </w:rPr>
              <w:t>79</w:t>
            </w:r>
            <w:r w:rsidR="007C4843" w:rsidRPr="001A4B94">
              <w:rPr>
                <w:sz w:val="16"/>
                <w:szCs w:val="16"/>
                <w:lang w:val="tr-TR"/>
              </w:rPr>
              <w:t>,</w:t>
            </w:r>
            <w:r w:rsidRPr="001A4B94">
              <w:rPr>
                <w:sz w:val="16"/>
                <w:szCs w:val="16"/>
                <w:lang w:val="tr-TR"/>
              </w:rPr>
              <w:t>78</w:t>
            </w:r>
          </w:p>
        </w:tc>
        <w:tc>
          <w:tcPr>
            <w:tcW w:w="710" w:type="dxa"/>
            <w:tcBorders>
              <w:top w:val="nil"/>
              <w:left w:val="nil"/>
              <w:bottom w:val="nil"/>
              <w:right w:val="nil"/>
            </w:tcBorders>
            <w:shd w:val="clear" w:color="auto" w:fill="D9D9D9"/>
            <w:noWrap/>
            <w:vAlign w:val="center"/>
            <w:hideMark/>
          </w:tcPr>
          <w:p w14:paraId="1FA270DB"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5D03D94" w14:textId="07718E60" w:rsidR="00F16E72" w:rsidRPr="001A4B94" w:rsidRDefault="00F16E72" w:rsidP="00F16E72">
            <w:pPr>
              <w:jc w:val="right"/>
              <w:rPr>
                <w:sz w:val="16"/>
                <w:szCs w:val="16"/>
                <w:lang w:val="tr-TR"/>
              </w:rPr>
            </w:pPr>
            <w:r w:rsidRPr="001A4B94">
              <w:rPr>
                <w:sz w:val="16"/>
                <w:szCs w:val="16"/>
                <w:lang w:val="tr-TR"/>
              </w:rPr>
              <w:t>175</w:t>
            </w:r>
            <w:r w:rsidR="007C4843" w:rsidRPr="001A4B94">
              <w:rPr>
                <w:sz w:val="16"/>
                <w:szCs w:val="16"/>
                <w:lang w:val="tr-TR"/>
              </w:rPr>
              <w:t>,</w:t>
            </w:r>
            <w:r w:rsidRPr="001A4B94">
              <w:rPr>
                <w:sz w:val="16"/>
                <w:szCs w:val="16"/>
                <w:lang w:val="tr-TR"/>
              </w:rPr>
              <w:t>23</w:t>
            </w:r>
          </w:p>
        </w:tc>
        <w:tc>
          <w:tcPr>
            <w:tcW w:w="1069" w:type="dxa"/>
            <w:tcBorders>
              <w:top w:val="nil"/>
              <w:left w:val="nil"/>
              <w:bottom w:val="nil"/>
              <w:right w:val="nil"/>
            </w:tcBorders>
            <w:shd w:val="clear" w:color="auto" w:fill="D9D9D9"/>
            <w:noWrap/>
            <w:vAlign w:val="center"/>
            <w:hideMark/>
          </w:tcPr>
          <w:p w14:paraId="10D71D34"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2787FD7A" w14:textId="1C3EC753" w:rsidR="00F16E72" w:rsidRPr="001A4B94" w:rsidRDefault="00F16E72" w:rsidP="00F16E72">
            <w:pPr>
              <w:jc w:val="right"/>
              <w:rPr>
                <w:sz w:val="16"/>
                <w:szCs w:val="16"/>
                <w:lang w:val="tr-TR"/>
              </w:rPr>
            </w:pPr>
            <w:r w:rsidRPr="001A4B94">
              <w:rPr>
                <w:sz w:val="16"/>
                <w:szCs w:val="16"/>
                <w:lang w:val="tr-TR"/>
              </w:rPr>
              <w:t>95</w:t>
            </w:r>
            <w:r w:rsidR="007C4843" w:rsidRPr="001A4B94">
              <w:rPr>
                <w:sz w:val="16"/>
                <w:szCs w:val="16"/>
                <w:lang w:val="tr-TR"/>
              </w:rPr>
              <w:t>,</w:t>
            </w:r>
            <w:r w:rsidRPr="001A4B94">
              <w:rPr>
                <w:sz w:val="16"/>
                <w:szCs w:val="16"/>
                <w:lang w:val="tr-TR"/>
              </w:rPr>
              <w:t>45</w:t>
            </w:r>
          </w:p>
        </w:tc>
        <w:tc>
          <w:tcPr>
            <w:tcW w:w="812" w:type="dxa"/>
            <w:tcBorders>
              <w:top w:val="nil"/>
              <w:left w:val="nil"/>
              <w:bottom w:val="nil"/>
              <w:right w:val="nil"/>
            </w:tcBorders>
            <w:shd w:val="clear" w:color="auto" w:fill="D9D9D9"/>
            <w:noWrap/>
            <w:vAlign w:val="center"/>
            <w:hideMark/>
          </w:tcPr>
          <w:p w14:paraId="271403E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5E6221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28B775AC" w14:textId="2CF8D04F" w:rsidR="00F16E72" w:rsidRPr="001A4B94" w:rsidRDefault="00F16E72" w:rsidP="00F16E72">
            <w:pPr>
              <w:jc w:val="right"/>
              <w:rPr>
                <w:sz w:val="16"/>
                <w:szCs w:val="16"/>
                <w:lang w:val="tr-TR"/>
              </w:rPr>
            </w:pPr>
            <w:r w:rsidRPr="001A4B94">
              <w:rPr>
                <w:sz w:val="16"/>
                <w:szCs w:val="16"/>
                <w:lang w:val="tr-TR"/>
              </w:rPr>
              <w:t>79</w:t>
            </w:r>
            <w:r w:rsidR="007C4843" w:rsidRPr="001A4B94">
              <w:rPr>
                <w:sz w:val="16"/>
                <w:szCs w:val="16"/>
                <w:lang w:val="tr-TR"/>
              </w:rPr>
              <w:t>,</w:t>
            </w:r>
            <w:r w:rsidRPr="001A4B94">
              <w:rPr>
                <w:sz w:val="16"/>
                <w:szCs w:val="16"/>
                <w:lang w:val="tr-TR"/>
              </w:rPr>
              <w:t>78</w:t>
            </w:r>
          </w:p>
        </w:tc>
        <w:tc>
          <w:tcPr>
            <w:tcW w:w="685" w:type="dxa"/>
            <w:tcBorders>
              <w:top w:val="nil"/>
              <w:left w:val="nil"/>
              <w:bottom w:val="nil"/>
              <w:right w:val="nil"/>
            </w:tcBorders>
            <w:shd w:val="clear" w:color="auto" w:fill="D9D9D9"/>
            <w:noWrap/>
            <w:vAlign w:val="center"/>
            <w:hideMark/>
          </w:tcPr>
          <w:p w14:paraId="212A17B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6DD4F60" w14:textId="4CBD6FF8" w:rsidR="00F16E72" w:rsidRPr="001A4B94" w:rsidRDefault="00F16E72" w:rsidP="00F16E72">
            <w:pPr>
              <w:jc w:val="right"/>
              <w:rPr>
                <w:sz w:val="16"/>
                <w:szCs w:val="16"/>
                <w:lang w:val="tr-TR"/>
              </w:rPr>
            </w:pPr>
            <w:r w:rsidRPr="001A4B94">
              <w:rPr>
                <w:sz w:val="16"/>
                <w:szCs w:val="16"/>
                <w:lang w:val="tr-TR"/>
              </w:rPr>
              <w:t>175</w:t>
            </w:r>
            <w:r w:rsidR="007C4843" w:rsidRPr="001A4B94">
              <w:rPr>
                <w:sz w:val="16"/>
                <w:szCs w:val="16"/>
                <w:lang w:val="tr-TR"/>
              </w:rPr>
              <w:t>,</w:t>
            </w:r>
            <w:r w:rsidRPr="001A4B94">
              <w:rPr>
                <w:sz w:val="16"/>
                <w:szCs w:val="16"/>
                <w:lang w:val="tr-TR"/>
              </w:rPr>
              <w:t>23</w:t>
            </w:r>
          </w:p>
        </w:tc>
        <w:tc>
          <w:tcPr>
            <w:tcW w:w="990" w:type="dxa"/>
            <w:tcBorders>
              <w:top w:val="nil"/>
              <w:left w:val="nil"/>
              <w:bottom w:val="nil"/>
              <w:right w:val="nil"/>
            </w:tcBorders>
            <w:shd w:val="clear" w:color="auto" w:fill="D9D9D9"/>
            <w:noWrap/>
            <w:vAlign w:val="center"/>
            <w:hideMark/>
          </w:tcPr>
          <w:p w14:paraId="533B0C09" w14:textId="57E124F3"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04FE166F" w14:textId="77777777" w:rsidTr="007C4843">
        <w:trPr>
          <w:trHeight w:val="255"/>
          <w:jc w:val="center"/>
        </w:trPr>
        <w:tc>
          <w:tcPr>
            <w:tcW w:w="1900" w:type="dxa"/>
            <w:tcBorders>
              <w:top w:val="nil"/>
              <w:left w:val="nil"/>
              <w:bottom w:val="nil"/>
              <w:right w:val="nil"/>
            </w:tcBorders>
            <w:shd w:val="clear" w:color="000000" w:fill="FFFFFF"/>
            <w:vAlign w:val="center"/>
            <w:hideMark/>
          </w:tcPr>
          <w:p w14:paraId="7296393A" w14:textId="77777777" w:rsidR="00F16E72" w:rsidRPr="001A4B94" w:rsidRDefault="00F16E72" w:rsidP="00F16E72">
            <w:pPr>
              <w:rPr>
                <w:sz w:val="16"/>
                <w:szCs w:val="16"/>
                <w:lang w:val="tr-TR"/>
              </w:rPr>
            </w:pPr>
            <w:r w:rsidRPr="001A4B94">
              <w:rPr>
                <w:sz w:val="16"/>
                <w:szCs w:val="16"/>
                <w:lang w:val="tr-TR"/>
              </w:rPr>
              <w:t>2009/ 2010/ 2017</w:t>
            </w:r>
          </w:p>
        </w:tc>
        <w:tc>
          <w:tcPr>
            <w:tcW w:w="1470" w:type="dxa"/>
            <w:tcBorders>
              <w:top w:val="nil"/>
              <w:left w:val="nil"/>
              <w:bottom w:val="nil"/>
              <w:right w:val="nil"/>
            </w:tcBorders>
            <w:shd w:val="clear" w:color="000000" w:fill="FFFFFF"/>
            <w:noWrap/>
            <w:vAlign w:val="center"/>
            <w:hideMark/>
          </w:tcPr>
          <w:p w14:paraId="081E4ED3" w14:textId="399182CE" w:rsidR="00F16E72" w:rsidRPr="001A4B94" w:rsidRDefault="00F16E72" w:rsidP="00F16E72">
            <w:pPr>
              <w:rPr>
                <w:sz w:val="16"/>
                <w:szCs w:val="16"/>
                <w:lang w:val="tr-TR"/>
              </w:rPr>
            </w:pPr>
            <w:r w:rsidRPr="001A4B94">
              <w:rPr>
                <w:sz w:val="16"/>
                <w:szCs w:val="16"/>
                <w:lang w:val="tr-TR"/>
              </w:rPr>
              <w:t>Assan Al</w:t>
            </w:r>
            <w:r w:rsidR="009866A8" w:rsidRPr="001A4B94">
              <w:rPr>
                <w:sz w:val="16"/>
                <w:szCs w:val="16"/>
                <w:lang w:val="tr-TR"/>
              </w:rPr>
              <w:t>ü</w:t>
            </w:r>
            <w:r w:rsidRPr="001A4B94">
              <w:rPr>
                <w:sz w:val="16"/>
                <w:szCs w:val="16"/>
                <w:lang w:val="tr-TR"/>
              </w:rPr>
              <w:t>minyum</w:t>
            </w:r>
          </w:p>
        </w:tc>
        <w:tc>
          <w:tcPr>
            <w:tcW w:w="776" w:type="dxa"/>
            <w:tcBorders>
              <w:top w:val="nil"/>
              <w:left w:val="nil"/>
              <w:bottom w:val="nil"/>
              <w:right w:val="nil"/>
            </w:tcBorders>
            <w:shd w:val="clear" w:color="000000" w:fill="FFFFFF"/>
            <w:noWrap/>
            <w:vAlign w:val="center"/>
            <w:hideMark/>
          </w:tcPr>
          <w:p w14:paraId="0DC2A5BC" w14:textId="60066175" w:rsidR="00F16E72" w:rsidRPr="001A4B94" w:rsidRDefault="00F16E72" w:rsidP="00F16E72">
            <w:pPr>
              <w:jc w:val="right"/>
              <w:rPr>
                <w:sz w:val="16"/>
                <w:szCs w:val="16"/>
                <w:lang w:val="tr-TR"/>
              </w:rPr>
            </w:pPr>
            <w:r w:rsidRPr="001A4B94">
              <w:rPr>
                <w:sz w:val="16"/>
                <w:szCs w:val="16"/>
                <w:lang w:val="tr-TR"/>
              </w:rPr>
              <w:t>55</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7F5CCFC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69CAF49"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63FD45D4"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066CCCB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16F5E471" w14:textId="71C77F35" w:rsidR="00F16E72" w:rsidRPr="001A4B94" w:rsidRDefault="00F16E72" w:rsidP="00F16E72">
            <w:pPr>
              <w:jc w:val="right"/>
              <w:rPr>
                <w:sz w:val="16"/>
                <w:szCs w:val="16"/>
                <w:lang w:val="tr-TR"/>
              </w:rPr>
            </w:pPr>
            <w:r w:rsidRPr="001A4B94">
              <w:rPr>
                <w:sz w:val="16"/>
                <w:szCs w:val="16"/>
                <w:lang w:val="tr-TR"/>
              </w:rPr>
              <w:t>55</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72498EBA"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0AF560F2" w14:textId="69E340E8" w:rsidR="00F16E72" w:rsidRPr="001A4B94" w:rsidRDefault="00F16E72" w:rsidP="00F16E72">
            <w:pPr>
              <w:jc w:val="right"/>
              <w:rPr>
                <w:sz w:val="16"/>
                <w:szCs w:val="16"/>
                <w:lang w:val="tr-TR"/>
              </w:rPr>
            </w:pPr>
            <w:r w:rsidRPr="001A4B94">
              <w:rPr>
                <w:sz w:val="16"/>
                <w:szCs w:val="16"/>
                <w:lang w:val="tr-TR"/>
              </w:rPr>
              <w:t>55</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0294E2A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4C7159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49489FF"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517EA5F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02B20CFD" w14:textId="3C027D6F" w:rsidR="00F16E72" w:rsidRPr="001A4B94" w:rsidRDefault="00F16E72" w:rsidP="00F16E72">
            <w:pPr>
              <w:jc w:val="right"/>
              <w:rPr>
                <w:sz w:val="16"/>
                <w:szCs w:val="16"/>
                <w:lang w:val="tr-TR"/>
              </w:rPr>
            </w:pPr>
            <w:r w:rsidRPr="001A4B94">
              <w:rPr>
                <w:sz w:val="16"/>
                <w:szCs w:val="16"/>
                <w:lang w:val="tr-TR"/>
              </w:rPr>
              <w:t>55</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000000" w:fill="FFFFFF"/>
            <w:noWrap/>
            <w:vAlign w:val="center"/>
            <w:hideMark/>
          </w:tcPr>
          <w:p w14:paraId="03A8FCFD" w14:textId="0DD59DC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8525216" w14:textId="77777777" w:rsidTr="007C4843">
        <w:trPr>
          <w:trHeight w:val="255"/>
          <w:jc w:val="center"/>
        </w:trPr>
        <w:tc>
          <w:tcPr>
            <w:tcW w:w="1900" w:type="dxa"/>
            <w:tcBorders>
              <w:top w:val="nil"/>
              <w:left w:val="nil"/>
              <w:bottom w:val="nil"/>
              <w:right w:val="nil"/>
            </w:tcBorders>
            <w:shd w:val="clear" w:color="auto" w:fill="D9D9D9"/>
            <w:vAlign w:val="center"/>
            <w:hideMark/>
          </w:tcPr>
          <w:p w14:paraId="22AF645A" w14:textId="77777777" w:rsidR="00F16E72" w:rsidRPr="001A4B94" w:rsidRDefault="00F16E72" w:rsidP="00F16E72">
            <w:pPr>
              <w:rPr>
                <w:sz w:val="16"/>
                <w:szCs w:val="16"/>
                <w:lang w:val="tr-TR"/>
              </w:rPr>
            </w:pPr>
            <w:r w:rsidRPr="001A4B94">
              <w:rPr>
                <w:sz w:val="16"/>
                <w:szCs w:val="16"/>
                <w:lang w:val="tr-TR"/>
              </w:rPr>
              <w:t>2014</w:t>
            </w:r>
          </w:p>
        </w:tc>
        <w:tc>
          <w:tcPr>
            <w:tcW w:w="1470" w:type="dxa"/>
            <w:tcBorders>
              <w:top w:val="nil"/>
              <w:left w:val="nil"/>
              <w:bottom w:val="nil"/>
              <w:right w:val="nil"/>
            </w:tcBorders>
            <w:shd w:val="clear" w:color="auto" w:fill="D9D9D9"/>
            <w:noWrap/>
            <w:vAlign w:val="center"/>
            <w:hideMark/>
          </w:tcPr>
          <w:p w14:paraId="3DA99895" w14:textId="77777777" w:rsidR="00F16E72" w:rsidRPr="001A4B94" w:rsidRDefault="00F16E72" w:rsidP="00F16E72">
            <w:pPr>
              <w:rPr>
                <w:sz w:val="16"/>
                <w:szCs w:val="16"/>
                <w:lang w:val="tr-TR"/>
              </w:rPr>
            </w:pPr>
            <w:r w:rsidRPr="001A4B94">
              <w:rPr>
                <w:sz w:val="16"/>
                <w:szCs w:val="16"/>
                <w:lang w:val="tr-TR"/>
              </w:rPr>
              <w:t>Astra Dorms</w:t>
            </w:r>
          </w:p>
        </w:tc>
        <w:tc>
          <w:tcPr>
            <w:tcW w:w="776" w:type="dxa"/>
            <w:tcBorders>
              <w:top w:val="nil"/>
              <w:left w:val="nil"/>
              <w:bottom w:val="nil"/>
              <w:right w:val="nil"/>
            </w:tcBorders>
            <w:shd w:val="clear" w:color="auto" w:fill="D9D9D9"/>
            <w:noWrap/>
            <w:vAlign w:val="center"/>
            <w:hideMark/>
          </w:tcPr>
          <w:p w14:paraId="2E4F4E7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33811560" w14:textId="6FF5AEC3" w:rsidR="00F16E72" w:rsidRPr="001A4B94" w:rsidRDefault="00F16E72" w:rsidP="00F16E72">
            <w:pPr>
              <w:jc w:val="right"/>
              <w:rPr>
                <w:sz w:val="16"/>
                <w:szCs w:val="16"/>
                <w:lang w:val="tr-TR"/>
              </w:rPr>
            </w:pPr>
            <w:r w:rsidRPr="001A4B94">
              <w:rPr>
                <w:sz w:val="16"/>
                <w:szCs w:val="16"/>
                <w:lang w:val="tr-TR"/>
              </w:rPr>
              <w:t>7</w:t>
            </w:r>
            <w:r w:rsidR="007C4843" w:rsidRPr="001A4B94">
              <w:rPr>
                <w:sz w:val="16"/>
                <w:szCs w:val="16"/>
                <w:lang w:val="tr-TR"/>
              </w:rPr>
              <w:t>,</w:t>
            </w:r>
            <w:r w:rsidRPr="001A4B94">
              <w:rPr>
                <w:sz w:val="16"/>
                <w:szCs w:val="16"/>
                <w:lang w:val="tr-TR"/>
              </w:rPr>
              <w:t>50</w:t>
            </w:r>
          </w:p>
        </w:tc>
        <w:tc>
          <w:tcPr>
            <w:tcW w:w="812" w:type="dxa"/>
            <w:tcBorders>
              <w:top w:val="nil"/>
              <w:left w:val="nil"/>
              <w:bottom w:val="nil"/>
              <w:right w:val="nil"/>
            </w:tcBorders>
            <w:shd w:val="clear" w:color="auto" w:fill="D9D9D9"/>
            <w:noWrap/>
            <w:vAlign w:val="center"/>
            <w:hideMark/>
          </w:tcPr>
          <w:p w14:paraId="7A1DD2E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53199C6"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3AE52C74"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4E72AB9" w14:textId="5A1FA031" w:rsidR="00F16E72" w:rsidRPr="001A4B94" w:rsidRDefault="00F16E72" w:rsidP="00F16E72">
            <w:pPr>
              <w:jc w:val="right"/>
              <w:rPr>
                <w:sz w:val="16"/>
                <w:szCs w:val="16"/>
                <w:lang w:val="tr-TR"/>
              </w:rPr>
            </w:pPr>
            <w:r w:rsidRPr="001A4B94">
              <w:rPr>
                <w:sz w:val="16"/>
                <w:szCs w:val="16"/>
                <w:lang w:val="tr-TR"/>
              </w:rPr>
              <w:t>7</w:t>
            </w:r>
            <w:r w:rsidR="007C4843" w:rsidRPr="001A4B94">
              <w:rPr>
                <w:sz w:val="16"/>
                <w:szCs w:val="16"/>
                <w:lang w:val="tr-TR"/>
              </w:rPr>
              <w:t>,</w:t>
            </w:r>
            <w:r w:rsidRPr="001A4B94">
              <w:rPr>
                <w:sz w:val="16"/>
                <w:szCs w:val="16"/>
                <w:lang w:val="tr-TR"/>
              </w:rPr>
              <w:t>50</w:t>
            </w:r>
          </w:p>
        </w:tc>
        <w:tc>
          <w:tcPr>
            <w:tcW w:w="1069" w:type="dxa"/>
            <w:tcBorders>
              <w:top w:val="nil"/>
              <w:left w:val="nil"/>
              <w:bottom w:val="nil"/>
              <w:right w:val="nil"/>
            </w:tcBorders>
            <w:shd w:val="clear" w:color="auto" w:fill="D9D9D9"/>
            <w:noWrap/>
            <w:vAlign w:val="center"/>
            <w:hideMark/>
          </w:tcPr>
          <w:p w14:paraId="335EA0BF"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049994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328AF79D" w14:textId="6E5C5F3D" w:rsidR="00F16E72" w:rsidRPr="001A4B94" w:rsidRDefault="00F16E72" w:rsidP="00F16E72">
            <w:pPr>
              <w:jc w:val="right"/>
              <w:rPr>
                <w:sz w:val="16"/>
                <w:szCs w:val="16"/>
                <w:lang w:val="tr-TR"/>
              </w:rPr>
            </w:pPr>
            <w:r w:rsidRPr="001A4B94">
              <w:rPr>
                <w:sz w:val="16"/>
                <w:szCs w:val="16"/>
                <w:lang w:val="tr-TR"/>
              </w:rPr>
              <w:t>7</w:t>
            </w:r>
            <w:r w:rsidR="007C4843" w:rsidRPr="001A4B94">
              <w:rPr>
                <w:sz w:val="16"/>
                <w:szCs w:val="16"/>
                <w:lang w:val="tr-TR"/>
              </w:rPr>
              <w:t>,</w:t>
            </w:r>
            <w:r w:rsidRPr="001A4B94">
              <w:rPr>
                <w:sz w:val="16"/>
                <w:szCs w:val="16"/>
                <w:lang w:val="tr-TR"/>
              </w:rPr>
              <w:t>50</w:t>
            </w:r>
          </w:p>
        </w:tc>
        <w:tc>
          <w:tcPr>
            <w:tcW w:w="812" w:type="dxa"/>
            <w:tcBorders>
              <w:top w:val="nil"/>
              <w:left w:val="nil"/>
              <w:bottom w:val="nil"/>
              <w:right w:val="nil"/>
            </w:tcBorders>
            <w:shd w:val="clear" w:color="auto" w:fill="D9D9D9"/>
            <w:noWrap/>
            <w:vAlign w:val="center"/>
            <w:hideMark/>
          </w:tcPr>
          <w:p w14:paraId="184A174E"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D6CD9EF"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03F1946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5D7AA9B" w14:textId="708A019B" w:rsidR="00F16E72" w:rsidRPr="001A4B94" w:rsidRDefault="00F16E72" w:rsidP="00F16E72">
            <w:pPr>
              <w:jc w:val="right"/>
              <w:rPr>
                <w:sz w:val="16"/>
                <w:szCs w:val="16"/>
                <w:lang w:val="tr-TR"/>
              </w:rPr>
            </w:pPr>
            <w:r w:rsidRPr="001A4B94">
              <w:rPr>
                <w:sz w:val="16"/>
                <w:szCs w:val="16"/>
                <w:lang w:val="tr-TR"/>
              </w:rPr>
              <w:t>7</w:t>
            </w:r>
            <w:r w:rsidR="007C4843" w:rsidRPr="001A4B94">
              <w:rPr>
                <w:sz w:val="16"/>
                <w:szCs w:val="16"/>
                <w:lang w:val="tr-TR"/>
              </w:rPr>
              <w:t>,</w:t>
            </w:r>
            <w:r w:rsidRPr="001A4B94">
              <w:rPr>
                <w:sz w:val="16"/>
                <w:szCs w:val="16"/>
                <w:lang w:val="tr-TR"/>
              </w:rPr>
              <w:t>50</w:t>
            </w:r>
          </w:p>
        </w:tc>
        <w:tc>
          <w:tcPr>
            <w:tcW w:w="990" w:type="dxa"/>
            <w:tcBorders>
              <w:top w:val="nil"/>
              <w:left w:val="nil"/>
              <w:bottom w:val="nil"/>
              <w:right w:val="nil"/>
            </w:tcBorders>
            <w:shd w:val="clear" w:color="auto" w:fill="D9D9D9"/>
            <w:noWrap/>
            <w:vAlign w:val="center"/>
            <w:hideMark/>
          </w:tcPr>
          <w:p w14:paraId="1DB8DF11" w14:textId="56C9653A"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967AE0F" w14:textId="77777777" w:rsidTr="007C4843">
        <w:trPr>
          <w:trHeight w:val="255"/>
          <w:jc w:val="center"/>
        </w:trPr>
        <w:tc>
          <w:tcPr>
            <w:tcW w:w="1900" w:type="dxa"/>
            <w:tcBorders>
              <w:top w:val="nil"/>
              <w:left w:val="nil"/>
              <w:bottom w:val="nil"/>
              <w:right w:val="nil"/>
            </w:tcBorders>
            <w:shd w:val="clear" w:color="000000" w:fill="FFFFFF"/>
            <w:vAlign w:val="center"/>
            <w:hideMark/>
          </w:tcPr>
          <w:p w14:paraId="6923F7B2" w14:textId="77777777" w:rsidR="00F16E72" w:rsidRPr="001A4B94" w:rsidRDefault="00F16E72" w:rsidP="00F16E72">
            <w:pPr>
              <w:rPr>
                <w:sz w:val="16"/>
                <w:szCs w:val="16"/>
                <w:lang w:val="tr-TR"/>
              </w:rPr>
            </w:pPr>
            <w:r w:rsidRPr="001A4B94">
              <w:rPr>
                <w:sz w:val="16"/>
                <w:szCs w:val="16"/>
                <w:lang w:val="tr-TR"/>
              </w:rPr>
              <w:t>2013/ 2014</w:t>
            </w:r>
          </w:p>
        </w:tc>
        <w:tc>
          <w:tcPr>
            <w:tcW w:w="1470" w:type="dxa"/>
            <w:tcBorders>
              <w:top w:val="nil"/>
              <w:left w:val="nil"/>
              <w:bottom w:val="nil"/>
              <w:right w:val="nil"/>
            </w:tcBorders>
            <w:shd w:val="clear" w:color="000000" w:fill="FFFFFF"/>
            <w:noWrap/>
            <w:vAlign w:val="center"/>
            <w:hideMark/>
          </w:tcPr>
          <w:p w14:paraId="23E26279" w14:textId="77777777" w:rsidR="00F16E72" w:rsidRPr="001A4B94" w:rsidRDefault="00F16E72" w:rsidP="00F16E72">
            <w:pPr>
              <w:rPr>
                <w:sz w:val="16"/>
                <w:szCs w:val="16"/>
                <w:lang w:val="tr-TR"/>
              </w:rPr>
            </w:pPr>
            <w:r w:rsidRPr="001A4B94">
              <w:rPr>
                <w:sz w:val="16"/>
                <w:szCs w:val="16"/>
                <w:lang w:val="tr-TR"/>
              </w:rPr>
              <w:t>Asyaport</w:t>
            </w:r>
          </w:p>
        </w:tc>
        <w:tc>
          <w:tcPr>
            <w:tcW w:w="776" w:type="dxa"/>
            <w:tcBorders>
              <w:top w:val="nil"/>
              <w:left w:val="nil"/>
              <w:bottom w:val="nil"/>
              <w:right w:val="nil"/>
            </w:tcBorders>
            <w:shd w:val="clear" w:color="000000" w:fill="FFFFFF"/>
            <w:noWrap/>
            <w:vAlign w:val="center"/>
            <w:hideMark/>
          </w:tcPr>
          <w:p w14:paraId="3EE88AA2" w14:textId="575D7B35" w:rsidR="00F16E72" w:rsidRPr="001A4B94" w:rsidRDefault="00F16E72" w:rsidP="00F16E72">
            <w:pPr>
              <w:jc w:val="right"/>
              <w:rPr>
                <w:sz w:val="16"/>
                <w:szCs w:val="16"/>
                <w:lang w:val="tr-TR"/>
              </w:rPr>
            </w:pPr>
            <w:r w:rsidRPr="001A4B94">
              <w:rPr>
                <w:sz w:val="16"/>
                <w:szCs w:val="16"/>
                <w:lang w:val="tr-TR"/>
              </w:rPr>
              <w:t>50</w:t>
            </w:r>
            <w:r w:rsidR="007C4843" w:rsidRPr="001A4B94">
              <w:rPr>
                <w:sz w:val="16"/>
                <w:szCs w:val="16"/>
                <w:lang w:val="tr-TR"/>
              </w:rPr>
              <w:t>,</w:t>
            </w:r>
            <w:r w:rsidRPr="001A4B94">
              <w:rPr>
                <w:sz w:val="16"/>
                <w:szCs w:val="16"/>
                <w:lang w:val="tr-TR"/>
              </w:rPr>
              <w:t>32</w:t>
            </w:r>
          </w:p>
        </w:tc>
        <w:tc>
          <w:tcPr>
            <w:tcW w:w="812" w:type="dxa"/>
            <w:tcBorders>
              <w:top w:val="nil"/>
              <w:left w:val="nil"/>
              <w:bottom w:val="nil"/>
              <w:right w:val="nil"/>
            </w:tcBorders>
            <w:shd w:val="clear" w:color="000000" w:fill="FFFFFF"/>
            <w:noWrap/>
            <w:vAlign w:val="center"/>
            <w:hideMark/>
          </w:tcPr>
          <w:p w14:paraId="7A1B380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0142245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6178DA5F"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745E544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1D38D44" w14:textId="691CFA94" w:rsidR="00F16E72" w:rsidRPr="001A4B94" w:rsidRDefault="00F16E72" w:rsidP="00F16E72">
            <w:pPr>
              <w:jc w:val="right"/>
              <w:rPr>
                <w:sz w:val="16"/>
                <w:szCs w:val="16"/>
                <w:lang w:val="tr-TR"/>
              </w:rPr>
            </w:pPr>
            <w:r w:rsidRPr="001A4B94">
              <w:rPr>
                <w:sz w:val="16"/>
                <w:szCs w:val="16"/>
                <w:lang w:val="tr-TR"/>
              </w:rPr>
              <w:t>50</w:t>
            </w:r>
            <w:r w:rsidR="007C4843" w:rsidRPr="001A4B94">
              <w:rPr>
                <w:sz w:val="16"/>
                <w:szCs w:val="16"/>
                <w:lang w:val="tr-TR"/>
              </w:rPr>
              <w:t>,</w:t>
            </w:r>
            <w:r w:rsidRPr="001A4B94">
              <w:rPr>
                <w:sz w:val="16"/>
                <w:szCs w:val="16"/>
                <w:lang w:val="tr-TR"/>
              </w:rPr>
              <w:t>32</w:t>
            </w:r>
          </w:p>
        </w:tc>
        <w:tc>
          <w:tcPr>
            <w:tcW w:w="1069" w:type="dxa"/>
            <w:tcBorders>
              <w:top w:val="nil"/>
              <w:left w:val="nil"/>
              <w:bottom w:val="nil"/>
              <w:right w:val="nil"/>
            </w:tcBorders>
            <w:shd w:val="clear" w:color="000000" w:fill="FFFFFF"/>
            <w:noWrap/>
            <w:vAlign w:val="center"/>
            <w:hideMark/>
          </w:tcPr>
          <w:p w14:paraId="0BDF5E85"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1339CE9D" w14:textId="1F02C0E9" w:rsidR="00F16E72" w:rsidRPr="001A4B94" w:rsidRDefault="00F16E72" w:rsidP="00F16E72">
            <w:pPr>
              <w:jc w:val="right"/>
              <w:rPr>
                <w:sz w:val="16"/>
                <w:szCs w:val="16"/>
                <w:lang w:val="tr-TR"/>
              </w:rPr>
            </w:pPr>
            <w:r w:rsidRPr="001A4B94">
              <w:rPr>
                <w:sz w:val="16"/>
                <w:szCs w:val="16"/>
                <w:lang w:val="tr-TR"/>
              </w:rPr>
              <w:t>50</w:t>
            </w:r>
            <w:r w:rsidR="007C4843" w:rsidRPr="001A4B94">
              <w:rPr>
                <w:sz w:val="16"/>
                <w:szCs w:val="16"/>
                <w:lang w:val="tr-TR"/>
              </w:rPr>
              <w:t>,</w:t>
            </w:r>
            <w:r w:rsidRPr="001A4B94">
              <w:rPr>
                <w:sz w:val="16"/>
                <w:szCs w:val="16"/>
                <w:lang w:val="tr-TR"/>
              </w:rPr>
              <w:t>32</w:t>
            </w:r>
          </w:p>
        </w:tc>
        <w:tc>
          <w:tcPr>
            <w:tcW w:w="812" w:type="dxa"/>
            <w:tcBorders>
              <w:top w:val="nil"/>
              <w:left w:val="nil"/>
              <w:bottom w:val="nil"/>
              <w:right w:val="nil"/>
            </w:tcBorders>
            <w:shd w:val="clear" w:color="000000" w:fill="FFFFFF"/>
            <w:noWrap/>
            <w:vAlign w:val="center"/>
            <w:hideMark/>
          </w:tcPr>
          <w:p w14:paraId="2BB81CA7"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12FEE4F"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6D63D05"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53EFA70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BE6C86D" w14:textId="2FBA45EA" w:rsidR="00F16E72" w:rsidRPr="001A4B94" w:rsidRDefault="00F16E72" w:rsidP="00F16E72">
            <w:pPr>
              <w:jc w:val="right"/>
              <w:rPr>
                <w:sz w:val="16"/>
                <w:szCs w:val="16"/>
                <w:lang w:val="tr-TR"/>
              </w:rPr>
            </w:pPr>
            <w:r w:rsidRPr="001A4B94">
              <w:rPr>
                <w:sz w:val="16"/>
                <w:szCs w:val="16"/>
                <w:lang w:val="tr-TR"/>
              </w:rPr>
              <w:t>50</w:t>
            </w:r>
            <w:r w:rsidR="007C4843" w:rsidRPr="001A4B94">
              <w:rPr>
                <w:sz w:val="16"/>
                <w:szCs w:val="16"/>
                <w:lang w:val="tr-TR"/>
              </w:rPr>
              <w:t>,</w:t>
            </w:r>
            <w:r w:rsidRPr="001A4B94">
              <w:rPr>
                <w:sz w:val="16"/>
                <w:szCs w:val="16"/>
                <w:lang w:val="tr-TR"/>
              </w:rPr>
              <w:t>32</w:t>
            </w:r>
          </w:p>
        </w:tc>
        <w:tc>
          <w:tcPr>
            <w:tcW w:w="990" w:type="dxa"/>
            <w:tcBorders>
              <w:top w:val="nil"/>
              <w:left w:val="nil"/>
              <w:bottom w:val="nil"/>
              <w:right w:val="nil"/>
            </w:tcBorders>
            <w:shd w:val="clear" w:color="000000" w:fill="FFFFFF"/>
            <w:noWrap/>
            <w:vAlign w:val="center"/>
            <w:hideMark/>
          </w:tcPr>
          <w:p w14:paraId="4FA3C920" w14:textId="10BF0E4D"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48442152" w14:textId="77777777" w:rsidTr="007C4843">
        <w:trPr>
          <w:trHeight w:val="255"/>
          <w:jc w:val="center"/>
        </w:trPr>
        <w:tc>
          <w:tcPr>
            <w:tcW w:w="1900" w:type="dxa"/>
            <w:tcBorders>
              <w:top w:val="nil"/>
              <w:left w:val="nil"/>
              <w:bottom w:val="nil"/>
              <w:right w:val="nil"/>
            </w:tcBorders>
            <w:shd w:val="clear" w:color="auto" w:fill="D9D9D9"/>
            <w:vAlign w:val="center"/>
            <w:hideMark/>
          </w:tcPr>
          <w:p w14:paraId="798D62B1" w14:textId="77777777" w:rsidR="00F16E72" w:rsidRPr="001A4B94" w:rsidRDefault="00F16E72" w:rsidP="00F16E72">
            <w:pPr>
              <w:rPr>
                <w:sz w:val="16"/>
                <w:szCs w:val="16"/>
                <w:lang w:val="tr-TR"/>
              </w:rPr>
            </w:pPr>
            <w:r w:rsidRPr="001A4B94">
              <w:rPr>
                <w:sz w:val="16"/>
                <w:szCs w:val="16"/>
                <w:lang w:val="tr-TR"/>
              </w:rPr>
              <w:t>2017/ 2016</w:t>
            </w:r>
          </w:p>
        </w:tc>
        <w:tc>
          <w:tcPr>
            <w:tcW w:w="1470" w:type="dxa"/>
            <w:tcBorders>
              <w:top w:val="nil"/>
              <w:left w:val="nil"/>
              <w:bottom w:val="nil"/>
              <w:right w:val="nil"/>
            </w:tcBorders>
            <w:shd w:val="clear" w:color="auto" w:fill="D9D9D9"/>
            <w:noWrap/>
            <w:vAlign w:val="center"/>
            <w:hideMark/>
          </w:tcPr>
          <w:p w14:paraId="40101A0F" w14:textId="66649C78" w:rsidR="00F16E72" w:rsidRPr="001A4B94" w:rsidRDefault="00F16E72" w:rsidP="00F16E72">
            <w:pPr>
              <w:rPr>
                <w:sz w:val="16"/>
                <w:szCs w:val="16"/>
                <w:lang w:val="tr-TR"/>
              </w:rPr>
            </w:pPr>
            <w:r w:rsidRPr="001A4B94">
              <w:rPr>
                <w:sz w:val="16"/>
                <w:szCs w:val="16"/>
                <w:lang w:val="tr-TR"/>
              </w:rPr>
              <w:t>Burgan T</w:t>
            </w:r>
            <w:r w:rsidR="009866A8" w:rsidRPr="001A4B94">
              <w:rPr>
                <w:sz w:val="16"/>
                <w:szCs w:val="16"/>
                <w:lang w:val="tr-TR"/>
              </w:rPr>
              <w:t xml:space="preserve">ürkiye </w:t>
            </w:r>
          </w:p>
        </w:tc>
        <w:tc>
          <w:tcPr>
            <w:tcW w:w="776" w:type="dxa"/>
            <w:tcBorders>
              <w:top w:val="nil"/>
              <w:left w:val="nil"/>
              <w:bottom w:val="nil"/>
              <w:right w:val="nil"/>
            </w:tcBorders>
            <w:shd w:val="clear" w:color="auto" w:fill="D9D9D9"/>
            <w:noWrap/>
            <w:vAlign w:val="center"/>
            <w:hideMark/>
          </w:tcPr>
          <w:p w14:paraId="44C491BB" w14:textId="3301610D" w:rsidR="00F16E72" w:rsidRPr="001A4B94" w:rsidRDefault="00F16E72" w:rsidP="00F16E72">
            <w:pPr>
              <w:jc w:val="right"/>
              <w:rPr>
                <w:sz w:val="16"/>
                <w:szCs w:val="16"/>
                <w:lang w:val="tr-TR"/>
              </w:rPr>
            </w:pPr>
            <w:r w:rsidRPr="001A4B94">
              <w:rPr>
                <w:sz w:val="16"/>
                <w:szCs w:val="16"/>
                <w:lang w:val="tr-TR"/>
              </w:rPr>
              <w:t>40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auto" w:fill="D9D9D9"/>
            <w:noWrap/>
            <w:vAlign w:val="center"/>
            <w:hideMark/>
          </w:tcPr>
          <w:p w14:paraId="44179C6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58D91E9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1C76B57C" w14:textId="10C4B344"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02</w:t>
            </w:r>
          </w:p>
        </w:tc>
        <w:tc>
          <w:tcPr>
            <w:tcW w:w="710" w:type="dxa"/>
            <w:tcBorders>
              <w:top w:val="nil"/>
              <w:left w:val="nil"/>
              <w:bottom w:val="nil"/>
              <w:right w:val="nil"/>
            </w:tcBorders>
            <w:shd w:val="clear" w:color="auto" w:fill="D9D9D9"/>
            <w:noWrap/>
            <w:vAlign w:val="center"/>
            <w:hideMark/>
          </w:tcPr>
          <w:p w14:paraId="111D25D9"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2641BA78" w14:textId="470ADE6F" w:rsidR="00F16E72" w:rsidRPr="001A4B94" w:rsidRDefault="00F16E72" w:rsidP="00F16E72">
            <w:pPr>
              <w:jc w:val="right"/>
              <w:rPr>
                <w:sz w:val="16"/>
                <w:szCs w:val="16"/>
                <w:lang w:val="tr-TR"/>
              </w:rPr>
            </w:pPr>
            <w:r w:rsidRPr="001A4B94">
              <w:rPr>
                <w:sz w:val="16"/>
                <w:szCs w:val="16"/>
                <w:lang w:val="tr-TR"/>
              </w:rPr>
              <w:t>44</w:t>
            </w:r>
            <w:r w:rsidR="007C4843" w:rsidRPr="001A4B94">
              <w:rPr>
                <w:sz w:val="16"/>
                <w:szCs w:val="16"/>
                <w:lang w:val="tr-TR"/>
              </w:rPr>
              <w:t>,</w:t>
            </w:r>
            <w:r w:rsidRPr="001A4B94">
              <w:rPr>
                <w:sz w:val="16"/>
                <w:szCs w:val="16"/>
                <w:lang w:val="tr-TR"/>
              </w:rPr>
              <w:t>02</w:t>
            </w:r>
          </w:p>
        </w:tc>
        <w:tc>
          <w:tcPr>
            <w:tcW w:w="1069" w:type="dxa"/>
            <w:tcBorders>
              <w:top w:val="nil"/>
              <w:left w:val="nil"/>
              <w:bottom w:val="nil"/>
              <w:right w:val="nil"/>
            </w:tcBorders>
            <w:shd w:val="clear" w:color="auto" w:fill="D9D9D9"/>
            <w:noWrap/>
            <w:vAlign w:val="center"/>
            <w:hideMark/>
          </w:tcPr>
          <w:p w14:paraId="429B4FC1"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B4F87DD" w14:textId="478AD54E" w:rsidR="00F16E72" w:rsidRPr="001A4B94" w:rsidRDefault="00F16E72" w:rsidP="00F16E72">
            <w:pPr>
              <w:jc w:val="right"/>
              <w:rPr>
                <w:sz w:val="16"/>
                <w:szCs w:val="16"/>
                <w:lang w:val="tr-TR"/>
              </w:rPr>
            </w:pPr>
            <w:r w:rsidRPr="001A4B94">
              <w:rPr>
                <w:sz w:val="16"/>
                <w:szCs w:val="16"/>
                <w:lang w:val="tr-TR"/>
              </w:rPr>
              <w:t>40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auto" w:fill="D9D9D9"/>
            <w:noWrap/>
            <w:vAlign w:val="center"/>
            <w:hideMark/>
          </w:tcPr>
          <w:p w14:paraId="151C009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E4EF8B1"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6A790B7" w14:textId="2E122B24"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02</w:t>
            </w:r>
          </w:p>
        </w:tc>
        <w:tc>
          <w:tcPr>
            <w:tcW w:w="685" w:type="dxa"/>
            <w:tcBorders>
              <w:top w:val="nil"/>
              <w:left w:val="nil"/>
              <w:bottom w:val="nil"/>
              <w:right w:val="nil"/>
            </w:tcBorders>
            <w:shd w:val="clear" w:color="auto" w:fill="D9D9D9"/>
            <w:noWrap/>
            <w:vAlign w:val="center"/>
            <w:hideMark/>
          </w:tcPr>
          <w:p w14:paraId="4567A46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41B0126" w14:textId="4FAE6190" w:rsidR="00F16E72" w:rsidRPr="001A4B94" w:rsidRDefault="00F16E72" w:rsidP="00F16E72">
            <w:pPr>
              <w:jc w:val="right"/>
              <w:rPr>
                <w:sz w:val="16"/>
                <w:szCs w:val="16"/>
                <w:lang w:val="tr-TR"/>
              </w:rPr>
            </w:pPr>
            <w:r w:rsidRPr="001A4B94">
              <w:rPr>
                <w:sz w:val="16"/>
                <w:szCs w:val="16"/>
                <w:lang w:val="tr-TR"/>
              </w:rPr>
              <w:t>44</w:t>
            </w:r>
            <w:r w:rsidR="007C4843" w:rsidRPr="001A4B94">
              <w:rPr>
                <w:sz w:val="16"/>
                <w:szCs w:val="16"/>
                <w:lang w:val="tr-TR"/>
              </w:rPr>
              <w:t>,</w:t>
            </w:r>
            <w:r w:rsidRPr="001A4B94">
              <w:rPr>
                <w:sz w:val="16"/>
                <w:szCs w:val="16"/>
                <w:lang w:val="tr-TR"/>
              </w:rPr>
              <w:t>02</w:t>
            </w:r>
          </w:p>
        </w:tc>
        <w:tc>
          <w:tcPr>
            <w:tcW w:w="990" w:type="dxa"/>
            <w:tcBorders>
              <w:top w:val="nil"/>
              <w:left w:val="nil"/>
              <w:bottom w:val="nil"/>
              <w:right w:val="nil"/>
            </w:tcBorders>
            <w:shd w:val="clear" w:color="auto" w:fill="D9D9D9"/>
            <w:noWrap/>
            <w:vAlign w:val="center"/>
            <w:hideMark/>
          </w:tcPr>
          <w:p w14:paraId="0B07E0B4" w14:textId="3EBD90DC"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25D06C92" w14:textId="77777777" w:rsidTr="007C4843">
        <w:trPr>
          <w:trHeight w:val="255"/>
          <w:jc w:val="center"/>
        </w:trPr>
        <w:tc>
          <w:tcPr>
            <w:tcW w:w="1900" w:type="dxa"/>
            <w:tcBorders>
              <w:top w:val="nil"/>
              <w:left w:val="nil"/>
              <w:bottom w:val="nil"/>
              <w:right w:val="nil"/>
            </w:tcBorders>
            <w:shd w:val="clear" w:color="000000" w:fill="FFFFFF"/>
            <w:vAlign w:val="center"/>
            <w:hideMark/>
          </w:tcPr>
          <w:p w14:paraId="78BF2F03" w14:textId="77777777" w:rsidR="00F16E72" w:rsidRPr="001A4B94" w:rsidRDefault="00F16E72" w:rsidP="00F16E72">
            <w:pPr>
              <w:rPr>
                <w:sz w:val="16"/>
                <w:szCs w:val="16"/>
                <w:lang w:val="tr-TR"/>
              </w:rPr>
            </w:pPr>
            <w:r w:rsidRPr="001A4B94">
              <w:rPr>
                <w:sz w:val="16"/>
                <w:szCs w:val="16"/>
                <w:lang w:val="tr-TR"/>
              </w:rPr>
              <w:t>2011</w:t>
            </w:r>
          </w:p>
        </w:tc>
        <w:tc>
          <w:tcPr>
            <w:tcW w:w="1470" w:type="dxa"/>
            <w:tcBorders>
              <w:top w:val="nil"/>
              <w:left w:val="nil"/>
              <w:bottom w:val="nil"/>
              <w:right w:val="nil"/>
            </w:tcBorders>
            <w:shd w:val="clear" w:color="000000" w:fill="FFFFFF"/>
            <w:noWrap/>
            <w:vAlign w:val="center"/>
            <w:hideMark/>
          </w:tcPr>
          <w:p w14:paraId="597B7954" w14:textId="1CE49ED4" w:rsidR="00F16E72" w:rsidRPr="001A4B94" w:rsidRDefault="00F16E72" w:rsidP="00F16E72">
            <w:pPr>
              <w:rPr>
                <w:sz w:val="16"/>
                <w:szCs w:val="16"/>
                <w:lang w:val="tr-TR"/>
              </w:rPr>
            </w:pPr>
            <w:r w:rsidRPr="001A4B94">
              <w:rPr>
                <w:sz w:val="16"/>
                <w:szCs w:val="16"/>
                <w:lang w:val="tr-TR"/>
              </w:rPr>
              <w:t>DenizBank A</w:t>
            </w:r>
            <w:r w:rsidR="009866A8" w:rsidRPr="001A4B94">
              <w:rPr>
                <w:sz w:val="16"/>
                <w:szCs w:val="16"/>
                <w:lang w:val="tr-TR"/>
              </w:rPr>
              <w:t>.Ş.</w:t>
            </w:r>
          </w:p>
        </w:tc>
        <w:tc>
          <w:tcPr>
            <w:tcW w:w="776" w:type="dxa"/>
            <w:tcBorders>
              <w:top w:val="nil"/>
              <w:left w:val="nil"/>
              <w:bottom w:val="nil"/>
              <w:right w:val="nil"/>
            </w:tcBorders>
            <w:shd w:val="clear" w:color="000000" w:fill="FFFFFF"/>
            <w:noWrap/>
            <w:vAlign w:val="center"/>
            <w:hideMark/>
          </w:tcPr>
          <w:p w14:paraId="70EA7370" w14:textId="6BF59ECA"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40</w:t>
            </w:r>
          </w:p>
        </w:tc>
        <w:tc>
          <w:tcPr>
            <w:tcW w:w="812" w:type="dxa"/>
            <w:tcBorders>
              <w:top w:val="nil"/>
              <w:left w:val="nil"/>
              <w:bottom w:val="nil"/>
              <w:right w:val="nil"/>
            </w:tcBorders>
            <w:shd w:val="clear" w:color="000000" w:fill="FFFFFF"/>
            <w:noWrap/>
            <w:vAlign w:val="center"/>
            <w:hideMark/>
          </w:tcPr>
          <w:p w14:paraId="6D5B8D6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C4D13E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6401F450"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3A06881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79FAAD5" w14:textId="5DB5D7FC"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40</w:t>
            </w:r>
          </w:p>
        </w:tc>
        <w:tc>
          <w:tcPr>
            <w:tcW w:w="1069" w:type="dxa"/>
            <w:tcBorders>
              <w:top w:val="nil"/>
              <w:left w:val="nil"/>
              <w:bottom w:val="nil"/>
              <w:right w:val="nil"/>
            </w:tcBorders>
            <w:shd w:val="clear" w:color="000000" w:fill="FFFFFF"/>
            <w:noWrap/>
            <w:vAlign w:val="center"/>
            <w:hideMark/>
          </w:tcPr>
          <w:p w14:paraId="33696401"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6D2E3DCC" w14:textId="3E3EC944"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40</w:t>
            </w:r>
          </w:p>
        </w:tc>
        <w:tc>
          <w:tcPr>
            <w:tcW w:w="812" w:type="dxa"/>
            <w:tcBorders>
              <w:top w:val="nil"/>
              <w:left w:val="nil"/>
              <w:bottom w:val="nil"/>
              <w:right w:val="nil"/>
            </w:tcBorders>
            <w:shd w:val="clear" w:color="000000" w:fill="FFFFFF"/>
            <w:noWrap/>
            <w:vAlign w:val="center"/>
            <w:hideMark/>
          </w:tcPr>
          <w:p w14:paraId="2205A73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DED6078"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269AB3DC"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17F2D7B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A4A4452" w14:textId="0B40609E"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40</w:t>
            </w:r>
          </w:p>
        </w:tc>
        <w:tc>
          <w:tcPr>
            <w:tcW w:w="990" w:type="dxa"/>
            <w:tcBorders>
              <w:top w:val="nil"/>
              <w:left w:val="nil"/>
              <w:bottom w:val="nil"/>
              <w:right w:val="nil"/>
            </w:tcBorders>
            <w:shd w:val="clear" w:color="000000" w:fill="FFFFFF"/>
            <w:noWrap/>
            <w:vAlign w:val="center"/>
            <w:hideMark/>
          </w:tcPr>
          <w:p w14:paraId="6E2BEA82" w14:textId="58A39378"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3CE888F5" w14:textId="77777777" w:rsidTr="007C4843">
        <w:trPr>
          <w:trHeight w:val="255"/>
          <w:jc w:val="center"/>
        </w:trPr>
        <w:tc>
          <w:tcPr>
            <w:tcW w:w="1900" w:type="dxa"/>
            <w:tcBorders>
              <w:top w:val="nil"/>
              <w:left w:val="nil"/>
              <w:bottom w:val="nil"/>
              <w:right w:val="nil"/>
            </w:tcBorders>
            <w:shd w:val="clear" w:color="auto" w:fill="D9D9D9"/>
            <w:vAlign w:val="center"/>
            <w:hideMark/>
          </w:tcPr>
          <w:p w14:paraId="47E1F3E1" w14:textId="77777777" w:rsidR="00F16E72" w:rsidRPr="001A4B94" w:rsidRDefault="00F16E72" w:rsidP="00F16E72">
            <w:pPr>
              <w:rPr>
                <w:sz w:val="16"/>
                <w:szCs w:val="16"/>
                <w:lang w:val="tr-TR"/>
              </w:rPr>
            </w:pPr>
            <w:r w:rsidRPr="001A4B94">
              <w:rPr>
                <w:sz w:val="16"/>
                <w:szCs w:val="16"/>
                <w:lang w:val="tr-TR"/>
              </w:rPr>
              <w:t>2014</w:t>
            </w:r>
          </w:p>
        </w:tc>
        <w:tc>
          <w:tcPr>
            <w:tcW w:w="1470" w:type="dxa"/>
            <w:tcBorders>
              <w:top w:val="nil"/>
              <w:left w:val="nil"/>
              <w:bottom w:val="nil"/>
              <w:right w:val="nil"/>
            </w:tcBorders>
            <w:shd w:val="clear" w:color="auto" w:fill="D9D9D9"/>
            <w:noWrap/>
            <w:vAlign w:val="center"/>
            <w:hideMark/>
          </w:tcPr>
          <w:p w14:paraId="4255EC95" w14:textId="77777777" w:rsidR="00F16E72" w:rsidRPr="001A4B94" w:rsidRDefault="00F16E72" w:rsidP="00F16E72">
            <w:pPr>
              <w:rPr>
                <w:sz w:val="16"/>
                <w:szCs w:val="16"/>
                <w:lang w:val="tr-TR"/>
              </w:rPr>
            </w:pPr>
            <w:r w:rsidRPr="001A4B94">
              <w:rPr>
                <w:sz w:val="16"/>
                <w:szCs w:val="16"/>
                <w:lang w:val="tr-TR"/>
              </w:rPr>
              <w:t>EAS Solutions</w:t>
            </w:r>
          </w:p>
        </w:tc>
        <w:tc>
          <w:tcPr>
            <w:tcW w:w="776" w:type="dxa"/>
            <w:tcBorders>
              <w:top w:val="nil"/>
              <w:left w:val="nil"/>
              <w:bottom w:val="nil"/>
              <w:right w:val="nil"/>
            </w:tcBorders>
            <w:shd w:val="clear" w:color="auto" w:fill="D9D9D9"/>
            <w:noWrap/>
            <w:vAlign w:val="center"/>
            <w:hideMark/>
          </w:tcPr>
          <w:p w14:paraId="7561F4E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9FD4DE2" w14:textId="1584B63A" w:rsidR="00F16E72" w:rsidRPr="001A4B94" w:rsidRDefault="00F16E72" w:rsidP="00F16E72">
            <w:pPr>
              <w:jc w:val="right"/>
              <w:rPr>
                <w:sz w:val="16"/>
                <w:szCs w:val="16"/>
                <w:lang w:val="tr-TR"/>
              </w:rPr>
            </w:pPr>
            <w:r w:rsidRPr="001A4B94">
              <w:rPr>
                <w:sz w:val="16"/>
                <w:szCs w:val="16"/>
                <w:lang w:val="tr-TR"/>
              </w:rPr>
              <w:t>1</w:t>
            </w:r>
            <w:r w:rsidR="007C4843" w:rsidRPr="001A4B94">
              <w:rPr>
                <w:sz w:val="16"/>
                <w:szCs w:val="16"/>
                <w:lang w:val="tr-TR"/>
              </w:rPr>
              <w:t>,</w:t>
            </w:r>
            <w:r w:rsidRPr="001A4B94">
              <w:rPr>
                <w:sz w:val="16"/>
                <w:szCs w:val="16"/>
                <w:lang w:val="tr-TR"/>
              </w:rPr>
              <w:t>68</w:t>
            </w:r>
          </w:p>
        </w:tc>
        <w:tc>
          <w:tcPr>
            <w:tcW w:w="812" w:type="dxa"/>
            <w:tcBorders>
              <w:top w:val="nil"/>
              <w:left w:val="nil"/>
              <w:bottom w:val="nil"/>
              <w:right w:val="nil"/>
            </w:tcBorders>
            <w:shd w:val="clear" w:color="auto" w:fill="D9D9D9"/>
            <w:noWrap/>
            <w:vAlign w:val="center"/>
            <w:hideMark/>
          </w:tcPr>
          <w:p w14:paraId="15A1BCA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78CE4B0B"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1D21EE0B"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9B5D804" w14:textId="49FC5343" w:rsidR="00F16E72" w:rsidRPr="001A4B94" w:rsidRDefault="00F16E72" w:rsidP="00F16E72">
            <w:pPr>
              <w:jc w:val="right"/>
              <w:rPr>
                <w:sz w:val="16"/>
                <w:szCs w:val="16"/>
                <w:lang w:val="tr-TR"/>
              </w:rPr>
            </w:pPr>
            <w:r w:rsidRPr="001A4B94">
              <w:rPr>
                <w:sz w:val="16"/>
                <w:szCs w:val="16"/>
                <w:lang w:val="tr-TR"/>
              </w:rPr>
              <w:t>1</w:t>
            </w:r>
            <w:r w:rsidR="007C4843" w:rsidRPr="001A4B94">
              <w:rPr>
                <w:sz w:val="16"/>
                <w:szCs w:val="16"/>
                <w:lang w:val="tr-TR"/>
              </w:rPr>
              <w:t>,</w:t>
            </w:r>
            <w:r w:rsidRPr="001A4B94">
              <w:rPr>
                <w:sz w:val="16"/>
                <w:szCs w:val="16"/>
                <w:lang w:val="tr-TR"/>
              </w:rPr>
              <w:t>68</w:t>
            </w:r>
          </w:p>
        </w:tc>
        <w:tc>
          <w:tcPr>
            <w:tcW w:w="1069" w:type="dxa"/>
            <w:tcBorders>
              <w:top w:val="nil"/>
              <w:left w:val="nil"/>
              <w:bottom w:val="nil"/>
              <w:right w:val="nil"/>
            </w:tcBorders>
            <w:shd w:val="clear" w:color="auto" w:fill="D9D9D9"/>
            <w:noWrap/>
            <w:vAlign w:val="center"/>
            <w:hideMark/>
          </w:tcPr>
          <w:p w14:paraId="102CD7E4"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2362EF6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5878815" w14:textId="2586D68C" w:rsidR="00F16E72" w:rsidRPr="001A4B94" w:rsidRDefault="00F16E72" w:rsidP="00F16E72">
            <w:pPr>
              <w:jc w:val="right"/>
              <w:rPr>
                <w:sz w:val="16"/>
                <w:szCs w:val="16"/>
                <w:lang w:val="tr-TR"/>
              </w:rPr>
            </w:pPr>
            <w:r w:rsidRPr="001A4B94">
              <w:rPr>
                <w:sz w:val="16"/>
                <w:szCs w:val="16"/>
                <w:lang w:val="tr-TR"/>
              </w:rPr>
              <w:t>1</w:t>
            </w:r>
            <w:r w:rsidR="007C4843" w:rsidRPr="001A4B94">
              <w:rPr>
                <w:sz w:val="16"/>
                <w:szCs w:val="16"/>
                <w:lang w:val="tr-TR"/>
              </w:rPr>
              <w:t>,</w:t>
            </w:r>
            <w:r w:rsidRPr="001A4B94">
              <w:rPr>
                <w:sz w:val="16"/>
                <w:szCs w:val="16"/>
                <w:lang w:val="tr-TR"/>
              </w:rPr>
              <w:t>68</w:t>
            </w:r>
          </w:p>
        </w:tc>
        <w:tc>
          <w:tcPr>
            <w:tcW w:w="812" w:type="dxa"/>
            <w:tcBorders>
              <w:top w:val="nil"/>
              <w:left w:val="nil"/>
              <w:bottom w:val="nil"/>
              <w:right w:val="nil"/>
            </w:tcBorders>
            <w:shd w:val="clear" w:color="auto" w:fill="D9D9D9"/>
            <w:noWrap/>
            <w:vAlign w:val="center"/>
            <w:hideMark/>
          </w:tcPr>
          <w:p w14:paraId="5B7C478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9D1AF5C"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0C412CA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B5B8A91" w14:textId="2886718C" w:rsidR="00F16E72" w:rsidRPr="001A4B94" w:rsidRDefault="00F16E72" w:rsidP="00F16E72">
            <w:pPr>
              <w:jc w:val="right"/>
              <w:rPr>
                <w:sz w:val="16"/>
                <w:szCs w:val="16"/>
                <w:lang w:val="tr-TR"/>
              </w:rPr>
            </w:pPr>
            <w:r w:rsidRPr="001A4B94">
              <w:rPr>
                <w:sz w:val="16"/>
                <w:szCs w:val="16"/>
                <w:lang w:val="tr-TR"/>
              </w:rPr>
              <w:t>1</w:t>
            </w:r>
            <w:r w:rsidR="007C4843" w:rsidRPr="001A4B94">
              <w:rPr>
                <w:sz w:val="16"/>
                <w:szCs w:val="16"/>
                <w:lang w:val="tr-TR"/>
              </w:rPr>
              <w:t>,</w:t>
            </w:r>
            <w:r w:rsidRPr="001A4B94">
              <w:rPr>
                <w:sz w:val="16"/>
                <w:szCs w:val="16"/>
                <w:lang w:val="tr-TR"/>
              </w:rPr>
              <w:t>68</w:t>
            </w:r>
          </w:p>
        </w:tc>
        <w:tc>
          <w:tcPr>
            <w:tcW w:w="990" w:type="dxa"/>
            <w:tcBorders>
              <w:top w:val="nil"/>
              <w:left w:val="nil"/>
              <w:bottom w:val="nil"/>
              <w:right w:val="nil"/>
            </w:tcBorders>
            <w:shd w:val="clear" w:color="auto" w:fill="D9D9D9"/>
            <w:noWrap/>
            <w:vAlign w:val="center"/>
            <w:hideMark/>
          </w:tcPr>
          <w:p w14:paraId="41DFAC7A" w14:textId="5A2B0CA2"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719DE45A" w14:textId="77777777" w:rsidTr="007C4843">
        <w:trPr>
          <w:trHeight w:val="255"/>
          <w:jc w:val="center"/>
        </w:trPr>
        <w:tc>
          <w:tcPr>
            <w:tcW w:w="1900" w:type="dxa"/>
            <w:tcBorders>
              <w:top w:val="nil"/>
              <w:left w:val="nil"/>
              <w:bottom w:val="nil"/>
              <w:right w:val="nil"/>
            </w:tcBorders>
            <w:shd w:val="clear" w:color="000000" w:fill="FFFFFF"/>
            <w:vAlign w:val="center"/>
            <w:hideMark/>
          </w:tcPr>
          <w:p w14:paraId="3FDAE12A" w14:textId="77777777" w:rsidR="00F16E72" w:rsidRPr="001A4B94" w:rsidRDefault="00F16E72" w:rsidP="00F16E72">
            <w:pPr>
              <w:rPr>
                <w:sz w:val="16"/>
                <w:szCs w:val="16"/>
                <w:lang w:val="tr-TR"/>
              </w:rPr>
            </w:pPr>
            <w:r w:rsidRPr="001A4B94">
              <w:rPr>
                <w:sz w:val="16"/>
                <w:szCs w:val="16"/>
                <w:lang w:val="tr-TR"/>
              </w:rPr>
              <w:t>2013</w:t>
            </w:r>
          </w:p>
        </w:tc>
        <w:tc>
          <w:tcPr>
            <w:tcW w:w="1470" w:type="dxa"/>
            <w:tcBorders>
              <w:top w:val="nil"/>
              <w:left w:val="nil"/>
              <w:bottom w:val="nil"/>
              <w:right w:val="nil"/>
            </w:tcBorders>
            <w:shd w:val="clear" w:color="000000" w:fill="FFFFFF"/>
            <w:noWrap/>
            <w:vAlign w:val="center"/>
            <w:hideMark/>
          </w:tcPr>
          <w:p w14:paraId="4AFCF102" w14:textId="77777777" w:rsidR="00F16E72" w:rsidRPr="001A4B94" w:rsidRDefault="00F16E72" w:rsidP="00F16E72">
            <w:pPr>
              <w:rPr>
                <w:sz w:val="16"/>
                <w:szCs w:val="16"/>
                <w:lang w:val="tr-TR"/>
              </w:rPr>
            </w:pPr>
            <w:r w:rsidRPr="001A4B94">
              <w:rPr>
                <w:sz w:val="16"/>
                <w:szCs w:val="16"/>
                <w:lang w:val="tr-TR"/>
              </w:rPr>
              <w:t>Earlybird</w:t>
            </w:r>
          </w:p>
        </w:tc>
        <w:tc>
          <w:tcPr>
            <w:tcW w:w="776" w:type="dxa"/>
            <w:tcBorders>
              <w:top w:val="nil"/>
              <w:left w:val="nil"/>
              <w:bottom w:val="nil"/>
              <w:right w:val="nil"/>
            </w:tcBorders>
            <w:shd w:val="clear" w:color="000000" w:fill="FFFFFF"/>
            <w:noWrap/>
            <w:vAlign w:val="center"/>
            <w:hideMark/>
          </w:tcPr>
          <w:p w14:paraId="64B6B10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FB1D7BE" w14:textId="05CC78C8" w:rsidR="00F16E72" w:rsidRPr="001A4B94" w:rsidRDefault="00F16E72" w:rsidP="00F16E72">
            <w:pPr>
              <w:jc w:val="right"/>
              <w:rPr>
                <w:sz w:val="16"/>
                <w:szCs w:val="16"/>
                <w:lang w:val="tr-TR"/>
              </w:rPr>
            </w:pPr>
            <w:r w:rsidRPr="001A4B94">
              <w:rPr>
                <w:sz w:val="16"/>
                <w:szCs w:val="16"/>
                <w:lang w:val="tr-TR"/>
              </w:rPr>
              <w:t>25</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74AE8670"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66685E89"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4CFFA4A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065D8B2B" w14:textId="59DD96C8" w:rsidR="00F16E72" w:rsidRPr="001A4B94" w:rsidRDefault="00F16E72" w:rsidP="00F16E72">
            <w:pPr>
              <w:jc w:val="right"/>
              <w:rPr>
                <w:sz w:val="16"/>
                <w:szCs w:val="16"/>
                <w:lang w:val="tr-TR"/>
              </w:rPr>
            </w:pPr>
            <w:r w:rsidRPr="001A4B94">
              <w:rPr>
                <w:sz w:val="16"/>
                <w:szCs w:val="16"/>
                <w:lang w:val="tr-TR"/>
              </w:rPr>
              <w:t>25</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4DB0AFEF"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0E5A505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9C8343A" w14:textId="656AAB9E" w:rsidR="00F16E72" w:rsidRPr="001A4B94" w:rsidRDefault="00F16E72" w:rsidP="00F16E72">
            <w:pPr>
              <w:jc w:val="right"/>
              <w:rPr>
                <w:sz w:val="16"/>
                <w:szCs w:val="16"/>
                <w:lang w:val="tr-TR"/>
              </w:rPr>
            </w:pPr>
            <w:r w:rsidRPr="001A4B94">
              <w:rPr>
                <w:sz w:val="16"/>
                <w:szCs w:val="16"/>
                <w:lang w:val="tr-TR"/>
              </w:rPr>
              <w:t>10</w:t>
            </w:r>
            <w:r w:rsidR="007C4843" w:rsidRPr="001A4B94">
              <w:rPr>
                <w:sz w:val="16"/>
                <w:szCs w:val="16"/>
                <w:lang w:val="tr-TR"/>
              </w:rPr>
              <w:t>,</w:t>
            </w:r>
            <w:r w:rsidRPr="001A4B94">
              <w:rPr>
                <w:sz w:val="16"/>
                <w:szCs w:val="16"/>
                <w:lang w:val="tr-TR"/>
              </w:rPr>
              <w:t>86</w:t>
            </w:r>
          </w:p>
        </w:tc>
        <w:tc>
          <w:tcPr>
            <w:tcW w:w="812" w:type="dxa"/>
            <w:tcBorders>
              <w:top w:val="nil"/>
              <w:left w:val="nil"/>
              <w:bottom w:val="nil"/>
              <w:right w:val="nil"/>
            </w:tcBorders>
            <w:shd w:val="clear" w:color="000000" w:fill="FFFFFF"/>
            <w:noWrap/>
            <w:vAlign w:val="center"/>
            <w:hideMark/>
          </w:tcPr>
          <w:p w14:paraId="50887820"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E754269"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1381875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B32F717" w14:textId="5C38A33E" w:rsidR="00F16E72" w:rsidRPr="001A4B94" w:rsidRDefault="00F16E72" w:rsidP="00F16E72">
            <w:pPr>
              <w:jc w:val="right"/>
              <w:rPr>
                <w:sz w:val="16"/>
                <w:szCs w:val="16"/>
                <w:lang w:val="tr-TR"/>
              </w:rPr>
            </w:pPr>
            <w:r w:rsidRPr="001A4B94">
              <w:rPr>
                <w:sz w:val="16"/>
                <w:szCs w:val="16"/>
                <w:lang w:val="tr-TR"/>
              </w:rPr>
              <w:t>10</w:t>
            </w:r>
            <w:r w:rsidR="007C4843" w:rsidRPr="001A4B94">
              <w:rPr>
                <w:sz w:val="16"/>
                <w:szCs w:val="16"/>
                <w:lang w:val="tr-TR"/>
              </w:rPr>
              <w:t>,</w:t>
            </w:r>
            <w:r w:rsidRPr="001A4B94">
              <w:rPr>
                <w:sz w:val="16"/>
                <w:szCs w:val="16"/>
                <w:lang w:val="tr-TR"/>
              </w:rPr>
              <w:t>86</w:t>
            </w:r>
          </w:p>
        </w:tc>
        <w:tc>
          <w:tcPr>
            <w:tcW w:w="990" w:type="dxa"/>
            <w:tcBorders>
              <w:top w:val="nil"/>
              <w:left w:val="nil"/>
              <w:bottom w:val="nil"/>
              <w:right w:val="nil"/>
            </w:tcBorders>
            <w:shd w:val="clear" w:color="000000" w:fill="FFFFFF"/>
            <w:noWrap/>
            <w:vAlign w:val="center"/>
            <w:hideMark/>
          </w:tcPr>
          <w:p w14:paraId="1D3E144F" w14:textId="10D415E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182DFD69" w14:textId="77777777" w:rsidTr="007C4843">
        <w:trPr>
          <w:trHeight w:val="255"/>
          <w:jc w:val="center"/>
        </w:trPr>
        <w:tc>
          <w:tcPr>
            <w:tcW w:w="1900" w:type="dxa"/>
            <w:tcBorders>
              <w:top w:val="nil"/>
              <w:left w:val="nil"/>
              <w:bottom w:val="nil"/>
              <w:right w:val="nil"/>
            </w:tcBorders>
            <w:shd w:val="clear" w:color="auto" w:fill="D9D9D9"/>
            <w:vAlign w:val="center"/>
            <w:hideMark/>
          </w:tcPr>
          <w:p w14:paraId="514E3FBD" w14:textId="77777777" w:rsidR="00F16E72" w:rsidRPr="001A4B94" w:rsidRDefault="00F16E72" w:rsidP="00F16E72">
            <w:pPr>
              <w:rPr>
                <w:sz w:val="16"/>
                <w:szCs w:val="16"/>
                <w:lang w:val="tr-TR"/>
              </w:rPr>
            </w:pPr>
            <w:r w:rsidRPr="001A4B94">
              <w:rPr>
                <w:sz w:val="16"/>
                <w:szCs w:val="16"/>
                <w:lang w:val="tr-TR"/>
              </w:rPr>
              <w:t>2017</w:t>
            </w:r>
          </w:p>
        </w:tc>
        <w:tc>
          <w:tcPr>
            <w:tcW w:w="1470" w:type="dxa"/>
            <w:tcBorders>
              <w:top w:val="nil"/>
              <w:left w:val="nil"/>
              <w:bottom w:val="nil"/>
              <w:right w:val="nil"/>
            </w:tcBorders>
            <w:shd w:val="clear" w:color="auto" w:fill="D9D9D9"/>
            <w:noWrap/>
            <w:vAlign w:val="center"/>
            <w:hideMark/>
          </w:tcPr>
          <w:p w14:paraId="41F016FE" w14:textId="23FBB13D" w:rsidR="00F16E72" w:rsidRPr="001A4B94" w:rsidRDefault="00F16E72" w:rsidP="00F16E72">
            <w:pPr>
              <w:rPr>
                <w:sz w:val="16"/>
                <w:szCs w:val="16"/>
                <w:lang w:val="tr-TR"/>
              </w:rPr>
            </w:pPr>
            <w:r w:rsidRPr="001A4B94">
              <w:rPr>
                <w:sz w:val="16"/>
                <w:szCs w:val="16"/>
                <w:lang w:val="tr-TR"/>
              </w:rPr>
              <w:t xml:space="preserve">Elazig </w:t>
            </w:r>
            <w:r w:rsidR="009866A8" w:rsidRPr="001A4B94">
              <w:rPr>
                <w:sz w:val="16"/>
                <w:szCs w:val="16"/>
                <w:lang w:val="tr-TR"/>
              </w:rPr>
              <w:t>Sağlık</w:t>
            </w:r>
          </w:p>
        </w:tc>
        <w:tc>
          <w:tcPr>
            <w:tcW w:w="776" w:type="dxa"/>
            <w:tcBorders>
              <w:top w:val="nil"/>
              <w:left w:val="nil"/>
              <w:bottom w:val="nil"/>
              <w:right w:val="nil"/>
            </w:tcBorders>
            <w:shd w:val="clear" w:color="auto" w:fill="D9D9D9"/>
            <w:noWrap/>
            <w:vAlign w:val="center"/>
            <w:hideMark/>
          </w:tcPr>
          <w:p w14:paraId="32AEE63E" w14:textId="67F883E6" w:rsidR="00F16E72" w:rsidRPr="001A4B94" w:rsidRDefault="00F16E72" w:rsidP="00F16E72">
            <w:pPr>
              <w:jc w:val="right"/>
              <w:rPr>
                <w:sz w:val="16"/>
                <w:szCs w:val="16"/>
                <w:lang w:val="tr-TR"/>
              </w:rPr>
            </w:pPr>
            <w:r w:rsidRPr="001A4B94">
              <w:rPr>
                <w:sz w:val="16"/>
                <w:szCs w:val="16"/>
                <w:lang w:val="tr-TR"/>
              </w:rPr>
              <w:t>91</w:t>
            </w:r>
            <w:r w:rsidR="007C4843" w:rsidRPr="001A4B94">
              <w:rPr>
                <w:sz w:val="16"/>
                <w:szCs w:val="16"/>
                <w:lang w:val="tr-TR"/>
              </w:rPr>
              <w:t>,</w:t>
            </w:r>
            <w:r w:rsidRPr="001A4B94">
              <w:rPr>
                <w:sz w:val="16"/>
                <w:szCs w:val="16"/>
                <w:lang w:val="tr-TR"/>
              </w:rPr>
              <w:t>22</w:t>
            </w:r>
          </w:p>
        </w:tc>
        <w:tc>
          <w:tcPr>
            <w:tcW w:w="812" w:type="dxa"/>
            <w:tcBorders>
              <w:top w:val="nil"/>
              <w:left w:val="nil"/>
              <w:bottom w:val="nil"/>
              <w:right w:val="nil"/>
            </w:tcBorders>
            <w:shd w:val="clear" w:color="auto" w:fill="D9D9D9"/>
            <w:noWrap/>
            <w:vAlign w:val="center"/>
            <w:hideMark/>
          </w:tcPr>
          <w:p w14:paraId="7AC39570"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3C48DD61"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52619719"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04EE712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4A779B31" w14:textId="5BF6DC08" w:rsidR="00F16E72" w:rsidRPr="001A4B94" w:rsidRDefault="00F16E72" w:rsidP="00F16E72">
            <w:pPr>
              <w:jc w:val="right"/>
              <w:rPr>
                <w:sz w:val="16"/>
                <w:szCs w:val="16"/>
                <w:lang w:val="tr-TR"/>
              </w:rPr>
            </w:pPr>
            <w:r w:rsidRPr="001A4B94">
              <w:rPr>
                <w:sz w:val="16"/>
                <w:szCs w:val="16"/>
                <w:lang w:val="tr-TR"/>
              </w:rPr>
              <w:t>91</w:t>
            </w:r>
            <w:r w:rsidR="007C4843" w:rsidRPr="001A4B94">
              <w:rPr>
                <w:sz w:val="16"/>
                <w:szCs w:val="16"/>
                <w:lang w:val="tr-TR"/>
              </w:rPr>
              <w:t>,</w:t>
            </w:r>
            <w:r w:rsidRPr="001A4B94">
              <w:rPr>
                <w:sz w:val="16"/>
                <w:szCs w:val="16"/>
                <w:lang w:val="tr-TR"/>
              </w:rPr>
              <w:t>22</w:t>
            </w:r>
          </w:p>
        </w:tc>
        <w:tc>
          <w:tcPr>
            <w:tcW w:w="1069" w:type="dxa"/>
            <w:tcBorders>
              <w:top w:val="nil"/>
              <w:left w:val="nil"/>
              <w:bottom w:val="nil"/>
              <w:right w:val="nil"/>
            </w:tcBorders>
            <w:shd w:val="clear" w:color="auto" w:fill="D9D9D9"/>
            <w:noWrap/>
            <w:vAlign w:val="center"/>
            <w:hideMark/>
          </w:tcPr>
          <w:p w14:paraId="69897F37"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AE247B5" w14:textId="1F0E0044"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67</w:t>
            </w:r>
          </w:p>
        </w:tc>
        <w:tc>
          <w:tcPr>
            <w:tcW w:w="812" w:type="dxa"/>
            <w:tcBorders>
              <w:top w:val="nil"/>
              <w:left w:val="nil"/>
              <w:bottom w:val="nil"/>
              <w:right w:val="nil"/>
            </w:tcBorders>
            <w:shd w:val="clear" w:color="auto" w:fill="D9D9D9"/>
            <w:noWrap/>
            <w:vAlign w:val="center"/>
            <w:hideMark/>
          </w:tcPr>
          <w:p w14:paraId="35E5C5B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ADEEAF3"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4E85493"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4001859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56F9554" w14:textId="14289D1F"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67</w:t>
            </w:r>
          </w:p>
        </w:tc>
        <w:tc>
          <w:tcPr>
            <w:tcW w:w="990" w:type="dxa"/>
            <w:tcBorders>
              <w:top w:val="nil"/>
              <w:left w:val="nil"/>
              <w:bottom w:val="nil"/>
              <w:right w:val="nil"/>
            </w:tcBorders>
            <w:shd w:val="clear" w:color="auto" w:fill="D9D9D9"/>
            <w:noWrap/>
            <w:vAlign w:val="center"/>
            <w:hideMark/>
          </w:tcPr>
          <w:p w14:paraId="74C08151" w14:textId="78914777"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0AD566E6" w14:textId="77777777" w:rsidTr="007C4843">
        <w:trPr>
          <w:trHeight w:val="255"/>
          <w:jc w:val="center"/>
        </w:trPr>
        <w:tc>
          <w:tcPr>
            <w:tcW w:w="1900" w:type="dxa"/>
            <w:tcBorders>
              <w:top w:val="nil"/>
              <w:left w:val="nil"/>
              <w:bottom w:val="nil"/>
              <w:right w:val="nil"/>
            </w:tcBorders>
            <w:shd w:val="clear" w:color="000000" w:fill="FFFFFF"/>
            <w:vAlign w:val="center"/>
            <w:hideMark/>
          </w:tcPr>
          <w:p w14:paraId="375F57B9" w14:textId="77777777" w:rsidR="00F16E72" w:rsidRPr="001A4B94" w:rsidRDefault="00F16E72" w:rsidP="00F16E72">
            <w:pPr>
              <w:rPr>
                <w:sz w:val="16"/>
                <w:szCs w:val="16"/>
                <w:lang w:val="tr-TR"/>
              </w:rPr>
            </w:pPr>
            <w:r w:rsidRPr="001A4B94">
              <w:rPr>
                <w:sz w:val="16"/>
                <w:szCs w:val="16"/>
                <w:lang w:val="tr-TR"/>
              </w:rPr>
              <w:t>2014/ 2015</w:t>
            </w:r>
          </w:p>
        </w:tc>
        <w:tc>
          <w:tcPr>
            <w:tcW w:w="1470" w:type="dxa"/>
            <w:tcBorders>
              <w:top w:val="nil"/>
              <w:left w:val="nil"/>
              <w:bottom w:val="nil"/>
              <w:right w:val="nil"/>
            </w:tcBorders>
            <w:shd w:val="clear" w:color="000000" w:fill="FFFFFF"/>
            <w:noWrap/>
            <w:vAlign w:val="center"/>
            <w:hideMark/>
          </w:tcPr>
          <w:p w14:paraId="5FB51EFC" w14:textId="77777777" w:rsidR="00F16E72" w:rsidRPr="001A4B94" w:rsidRDefault="00F16E72" w:rsidP="00F16E72">
            <w:pPr>
              <w:rPr>
                <w:sz w:val="16"/>
                <w:szCs w:val="16"/>
                <w:lang w:val="tr-TR"/>
              </w:rPr>
            </w:pPr>
            <w:r w:rsidRPr="001A4B94">
              <w:rPr>
                <w:sz w:val="16"/>
                <w:szCs w:val="16"/>
                <w:lang w:val="tr-TR"/>
              </w:rPr>
              <w:t>Elif Plastik</w:t>
            </w:r>
          </w:p>
        </w:tc>
        <w:tc>
          <w:tcPr>
            <w:tcW w:w="776" w:type="dxa"/>
            <w:tcBorders>
              <w:top w:val="nil"/>
              <w:left w:val="nil"/>
              <w:bottom w:val="nil"/>
              <w:right w:val="nil"/>
            </w:tcBorders>
            <w:shd w:val="clear" w:color="000000" w:fill="FFFFFF"/>
            <w:noWrap/>
            <w:vAlign w:val="center"/>
            <w:hideMark/>
          </w:tcPr>
          <w:p w14:paraId="42728E07" w14:textId="6A9634A9" w:rsidR="00F16E72" w:rsidRPr="001A4B94" w:rsidRDefault="00F16E72" w:rsidP="00F16E72">
            <w:pPr>
              <w:jc w:val="right"/>
              <w:rPr>
                <w:sz w:val="16"/>
                <w:szCs w:val="16"/>
                <w:lang w:val="tr-TR"/>
              </w:rPr>
            </w:pPr>
            <w:r w:rsidRPr="001A4B94">
              <w:rPr>
                <w:sz w:val="16"/>
                <w:szCs w:val="16"/>
                <w:lang w:val="tr-TR"/>
              </w:rPr>
              <w:t>12</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3FBF6C46"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DA9891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BFCA153"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05C5DDE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12DF6860" w14:textId="04596C70" w:rsidR="00F16E72" w:rsidRPr="001A4B94" w:rsidRDefault="00F16E72" w:rsidP="00F16E72">
            <w:pPr>
              <w:jc w:val="right"/>
              <w:rPr>
                <w:sz w:val="16"/>
                <w:szCs w:val="16"/>
                <w:lang w:val="tr-TR"/>
              </w:rPr>
            </w:pPr>
            <w:r w:rsidRPr="001A4B94">
              <w:rPr>
                <w:sz w:val="16"/>
                <w:szCs w:val="16"/>
                <w:lang w:val="tr-TR"/>
              </w:rPr>
              <w:t>12</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1FB3E2D9"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53126C9B" w14:textId="563A4AEA" w:rsidR="00F16E72" w:rsidRPr="001A4B94" w:rsidRDefault="00F16E72" w:rsidP="00F16E72">
            <w:pPr>
              <w:jc w:val="right"/>
              <w:rPr>
                <w:sz w:val="16"/>
                <w:szCs w:val="16"/>
                <w:lang w:val="tr-TR"/>
              </w:rPr>
            </w:pPr>
            <w:r w:rsidRPr="001A4B94">
              <w:rPr>
                <w:sz w:val="16"/>
                <w:szCs w:val="16"/>
                <w:lang w:val="tr-TR"/>
              </w:rPr>
              <w:t>12</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04DD64F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C77AF86"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6958650"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414E94B6"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7EABE84C" w14:textId="0C2761F4" w:rsidR="00F16E72" w:rsidRPr="001A4B94" w:rsidRDefault="00F16E72" w:rsidP="00F16E72">
            <w:pPr>
              <w:jc w:val="right"/>
              <w:rPr>
                <w:sz w:val="16"/>
                <w:szCs w:val="16"/>
                <w:lang w:val="tr-TR"/>
              </w:rPr>
            </w:pPr>
            <w:r w:rsidRPr="001A4B94">
              <w:rPr>
                <w:sz w:val="16"/>
                <w:szCs w:val="16"/>
                <w:lang w:val="tr-TR"/>
              </w:rPr>
              <w:t>12</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000000" w:fill="FFFFFF"/>
            <w:noWrap/>
            <w:vAlign w:val="center"/>
            <w:hideMark/>
          </w:tcPr>
          <w:p w14:paraId="23FBB82D" w14:textId="49F5DDCB"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AD2F50A" w14:textId="77777777" w:rsidTr="007C4843">
        <w:trPr>
          <w:trHeight w:val="255"/>
          <w:jc w:val="center"/>
        </w:trPr>
        <w:tc>
          <w:tcPr>
            <w:tcW w:w="1900" w:type="dxa"/>
            <w:tcBorders>
              <w:top w:val="nil"/>
              <w:left w:val="nil"/>
              <w:bottom w:val="nil"/>
              <w:right w:val="nil"/>
            </w:tcBorders>
            <w:shd w:val="clear" w:color="auto" w:fill="D9D9D9"/>
            <w:vAlign w:val="center"/>
            <w:hideMark/>
          </w:tcPr>
          <w:p w14:paraId="37D94326" w14:textId="77777777" w:rsidR="00F16E72" w:rsidRPr="001A4B94" w:rsidRDefault="00F16E72" w:rsidP="00F16E72">
            <w:pPr>
              <w:rPr>
                <w:sz w:val="16"/>
                <w:szCs w:val="16"/>
                <w:lang w:val="tr-TR"/>
              </w:rPr>
            </w:pPr>
            <w:r w:rsidRPr="001A4B94">
              <w:rPr>
                <w:sz w:val="16"/>
                <w:szCs w:val="16"/>
                <w:lang w:val="tr-TR"/>
              </w:rPr>
              <w:t>2011/ 2008</w:t>
            </w:r>
          </w:p>
        </w:tc>
        <w:tc>
          <w:tcPr>
            <w:tcW w:w="1470" w:type="dxa"/>
            <w:tcBorders>
              <w:top w:val="nil"/>
              <w:left w:val="nil"/>
              <w:bottom w:val="nil"/>
              <w:right w:val="nil"/>
            </w:tcBorders>
            <w:shd w:val="clear" w:color="auto" w:fill="D9D9D9"/>
            <w:noWrap/>
            <w:vAlign w:val="center"/>
            <w:hideMark/>
          </w:tcPr>
          <w:p w14:paraId="24F1C81F" w14:textId="77777777" w:rsidR="00F16E72" w:rsidRPr="001A4B94" w:rsidRDefault="00F16E72" w:rsidP="00F16E72">
            <w:pPr>
              <w:rPr>
                <w:sz w:val="16"/>
                <w:szCs w:val="16"/>
                <w:lang w:val="tr-TR"/>
              </w:rPr>
            </w:pPr>
            <w:r w:rsidRPr="001A4B94">
              <w:rPr>
                <w:sz w:val="16"/>
                <w:szCs w:val="16"/>
                <w:lang w:val="tr-TR"/>
              </w:rPr>
              <w:t>Enerjisa</w:t>
            </w:r>
          </w:p>
        </w:tc>
        <w:tc>
          <w:tcPr>
            <w:tcW w:w="776" w:type="dxa"/>
            <w:tcBorders>
              <w:top w:val="nil"/>
              <w:left w:val="nil"/>
              <w:bottom w:val="nil"/>
              <w:right w:val="nil"/>
            </w:tcBorders>
            <w:shd w:val="clear" w:color="auto" w:fill="D9D9D9"/>
            <w:noWrap/>
            <w:vAlign w:val="center"/>
            <w:hideMark/>
          </w:tcPr>
          <w:p w14:paraId="6A97136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0CFE42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26FA90C" w14:textId="5EA069EC" w:rsidR="00F16E72" w:rsidRPr="001A4B94" w:rsidRDefault="00F16E72" w:rsidP="00F16E72">
            <w:pPr>
              <w:jc w:val="right"/>
              <w:rPr>
                <w:sz w:val="16"/>
                <w:szCs w:val="16"/>
                <w:lang w:val="tr-TR"/>
              </w:rPr>
            </w:pPr>
            <w:r w:rsidRPr="001A4B94">
              <w:rPr>
                <w:sz w:val="16"/>
                <w:szCs w:val="16"/>
                <w:lang w:val="tr-TR"/>
              </w:rPr>
              <w:t>128</w:t>
            </w:r>
            <w:r w:rsidR="007C4843" w:rsidRPr="001A4B94">
              <w:rPr>
                <w:sz w:val="16"/>
                <w:szCs w:val="16"/>
                <w:lang w:val="tr-TR"/>
              </w:rPr>
              <w:t>,</w:t>
            </w:r>
            <w:r w:rsidRPr="001A4B94">
              <w:rPr>
                <w:sz w:val="16"/>
                <w:szCs w:val="16"/>
                <w:lang w:val="tr-TR"/>
              </w:rPr>
              <w:t>07</w:t>
            </w:r>
          </w:p>
        </w:tc>
        <w:tc>
          <w:tcPr>
            <w:tcW w:w="706" w:type="dxa"/>
            <w:tcBorders>
              <w:top w:val="nil"/>
              <w:left w:val="nil"/>
              <w:bottom w:val="nil"/>
              <w:right w:val="nil"/>
            </w:tcBorders>
            <w:shd w:val="clear" w:color="auto" w:fill="D9D9D9"/>
            <w:noWrap/>
            <w:vAlign w:val="center"/>
            <w:hideMark/>
          </w:tcPr>
          <w:p w14:paraId="10B4E9C9"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07796EE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89F9AAF" w14:textId="36CC281B" w:rsidR="00F16E72" w:rsidRPr="001A4B94" w:rsidRDefault="00F16E72" w:rsidP="00F16E72">
            <w:pPr>
              <w:jc w:val="right"/>
              <w:rPr>
                <w:sz w:val="16"/>
                <w:szCs w:val="16"/>
                <w:lang w:val="tr-TR"/>
              </w:rPr>
            </w:pPr>
            <w:r w:rsidRPr="001A4B94">
              <w:rPr>
                <w:sz w:val="16"/>
                <w:szCs w:val="16"/>
                <w:lang w:val="tr-TR"/>
              </w:rPr>
              <w:t>128</w:t>
            </w:r>
            <w:r w:rsidR="007C4843" w:rsidRPr="001A4B94">
              <w:rPr>
                <w:sz w:val="16"/>
                <w:szCs w:val="16"/>
                <w:lang w:val="tr-TR"/>
              </w:rPr>
              <w:t>,</w:t>
            </w:r>
            <w:r w:rsidRPr="001A4B94">
              <w:rPr>
                <w:sz w:val="16"/>
                <w:szCs w:val="16"/>
                <w:lang w:val="tr-TR"/>
              </w:rPr>
              <w:t>07</w:t>
            </w:r>
          </w:p>
        </w:tc>
        <w:tc>
          <w:tcPr>
            <w:tcW w:w="1069" w:type="dxa"/>
            <w:tcBorders>
              <w:top w:val="nil"/>
              <w:left w:val="nil"/>
              <w:bottom w:val="nil"/>
              <w:right w:val="nil"/>
            </w:tcBorders>
            <w:shd w:val="clear" w:color="auto" w:fill="D9D9D9"/>
            <w:noWrap/>
            <w:vAlign w:val="center"/>
            <w:hideMark/>
          </w:tcPr>
          <w:p w14:paraId="7DFE0975" w14:textId="09AD0FE5" w:rsidR="00F16E72" w:rsidRPr="001A4B94" w:rsidRDefault="00F16E72" w:rsidP="00F16E72">
            <w:pPr>
              <w:jc w:val="right"/>
              <w:rPr>
                <w:sz w:val="16"/>
                <w:szCs w:val="16"/>
                <w:lang w:val="tr-TR"/>
              </w:rPr>
            </w:pPr>
            <w:r w:rsidRPr="001A4B94">
              <w:rPr>
                <w:sz w:val="16"/>
                <w:szCs w:val="16"/>
                <w:lang w:val="tr-TR"/>
              </w:rPr>
              <w:t>552</w:t>
            </w:r>
            <w:r w:rsidR="007C4843" w:rsidRPr="001A4B94">
              <w:rPr>
                <w:sz w:val="16"/>
                <w:szCs w:val="16"/>
                <w:lang w:val="tr-TR"/>
              </w:rPr>
              <w:t>,</w:t>
            </w:r>
            <w:r w:rsidRPr="001A4B94">
              <w:rPr>
                <w:sz w:val="16"/>
                <w:szCs w:val="16"/>
                <w:lang w:val="tr-TR"/>
              </w:rPr>
              <w:t>11</w:t>
            </w:r>
          </w:p>
        </w:tc>
        <w:tc>
          <w:tcPr>
            <w:tcW w:w="776" w:type="dxa"/>
            <w:tcBorders>
              <w:top w:val="nil"/>
              <w:left w:val="nil"/>
              <w:bottom w:val="nil"/>
              <w:right w:val="nil"/>
            </w:tcBorders>
            <w:shd w:val="clear" w:color="auto" w:fill="D9D9D9"/>
            <w:noWrap/>
            <w:vAlign w:val="center"/>
            <w:hideMark/>
          </w:tcPr>
          <w:p w14:paraId="15BDBE33" w14:textId="042E282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auto" w:fill="D9D9D9"/>
            <w:noWrap/>
            <w:vAlign w:val="center"/>
            <w:hideMark/>
          </w:tcPr>
          <w:p w14:paraId="2B36653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0D5119E" w14:textId="54BC713D" w:rsidR="00F16E72" w:rsidRPr="001A4B94" w:rsidRDefault="00F16E72" w:rsidP="00F16E72">
            <w:pPr>
              <w:jc w:val="right"/>
              <w:rPr>
                <w:sz w:val="16"/>
                <w:szCs w:val="16"/>
                <w:lang w:val="tr-TR"/>
              </w:rPr>
            </w:pPr>
            <w:r w:rsidRPr="001A4B94">
              <w:rPr>
                <w:sz w:val="16"/>
                <w:szCs w:val="16"/>
                <w:lang w:val="tr-TR"/>
              </w:rPr>
              <w:t>128</w:t>
            </w:r>
            <w:r w:rsidR="007C4843" w:rsidRPr="001A4B94">
              <w:rPr>
                <w:sz w:val="16"/>
                <w:szCs w:val="16"/>
                <w:lang w:val="tr-TR"/>
              </w:rPr>
              <w:t>,</w:t>
            </w:r>
            <w:r w:rsidRPr="001A4B94">
              <w:rPr>
                <w:sz w:val="16"/>
                <w:szCs w:val="16"/>
                <w:lang w:val="tr-TR"/>
              </w:rPr>
              <w:t>07</w:t>
            </w:r>
          </w:p>
        </w:tc>
        <w:tc>
          <w:tcPr>
            <w:tcW w:w="706" w:type="dxa"/>
            <w:tcBorders>
              <w:top w:val="nil"/>
              <w:left w:val="nil"/>
              <w:bottom w:val="nil"/>
              <w:right w:val="nil"/>
            </w:tcBorders>
            <w:shd w:val="clear" w:color="auto" w:fill="D9D9D9"/>
            <w:noWrap/>
            <w:vAlign w:val="center"/>
            <w:hideMark/>
          </w:tcPr>
          <w:p w14:paraId="6911CE29"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6B1EED1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C7A37F1" w14:textId="2E02BAF2" w:rsidR="00F16E72" w:rsidRPr="001A4B94" w:rsidRDefault="00F16E72" w:rsidP="00F16E72">
            <w:pPr>
              <w:jc w:val="right"/>
              <w:rPr>
                <w:sz w:val="16"/>
                <w:szCs w:val="16"/>
                <w:lang w:val="tr-TR"/>
              </w:rPr>
            </w:pPr>
            <w:r w:rsidRPr="001A4B94">
              <w:rPr>
                <w:sz w:val="16"/>
                <w:szCs w:val="16"/>
                <w:lang w:val="tr-TR"/>
              </w:rPr>
              <w:t>128</w:t>
            </w:r>
            <w:r w:rsidR="007C4843" w:rsidRPr="001A4B94">
              <w:rPr>
                <w:sz w:val="16"/>
                <w:szCs w:val="16"/>
                <w:lang w:val="tr-TR"/>
              </w:rPr>
              <w:t>,</w:t>
            </w:r>
            <w:r w:rsidRPr="001A4B94">
              <w:rPr>
                <w:sz w:val="16"/>
                <w:szCs w:val="16"/>
                <w:lang w:val="tr-TR"/>
              </w:rPr>
              <w:t>07</w:t>
            </w:r>
          </w:p>
        </w:tc>
        <w:tc>
          <w:tcPr>
            <w:tcW w:w="990" w:type="dxa"/>
            <w:tcBorders>
              <w:top w:val="nil"/>
              <w:left w:val="nil"/>
              <w:bottom w:val="nil"/>
              <w:right w:val="nil"/>
            </w:tcBorders>
            <w:shd w:val="clear" w:color="auto" w:fill="D9D9D9"/>
            <w:noWrap/>
            <w:vAlign w:val="center"/>
            <w:hideMark/>
          </w:tcPr>
          <w:p w14:paraId="17C0CF07" w14:textId="2F6F14AB" w:rsidR="00F16E72" w:rsidRPr="001A4B94" w:rsidRDefault="00F16E72" w:rsidP="00F16E72">
            <w:pPr>
              <w:jc w:val="right"/>
              <w:rPr>
                <w:sz w:val="16"/>
                <w:szCs w:val="16"/>
                <w:lang w:val="tr-TR"/>
              </w:rPr>
            </w:pPr>
            <w:r w:rsidRPr="001A4B94">
              <w:rPr>
                <w:sz w:val="16"/>
                <w:szCs w:val="16"/>
                <w:lang w:val="tr-TR"/>
              </w:rPr>
              <w:t>552</w:t>
            </w:r>
            <w:r w:rsidR="007C4843" w:rsidRPr="001A4B94">
              <w:rPr>
                <w:sz w:val="16"/>
                <w:szCs w:val="16"/>
                <w:lang w:val="tr-TR"/>
              </w:rPr>
              <w:t>,</w:t>
            </w:r>
            <w:r w:rsidRPr="001A4B94">
              <w:rPr>
                <w:sz w:val="16"/>
                <w:szCs w:val="16"/>
                <w:lang w:val="tr-TR"/>
              </w:rPr>
              <w:t>11</w:t>
            </w:r>
          </w:p>
        </w:tc>
      </w:tr>
      <w:tr w:rsidR="00F16E72" w:rsidRPr="001A4B94" w14:paraId="2269B413" w14:textId="77777777" w:rsidTr="007C4843">
        <w:trPr>
          <w:trHeight w:val="255"/>
          <w:jc w:val="center"/>
        </w:trPr>
        <w:tc>
          <w:tcPr>
            <w:tcW w:w="1900" w:type="dxa"/>
            <w:tcBorders>
              <w:top w:val="nil"/>
              <w:left w:val="nil"/>
              <w:bottom w:val="nil"/>
              <w:right w:val="nil"/>
            </w:tcBorders>
            <w:shd w:val="clear" w:color="000000" w:fill="FFFFFF"/>
            <w:vAlign w:val="center"/>
            <w:hideMark/>
          </w:tcPr>
          <w:p w14:paraId="6A0F74FF"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000000" w:fill="FFFFFF"/>
            <w:noWrap/>
            <w:vAlign w:val="center"/>
            <w:hideMark/>
          </w:tcPr>
          <w:p w14:paraId="6E0837D8" w14:textId="6AF40D4E" w:rsidR="00F16E72" w:rsidRPr="001A4B94" w:rsidRDefault="00F16E72" w:rsidP="00F16E72">
            <w:pPr>
              <w:rPr>
                <w:sz w:val="16"/>
                <w:szCs w:val="16"/>
                <w:lang w:val="tr-TR"/>
              </w:rPr>
            </w:pPr>
            <w:r w:rsidRPr="001A4B94">
              <w:rPr>
                <w:sz w:val="16"/>
                <w:szCs w:val="16"/>
                <w:lang w:val="tr-TR"/>
              </w:rPr>
              <w:t xml:space="preserve">Etlik </w:t>
            </w:r>
            <w:r w:rsidR="009866A8" w:rsidRPr="001A4B94">
              <w:rPr>
                <w:sz w:val="16"/>
                <w:szCs w:val="16"/>
                <w:lang w:val="tr-TR"/>
              </w:rPr>
              <w:t>Sağlık</w:t>
            </w:r>
          </w:p>
        </w:tc>
        <w:tc>
          <w:tcPr>
            <w:tcW w:w="776" w:type="dxa"/>
            <w:tcBorders>
              <w:top w:val="nil"/>
              <w:left w:val="nil"/>
              <w:bottom w:val="nil"/>
              <w:right w:val="nil"/>
            </w:tcBorders>
            <w:shd w:val="clear" w:color="000000" w:fill="FFFFFF"/>
            <w:noWrap/>
            <w:vAlign w:val="center"/>
            <w:hideMark/>
          </w:tcPr>
          <w:p w14:paraId="4C53582C" w14:textId="55930C49" w:rsidR="00F16E72" w:rsidRPr="001A4B94" w:rsidRDefault="00F16E72" w:rsidP="00F16E72">
            <w:pPr>
              <w:jc w:val="right"/>
              <w:rPr>
                <w:sz w:val="16"/>
                <w:szCs w:val="16"/>
                <w:lang w:val="tr-TR"/>
              </w:rPr>
            </w:pPr>
            <w:r w:rsidRPr="001A4B94">
              <w:rPr>
                <w:sz w:val="16"/>
                <w:szCs w:val="16"/>
                <w:lang w:val="tr-TR"/>
              </w:rPr>
              <w:t>85</w:t>
            </w:r>
            <w:r w:rsidR="007C4843" w:rsidRPr="001A4B94">
              <w:rPr>
                <w:sz w:val="16"/>
                <w:szCs w:val="16"/>
                <w:lang w:val="tr-TR"/>
              </w:rPr>
              <w:t>,</w:t>
            </w:r>
            <w:r w:rsidRPr="001A4B94">
              <w:rPr>
                <w:sz w:val="16"/>
                <w:szCs w:val="16"/>
                <w:lang w:val="tr-TR"/>
              </w:rPr>
              <w:t>52</w:t>
            </w:r>
          </w:p>
        </w:tc>
        <w:tc>
          <w:tcPr>
            <w:tcW w:w="812" w:type="dxa"/>
            <w:tcBorders>
              <w:top w:val="nil"/>
              <w:left w:val="nil"/>
              <w:bottom w:val="nil"/>
              <w:right w:val="nil"/>
            </w:tcBorders>
            <w:shd w:val="clear" w:color="000000" w:fill="FFFFFF"/>
            <w:noWrap/>
            <w:vAlign w:val="center"/>
            <w:hideMark/>
          </w:tcPr>
          <w:p w14:paraId="346A6FD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72508AF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6F081CC"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23B03505" w14:textId="31448F7D" w:rsidR="00F16E72" w:rsidRPr="001A4B94" w:rsidRDefault="00F16E72" w:rsidP="00F16E72">
            <w:pPr>
              <w:jc w:val="right"/>
              <w:rPr>
                <w:sz w:val="16"/>
                <w:szCs w:val="16"/>
                <w:lang w:val="tr-TR"/>
              </w:rPr>
            </w:pPr>
            <w:r w:rsidRPr="001A4B94">
              <w:rPr>
                <w:sz w:val="16"/>
                <w:szCs w:val="16"/>
                <w:lang w:val="tr-TR"/>
              </w:rPr>
              <w:t>7</w:t>
            </w:r>
            <w:r w:rsidR="007C4843" w:rsidRPr="001A4B94">
              <w:rPr>
                <w:sz w:val="16"/>
                <w:szCs w:val="16"/>
                <w:lang w:val="tr-TR"/>
              </w:rPr>
              <w:t>,</w:t>
            </w:r>
            <w:r w:rsidRPr="001A4B94">
              <w:rPr>
                <w:sz w:val="16"/>
                <w:szCs w:val="16"/>
                <w:lang w:val="tr-TR"/>
              </w:rPr>
              <w:t>26</w:t>
            </w:r>
          </w:p>
        </w:tc>
        <w:tc>
          <w:tcPr>
            <w:tcW w:w="919" w:type="dxa"/>
            <w:tcBorders>
              <w:top w:val="nil"/>
              <w:left w:val="nil"/>
              <w:bottom w:val="nil"/>
              <w:right w:val="nil"/>
            </w:tcBorders>
            <w:shd w:val="clear" w:color="000000" w:fill="FFFFFF"/>
            <w:noWrap/>
            <w:vAlign w:val="center"/>
            <w:hideMark/>
          </w:tcPr>
          <w:p w14:paraId="39EEC65A" w14:textId="2176E38C" w:rsidR="00F16E72" w:rsidRPr="001A4B94" w:rsidRDefault="00F16E72" w:rsidP="00F16E72">
            <w:pPr>
              <w:jc w:val="right"/>
              <w:rPr>
                <w:sz w:val="16"/>
                <w:szCs w:val="16"/>
                <w:lang w:val="tr-TR"/>
              </w:rPr>
            </w:pPr>
            <w:r w:rsidRPr="001A4B94">
              <w:rPr>
                <w:sz w:val="16"/>
                <w:szCs w:val="16"/>
                <w:lang w:val="tr-TR"/>
              </w:rPr>
              <w:t>92</w:t>
            </w:r>
            <w:r w:rsidR="007C4843" w:rsidRPr="001A4B94">
              <w:rPr>
                <w:sz w:val="16"/>
                <w:szCs w:val="16"/>
                <w:lang w:val="tr-TR"/>
              </w:rPr>
              <w:t>,</w:t>
            </w:r>
            <w:r w:rsidRPr="001A4B94">
              <w:rPr>
                <w:sz w:val="16"/>
                <w:szCs w:val="16"/>
                <w:lang w:val="tr-TR"/>
              </w:rPr>
              <w:t>77</w:t>
            </w:r>
          </w:p>
        </w:tc>
        <w:tc>
          <w:tcPr>
            <w:tcW w:w="1069" w:type="dxa"/>
            <w:tcBorders>
              <w:top w:val="nil"/>
              <w:left w:val="nil"/>
              <w:bottom w:val="nil"/>
              <w:right w:val="nil"/>
            </w:tcBorders>
            <w:shd w:val="clear" w:color="000000" w:fill="FFFFFF"/>
            <w:noWrap/>
            <w:vAlign w:val="center"/>
            <w:hideMark/>
          </w:tcPr>
          <w:p w14:paraId="183C33C1" w14:textId="61B9C7A6" w:rsidR="00F16E72" w:rsidRPr="001A4B94" w:rsidRDefault="00F16E72" w:rsidP="00F16E72">
            <w:pPr>
              <w:jc w:val="right"/>
              <w:rPr>
                <w:sz w:val="16"/>
                <w:szCs w:val="16"/>
                <w:lang w:val="tr-TR"/>
              </w:rPr>
            </w:pPr>
            <w:r w:rsidRPr="001A4B94">
              <w:rPr>
                <w:sz w:val="16"/>
                <w:szCs w:val="16"/>
                <w:lang w:val="tr-TR"/>
              </w:rPr>
              <w:t>90</w:t>
            </w:r>
            <w:r w:rsidR="007C4843" w:rsidRPr="001A4B94">
              <w:rPr>
                <w:sz w:val="16"/>
                <w:szCs w:val="16"/>
                <w:lang w:val="tr-TR"/>
              </w:rPr>
              <w:t>,</w:t>
            </w:r>
            <w:r w:rsidRPr="001A4B94">
              <w:rPr>
                <w:sz w:val="16"/>
                <w:szCs w:val="16"/>
                <w:lang w:val="tr-TR"/>
              </w:rPr>
              <w:t>08</w:t>
            </w:r>
          </w:p>
        </w:tc>
        <w:tc>
          <w:tcPr>
            <w:tcW w:w="776" w:type="dxa"/>
            <w:tcBorders>
              <w:top w:val="nil"/>
              <w:left w:val="nil"/>
              <w:bottom w:val="nil"/>
              <w:right w:val="nil"/>
            </w:tcBorders>
            <w:shd w:val="clear" w:color="000000" w:fill="FFFFFF"/>
            <w:noWrap/>
            <w:vAlign w:val="center"/>
            <w:hideMark/>
          </w:tcPr>
          <w:p w14:paraId="589A2A69" w14:textId="721075B9" w:rsidR="00F16E72" w:rsidRPr="001A4B94" w:rsidRDefault="00F16E72" w:rsidP="00F16E72">
            <w:pPr>
              <w:jc w:val="right"/>
              <w:rPr>
                <w:sz w:val="16"/>
                <w:szCs w:val="16"/>
                <w:lang w:val="tr-TR"/>
              </w:rPr>
            </w:pPr>
            <w:r w:rsidRPr="001A4B94">
              <w:rPr>
                <w:sz w:val="16"/>
                <w:szCs w:val="16"/>
                <w:lang w:val="tr-TR"/>
              </w:rPr>
              <w:t>42</w:t>
            </w:r>
            <w:r w:rsidR="007C4843" w:rsidRPr="001A4B94">
              <w:rPr>
                <w:sz w:val="16"/>
                <w:szCs w:val="16"/>
                <w:lang w:val="tr-TR"/>
              </w:rPr>
              <w:t>,</w:t>
            </w:r>
            <w:r w:rsidRPr="001A4B94">
              <w:rPr>
                <w:sz w:val="16"/>
                <w:szCs w:val="16"/>
                <w:lang w:val="tr-TR"/>
              </w:rPr>
              <w:t>12</w:t>
            </w:r>
          </w:p>
        </w:tc>
        <w:tc>
          <w:tcPr>
            <w:tcW w:w="812" w:type="dxa"/>
            <w:tcBorders>
              <w:top w:val="nil"/>
              <w:left w:val="nil"/>
              <w:bottom w:val="nil"/>
              <w:right w:val="nil"/>
            </w:tcBorders>
            <w:shd w:val="clear" w:color="000000" w:fill="FFFFFF"/>
            <w:noWrap/>
            <w:vAlign w:val="center"/>
            <w:hideMark/>
          </w:tcPr>
          <w:p w14:paraId="2D59D9E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B0A6CDB"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9FEEEE5"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141F78DF" w14:textId="058AD5CF" w:rsidR="00F16E72" w:rsidRPr="001A4B94" w:rsidRDefault="00F16E72" w:rsidP="00F16E72">
            <w:pPr>
              <w:jc w:val="right"/>
              <w:rPr>
                <w:sz w:val="16"/>
                <w:szCs w:val="16"/>
                <w:lang w:val="tr-TR"/>
              </w:rPr>
            </w:pPr>
            <w:r w:rsidRPr="001A4B94">
              <w:rPr>
                <w:sz w:val="16"/>
                <w:szCs w:val="16"/>
                <w:lang w:val="tr-TR"/>
              </w:rPr>
              <w:t>5</w:t>
            </w:r>
            <w:r w:rsidR="007C4843" w:rsidRPr="001A4B94">
              <w:rPr>
                <w:sz w:val="16"/>
                <w:szCs w:val="16"/>
                <w:lang w:val="tr-TR"/>
              </w:rPr>
              <w:t>,</w:t>
            </w:r>
            <w:r w:rsidRPr="001A4B94">
              <w:rPr>
                <w:sz w:val="16"/>
                <w:szCs w:val="16"/>
                <w:lang w:val="tr-TR"/>
              </w:rPr>
              <w:t>76</w:t>
            </w:r>
          </w:p>
        </w:tc>
        <w:tc>
          <w:tcPr>
            <w:tcW w:w="919" w:type="dxa"/>
            <w:tcBorders>
              <w:top w:val="nil"/>
              <w:left w:val="nil"/>
              <w:bottom w:val="nil"/>
              <w:right w:val="nil"/>
            </w:tcBorders>
            <w:shd w:val="clear" w:color="000000" w:fill="FFFFFF"/>
            <w:noWrap/>
            <w:vAlign w:val="center"/>
            <w:hideMark/>
          </w:tcPr>
          <w:p w14:paraId="166CC6E6" w14:textId="3A6A213B"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88</w:t>
            </w:r>
          </w:p>
        </w:tc>
        <w:tc>
          <w:tcPr>
            <w:tcW w:w="990" w:type="dxa"/>
            <w:tcBorders>
              <w:top w:val="nil"/>
              <w:left w:val="nil"/>
              <w:bottom w:val="nil"/>
              <w:right w:val="nil"/>
            </w:tcBorders>
            <w:shd w:val="clear" w:color="000000" w:fill="FFFFFF"/>
            <w:noWrap/>
            <w:vAlign w:val="center"/>
            <w:hideMark/>
          </w:tcPr>
          <w:p w14:paraId="66172EC2" w14:textId="7D57AE7B" w:rsidR="00F16E72" w:rsidRPr="001A4B94" w:rsidRDefault="00F16E72" w:rsidP="00F16E72">
            <w:pPr>
              <w:jc w:val="right"/>
              <w:rPr>
                <w:sz w:val="16"/>
                <w:szCs w:val="16"/>
                <w:lang w:val="tr-TR"/>
              </w:rPr>
            </w:pPr>
            <w:r w:rsidRPr="001A4B94">
              <w:rPr>
                <w:sz w:val="16"/>
                <w:szCs w:val="16"/>
                <w:lang w:val="tr-TR"/>
              </w:rPr>
              <w:t>44</w:t>
            </w:r>
            <w:r w:rsidR="007C4843" w:rsidRPr="001A4B94">
              <w:rPr>
                <w:sz w:val="16"/>
                <w:szCs w:val="16"/>
                <w:lang w:val="tr-TR"/>
              </w:rPr>
              <w:t>,</w:t>
            </w:r>
            <w:r w:rsidRPr="001A4B94">
              <w:rPr>
                <w:sz w:val="16"/>
                <w:szCs w:val="16"/>
                <w:lang w:val="tr-TR"/>
              </w:rPr>
              <w:t>37</w:t>
            </w:r>
          </w:p>
        </w:tc>
      </w:tr>
      <w:tr w:rsidR="00F16E72" w:rsidRPr="001A4B94" w14:paraId="12D41363" w14:textId="77777777" w:rsidTr="007C4843">
        <w:trPr>
          <w:trHeight w:val="255"/>
          <w:jc w:val="center"/>
        </w:trPr>
        <w:tc>
          <w:tcPr>
            <w:tcW w:w="1900" w:type="dxa"/>
            <w:tcBorders>
              <w:top w:val="nil"/>
              <w:left w:val="nil"/>
              <w:bottom w:val="nil"/>
              <w:right w:val="nil"/>
            </w:tcBorders>
            <w:shd w:val="clear" w:color="auto" w:fill="D9D9D9"/>
            <w:vAlign w:val="center"/>
            <w:hideMark/>
          </w:tcPr>
          <w:p w14:paraId="4C2E1072" w14:textId="77777777" w:rsidR="00F16E72" w:rsidRPr="001A4B94" w:rsidRDefault="00F16E72" w:rsidP="00F16E72">
            <w:pPr>
              <w:rPr>
                <w:sz w:val="16"/>
                <w:szCs w:val="16"/>
                <w:lang w:val="tr-TR"/>
              </w:rPr>
            </w:pPr>
            <w:r w:rsidRPr="001A4B94">
              <w:rPr>
                <w:sz w:val="16"/>
                <w:szCs w:val="16"/>
                <w:lang w:val="tr-TR"/>
              </w:rPr>
              <w:t>2010</w:t>
            </w:r>
          </w:p>
        </w:tc>
        <w:tc>
          <w:tcPr>
            <w:tcW w:w="1470" w:type="dxa"/>
            <w:tcBorders>
              <w:top w:val="nil"/>
              <w:left w:val="nil"/>
              <w:bottom w:val="nil"/>
              <w:right w:val="nil"/>
            </w:tcBorders>
            <w:shd w:val="clear" w:color="auto" w:fill="D9D9D9"/>
            <w:noWrap/>
            <w:vAlign w:val="center"/>
            <w:hideMark/>
          </w:tcPr>
          <w:p w14:paraId="1E39D390" w14:textId="77777777" w:rsidR="00F16E72" w:rsidRPr="001A4B94" w:rsidRDefault="00F16E72" w:rsidP="00F16E72">
            <w:pPr>
              <w:rPr>
                <w:sz w:val="16"/>
                <w:szCs w:val="16"/>
                <w:lang w:val="tr-TR"/>
              </w:rPr>
            </w:pPr>
            <w:r w:rsidRPr="001A4B94">
              <w:rPr>
                <w:sz w:val="16"/>
                <w:szCs w:val="16"/>
                <w:lang w:val="tr-TR"/>
              </w:rPr>
              <w:t>Eurasia Capital</w:t>
            </w:r>
          </w:p>
        </w:tc>
        <w:tc>
          <w:tcPr>
            <w:tcW w:w="776" w:type="dxa"/>
            <w:tcBorders>
              <w:top w:val="nil"/>
              <w:left w:val="nil"/>
              <w:bottom w:val="nil"/>
              <w:right w:val="nil"/>
            </w:tcBorders>
            <w:shd w:val="clear" w:color="auto" w:fill="D9D9D9"/>
            <w:noWrap/>
            <w:vAlign w:val="center"/>
            <w:hideMark/>
          </w:tcPr>
          <w:p w14:paraId="2B75EF3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667CC47" w14:textId="19521229"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15</w:t>
            </w:r>
          </w:p>
        </w:tc>
        <w:tc>
          <w:tcPr>
            <w:tcW w:w="812" w:type="dxa"/>
            <w:tcBorders>
              <w:top w:val="nil"/>
              <w:left w:val="nil"/>
              <w:bottom w:val="nil"/>
              <w:right w:val="nil"/>
            </w:tcBorders>
            <w:shd w:val="clear" w:color="auto" w:fill="D9D9D9"/>
            <w:noWrap/>
            <w:vAlign w:val="center"/>
            <w:hideMark/>
          </w:tcPr>
          <w:p w14:paraId="3714A6D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2E5096C3"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64B493D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7E97EF73" w14:textId="24D47BA4"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15</w:t>
            </w:r>
          </w:p>
        </w:tc>
        <w:tc>
          <w:tcPr>
            <w:tcW w:w="1069" w:type="dxa"/>
            <w:tcBorders>
              <w:top w:val="nil"/>
              <w:left w:val="nil"/>
              <w:bottom w:val="nil"/>
              <w:right w:val="nil"/>
            </w:tcBorders>
            <w:shd w:val="clear" w:color="auto" w:fill="D9D9D9"/>
            <w:noWrap/>
            <w:vAlign w:val="center"/>
            <w:hideMark/>
          </w:tcPr>
          <w:p w14:paraId="25C9FAE7"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0AB2797"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511AA41F" w14:textId="120EA2FF"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15</w:t>
            </w:r>
          </w:p>
        </w:tc>
        <w:tc>
          <w:tcPr>
            <w:tcW w:w="812" w:type="dxa"/>
            <w:tcBorders>
              <w:top w:val="nil"/>
              <w:left w:val="nil"/>
              <w:bottom w:val="nil"/>
              <w:right w:val="nil"/>
            </w:tcBorders>
            <w:shd w:val="clear" w:color="auto" w:fill="D9D9D9"/>
            <w:noWrap/>
            <w:vAlign w:val="center"/>
            <w:hideMark/>
          </w:tcPr>
          <w:p w14:paraId="0617120E"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3E1C5FEE"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6198F3D1"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43CE8845" w14:textId="67F57514"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15</w:t>
            </w:r>
          </w:p>
        </w:tc>
        <w:tc>
          <w:tcPr>
            <w:tcW w:w="990" w:type="dxa"/>
            <w:tcBorders>
              <w:top w:val="nil"/>
              <w:left w:val="nil"/>
              <w:bottom w:val="nil"/>
              <w:right w:val="nil"/>
            </w:tcBorders>
            <w:shd w:val="clear" w:color="auto" w:fill="D9D9D9"/>
            <w:noWrap/>
            <w:vAlign w:val="center"/>
            <w:hideMark/>
          </w:tcPr>
          <w:p w14:paraId="654E95C2" w14:textId="70E558A5"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6A6909B3" w14:textId="77777777" w:rsidTr="007C4843">
        <w:trPr>
          <w:trHeight w:val="405"/>
          <w:jc w:val="center"/>
        </w:trPr>
        <w:tc>
          <w:tcPr>
            <w:tcW w:w="1900" w:type="dxa"/>
            <w:tcBorders>
              <w:top w:val="nil"/>
              <w:left w:val="nil"/>
              <w:bottom w:val="nil"/>
              <w:right w:val="nil"/>
            </w:tcBorders>
            <w:shd w:val="clear" w:color="000000" w:fill="FFFFFF"/>
            <w:vAlign w:val="center"/>
            <w:hideMark/>
          </w:tcPr>
          <w:p w14:paraId="6CF8839F" w14:textId="77777777" w:rsidR="00F16E72" w:rsidRPr="001A4B94" w:rsidRDefault="00F16E72" w:rsidP="00F16E72">
            <w:pPr>
              <w:rPr>
                <w:sz w:val="16"/>
                <w:szCs w:val="16"/>
                <w:lang w:val="tr-TR"/>
              </w:rPr>
            </w:pPr>
            <w:r w:rsidRPr="001A4B94">
              <w:rPr>
                <w:sz w:val="16"/>
                <w:szCs w:val="16"/>
                <w:lang w:val="tr-TR"/>
              </w:rPr>
              <w:t>2013/ 2014/ 2017/ 2015/ 2016/ 2012</w:t>
            </w:r>
          </w:p>
        </w:tc>
        <w:tc>
          <w:tcPr>
            <w:tcW w:w="1470" w:type="dxa"/>
            <w:tcBorders>
              <w:top w:val="nil"/>
              <w:left w:val="nil"/>
              <w:bottom w:val="nil"/>
              <w:right w:val="nil"/>
            </w:tcBorders>
            <w:shd w:val="clear" w:color="000000" w:fill="FFFFFF"/>
            <w:noWrap/>
            <w:vAlign w:val="center"/>
            <w:hideMark/>
          </w:tcPr>
          <w:p w14:paraId="14DE4F9E" w14:textId="77777777" w:rsidR="00F16E72" w:rsidRPr="001A4B94" w:rsidRDefault="00F16E72" w:rsidP="00F16E72">
            <w:pPr>
              <w:rPr>
                <w:sz w:val="16"/>
                <w:szCs w:val="16"/>
                <w:lang w:val="tr-TR"/>
              </w:rPr>
            </w:pPr>
            <w:r w:rsidRPr="001A4B94">
              <w:rPr>
                <w:sz w:val="16"/>
                <w:szCs w:val="16"/>
                <w:lang w:val="tr-TR"/>
              </w:rPr>
              <w:t>Fibabanka</w:t>
            </w:r>
          </w:p>
        </w:tc>
        <w:tc>
          <w:tcPr>
            <w:tcW w:w="776" w:type="dxa"/>
            <w:tcBorders>
              <w:top w:val="nil"/>
              <w:left w:val="nil"/>
              <w:bottom w:val="nil"/>
              <w:right w:val="nil"/>
            </w:tcBorders>
            <w:shd w:val="clear" w:color="000000" w:fill="FFFFFF"/>
            <w:noWrap/>
            <w:vAlign w:val="center"/>
            <w:hideMark/>
          </w:tcPr>
          <w:p w14:paraId="2FA126C2" w14:textId="2C36EC2D" w:rsidR="00F16E72" w:rsidRPr="001A4B94" w:rsidRDefault="00F16E72" w:rsidP="00F16E72">
            <w:pPr>
              <w:jc w:val="right"/>
              <w:rPr>
                <w:sz w:val="16"/>
                <w:szCs w:val="16"/>
                <w:lang w:val="tr-TR"/>
              </w:rPr>
            </w:pPr>
            <w:r w:rsidRPr="001A4B94">
              <w:rPr>
                <w:sz w:val="16"/>
                <w:szCs w:val="16"/>
                <w:lang w:val="tr-TR"/>
              </w:rPr>
              <w:t>40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5458A975" w14:textId="307F6E39" w:rsidR="00F16E72" w:rsidRPr="001A4B94" w:rsidRDefault="00F16E72" w:rsidP="00F16E72">
            <w:pPr>
              <w:jc w:val="right"/>
              <w:rPr>
                <w:sz w:val="16"/>
                <w:szCs w:val="16"/>
                <w:lang w:val="tr-TR"/>
              </w:rPr>
            </w:pPr>
            <w:r w:rsidRPr="001A4B94">
              <w:rPr>
                <w:sz w:val="16"/>
                <w:szCs w:val="16"/>
                <w:lang w:val="tr-TR"/>
              </w:rPr>
              <w:t>25</w:t>
            </w:r>
            <w:r w:rsidR="007C4843" w:rsidRPr="001A4B94">
              <w:rPr>
                <w:sz w:val="16"/>
                <w:szCs w:val="16"/>
                <w:lang w:val="tr-TR"/>
              </w:rPr>
              <w:t>,</w:t>
            </w:r>
            <w:r w:rsidRPr="001A4B94">
              <w:rPr>
                <w:sz w:val="16"/>
                <w:szCs w:val="16"/>
                <w:lang w:val="tr-TR"/>
              </w:rPr>
              <w:t>63</w:t>
            </w:r>
          </w:p>
        </w:tc>
        <w:tc>
          <w:tcPr>
            <w:tcW w:w="812" w:type="dxa"/>
            <w:tcBorders>
              <w:top w:val="nil"/>
              <w:left w:val="nil"/>
              <w:bottom w:val="nil"/>
              <w:right w:val="nil"/>
            </w:tcBorders>
            <w:shd w:val="clear" w:color="000000" w:fill="FFFFFF"/>
            <w:noWrap/>
            <w:vAlign w:val="center"/>
            <w:hideMark/>
          </w:tcPr>
          <w:p w14:paraId="6869C43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C989213" w14:textId="586A2562" w:rsidR="00F16E72" w:rsidRPr="001A4B94" w:rsidRDefault="00F16E72" w:rsidP="00F16E72">
            <w:pPr>
              <w:jc w:val="right"/>
              <w:rPr>
                <w:sz w:val="16"/>
                <w:szCs w:val="16"/>
                <w:lang w:val="tr-TR"/>
              </w:rPr>
            </w:pPr>
            <w:r w:rsidRPr="001A4B94">
              <w:rPr>
                <w:sz w:val="16"/>
                <w:szCs w:val="16"/>
                <w:lang w:val="tr-TR"/>
              </w:rPr>
              <w:t>85</w:t>
            </w:r>
            <w:r w:rsidR="007C4843" w:rsidRPr="001A4B94">
              <w:rPr>
                <w:sz w:val="16"/>
                <w:szCs w:val="16"/>
                <w:lang w:val="tr-TR"/>
              </w:rPr>
              <w:t>,</w:t>
            </w:r>
            <w:r w:rsidRPr="001A4B94">
              <w:rPr>
                <w:sz w:val="16"/>
                <w:szCs w:val="16"/>
                <w:lang w:val="tr-TR"/>
              </w:rPr>
              <w:t>14</w:t>
            </w:r>
          </w:p>
        </w:tc>
        <w:tc>
          <w:tcPr>
            <w:tcW w:w="710" w:type="dxa"/>
            <w:tcBorders>
              <w:top w:val="nil"/>
              <w:left w:val="nil"/>
              <w:bottom w:val="nil"/>
              <w:right w:val="nil"/>
            </w:tcBorders>
            <w:shd w:val="clear" w:color="000000" w:fill="FFFFFF"/>
            <w:noWrap/>
            <w:vAlign w:val="center"/>
            <w:hideMark/>
          </w:tcPr>
          <w:p w14:paraId="4428A98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6FDB7CD" w14:textId="7207C596" w:rsidR="00F16E72" w:rsidRPr="001A4B94" w:rsidRDefault="00F16E72" w:rsidP="00F16E72">
            <w:pPr>
              <w:jc w:val="right"/>
              <w:rPr>
                <w:sz w:val="16"/>
                <w:szCs w:val="16"/>
                <w:lang w:val="tr-TR"/>
              </w:rPr>
            </w:pPr>
            <w:r w:rsidRPr="001A4B94">
              <w:rPr>
                <w:sz w:val="16"/>
                <w:szCs w:val="16"/>
                <w:lang w:val="tr-TR"/>
              </w:rPr>
              <w:t>150</w:t>
            </w:r>
            <w:r w:rsidR="007C4843" w:rsidRPr="001A4B94">
              <w:rPr>
                <w:sz w:val="16"/>
                <w:szCs w:val="16"/>
                <w:lang w:val="tr-TR"/>
              </w:rPr>
              <w:t>,</w:t>
            </w:r>
            <w:r w:rsidRPr="001A4B94">
              <w:rPr>
                <w:sz w:val="16"/>
                <w:szCs w:val="16"/>
                <w:lang w:val="tr-TR"/>
              </w:rPr>
              <w:t>77</w:t>
            </w:r>
          </w:p>
        </w:tc>
        <w:tc>
          <w:tcPr>
            <w:tcW w:w="1069" w:type="dxa"/>
            <w:tcBorders>
              <w:top w:val="nil"/>
              <w:left w:val="nil"/>
              <w:bottom w:val="nil"/>
              <w:right w:val="nil"/>
            </w:tcBorders>
            <w:shd w:val="clear" w:color="000000" w:fill="FFFFFF"/>
            <w:noWrap/>
            <w:vAlign w:val="center"/>
            <w:hideMark/>
          </w:tcPr>
          <w:p w14:paraId="2E81200C"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2AB72768" w14:textId="77D19E84" w:rsidR="00F16E72" w:rsidRPr="001A4B94" w:rsidRDefault="00F16E72" w:rsidP="00F16E72">
            <w:pPr>
              <w:jc w:val="right"/>
              <w:rPr>
                <w:sz w:val="16"/>
                <w:szCs w:val="16"/>
                <w:lang w:val="tr-TR"/>
              </w:rPr>
            </w:pPr>
            <w:r w:rsidRPr="001A4B94">
              <w:rPr>
                <w:sz w:val="16"/>
                <w:szCs w:val="16"/>
                <w:lang w:val="tr-TR"/>
              </w:rPr>
              <w:t>40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4F6F795A" w14:textId="0900BC36" w:rsidR="00F16E72" w:rsidRPr="001A4B94" w:rsidRDefault="00F16E72" w:rsidP="00F16E72">
            <w:pPr>
              <w:jc w:val="right"/>
              <w:rPr>
                <w:sz w:val="16"/>
                <w:szCs w:val="16"/>
                <w:lang w:val="tr-TR"/>
              </w:rPr>
            </w:pPr>
            <w:r w:rsidRPr="001A4B94">
              <w:rPr>
                <w:sz w:val="16"/>
                <w:szCs w:val="16"/>
                <w:lang w:val="tr-TR"/>
              </w:rPr>
              <w:t>25</w:t>
            </w:r>
            <w:r w:rsidR="007C4843" w:rsidRPr="001A4B94">
              <w:rPr>
                <w:sz w:val="16"/>
                <w:szCs w:val="16"/>
                <w:lang w:val="tr-TR"/>
              </w:rPr>
              <w:t>,</w:t>
            </w:r>
            <w:r w:rsidRPr="001A4B94">
              <w:rPr>
                <w:sz w:val="16"/>
                <w:szCs w:val="16"/>
                <w:lang w:val="tr-TR"/>
              </w:rPr>
              <w:t>63</w:t>
            </w:r>
          </w:p>
        </w:tc>
        <w:tc>
          <w:tcPr>
            <w:tcW w:w="812" w:type="dxa"/>
            <w:tcBorders>
              <w:top w:val="nil"/>
              <w:left w:val="nil"/>
              <w:bottom w:val="nil"/>
              <w:right w:val="nil"/>
            </w:tcBorders>
            <w:shd w:val="clear" w:color="000000" w:fill="FFFFFF"/>
            <w:noWrap/>
            <w:vAlign w:val="center"/>
            <w:hideMark/>
          </w:tcPr>
          <w:p w14:paraId="028F50D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4F1DAF42" w14:textId="6B0843E5" w:rsidR="00F16E72" w:rsidRPr="001A4B94" w:rsidRDefault="00F16E72" w:rsidP="00F16E72">
            <w:pPr>
              <w:jc w:val="right"/>
              <w:rPr>
                <w:sz w:val="16"/>
                <w:szCs w:val="16"/>
                <w:lang w:val="tr-TR"/>
              </w:rPr>
            </w:pPr>
            <w:r w:rsidRPr="001A4B94">
              <w:rPr>
                <w:sz w:val="16"/>
                <w:szCs w:val="16"/>
                <w:lang w:val="tr-TR"/>
              </w:rPr>
              <w:t>85</w:t>
            </w:r>
            <w:r w:rsidR="007C4843" w:rsidRPr="001A4B94">
              <w:rPr>
                <w:sz w:val="16"/>
                <w:szCs w:val="16"/>
                <w:lang w:val="tr-TR"/>
              </w:rPr>
              <w:t>,</w:t>
            </w:r>
            <w:r w:rsidRPr="001A4B94">
              <w:rPr>
                <w:sz w:val="16"/>
                <w:szCs w:val="16"/>
                <w:lang w:val="tr-TR"/>
              </w:rPr>
              <w:t>14</w:t>
            </w:r>
          </w:p>
        </w:tc>
        <w:tc>
          <w:tcPr>
            <w:tcW w:w="685" w:type="dxa"/>
            <w:tcBorders>
              <w:top w:val="nil"/>
              <w:left w:val="nil"/>
              <w:bottom w:val="nil"/>
              <w:right w:val="nil"/>
            </w:tcBorders>
            <w:shd w:val="clear" w:color="000000" w:fill="FFFFFF"/>
            <w:noWrap/>
            <w:vAlign w:val="center"/>
            <w:hideMark/>
          </w:tcPr>
          <w:p w14:paraId="40D95EA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E1212AC" w14:textId="1C7D7389" w:rsidR="00F16E72" w:rsidRPr="001A4B94" w:rsidRDefault="00F16E72" w:rsidP="00F16E72">
            <w:pPr>
              <w:jc w:val="right"/>
              <w:rPr>
                <w:sz w:val="16"/>
                <w:szCs w:val="16"/>
                <w:lang w:val="tr-TR"/>
              </w:rPr>
            </w:pPr>
            <w:r w:rsidRPr="001A4B94">
              <w:rPr>
                <w:sz w:val="16"/>
                <w:szCs w:val="16"/>
                <w:lang w:val="tr-TR"/>
              </w:rPr>
              <w:t>150</w:t>
            </w:r>
            <w:r w:rsidR="007C4843" w:rsidRPr="001A4B94">
              <w:rPr>
                <w:sz w:val="16"/>
                <w:szCs w:val="16"/>
                <w:lang w:val="tr-TR"/>
              </w:rPr>
              <w:t>,</w:t>
            </w:r>
            <w:r w:rsidRPr="001A4B94">
              <w:rPr>
                <w:sz w:val="16"/>
                <w:szCs w:val="16"/>
                <w:lang w:val="tr-TR"/>
              </w:rPr>
              <w:t>77</w:t>
            </w:r>
          </w:p>
        </w:tc>
        <w:tc>
          <w:tcPr>
            <w:tcW w:w="990" w:type="dxa"/>
            <w:tcBorders>
              <w:top w:val="nil"/>
              <w:left w:val="nil"/>
              <w:bottom w:val="nil"/>
              <w:right w:val="nil"/>
            </w:tcBorders>
            <w:shd w:val="clear" w:color="000000" w:fill="FFFFFF"/>
            <w:noWrap/>
            <w:vAlign w:val="center"/>
            <w:hideMark/>
          </w:tcPr>
          <w:p w14:paraId="46634C0B" w14:textId="2DEC6116"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D8D8162" w14:textId="77777777" w:rsidTr="007C4843">
        <w:trPr>
          <w:trHeight w:val="465"/>
          <w:jc w:val="center"/>
        </w:trPr>
        <w:tc>
          <w:tcPr>
            <w:tcW w:w="1900" w:type="dxa"/>
            <w:tcBorders>
              <w:top w:val="nil"/>
              <w:left w:val="nil"/>
              <w:bottom w:val="nil"/>
              <w:right w:val="nil"/>
            </w:tcBorders>
            <w:shd w:val="clear" w:color="auto" w:fill="D9D9D9"/>
            <w:vAlign w:val="center"/>
            <w:hideMark/>
          </w:tcPr>
          <w:p w14:paraId="5AA611B6" w14:textId="77777777" w:rsidR="00F16E72" w:rsidRPr="001A4B94" w:rsidRDefault="00F16E72" w:rsidP="00F16E72">
            <w:pPr>
              <w:rPr>
                <w:sz w:val="16"/>
                <w:szCs w:val="16"/>
                <w:lang w:val="tr-TR"/>
              </w:rPr>
            </w:pPr>
            <w:r w:rsidRPr="001A4B94">
              <w:rPr>
                <w:sz w:val="16"/>
                <w:szCs w:val="16"/>
                <w:lang w:val="tr-TR"/>
              </w:rPr>
              <w:t>1997/ 2010/ 2017/ 2006/ 1998/ 2015</w:t>
            </w:r>
          </w:p>
        </w:tc>
        <w:tc>
          <w:tcPr>
            <w:tcW w:w="1470" w:type="dxa"/>
            <w:tcBorders>
              <w:top w:val="nil"/>
              <w:left w:val="nil"/>
              <w:bottom w:val="nil"/>
              <w:right w:val="nil"/>
            </w:tcBorders>
            <w:shd w:val="clear" w:color="auto" w:fill="D9D9D9"/>
            <w:noWrap/>
            <w:vAlign w:val="center"/>
            <w:hideMark/>
          </w:tcPr>
          <w:p w14:paraId="30024C5C" w14:textId="77777777" w:rsidR="00F16E72" w:rsidRPr="001A4B94" w:rsidRDefault="00F16E72" w:rsidP="00F16E72">
            <w:pPr>
              <w:rPr>
                <w:sz w:val="16"/>
                <w:szCs w:val="16"/>
                <w:lang w:val="tr-TR"/>
              </w:rPr>
            </w:pPr>
            <w:r w:rsidRPr="001A4B94">
              <w:rPr>
                <w:sz w:val="16"/>
                <w:szCs w:val="16"/>
                <w:lang w:val="tr-TR"/>
              </w:rPr>
              <w:t>Finans Leasing</w:t>
            </w:r>
          </w:p>
        </w:tc>
        <w:tc>
          <w:tcPr>
            <w:tcW w:w="776" w:type="dxa"/>
            <w:tcBorders>
              <w:top w:val="nil"/>
              <w:left w:val="nil"/>
              <w:bottom w:val="nil"/>
              <w:right w:val="nil"/>
            </w:tcBorders>
            <w:shd w:val="clear" w:color="auto" w:fill="D9D9D9"/>
            <w:noWrap/>
            <w:vAlign w:val="center"/>
            <w:hideMark/>
          </w:tcPr>
          <w:p w14:paraId="633825B5" w14:textId="454A87BC" w:rsidR="00F16E72" w:rsidRPr="001A4B94" w:rsidRDefault="00F16E72" w:rsidP="00F16E72">
            <w:pPr>
              <w:jc w:val="right"/>
              <w:rPr>
                <w:sz w:val="16"/>
                <w:szCs w:val="16"/>
                <w:lang w:val="tr-TR"/>
              </w:rPr>
            </w:pPr>
            <w:r w:rsidRPr="001A4B94">
              <w:rPr>
                <w:sz w:val="16"/>
                <w:szCs w:val="16"/>
                <w:lang w:val="tr-TR"/>
              </w:rPr>
              <w:t>91</w:t>
            </w:r>
            <w:r w:rsidR="007C4843" w:rsidRPr="001A4B94">
              <w:rPr>
                <w:sz w:val="16"/>
                <w:szCs w:val="16"/>
                <w:lang w:val="tr-TR"/>
              </w:rPr>
              <w:t>,</w:t>
            </w:r>
            <w:r w:rsidRPr="001A4B94">
              <w:rPr>
                <w:sz w:val="16"/>
                <w:szCs w:val="16"/>
                <w:lang w:val="tr-TR"/>
              </w:rPr>
              <w:t>82</w:t>
            </w:r>
          </w:p>
        </w:tc>
        <w:tc>
          <w:tcPr>
            <w:tcW w:w="812" w:type="dxa"/>
            <w:tcBorders>
              <w:top w:val="nil"/>
              <w:left w:val="nil"/>
              <w:bottom w:val="nil"/>
              <w:right w:val="nil"/>
            </w:tcBorders>
            <w:shd w:val="clear" w:color="auto" w:fill="D9D9D9"/>
            <w:noWrap/>
            <w:vAlign w:val="center"/>
            <w:hideMark/>
          </w:tcPr>
          <w:p w14:paraId="7C0B8B1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1E4A2C3"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1B44FAC5"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4055089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9369AF0" w14:textId="3529279B" w:rsidR="00F16E72" w:rsidRPr="001A4B94" w:rsidRDefault="00F16E72" w:rsidP="00F16E72">
            <w:pPr>
              <w:jc w:val="right"/>
              <w:rPr>
                <w:sz w:val="16"/>
                <w:szCs w:val="16"/>
                <w:lang w:val="tr-TR"/>
              </w:rPr>
            </w:pPr>
            <w:r w:rsidRPr="001A4B94">
              <w:rPr>
                <w:sz w:val="16"/>
                <w:szCs w:val="16"/>
                <w:lang w:val="tr-TR"/>
              </w:rPr>
              <w:t>91</w:t>
            </w:r>
            <w:r w:rsidR="007C4843" w:rsidRPr="001A4B94">
              <w:rPr>
                <w:sz w:val="16"/>
                <w:szCs w:val="16"/>
                <w:lang w:val="tr-TR"/>
              </w:rPr>
              <w:t>,</w:t>
            </w:r>
            <w:r w:rsidRPr="001A4B94">
              <w:rPr>
                <w:sz w:val="16"/>
                <w:szCs w:val="16"/>
                <w:lang w:val="tr-TR"/>
              </w:rPr>
              <w:t>82</w:t>
            </w:r>
          </w:p>
        </w:tc>
        <w:tc>
          <w:tcPr>
            <w:tcW w:w="1069" w:type="dxa"/>
            <w:tcBorders>
              <w:top w:val="nil"/>
              <w:left w:val="nil"/>
              <w:bottom w:val="nil"/>
              <w:right w:val="nil"/>
            </w:tcBorders>
            <w:shd w:val="clear" w:color="auto" w:fill="D9D9D9"/>
            <w:noWrap/>
            <w:vAlign w:val="center"/>
            <w:hideMark/>
          </w:tcPr>
          <w:p w14:paraId="5EE2B11E"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39B1B420" w14:textId="073B2945" w:rsidR="00F16E72" w:rsidRPr="001A4B94" w:rsidRDefault="00F16E72" w:rsidP="00F16E72">
            <w:pPr>
              <w:jc w:val="right"/>
              <w:rPr>
                <w:sz w:val="16"/>
                <w:szCs w:val="16"/>
                <w:lang w:val="tr-TR"/>
              </w:rPr>
            </w:pPr>
            <w:r w:rsidRPr="001A4B94">
              <w:rPr>
                <w:sz w:val="16"/>
                <w:szCs w:val="16"/>
                <w:lang w:val="tr-TR"/>
              </w:rPr>
              <w:t>91</w:t>
            </w:r>
            <w:r w:rsidR="007C4843" w:rsidRPr="001A4B94">
              <w:rPr>
                <w:sz w:val="16"/>
                <w:szCs w:val="16"/>
                <w:lang w:val="tr-TR"/>
              </w:rPr>
              <w:t>,</w:t>
            </w:r>
            <w:r w:rsidRPr="001A4B94">
              <w:rPr>
                <w:sz w:val="16"/>
                <w:szCs w:val="16"/>
                <w:lang w:val="tr-TR"/>
              </w:rPr>
              <w:t>82</w:t>
            </w:r>
          </w:p>
        </w:tc>
        <w:tc>
          <w:tcPr>
            <w:tcW w:w="812" w:type="dxa"/>
            <w:tcBorders>
              <w:top w:val="nil"/>
              <w:left w:val="nil"/>
              <w:bottom w:val="nil"/>
              <w:right w:val="nil"/>
            </w:tcBorders>
            <w:shd w:val="clear" w:color="auto" w:fill="D9D9D9"/>
            <w:noWrap/>
            <w:vAlign w:val="center"/>
            <w:hideMark/>
          </w:tcPr>
          <w:p w14:paraId="7157FC80"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577EA246"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3024474D"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7AD00FB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AF7C8E8" w14:textId="4F0AE0CC" w:rsidR="00F16E72" w:rsidRPr="001A4B94" w:rsidRDefault="00F16E72" w:rsidP="00F16E72">
            <w:pPr>
              <w:jc w:val="right"/>
              <w:rPr>
                <w:sz w:val="16"/>
                <w:szCs w:val="16"/>
                <w:lang w:val="tr-TR"/>
              </w:rPr>
            </w:pPr>
            <w:r w:rsidRPr="001A4B94">
              <w:rPr>
                <w:sz w:val="16"/>
                <w:szCs w:val="16"/>
                <w:lang w:val="tr-TR"/>
              </w:rPr>
              <w:t>91</w:t>
            </w:r>
            <w:r w:rsidR="007C4843" w:rsidRPr="001A4B94">
              <w:rPr>
                <w:sz w:val="16"/>
                <w:szCs w:val="16"/>
                <w:lang w:val="tr-TR"/>
              </w:rPr>
              <w:t>,</w:t>
            </w:r>
            <w:r w:rsidRPr="001A4B94">
              <w:rPr>
                <w:sz w:val="16"/>
                <w:szCs w:val="16"/>
                <w:lang w:val="tr-TR"/>
              </w:rPr>
              <w:t>82</w:t>
            </w:r>
          </w:p>
        </w:tc>
        <w:tc>
          <w:tcPr>
            <w:tcW w:w="990" w:type="dxa"/>
            <w:tcBorders>
              <w:top w:val="nil"/>
              <w:left w:val="nil"/>
              <w:bottom w:val="nil"/>
              <w:right w:val="nil"/>
            </w:tcBorders>
            <w:shd w:val="clear" w:color="auto" w:fill="D9D9D9"/>
            <w:noWrap/>
            <w:vAlign w:val="center"/>
            <w:hideMark/>
          </w:tcPr>
          <w:p w14:paraId="2EE335A3" w14:textId="24A3055B"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6A6AF273" w14:textId="77777777" w:rsidTr="007C4843">
        <w:trPr>
          <w:trHeight w:val="255"/>
          <w:jc w:val="center"/>
        </w:trPr>
        <w:tc>
          <w:tcPr>
            <w:tcW w:w="1900" w:type="dxa"/>
            <w:tcBorders>
              <w:top w:val="nil"/>
              <w:left w:val="nil"/>
              <w:bottom w:val="nil"/>
              <w:right w:val="nil"/>
            </w:tcBorders>
            <w:shd w:val="clear" w:color="000000" w:fill="FFFFFF"/>
            <w:vAlign w:val="center"/>
            <w:hideMark/>
          </w:tcPr>
          <w:p w14:paraId="18A97E45"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000000" w:fill="FFFFFF"/>
            <w:noWrap/>
            <w:vAlign w:val="center"/>
            <w:hideMark/>
          </w:tcPr>
          <w:p w14:paraId="395DE599" w14:textId="77777777" w:rsidR="00F16E72" w:rsidRPr="001A4B94" w:rsidRDefault="00F16E72" w:rsidP="00F16E72">
            <w:pPr>
              <w:rPr>
                <w:sz w:val="16"/>
                <w:szCs w:val="16"/>
                <w:lang w:val="tr-TR"/>
              </w:rPr>
            </w:pPr>
            <w:r w:rsidRPr="001A4B94">
              <w:rPr>
                <w:sz w:val="16"/>
                <w:szCs w:val="16"/>
                <w:lang w:val="tr-TR"/>
              </w:rPr>
              <w:t>Gama Enerji</w:t>
            </w:r>
          </w:p>
        </w:tc>
        <w:tc>
          <w:tcPr>
            <w:tcW w:w="776" w:type="dxa"/>
            <w:tcBorders>
              <w:top w:val="nil"/>
              <w:left w:val="nil"/>
              <w:bottom w:val="nil"/>
              <w:right w:val="nil"/>
            </w:tcBorders>
            <w:shd w:val="clear" w:color="000000" w:fill="FFFFFF"/>
            <w:noWrap/>
            <w:vAlign w:val="center"/>
            <w:hideMark/>
          </w:tcPr>
          <w:p w14:paraId="623DF1D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7D732449" w14:textId="36714114" w:rsidR="00F16E72" w:rsidRPr="001A4B94" w:rsidRDefault="00F16E72" w:rsidP="00F16E72">
            <w:pPr>
              <w:jc w:val="right"/>
              <w:rPr>
                <w:sz w:val="16"/>
                <w:szCs w:val="16"/>
                <w:lang w:val="tr-TR"/>
              </w:rPr>
            </w:pPr>
            <w:r w:rsidRPr="001A4B94">
              <w:rPr>
                <w:sz w:val="16"/>
                <w:szCs w:val="16"/>
                <w:lang w:val="tr-TR"/>
              </w:rPr>
              <w:t>126</w:t>
            </w:r>
            <w:r w:rsidR="007C4843" w:rsidRPr="001A4B94">
              <w:rPr>
                <w:sz w:val="16"/>
                <w:szCs w:val="16"/>
                <w:lang w:val="tr-TR"/>
              </w:rPr>
              <w:t>,</w:t>
            </w:r>
            <w:r w:rsidRPr="001A4B94">
              <w:rPr>
                <w:sz w:val="16"/>
                <w:szCs w:val="16"/>
                <w:lang w:val="tr-TR"/>
              </w:rPr>
              <w:t>05</w:t>
            </w:r>
          </w:p>
        </w:tc>
        <w:tc>
          <w:tcPr>
            <w:tcW w:w="812" w:type="dxa"/>
            <w:tcBorders>
              <w:top w:val="nil"/>
              <w:left w:val="nil"/>
              <w:bottom w:val="nil"/>
              <w:right w:val="nil"/>
            </w:tcBorders>
            <w:shd w:val="clear" w:color="000000" w:fill="FFFFFF"/>
            <w:noWrap/>
            <w:vAlign w:val="center"/>
            <w:hideMark/>
          </w:tcPr>
          <w:p w14:paraId="4543EF4B"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A3FE3F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60186A44"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3B1AB1D" w14:textId="26112E8D" w:rsidR="00F16E72" w:rsidRPr="001A4B94" w:rsidRDefault="00F16E72" w:rsidP="00F16E72">
            <w:pPr>
              <w:jc w:val="right"/>
              <w:rPr>
                <w:sz w:val="16"/>
                <w:szCs w:val="16"/>
                <w:lang w:val="tr-TR"/>
              </w:rPr>
            </w:pPr>
            <w:r w:rsidRPr="001A4B94">
              <w:rPr>
                <w:sz w:val="16"/>
                <w:szCs w:val="16"/>
                <w:lang w:val="tr-TR"/>
              </w:rPr>
              <w:t>126</w:t>
            </w:r>
            <w:r w:rsidR="007C4843" w:rsidRPr="001A4B94">
              <w:rPr>
                <w:sz w:val="16"/>
                <w:szCs w:val="16"/>
                <w:lang w:val="tr-TR"/>
              </w:rPr>
              <w:t>,</w:t>
            </w:r>
            <w:r w:rsidRPr="001A4B94">
              <w:rPr>
                <w:sz w:val="16"/>
                <w:szCs w:val="16"/>
                <w:lang w:val="tr-TR"/>
              </w:rPr>
              <w:t>05</w:t>
            </w:r>
          </w:p>
        </w:tc>
        <w:tc>
          <w:tcPr>
            <w:tcW w:w="1069" w:type="dxa"/>
            <w:tcBorders>
              <w:top w:val="nil"/>
              <w:left w:val="nil"/>
              <w:bottom w:val="nil"/>
              <w:right w:val="nil"/>
            </w:tcBorders>
            <w:shd w:val="clear" w:color="000000" w:fill="FFFFFF"/>
            <w:noWrap/>
            <w:vAlign w:val="center"/>
            <w:hideMark/>
          </w:tcPr>
          <w:p w14:paraId="71FE4D6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43EC4867"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AA2651E" w14:textId="61C6F667" w:rsidR="00F16E72" w:rsidRPr="001A4B94" w:rsidRDefault="00F16E72" w:rsidP="00F16E72">
            <w:pPr>
              <w:jc w:val="right"/>
              <w:rPr>
                <w:sz w:val="16"/>
                <w:szCs w:val="16"/>
                <w:lang w:val="tr-TR"/>
              </w:rPr>
            </w:pPr>
            <w:r w:rsidRPr="001A4B94">
              <w:rPr>
                <w:sz w:val="16"/>
                <w:szCs w:val="16"/>
                <w:lang w:val="tr-TR"/>
              </w:rPr>
              <w:t>104</w:t>
            </w:r>
            <w:r w:rsidR="007C4843" w:rsidRPr="001A4B94">
              <w:rPr>
                <w:sz w:val="16"/>
                <w:szCs w:val="16"/>
                <w:lang w:val="tr-TR"/>
              </w:rPr>
              <w:t>,</w:t>
            </w:r>
            <w:r w:rsidRPr="001A4B94">
              <w:rPr>
                <w:sz w:val="16"/>
                <w:szCs w:val="16"/>
                <w:lang w:val="tr-TR"/>
              </w:rPr>
              <w:t>03</w:t>
            </w:r>
          </w:p>
        </w:tc>
        <w:tc>
          <w:tcPr>
            <w:tcW w:w="812" w:type="dxa"/>
            <w:tcBorders>
              <w:top w:val="nil"/>
              <w:left w:val="nil"/>
              <w:bottom w:val="nil"/>
              <w:right w:val="nil"/>
            </w:tcBorders>
            <w:shd w:val="clear" w:color="000000" w:fill="FFFFFF"/>
            <w:noWrap/>
            <w:vAlign w:val="center"/>
            <w:hideMark/>
          </w:tcPr>
          <w:p w14:paraId="230E179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6EAC3167"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5EF0410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41FC09F4" w14:textId="5CA342A5" w:rsidR="00F16E72" w:rsidRPr="001A4B94" w:rsidRDefault="00F16E72" w:rsidP="00F16E72">
            <w:pPr>
              <w:jc w:val="right"/>
              <w:rPr>
                <w:sz w:val="16"/>
                <w:szCs w:val="16"/>
                <w:lang w:val="tr-TR"/>
              </w:rPr>
            </w:pPr>
            <w:r w:rsidRPr="001A4B94">
              <w:rPr>
                <w:sz w:val="16"/>
                <w:szCs w:val="16"/>
                <w:lang w:val="tr-TR"/>
              </w:rPr>
              <w:t>104</w:t>
            </w:r>
            <w:r w:rsidR="007C4843" w:rsidRPr="001A4B94">
              <w:rPr>
                <w:sz w:val="16"/>
                <w:szCs w:val="16"/>
                <w:lang w:val="tr-TR"/>
              </w:rPr>
              <w:t>,</w:t>
            </w:r>
            <w:r w:rsidRPr="001A4B94">
              <w:rPr>
                <w:sz w:val="16"/>
                <w:szCs w:val="16"/>
                <w:lang w:val="tr-TR"/>
              </w:rPr>
              <w:t>03</w:t>
            </w:r>
          </w:p>
        </w:tc>
        <w:tc>
          <w:tcPr>
            <w:tcW w:w="990" w:type="dxa"/>
            <w:tcBorders>
              <w:top w:val="nil"/>
              <w:left w:val="nil"/>
              <w:bottom w:val="nil"/>
              <w:right w:val="nil"/>
            </w:tcBorders>
            <w:shd w:val="clear" w:color="000000" w:fill="FFFFFF"/>
            <w:noWrap/>
            <w:vAlign w:val="center"/>
            <w:hideMark/>
          </w:tcPr>
          <w:p w14:paraId="7D16B000" w14:textId="0DEDBEEF"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64B4363" w14:textId="77777777" w:rsidTr="007C4843">
        <w:trPr>
          <w:trHeight w:val="255"/>
          <w:jc w:val="center"/>
        </w:trPr>
        <w:tc>
          <w:tcPr>
            <w:tcW w:w="1900" w:type="dxa"/>
            <w:tcBorders>
              <w:top w:val="nil"/>
              <w:left w:val="nil"/>
              <w:bottom w:val="nil"/>
              <w:right w:val="nil"/>
            </w:tcBorders>
            <w:shd w:val="clear" w:color="auto" w:fill="D9D9D9"/>
            <w:vAlign w:val="center"/>
            <w:hideMark/>
          </w:tcPr>
          <w:p w14:paraId="23E408C2" w14:textId="77777777" w:rsidR="00F16E72" w:rsidRPr="001A4B94" w:rsidRDefault="00F16E72" w:rsidP="00F16E72">
            <w:pPr>
              <w:rPr>
                <w:sz w:val="16"/>
                <w:szCs w:val="16"/>
                <w:lang w:val="tr-TR"/>
              </w:rPr>
            </w:pPr>
            <w:r w:rsidRPr="001A4B94">
              <w:rPr>
                <w:sz w:val="16"/>
                <w:szCs w:val="16"/>
                <w:lang w:val="tr-TR"/>
              </w:rPr>
              <w:t>2017</w:t>
            </w:r>
          </w:p>
        </w:tc>
        <w:tc>
          <w:tcPr>
            <w:tcW w:w="1470" w:type="dxa"/>
            <w:tcBorders>
              <w:top w:val="nil"/>
              <w:left w:val="nil"/>
              <w:bottom w:val="nil"/>
              <w:right w:val="nil"/>
            </w:tcBorders>
            <w:shd w:val="clear" w:color="auto" w:fill="D9D9D9"/>
            <w:noWrap/>
            <w:vAlign w:val="center"/>
            <w:hideMark/>
          </w:tcPr>
          <w:p w14:paraId="7E30D24A" w14:textId="38921558" w:rsidR="00F16E72" w:rsidRPr="001A4B94" w:rsidRDefault="009866A8" w:rsidP="00F16E72">
            <w:pPr>
              <w:rPr>
                <w:sz w:val="16"/>
                <w:szCs w:val="16"/>
                <w:lang w:val="tr-TR"/>
              </w:rPr>
            </w:pPr>
            <w:r w:rsidRPr="001A4B94">
              <w:rPr>
                <w:sz w:val="16"/>
                <w:szCs w:val="16"/>
                <w:lang w:val="tr-TR"/>
              </w:rPr>
              <w:t>Garanti Bankası</w:t>
            </w:r>
          </w:p>
        </w:tc>
        <w:tc>
          <w:tcPr>
            <w:tcW w:w="776" w:type="dxa"/>
            <w:tcBorders>
              <w:top w:val="nil"/>
              <w:left w:val="nil"/>
              <w:bottom w:val="nil"/>
              <w:right w:val="nil"/>
            </w:tcBorders>
            <w:shd w:val="clear" w:color="auto" w:fill="D9D9D9"/>
            <w:noWrap/>
            <w:vAlign w:val="center"/>
            <w:hideMark/>
          </w:tcPr>
          <w:p w14:paraId="32005C97" w14:textId="682EE766" w:rsidR="00F16E72" w:rsidRPr="001A4B94" w:rsidRDefault="00F16E72" w:rsidP="00F16E72">
            <w:pPr>
              <w:jc w:val="right"/>
              <w:rPr>
                <w:sz w:val="16"/>
                <w:szCs w:val="16"/>
                <w:lang w:val="tr-TR"/>
              </w:rPr>
            </w:pPr>
            <w:r w:rsidRPr="001A4B94">
              <w:rPr>
                <w:sz w:val="16"/>
                <w:szCs w:val="16"/>
                <w:lang w:val="tr-TR"/>
              </w:rPr>
              <w:t>150</w:t>
            </w:r>
            <w:r w:rsidR="007C4843" w:rsidRPr="001A4B94">
              <w:rPr>
                <w:sz w:val="16"/>
                <w:szCs w:val="16"/>
                <w:lang w:val="tr-TR"/>
              </w:rPr>
              <w:t>,</w:t>
            </w:r>
            <w:r w:rsidRPr="001A4B94">
              <w:rPr>
                <w:sz w:val="16"/>
                <w:szCs w:val="16"/>
                <w:lang w:val="tr-TR"/>
              </w:rPr>
              <w:t>34</w:t>
            </w:r>
          </w:p>
        </w:tc>
        <w:tc>
          <w:tcPr>
            <w:tcW w:w="812" w:type="dxa"/>
            <w:tcBorders>
              <w:top w:val="nil"/>
              <w:left w:val="nil"/>
              <w:bottom w:val="nil"/>
              <w:right w:val="nil"/>
            </w:tcBorders>
            <w:shd w:val="clear" w:color="auto" w:fill="D9D9D9"/>
            <w:noWrap/>
            <w:vAlign w:val="center"/>
            <w:hideMark/>
          </w:tcPr>
          <w:p w14:paraId="52ECE27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4BA139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518DEEC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4D0D41B9"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09F275C" w14:textId="6AC8B9B8" w:rsidR="00F16E72" w:rsidRPr="001A4B94" w:rsidRDefault="00F16E72" w:rsidP="00F16E72">
            <w:pPr>
              <w:jc w:val="right"/>
              <w:rPr>
                <w:sz w:val="16"/>
                <w:szCs w:val="16"/>
                <w:lang w:val="tr-TR"/>
              </w:rPr>
            </w:pPr>
            <w:r w:rsidRPr="001A4B94">
              <w:rPr>
                <w:sz w:val="16"/>
                <w:szCs w:val="16"/>
                <w:lang w:val="tr-TR"/>
              </w:rPr>
              <w:t>150</w:t>
            </w:r>
            <w:r w:rsidR="007C4843" w:rsidRPr="001A4B94">
              <w:rPr>
                <w:sz w:val="16"/>
                <w:szCs w:val="16"/>
                <w:lang w:val="tr-TR"/>
              </w:rPr>
              <w:t>,</w:t>
            </w:r>
            <w:r w:rsidRPr="001A4B94">
              <w:rPr>
                <w:sz w:val="16"/>
                <w:szCs w:val="16"/>
                <w:lang w:val="tr-TR"/>
              </w:rPr>
              <w:t>34</w:t>
            </w:r>
          </w:p>
        </w:tc>
        <w:tc>
          <w:tcPr>
            <w:tcW w:w="1069" w:type="dxa"/>
            <w:tcBorders>
              <w:top w:val="nil"/>
              <w:left w:val="nil"/>
              <w:bottom w:val="nil"/>
              <w:right w:val="nil"/>
            </w:tcBorders>
            <w:shd w:val="clear" w:color="auto" w:fill="D9D9D9"/>
            <w:noWrap/>
            <w:vAlign w:val="center"/>
            <w:hideMark/>
          </w:tcPr>
          <w:p w14:paraId="44B59D08"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065626FC" w14:textId="0BAA1EAE" w:rsidR="00F16E72" w:rsidRPr="001A4B94" w:rsidRDefault="00F16E72" w:rsidP="00F16E72">
            <w:pPr>
              <w:jc w:val="right"/>
              <w:rPr>
                <w:sz w:val="16"/>
                <w:szCs w:val="16"/>
                <w:lang w:val="tr-TR"/>
              </w:rPr>
            </w:pPr>
            <w:r w:rsidRPr="001A4B94">
              <w:rPr>
                <w:sz w:val="16"/>
                <w:szCs w:val="16"/>
                <w:lang w:val="tr-TR"/>
              </w:rPr>
              <w:t>150</w:t>
            </w:r>
            <w:r w:rsidR="007C4843" w:rsidRPr="001A4B94">
              <w:rPr>
                <w:sz w:val="16"/>
                <w:szCs w:val="16"/>
                <w:lang w:val="tr-TR"/>
              </w:rPr>
              <w:t>,</w:t>
            </w:r>
            <w:r w:rsidRPr="001A4B94">
              <w:rPr>
                <w:sz w:val="16"/>
                <w:szCs w:val="16"/>
                <w:lang w:val="tr-TR"/>
              </w:rPr>
              <w:t>34</w:t>
            </w:r>
          </w:p>
        </w:tc>
        <w:tc>
          <w:tcPr>
            <w:tcW w:w="812" w:type="dxa"/>
            <w:tcBorders>
              <w:top w:val="nil"/>
              <w:left w:val="nil"/>
              <w:bottom w:val="nil"/>
              <w:right w:val="nil"/>
            </w:tcBorders>
            <w:shd w:val="clear" w:color="auto" w:fill="D9D9D9"/>
            <w:noWrap/>
            <w:vAlign w:val="center"/>
            <w:hideMark/>
          </w:tcPr>
          <w:p w14:paraId="3222345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53DC5B0"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DD5EEF8"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633D6780"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45B8774F" w14:textId="5FAE6733" w:rsidR="00F16E72" w:rsidRPr="001A4B94" w:rsidRDefault="00F16E72" w:rsidP="00F16E72">
            <w:pPr>
              <w:jc w:val="right"/>
              <w:rPr>
                <w:sz w:val="16"/>
                <w:szCs w:val="16"/>
                <w:lang w:val="tr-TR"/>
              </w:rPr>
            </w:pPr>
            <w:r w:rsidRPr="001A4B94">
              <w:rPr>
                <w:sz w:val="16"/>
                <w:szCs w:val="16"/>
                <w:lang w:val="tr-TR"/>
              </w:rPr>
              <w:t>150</w:t>
            </w:r>
            <w:r w:rsidR="007C4843" w:rsidRPr="001A4B94">
              <w:rPr>
                <w:sz w:val="16"/>
                <w:szCs w:val="16"/>
                <w:lang w:val="tr-TR"/>
              </w:rPr>
              <w:t>,</w:t>
            </w:r>
            <w:r w:rsidRPr="001A4B94">
              <w:rPr>
                <w:sz w:val="16"/>
                <w:szCs w:val="16"/>
                <w:lang w:val="tr-TR"/>
              </w:rPr>
              <w:t>34</w:t>
            </w:r>
          </w:p>
        </w:tc>
        <w:tc>
          <w:tcPr>
            <w:tcW w:w="990" w:type="dxa"/>
            <w:tcBorders>
              <w:top w:val="nil"/>
              <w:left w:val="nil"/>
              <w:bottom w:val="nil"/>
              <w:right w:val="nil"/>
            </w:tcBorders>
            <w:shd w:val="clear" w:color="auto" w:fill="D9D9D9"/>
            <w:noWrap/>
            <w:vAlign w:val="center"/>
            <w:hideMark/>
          </w:tcPr>
          <w:p w14:paraId="50C5FB6C" w14:textId="37B62743"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211A22F9" w14:textId="77777777" w:rsidTr="007C4843">
        <w:trPr>
          <w:trHeight w:val="255"/>
          <w:jc w:val="center"/>
        </w:trPr>
        <w:tc>
          <w:tcPr>
            <w:tcW w:w="1900" w:type="dxa"/>
            <w:tcBorders>
              <w:top w:val="nil"/>
              <w:left w:val="nil"/>
              <w:right w:val="nil"/>
            </w:tcBorders>
            <w:shd w:val="clear" w:color="auto" w:fill="auto"/>
            <w:vAlign w:val="center"/>
          </w:tcPr>
          <w:p w14:paraId="20650F0C" w14:textId="77777777" w:rsidR="00F16E72" w:rsidRPr="001A4B94" w:rsidRDefault="00F16E72" w:rsidP="00F16E72">
            <w:pPr>
              <w:rPr>
                <w:sz w:val="16"/>
                <w:szCs w:val="16"/>
                <w:lang w:val="tr-TR"/>
              </w:rPr>
            </w:pPr>
          </w:p>
        </w:tc>
        <w:tc>
          <w:tcPr>
            <w:tcW w:w="1470" w:type="dxa"/>
            <w:tcBorders>
              <w:top w:val="nil"/>
              <w:left w:val="nil"/>
              <w:right w:val="nil"/>
            </w:tcBorders>
            <w:shd w:val="clear" w:color="auto" w:fill="auto"/>
            <w:noWrap/>
            <w:vAlign w:val="center"/>
          </w:tcPr>
          <w:p w14:paraId="5FFF1048" w14:textId="77777777" w:rsidR="00F16E72" w:rsidRPr="001A4B94" w:rsidRDefault="00F16E72" w:rsidP="00F16E72">
            <w:pPr>
              <w:rPr>
                <w:sz w:val="16"/>
                <w:szCs w:val="16"/>
                <w:lang w:val="tr-TR"/>
              </w:rPr>
            </w:pPr>
          </w:p>
        </w:tc>
        <w:tc>
          <w:tcPr>
            <w:tcW w:w="776" w:type="dxa"/>
            <w:tcBorders>
              <w:top w:val="nil"/>
              <w:left w:val="nil"/>
              <w:right w:val="nil"/>
            </w:tcBorders>
            <w:shd w:val="clear" w:color="auto" w:fill="auto"/>
            <w:noWrap/>
            <w:vAlign w:val="center"/>
          </w:tcPr>
          <w:p w14:paraId="57207A96"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140BC3EE"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22684978" w14:textId="77777777" w:rsidR="00F16E72" w:rsidRPr="001A4B94" w:rsidRDefault="00F16E72" w:rsidP="00F16E72">
            <w:pPr>
              <w:jc w:val="right"/>
              <w:rPr>
                <w:sz w:val="16"/>
                <w:szCs w:val="16"/>
                <w:lang w:val="tr-TR"/>
              </w:rPr>
            </w:pPr>
          </w:p>
        </w:tc>
        <w:tc>
          <w:tcPr>
            <w:tcW w:w="706" w:type="dxa"/>
            <w:tcBorders>
              <w:top w:val="nil"/>
              <w:left w:val="nil"/>
              <w:right w:val="nil"/>
            </w:tcBorders>
            <w:shd w:val="clear" w:color="auto" w:fill="auto"/>
            <w:noWrap/>
            <w:vAlign w:val="center"/>
          </w:tcPr>
          <w:p w14:paraId="15D7496D" w14:textId="77777777" w:rsidR="00F16E72" w:rsidRPr="001A4B94" w:rsidRDefault="00F16E72" w:rsidP="00F16E72">
            <w:pPr>
              <w:jc w:val="right"/>
              <w:rPr>
                <w:sz w:val="16"/>
                <w:szCs w:val="16"/>
                <w:lang w:val="tr-TR"/>
              </w:rPr>
            </w:pPr>
          </w:p>
        </w:tc>
        <w:tc>
          <w:tcPr>
            <w:tcW w:w="710" w:type="dxa"/>
            <w:tcBorders>
              <w:top w:val="nil"/>
              <w:left w:val="nil"/>
              <w:right w:val="nil"/>
            </w:tcBorders>
            <w:shd w:val="clear" w:color="auto" w:fill="auto"/>
            <w:noWrap/>
            <w:vAlign w:val="center"/>
          </w:tcPr>
          <w:p w14:paraId="7F28A359" w14:textId="77777777" w:rsidR="00F16E72" w:rsidRPr="001A4B94" w:rsidRDefault="00F16E72" w:rsidP="00F16E72">
            <w:pPr>
              <w:jc w:val="right"/>
              <w:rPr>
                <w:sz w:val="16"/>
                <w:szCs w:val="16"/>
                <w:lang w:val="tr-TR"/>
              </w:rPr>
            </w:pPr>
          </w:p>
        </w:tc>
        <w:tc>
          <w:tcPr>
            <w:tcW w:w="919" w:type="dxa"/>
            <w:tcBorders>
              <w:top w:val="nil"/>
              <w:left w:val="nil"/>
              <w:right w:val="nil"/>
            </w:tcBorders>
            <w:shd w:val="clear" w:color="auto" w:fill="auto"/>
            <w:noWrap/>
            <w:vAlign w:val="center"/>
          </w:tcPr>
          <w:p w14:paraId="550F9BD8" w14:textId="77777777" w:rsidR="00F16E72" w:rsidRPr="001A4B94" w:rsidRDefault="00F16E72" w:rsidP="00F16E72">
            <w:pPr>
              <w:jc w:val="right"/>
              <w:rPr>
                <w:sz w:val="16"/>
                <w:szCs w:val="16"/>
                <w:lang w:val="tr-TR"/>
              </w:rPr>
            </w:pPr>
          </w:p>
        </w:tc>
        <w:tc>
          <w:tcPr>
            <w:tcW w:w="1069" w:type="dxa"/>
            <w:tcBorders>
              <w:top w:val="nil"/>
              <w:left w:val="nil"/>
              <w:right w:val="nil"/>
            </w:tcBorders>
            <w:shd w:val="clear" w:color="auto" w:fill="auto"/>
            <w:noWrap/>
            <w:vAlign w:val="center"/>
          </w:tcPr>
          <w:p w14:paraId="52DA99E4" w14:textId="77777777" w:rsidR="00F16E72" w:rsidRPr="001A4B94" w:rsidRDefault="00F16E72" w:rsidP="00F16E72">
            <w:pPr>
              <w:jc w:val="right"/>
              <w:rPr>
                <w:sz w:val="16"/>
                <w:szCs w:val="16"/>
                <w:lang w:val="tr-TR"/>
              </w:rPr>
            </w:pPr>
          </w:p>
        </w:tc>
        <w:tc>
          <w:tcPr>
            <w:tcW w:w="776" w:type="dxa"/>
            <w:tcBorders>
              <w:top w:val="nil"/>
              <w:left w:val="nil"/>
              <w:right w:val="nil"/>
            </w:tcBorders>
            <w:shd w:val="clear" w:color="auto" w:fill="auto"/>
            <w:noWrap/>
            <w:vAlign w:val="center"/>
          </w:tcPr>
          <w:p w14:paraId="274E934D"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0C75B1CA"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1A324A6F" w14:textId="77777777" w:rsidR="00F16E72" w:rsidRPr="001A4B94" w:rsidRDefault="00F16E72" w:rsidP="00F16E72">
            <w:pPr>
              <w:jc w:val="right"/>
              <w:rPr>
                <w:sz w:val="16"/>
                <w:szCs w:val="16"/>
                <w:lang w:val="tr-TR"/>
              </w:rPr>
            </w:pPr>
          </w:p>
        </w:tc>
        <w:tc>
          <w:tcPr>
            <w:tcW w:w="706" w:type="dxa"/>
            <w:tcBorders>
              <w:top w:val="nil"/>
              <w:left w:val="nil"/>
              <w:right w:val="nil"/>
            </w:tcBorders>
            <w:shd w:val="clear" w:color="auto" w:fill="auto"/>
            <w:noWrap/>
            <w:vAlign w:val="center"/>
          </w:tcPr>
          <w:p w14:paraId="165E32B5" w14:textId="77777777" w:rsidR="00F16E72" w:rsidRPr="001A4B94" w:rsidRDefault="00F16E72" w:rsidP="00F16E72">
            <w:pPr>
              <w:jc w:val="right"/>
              <w:rPr>
                <w:sz w:val="16"/>
                <w:szCs w:val="16"/>
                <w:lang w:val="tr-TR"/>
              </w:rPr>
            </w:pPr>
          </w:p>
        </w:tc>
        <w:tc>
          <w:tcPr>
            <w:tcW w:w="685" w:type="dxa"/>
            <w:tcBorders>
              <w:top w:val="nil"/>
              <w:left w:val="nil"/>
              <w:right w:val="nil"/>
            </w:tcBorders>
            <w:shd w:val="clear" w:color="auto" w:fill="auto"/>
            <w:noWrap/>
            <w:vAlign w:val="center"/>
          </w:tcPr>
          <w:p w14:paraId="36CC0DF1" w14:textId="77777777" w:rsidR="00F16E72" w:rsidRPr="001A4B94" w:rsidRDefault="00F16E72" w:rsidP="00F16E72">
            <w:pPr>
              <w:jc w:val="right"/>
              <w:rPr>
                <w:sz w:val="16"/>
                <w:szCs w:val="16"/>
                <w:lang w:val="tr-TR"/>
              </w:rPr>
            </w:pPr>
          </w:p>
        </w:tc>
        <w:tc>
          <w:tcPr>
            <w:tcW w:w="919" w:type="dxa"/>
            <w:tcBorders>
              <w:top w:val="nil"/>
              <w:left w:val="nil"/>
              <w:right w:val="nil"/>
            </w:tcBorders>
            <w:shd w:val="clear" w:color="auto" w:fill="auto"/>
            <w:noWrap/>
            <w:vAlign w:val="center"/>
          </w:tcPr>
          <w:p w14:paraId="4D3F9544" w14:textId="77777777" w:rsidR="00F16E72" w:rsidRPr="001A4B94" w:rsidRDefault="00F16E72" w:rsidP="00F16E72">
            <w:pPr>
              <w:jc w:val="right"/>
              <w:rPr>
                <w:sz w:val="16"/>
                <w:szCs w:val="16"/>
                <w:lang w:val="tr-TR"/>
              </w:rPr>
            </w:pPr>
          </w:p>
        </w:tc>
        <w:tc>
          <w:tcPr>
            <w:tcW w:w="990" w:type="dxa"/>
            <w:tcBorders>
              <w:top w:val="nil"/>
              <w:left w:val="nil"/>
              <w:right w:val="nil"/>
            </w:tcBorders>
            <w:shd w:val="clear" w:color="auto" w:fill="auto"/>
            <w:noWrap/>
            <w:vAlign w:val="center"/>
          </w:tcPr>
          <w:p w14:paraId="1B4E2CD2" w14:textId="77777777" w:rsidR="00F16E72" w:rsidRPr="001A4B94" w:rsidRDefault="00F16E72" w:rsidP="00F16E72">
            <w:pPr>
              <w:jc w:val="right"/>
              <w:rPr>
                <w:sz w:val="16"/>
                <w:szCs w:val="16"/>
                <w:lang w:val="tr-TR"/>
              </w:rPr>
            </w:pPr>
          </w:p>
        </w:tc>
      </w:tr>
      <w:tr w:rsidR="00F16E72" w:rsidRPr="001A4B94" w14:paraId="7BE599FE" w14:textId="77777777" w:rsidTr="007C4843">
        <w:trPr>
          <w:trHeight w:val="255"/>
          <w:jc w:val="center"/>
        </w:trPr>
        <w:tc>
          <w:tcPr>
            <w:tcW w:w="1900" w:type="dxa"/>
            <w:tcBorders>
              <w:left w:val="nil"/>
              <w:bottom w:val="nil"/>
              <w:right w:val="nil"/>
            </w:tcBorders>
            <w:shd w:val="clear" w:color="auto" w:fill="auto"/>
            <w:vAlign w:val="center"/>
          </w:tcPr>
          <w:p w14:paraId="02BC6428" w14:textId="77777777" w:rsidR="00F16E72" w:rsidRPr="001A4B94" w:rsidRDefault="00F16E72" w:rsidP="00F16E72">
            <w:pPr>
              <w:rPr>
                <w:sz w:val="16"/>
                <w:szCs w:val="16"/>
                <w:lang w:val="tr-TR"/>
              </w:rPr>
            </w:pPr>
          </w:p>
        </w:tc>
        <w:tc>
          <w:tcPr>
            <w:tcW w:w="1470" w:type="dxa"/>
            <w:tcBorders>
              <w:left w:val="nil"/>
              <w:bottom w:val="nil"/>
              <w:right w:val="nil"/>
            </w:tcBorders>
            <w:shd w:val="clear" w:color="auto" w:fill="auto"/>
            <w:noWrap/>
            <w:vAlign w:val="center"/>
          </w:tcPr>
          <w:p w14:paraId="105B00C4" w14:textId="77777777" w:rsidR="00F16E72" w:rsidRPr="001A4B94" w:rsidRDefault="00F16E72" w:rsidP="00F16E72">
            <w:pPr>
              <w:rPr>
                <w:sz w:val="16"/>
                <w:szCs w:val="16"/>
                <w:lang w:val="tr-TR"/>
              </w:rPr>
            </w:pPr>
          </w:p>
        </w:tc>
        <w:tc>
          <w:tcPr>
            <w:tcW w:w="776" w:type="dxa"/>
            <w:tcBorders>
              <w:left w:val="nil"/>
              <w:bottom w:val="double" w:sz="4" w:space="0" w:color="auto"/>
              <w:right w:val="nil"/>
            </w:tcBorders>
            <w:shd w:val="clear" w:color="auto" w:fill="auto"/>
            <w:noWrap/>
            <w:vAlign w:val="center"/>
          </w:tcPr>
          <w:p w14:paraId="0E391575" w14:textId="77777777" w:rsidR="00F16E72" w:rsidRPr="001A4B94" w:rsidRDefault="00F16E72" w:rsidP="00F16E72">
            <w:pPr>
              <w:jc w:val="right"/>
              <w:rPr>
                <w:sz w:val="16"/>
                <w:szCs w:val="16"/>
                <w:lang w:val="tr-TR"/>
              </w:rPr>
            </w:pPr>
          </w:p>
        </w:tc>
        <w:tc>
          <w:tcPr>
            <w:tcW w:w="812" w:type="dxa"/>
            <w:tcBorders>
              <w:left w:val="nil"/>
              <w:bottom w:val="double" w:sz="4" w:space="0" w:color="auto"/>
              <w:right w:val="nil"/>
            </w:tcBorders>
            <w:shd w:val="clear" w:color="auto" w:fill="auto"/>
            <w:noWrap/>
            <w:vAlign w:val="center"/>
          </w:tcPr>
          <w:p w14:paraId="3EF8E11A" w14:textId="77777777" w:rsidR="00F16E72" w:rsidRPr="001A4B94" w:rsidRDefault="00F16E72" w:rsidP="00F16E72">
            <w:pPr>
              <w:jc w:val="right"/>
              <w:rPr>
                <w:sz w:val="16"/>
                <w:szCs w:val="16"/>
                <w:lang w:val="tr-TR"/>
              </w:rPr>
            </w:pPr>
          </w:p>
        </w:tc>
        <w:tc>
          <w:tcPr>
            <w:tcW w:w="812" w:type="dxa"/>
            <w:tcBorders>
              <w:left w:val="nil"/>
              <w:bottom w:val="double" w:sz="4" w:space="0" w:color="auto"/>
              <w:right w:val="nil"/>
            </w:tcBorders>
            <w:shd w:val="clear" w:color="auto" w:fill="auto"/>
            <w:noWrap/>
            <w:vAlign w:val="center"/>
          </w:tcPr>
          <w:p w14:paraId="6CE073BD" w14:textId="77777777" w:rsidR="00F16E72" w:rsidRPr="001A4B94" w:rsidRDefault="00F16E72" w:rsidP="00F16E72">
            <w:pPr>
              <w:jc w:val="right"/>
              <w:rPr>
                <w:sz w:val="16"/>
                <w:szCs w:val="16"/>
                <w:lang w:val="tr-TR"/>
              </w:rPr>
            </w:pPr>
          </w:p>
        </w:tc>
        <w:tc>
          <w:tcPr>
            <w:tcW w:w="706" w:type="dxa"/>
            <w:tcBorders>
              <w:left w:val="nil"/>
              <w:bottom w:val="double" w:sz="4" w:space="0" w:color="auto"/>
              <w:right w:val="nil"/>
            </w:tcBorders>
            <w:shd w:val="clear" w:color="auto" w:fill="auto"/>
            <w:noWrap/>
            <w:vAlign w:val="center"/>
          </w:tcPr>
          <w:p w14:paraId="79C51CEE" w14:textId="77777777" w:rsidR="00F16E72" w:rsidRPr="001A4B94" w:rsidRDefault="00F16E72" w:rsidP="00F16E72">
            <w:pPr>
              <w:jc w:val="right"/>
              <w:rPr>
                <w:sz w:val="16"/>
                <w:szCs w:val="16"/>
                <w:lang w:val="tr-TR"/>
              </w:rPr>
            </w:pPr>
          </w:p>
        </w:tc>
        <w:tc>
          <w:tcPr>
            <w:tcW w:w="710" w:type="dxa"/>
            <w:tcBorders>
              <w:left w:val="nil"/>
              <w:bottom w:val="double" w:sz="4" w:space="0" w:color="auto"/>
              <w:right w:val="nil"/>
            </w:tcBorders>
            <w:shd w:val="clear" w:color="auto" w:fill="auto"/>
            <w:noWrap/>
            <w:vAlign w:val="center"/>
          </w:tcPr>
          <w:p w14:paraId="19F3DFA8" w14:textId="77777777" w:rsidR="00F16E72" w:rsidRPr="001A4B94" w:rsidRDefault="00F16E72" w:rsidP="00F16E72">
            <w:pPr>
              <w:jc w:val="right"/>
              <w:rPr>
                <w:sz w:val="16"/>
                <w:szCs w:val="16"/>
                <w:lang w:val="tr-TR"/>
              </w:rPr>
            </w:pPr>
          </w:p>
        </w:tc>
        <w:tc>
          <w:tcPr>
            <w:tcW w:w="919" w:type="dxa"/>
            <w:tcBorders>
              <w:left w:val="nil"/>
              <w:bottom w:val="double" w:sz="4" w:space="0" w:color="auto"/>
              <w:right w:val="nil"/>
            </w:tcBorders>
            <w:shd w:val="clear" w:color="auto" w:fill="auto"/>
            <w:noWrap/>
            <w:vAlign w:val="center"/>
          </w:tcPr>
          <w:p w14:paraId="3BD7F9FC" w14:textId="77777777" w:rsidR="00F16E72" w:rsidRPr="001A4B94" w:rsidRDefault="00F16E72" w:rsidP="00F16E72">
            <w:pPr>
              <w:jc w:val="right"/>
              <w:rPr>
                <w:sz w:val="16"/>
                <w:szCs w:val="16"/>
                <w:lang w:val="tr-TR"/>
              </w:rPr>
            </w:pPr>
          </w:p>
        </w:tc>
        <w:tc>
          <w:tcPr>
            <w:tcW w:w="1069" w:type="dxa"/>
            <w:tcBorders>
              <w:left w:val="nil"/>
              <w:bottom w:val="double" w:sz="4" w:space="0" w:color="auto"/>
              <w:right w:val="nil"/>
            </w:tcBorders>
            <w:shd w:val="clear" w:color="auto" w:fill="auto"/>
            <w:noWrap/>
            <w:vAlign w:val="center"/>
          </w:tcPr>
          <w:p w14:paraId="679E1D19" w14:textId="77777777" w:rsidR="00F16E72" w:rsidRPr="001A4B94" w:rsidRDefault="00F16E72" w:rsidP="00F16E72">
            <w:pPr>
              <w:jc w:val="right"/>
              <w:rPr>
                <w:sz w:val="16"/>
                <w:szCs w:val="16"/>
                <w:lang w:val="tr-TR"/>
              </w:rPr>
            </w:pPr>
          </w:p>
        </w:tc>
        <w:tc>
          <w:tcPr>
            <w:tcW w:w="776" w:type="dxa"/>
            <w:tcBorders>
              <w:left w:val="nil"/>
              <w:bottom w:val="double" w:sz="4" w:space="0" w:color="auto"/>
              <w:right w:val="nil"/>
            </w:tcBorders>
            <w:shd w:val="clear" w:color="auto" w:fill="auto"/>
            <w:noWrap/>
            <w:vAlign w:val="center"/>
          </w:tcPr>
          <w:p w14:paraId="37CF3F25" w14:textId="77777777" w:rsidR="00F16E72" w:rsidRPr="001A4B94" w:rsidRDefault="00F16E72" w:rsidP="00F16E72">
            <w:pPr>
              <w:jc w:val="right"/>
              <w:rPr>
                <w:sz w:val="16"/>
                <w:szCs w:val="16"/>
                <w:lang w:val="tr-TR"/>
              </w:rPr>
            </w:pPr>
          </w:p>
        </w:tc>
        <w:tc>
          <w:tcPr>
            <w:tcW w:w="812" w:type="dxa"/>
            <w:tcBorders>
              <w:left w:val="nil"/>
              <w:bottom w:val="double" w:sz="4" w:space="0" w:color="auto"/>
              <w:right w:val="nil"/>
            </w:tcBorders>
            <w:shd w:val="clear" w:color="auto" w:fill="auto"/>
            <w:noWrap/>
            <w:vAlign w:val="center"/>
          </w:tcPr>
          <w:p w14:paraId="24B639F9" w14:textId="77777777" w:rsidR="00F16E72" w:rsidRPr="001A4B94" w:rsidRDefault="00F16E72" w:rsidP="00F16E72">
            <w:pPr>
              <w:jc w:val="right"/>
              <w:rPr>
                <w:sz w:val="16"/>
                <w:szCs w:val="16"/>
                <w:lang w:val="tr-TR"/>
              </w:rPr>
            </w:pPr>
          </w:p>
        </w:tc>
        <w:tc>
          <w:tcPr>
            <w:tcW w:w="812" w:type="dxa"/>
            <w:tcBorders>
              <w:left w:val="nil"/>
              <w:bottom w:val="double" w:sz="4" w:space="0" w:color="auto"/>
              <w:right w:val="nil"/>
            </w:tcBorders>
            <w:shd w:val="clear" w:color="auto" w:fill="auto"/>
            <w:noWrap/>
            <w:vAlign w:val="center"/>
          </w:tcPr>
          <w:p w14:paraId="7DDABC87" w14:textId="77777777" w:rsidR="00F16E72" w:rsidRPr="001A4B94" w:rsidRDefault="00F16E72" w:rsidP="00F16E72">
            <w:pPr>
              <w:jc w:val="right"/>
              <w:rPr>
                <w:sz w:val="16"/>
                <w:szCs w:val="16"/>
                <w:lang w:val="tr-TR"/>
              </w:rPr>
            </w:pPr>
          </w:p>
        </w:tc>
        <w:tc>
          <w:tcPr>
            <w:tcW w:w="706" w:type="dxa"/>
            <w:tcBorders>
              <w:left w:val="nil"/>
              <w:bottom w:val="double" w:sz="4" w:space="0" w:color="auto"/>
              <w:right w:val="nil"/>
            </w:tcBorders>
            <w:shd w:val="clear" w:color="auto" w:fill="auto"/>
            <w:noWrap/>
            <w:vAlign w:val="center"/>
          </w:tcPr>
          <w:p w14:paraId="4B7F744A" w14:textId="77777777" w:rsidR="00F16E72" w:rsidRPr="001A4B94" w:rsidRDefault="00F16E72" w:rsidP="00F16E72">
            <w:pPr>
              <w:jc w:val="right"/>
              <w:rPr>
                <w:sz w:val="16"/>
                <w:szCs w:val="16"/>
                <w:lang w:val="tr-TR"/>
              </w:rPr>
            </w:pPr>
          </w:p>
        </w:tc>
        <w:tc>
          <w:tcPr>
            <w:tcW w:w="685" w:type="dxa"/>
            <w:tcBorders>
              <w:left w:val="nil"/>
              <w:bottom w:val="double" w:sz="4" w:space="0" w:color="auto"/>
              <w:right w:val="nil"/>
            </w:tcBorders>
            <w:shd w:val="clear" w:color="auto" w:fill="auto"/>
            <w:noWrap/>
            <w:vAlign w:val="center"/>
          </w:tcPr>
          <w:p w14:paraId="739D0E6D" w14:textId="77777777" w:rsidR="00F16E72" w:rsidRPr="001A4B94" w:rsidRDefault="00F16E72" w:rsidP="00F16E72">
            <w:pPr>
              <w:jc w:val="right"/>
              <w:rPr>
                <w:sz w:val="16"/>
                <w:szCs w:val="16"/>
                <w:lang w:val="tr-TR"/>
              </w:rPr>
            </w:pPr>
          </w:p>
        </w:tc>
        <w:tc>
          <w:tcPr>
            <w:tcW w:w="919" w:type="dxa"/>
            <w:tcBorders>
              <w:left w:val="nil"/>
              <w:bottom w:val="double" w:sz="4" w:space="0" w:color="auto"/>
              <w:right w:val="nil"/>
            </w:tcBorders>
            <w:shd w:val="clear" w:color="auto" w:fill="auto"/>
            <w:noWrap/>
            <w:vAlign w:val="center"/>
          </w:tcPr>
          <w:p w14:paraId="6B3F59BD" w14:textId="77777777" w:rsidR="00F16E72" w:rsidRPr="001A4B94" w:rsidRDefault="00F16E72" w:rsidP="00F16E72">
            <w:pPr>
              <w:jc w:val="right"/>
              <w:rPr>
                <w:sz w:val="16"/>
                <w:szCs w:val="16"/>
                <w:lang w:val="tr-TR"/>
              </w:rPr>
            </w:pPr>
          </w:p>
        </w:tc>
        <w:tc>
          <w:tcPr>
            <w:tcW w:w="990" w:type="dxa"/>
            <w:tcBorders>
              <w:left w:val="nil"/>
              <w:bottom w:val="double" w:sz="4" w:space="0" w:color="auto"/>
              <w:right w:val="nil"/>
            </w:tcBorders>
            <w:shd w:val="clear" w:color="auto" w:fill="auto"/>
            <w:noWrap/>
            <w:vAlign w:val="center"/>
          </w:tcPr>
          <w:p w14:paraId="7862A875" w14:textId="77777777" w:rsidR="00F16E72" w:rsidRPr="001A4B94" w:rsidRDefault="00F16E72" w:rsidP="00F16E72">
            <w:pPr>
              <w:jc w:val="right"/>
              <w:rPr>
                <w:sz w:val="16"/>
                <w:szCs w:val="16"/>
                <w:lang w:val="tr-TR"/>
              </w:rPr>
            </w:pPr>
          </w:p>
        </w:tc>
      </w:tr>
      <w:tr w:rsidR="007C4843" w:rsidRPr="001A4B94" w14:paraId="393924B8" w14:textId="77777777" w:rsidTr="007C4843">
        <w:trPr>
          <w:trHeight w:val="285"/>
          <w:jc w:val="center"/>
        </w:trPr>
        <w:tc>
          <w:tcPr>
            <w:tcW w:w="1900" w:type="dxa"/>
            <w:tcBorders>
              <w:top w:val="nil"/>
              <w:left w:val="nil"/>
              <w:bottom w:val="nil"/>
              <w:right w:val="nil"/>
            </w:tcBorders>
            <w:shd w:val="clear" w:color="auto" w:fill="auto"/>
            <w:noWrap/>
            <w:vAlign w:val="bottom"/>
            <w:hideMark/>
          </w:tcPr>
          <w:p w14:paraId="2A4A9D1F" w14:textId="77777777" w:rsidR="007C4843" w:rsidRPr="001A4B94" w:rsidRDefault="007C4843" w:rsidP="00010D71">
            <w:pPr>
              <w:rPr>
                <w:sz w:val="20"/>
                <w:szCs w:val="20"/>
                <w:lang w:val="tr-TR"/>
              </w:rPr>
            </w:pPr>
          </w:p>
        </w:tc>
        <w:tc>
          <w:tcPr>
            <w:tcW w:w="1470" w:type="dxa"/>
            <w:tcBorders>
              <w:top w:val="nil"/>
              <w:left w:val="nil"/>
              <w:bottom w:val="nil"/>
              <w:right w:val="nil"/>
            </w:tcBorders>
            <w:shd w:val="clear" w:color="auto" w:fill="auto"/>
            <w:noWrap/>
            <w:vAlign w:val="bottom"/>
            <w:hideMark/>
          </w:tcPr>
          <w:p w14:paraId="0B7A8854" w14:textId="77777777" w:rsidR="007C4843" w:rsidRPr="001A4B94" w:rsidRDefault="007C4843" w:rsidP="00010D71">
            <w:pPr>
              <w:rPr>
                <w:sz w:val="20"/>
                <w:szCs w:val="20"/>
                <w:lang w:val="tr-TR"/>
              </w:rPr>
            </w:pPr>
          </w:p>
        </w:tc>
        <w:tc>
          <w:tcPr>
            <w:tcW w:w="5804" w:type="dxa"/>
            <w:gridSpan w:val="7"/>
            <w:tcBorders>
              <w:top w:val="double" w:sz="6" w:space="0" w:color="auto"/>
              <w:left w:val="single" w:sz="4" w:space="0" w:color="auto"/>
              <w:bottom w:val="single" w:sz="8" w:space="0" w:color="auto"/>
              <w:right w:val="single" w:sz="4" w:space="0" w:color="000000"/>
            </w:tcBorders>
            <w:shd w:val="clear" w:color="auto" w:fill="auto"/>
            <w:noWrap/>
            <w:vAlign w:val="bottom"/>
            <w:hideMark/>
          </w:tcPr>
          <w:p w14:paraId="76CCBEBA" w14:textId="77777777" w:rsidR="007C4843" w:rsidRPr="001A4B94" w:rsidRDefault="007C4843" w:rsidP="00010D71">
            <w:pPr>
              <w:jc w:val="center"/>
              <w:rPr>
                <w:b/>
                <w:bCs/>
                <w:sz w:val="20"/>
                <w:szCs w:val="20"/>
                <w:lang w:val="tr-TR"/>
              </w:rPr>
            </w:pPr>
            <w:r w:rsidRPr="001A4B94">
              <w:rPr>
                <w:b/>
                <w:bCs/>
                <w:sz w:val="20"/>
                <w:szCs w:val="20"/>
                <w:lang w:val="tr-TR"/>
              </w:rPr>
              <w:t>Taahhüt Edilen</w:t>
            </w:r>
          </w:p>
        </w:tc>
        <w:tc>
          <w:tcPr>
            <w:tcW w:w="5700" w:type="dxa"/>
            <w:gridSpan w:val="7"/>
            <w:tcBorders>
              <w:top w:val="double" w:sz="6" w:space="0" w:color="auto"/>
              <w:left w:val="nil"/>
              <w:bottom w:val="single" w:sz="8" w:space="0" w:color="auto"/>
              <w:right w:val="single" w:sz="4" w:space="0" w:color="000000"/>
            </w:tcBorders>
            <w:shd w:val="clear" w:color="auto" w:fill="auto"/>
            <w:noWrap/>
            <w:vAlign w:val="bottom"/>
            <w:hideMark/>
          </w:tcPr>
          <w:p w14:paraId="27BDD8F6" w14:textId="77777777" w:rsidR="007C4843" w:rsidRPr="001A4B94" w:rsidRDefault="007C4843" w:rsidP="00010D71">
            <w:pPr>
              <w:jc w:val="center"/>
              <w:rPr>
                <w:b/>
                <w:bCs/>
                <w:sz w:val="20"/>
                <w:szCs w:val="20"/>
                <w:lang w:val="tr-TR"/>
              </w:rPr>
            </w:pPr>
            <w:r w:rsidRPr="001A4B94">
              <w:rPr>
                <w:b/>
                <w:bCs/>
                <w:sz w:val="20"/>
                <w:szCs w:val="20"/>
                <w:lang w:val="tr-TR"/>
              </w:rPr>
              <w:t xml:space="preserve">Kullandırılan ve Ödenmemiş </w:t>
            </w:r>
          </w:p>
        </w:tc>
      </w:tr>
      <w:tr w:rsidR="007C4843" w:rsidRPr="001A4B94" w14:paraId="5CC4AFC5" w14:textId="77777777" w:rsidTr="007C4843">
        <w:trPr>
          <w:trHeight w:val="255"/>
          <w:jc w:val="center"/>
        </w:trPr>
        <w:tc>
          <w:tcPr>
            <w:tcW w:w="1900" w:type="dxa"/>
            <w:tcBorders>
              <w:top w:val="single" w:sz="8" w:space="0" w:color="auto"/>
              <w:left w:val="nil"/>
              <w:bottom w:val="nil"/>
              <w:right w:val="nil"/>
            </w:tcBorders>
            <w:shd w:val="clear" w:color="auto" w:fill="auto"/>
            <w:vAlign w:val="center"/>
            <w:hideMark/>
          </w:tcPr>
          <w:p w14:paraId="60426808" w14:textId="77777777" w:rsidR="007C4843" w:rsidRPr="001A4B94" w:rsidRDefault="007C4843" w:rsidP="00010D71">
            <w:pPr>
              <w:rPr>
                <w:b/>
                <w:bCs/>
                <w:sz w:val="16"/>
                <w:szCs w:val="16"/>
                <w:lang w:val="tr-TR"/>
              </w:rPr>
            </w:pPr>
            <w:r w:rsidRPr="001A4B94">
              <w:rPr>
                <w:b/>
                <w:bCs/>
                <w:sz w:val="16"/>
                <w:szCs w:val="16"/>
                <w:lang w:val="tr-TR"/>
              </w:rPr>
              <w:t>Taahhüt</w:t>
            </w:r>
          </w:p>
        </w:tc>
        <w:tc>
          <w:tcPr>
            <w:tcW w:w="1470" w:type="dxa"/>
            <w:tcBorders>
              <w:top w:val="single" w:sz="8" w:space="0" w:color="auto"/>
              <w:left w:val="nil"/>
              <w:bottom w:val="nil"/>
              <w:right w:val="nil"/>
            </w:tcBorders>
            <w:shd w:val="clear" w:color="auto" w:fill="auto"/>
            <w:noWrap/>
            <w:vAlign w:val="center"/>
            <w:hideMark/>
          </w:tcPr>
          <w:p w14:paraId="6E9DD5CB" w14:textId="77777777" w:rsidR="007C4843" w:rsidRPr="001A4B94" w:rsidRDefault="007C4843" w:rsidP="00010D71">
            <w:pPr>
              <w:rPr>
                <w:b/>
                <w:bCs/>
                <w:sz w:val="16"/>
                <w:szCs w:val="16"/>
                <w:lang w:val="tr-TR"/>
              </w:rPr>
            </w:pPr>
            <w:r w:rsidRPr="001A4B94">
              <w:rPr>
                <w:b/>
                <w:bCs/>
                <w:sz w:val="16"/>
                <w:szCs w:val="16"/>
                <w:lang w:val="tr-TR"/>
              </w:rPr>
              <w:t xml:space="preserve">Kurum </w:t>
            </w:r>
          </w:p>
        </w:tc>
        <w:tc>
          <w:tcPr>
            <w:tcW w:w="776" w:type="dxa"/>
            <w:vMerge w:val="restart"/>
            <w:tcBorders>
              <w:top w:val="nil"/>
              <w:left w:val="nil"/>
              <w:bottom w:val="single" w:sz="8" w:space="0" w:color="000000"/>
              <w:right w:val="nil"/>
            </w:tcBorders>
            <w:shd w:val="clear" w:color="auto" w:fill="auto"/>
            <w:noWrap/>
            <w:vAlign w:val="center"/>
            <w:hideMark/>
          </w:tcPr>
          <w:p w14:paraId="381FB340" w14:textId="77777777" w:rsidR="007C4843" w:rsidRPr="001A4B94" w:rsidRDefault="007C4843" w:rsidP="00010D71">
            <w:pPr>
              <w:jc w:val="center"/>
              <w:rPr>
                <w:b/>
                <w:bCs/>
                <w:sz w:val="16"/>
                <w:szCs w:val="16"/>
                <w:lang w:val="tr-TR"/>
              </w:rPr>
            </w:pPr>
            <w:r w:rsidRPr="001A4B94">
              <w:rPr>
                <w:b/>
                <w:bCs/>
                <w:sz w:val="16"/>
                <w:szCs w:val="16"/>
                <w:lang w:val="tr-TR"/>
              </w:rPr>
              <w:t>Kredi</w:t>
            </w:r>
          </w:p>
        </w:tc>
        <w:tc>
          <w:tcPr>
            <w:tcW w:w="812" w:type="dxa"/>
            <w:vMerge w:val="restart"/>
            <w:tcBorders>
              <w:top w:val="nil"/>
              <w:left w:val="nil"/>
              <w:bottom w:val="single" w:sz="8" w:space="0" w:color="000000"/>
              <w:right w:val="nil"/>
            </w:tcBorders>
            <w:shd w:val="clear" w:color="auto" w:fill="auto"/>
            <w:noWrap/>
            <w:vAlign w:val="center"/>
            <w:hideMark/>
          </w:tcPr>
          <w:p w14:paraId="332C644F" w14:textId="77777777" w:rsidR="007C4843" w:rsidRPr="001A4B94" w:rsidRDefault="007C4843" w:rsidP="00010D71">
            <w:pPr>
              <w:jc w:val="center"/>
              <w:rPr>
                <w:b/>
                <w:bCs/>
                <w:sz w:val="16"/>
                <w:szCs w:val="16"/>
                <w:lang w:val="tr-TR"/>
              </w:rPr>
            </w:pPr>
            <w:r w:rsidRPr="001A4B94">
              <w:rPr>
                <w:b/>
                <w:bCs/>
                <w:sz w:val="16"/>
                <w:szCs w:val="16"/>
                <w:lang w:val="tr-TR"/>
              </w:rPr>
              <w:t>Sermaye</w:t>
            </w:r>
          </w:p>
        </w:tc>
        <w:tc>
          <w:tcPr>
            <w:tcW w:w="812" w:type="dxa"/>
            <w:vMerge w:val="restart"/>
            <w:tcBorders>
              <w:top w:val="nil"/>
              <w:left w:val="nil"/>
              <w:bottom w:val="single" w:sz="8" w:space="0" w:color="000000"/>
              <w:right w:val="nil"/>
            </w:tcBorders>
            <w:shd w:val="clear" w:color="auto" w:fill="auto"/>
            <w:vAlign w:val="center"/>
            <w:hideMark/>
          </w:tcPr>
          <w:p w14:paraId="4910FE2B" w14:textId="77777777" w:rsidR="007C4843" w:rsidRPr="001A4B94" w:rsidRDefault="007C4843" w:rsidP="00010D71">
            <w:pPr>
              <w:jc w:val="center"/>
              <w:rPr>
                <w:b/>
                <w:bCs/>
                <w:sz w:val="16"/>
                <w:szCs w:val="16"/>
                <w:lang w:val="tr-TR"/>
              </w:rPr>
            </w:pPr>
            <w:r w:rsidRPr="001A4B94">
              <w:rPr>
                <w:b/>
                <w:bCs/>
                <w:sz w:val="16"/>
                <w:szCs w:val="16"/>
                <w:lang w:val="tr-TR"/>
              </w:rPr>
              <w:t xml:space="preserve">Sermaye Benzeri </w:t>
            </w:r>
          </w:p>
        </w:tc>
        <w:tc>
          <w:tcPr>
            <w:tcW w:w="706" w:type="dxa"/>
            <w:vMerge w:val="restart"/>
            <w:tcBorders>
              <w:top w:val="nil"/>
              <w:left w:val="nil"/>
              <w:bottom w:val="single" w:sz="8" w:space="0" w:color="000000"/>
              <w:right w:val="nil"/>
            </w:tcBorders>
            <w:shd w:val="clear" w:color="auto" w:fill="auto"/>
            <w:noWrap/>
            <w:vAlign w:val="center"/>
            <w:hideMark/>
          </w:tcPr>
          <w:p w14:paraId="2BF39ECD" w14:textId="77777777" w:rsidR="007C4843" w:rsidRPr="001A4B94" w:rsidRDefault="007C4843" w:rsidP="00010D71">
            <w:pPr>
              <w:jc w:val="center"/>
              <w:rPr>
                <w:b/>
                <w:bCs/>
                <w:sz w:val="16"/>
                <w:szCs w:val="16"/>
                <w:lang w:val="tr-TR"/>
              </w:rPr>
            </w:pPr>
            <w:r w:rsidRPr="001A4B94">
              <w:rPr>
                <w:b/>
                <w:bCs/>
                <w:sz w:val="16"/>
                <w:szCs w:val="16"/>
                <w:lang w:val="tr-TR"/>
              </w:rPr>
              <w:t>GT</w:t>
            </w:r>
          </w:p>
        </w:tc>
        <w:tc>
          <w:tcPr>
            <w:tcW w:w="710" w:type="dxa"/>
            <w:vMerge w:val="restart"/>
            <w:tcBorders>
              <w:top w:val="nil"/>
              <w:left w:val="nil"/>
              <w:bottom w:val="single" w:sz="8" w:space="0" w:color="000000"/>
              <w:right w:val="nil"/>
            </w:tcBorders>
            <w:shd w:val="clear" w:color="auto" w:fill="auto"/>
            <w:vAlign w:val="center"/>
            <w:hideMark/>
          </w:tcPr>
          <w:p w14:paraId="3C1FD685" w14:textId="77777777" w:rsidR="007C4843" w:rsidRPr="001A4B94" w:rsidRDefault="007C4843" w:rsidP="00010D71">
            <w:pPr>
              <w:jc w:val="center"/>
              <w:rPr>
                <w:b/>
                <w:bCs/>
                <w:sz w:val="16"/>
                <w:szCs w:val="16"/>
                <w:lang w:val="tr-TR"/>
              </w:rPr>
            </w:pPr>
            <w:r w:rsidRPr="001A4B94">
              <w:rPr>
                <w:b/>
                <w:bCs/>
                <w:sz w:val="16"/>
                <w:szCs w:val="16"/>
                <w:lang w:val="tr-TR"/>
              </w:rPr>
              <w:t>Risk Yön</w:t>
            </w:r>
          </w:p>
        </w:tc>
        <w:tc>
          <w:tcPr>
            <w:tcW w:w="919" w:type="dxa"/>
            <w:vMerge w:val="restart"/>
            <w:tcBorders>
              <w:top w:val="nil"/>
              <w:left w:val="nil"/>
              <w:bottom w:val="single" w:sz="8" w:space="0" w:color="000000"/>
              <w:right w:val="nil"/>
            </w:tcBorders>
            <w:shd w:val="clear" w:color="auto" w:fill="auto"/>
            <w:vAlign w:val="center"/>
            <w:hideMark/>
          </w:tcPr>
          <w:p w14:paraId="2C758110" w14:textId="77777777" w:rsidR="007C4843" w:rsidRPr="001A4B94" w:rsidRDefault="007C4843" w:rsidP="00010D71">
            <w:pPr>
              <w:jc w:val="center"/>
              <w:rPr>
                <w:b/>
                <w:bCs/>
                <w:sz w:val="16"/>
                <w:szCs w:val="16"/>
                <w:lang w:val="tr-TR"/>
              </w:rPr>
            </w:pPr>
            <w:r w:rsidRPr="001A4B94">
              <w:rPr>
                <w:b/>
                <w:bCs/>
                <w:sz w:val="16"/>
                <w:szCs w:val="16"/>
                <w:lang w:val="tr-TR"/>
              </w:rPr>
              <w:t>IFC TOPLAM</w:t>
            </w:r>
          </w:p>
        </w:tc>
        <w:tc>
          <w:tcPr>
            <w:tcW w:w="1069" w:type="dxa"/>
            <w:vMerge w:val="restart"/>
            <w:tcBorders>
              <w:top w:val="nil"/>
              <w:left w:val="nil"/>
              <w:bottom w:val="single" w:sz="8" w:space="0" w:color="000000"/>
              <w:right w:val="nil"/>
            </w:tcBorders>
            <w:shd w:val="clear" w:color="auto" w:fill="auto"/>
            <w:vAlign w:val="center"/>
            <w:hideMark/>
          </w:tcPr>
          <w:p w14:paraId="32E50700" w14:textId="77777777" w:rsidR="007C4843" w:rsidRPr="001A4B94" w:rsidRDefault="007C4843" w:rsidP="00010D71">
            <w:pPr>
              <w:jc w:val="center"/>
              <w:rPr>
                <w:b/>
                <w:bCs/>
                <w:sz w:val="16"/>
                <w:szCs w:val="16"/>
                <w:lang w:val="tr-TR"/>
              </w:rPr>
            </w:pPr>
            <w:r w:rsidRPr="001A4B94">
              <w:rPr>
                <w:b/>
                <w:bCs/>
                <w:sz w:val="16"/>
                <w:szCs w:val="16"/>
                <w:lang w:val="tr-TR"/>
              </w:rPr>
              <w:t>Katılımcı</w:t>
            </w:r>
          </w:p>
        </w:tc>
        <w:tc>
          <w:tcPr>
            <w:tcW w:w="776" w:type="dxa"/>
            <w:vMerge w:val="restart"/>
            <w:tcBorders>
              <w:top w:val="nil"/>
              <w:left w:val="nil"/>
              <w:bottom w:val="single" w:sz="8" w:space="0" w:color="000000"/>
              <w:right w:val="nil"/>
            </w:tcBorders>
            <w:shd w:val="clear" w:color="auto" w:fill="auto"/>
            <w:noWrap/>
            <w:vAlign w:val="center"/>
            <w:hideMark/>
          </w:tcPr>
          <w:p w14:paraId="174A49B8" w14:textId="77777777" w:rsidR="007C4843" w:rsidRPr="001A4B94" w:rsidRDefault="007C4843" w:rsidP="00010D71">
            <w:pPr>
              <w:jc w:val="center"/>
              <w:rPr>
                <w:b/>
                <w:bCs/>
                <w:sz w:val="16"/>
                <w:szCs w:val="16"/>
                <w:lang w:val="tr-TR"/>
              </w:rPr>
            </w:pPr>
            <w:r w:rsidRPr="001A4B94">
              <w:rPr>
                <w:b/>
                <w:bCs/>
                <w:sz w:val="16"/>
                <w:szCs w:val="16"/>
                <w:lang w:val="tr-TR"/>
              </w:rPr>
              <w:t>Kredi</w:t>
            </w:r>
          </w:p>
        </w:tc>
        <w:tc>
          <w:tcPr>
            <w:tcW w:w="812" w:type="dxa"/>
            <w:vMerge w:val="restart"/>
            <w:tcBorders>
              <w:top w:val="nil"/>
              <w:left w:val="nil"/>
              <w:bottom w:val="single" w:sz="8" w:space="0" w:color="000000"/>
              <w:right w:val="nil"/>
            </w:tcBorders>
            <w:shd w:val="clear" w:color="auto" w:fill="auto"/>
            <w:noWrap/>
            <w:vAlign w:val="center"/>
            <w:hideMark/>
          </w:tcPr>
          <w:p w14:paraId="17FACC99" w14:textId="77777777" w:rsidR="007C4843" w:rsidRPr="001A4B94" w:rsidRDefault="007C4843" w:rsidP="00010D71">
            <w:pPr>
              <w:jc w:val="center"/>
              <w:rPr>
                <w:b/>
                <w:bCs/>
                <w:sz w:val="16"/>
                <w:szCs w:val="16"/>
                <w:lang w:val="tr-TR"/>
              </w:rPr>
            </w:pPr>
            <w:r w:rsidRPr="001A4B94">
              <w:rPr>
                <w:b/>
                <w:bCs/>
                <w:sz w:val="16"/>
                <w:szCs w:val="16"/>
                <w:lang w:val="tr-TR"/>
              </w:rPr>
              <w:t>Sermaye</w:t>
            </w:r>
          </w:p>
        </w:tc>
        <w:tc>
          <w:tcPr>
            <w:tcW w:w="812" w:type="dxa"/>
            <w:vMerge w:val="restart"/>
            <w:tcBorders>
              <w:top w:val="nil"/>
              <w:left w:val="nil"/>
              <w:bottom w:val="single" w:sz="8" w:space="0" w:color="000000"/>
              <w:right w:val="nil"/>
            </w:tcBorders>
            <w:shd w:val="clear" w:color="auto" w:fill="auto"/>
            <w:vAlign w:val="center"/>
            <w:hideMark/>
          </w:tcPr>
          <w:p w14:paraId="0B87B844" w14:textId="77777777" w:rsidR="007C4843" w:rsidRPr="001A4B94" w:rsidRDefault="007C4843" w:rsidP="00010D71">
            <w:pPr>
              <w:jc w:val="center"/>
              <w:rPr>
                <w:b/>
                <w:bCs/>
                <w:sz w:val="16"/>
                <w:szCs w:val="16"/>
                <w:lang w:val="tr-TR"/>
              </w:rPr>
            </w:pPr>
            <w:r w:rsidRPr="001A4B94">
              <w:rPr>
                <w:b/>
                <w:bCs/>
                <w:sz w:val="16"/>
                <w:szCs w:val="16"/>
                <w:lang w:val="tr-TR"/>
              </w:rPr>
              <w:t xml:space="preserve">Sermaye Benzeri </w:t>
            </w:r>
          </w:p>
        </w:tc>
        <w:tc>
          <w:tcPr>
            <w:tcW w:w="706" w:type="dxa"/>
            <w:vMerge w:val="restart"/>
            <w:tcBorders>
              <w:top w:val="nil"/>
              <w:left w:val="nil"/>
              <w:bottom w:val="single" w:sz="8" w:space="0" w:color="000000"/>
              <w:right w:val="nil"/>
            </w:tcBorders>
            <w:shd w:val="clear" w:color="auto" w:fill="auto"/>
            <w:vAlign w:val="center"/>
            <w:hideMark/>
          </w:tcPr>
          <w:p w14:paraId="70B4C265" w14:textId="77777777" w:rsidR="007C4843" w:rsidRPr="001A4B94" w:rsidRDefault="007C4843" w:rsidP="00010D71">
            <w:pPr>
              <w:jc w:val="center"/>
              <w:rPr>
                <w:b/>
                <w:bCs/>
                <w:sz w:val="16"/>
                <w:szCs w:val="16"/>
                <w:lang w:val="tr-TR"/>
              </w:rPr>
            </w:pPr>
            <w:r w:rsidRPr="001A4B94">
              <w:rPr>
                <w:b/>
                <w:bCs/>
                <w:sz w:val="16"/>
                <w:szCs w:val="16"/>
                <w:lang w:val="tr-TR"/>
              </w:rPr>
              <w:t>GT</w:t>
            </w:r>
          </w:p>
        </w:tc>
        <w:tc>
          <w:tcPr>
            <w:tcW w:w="685" w:type="dxa"/>
            <w:vMerge w:val="restart"/>
            <w:tcBorders>
              <w:top w:val="nil"/>
              <w:left w:val="nil"/>
              <w:bottom w:val="single" w:sz="8" w:space="0" w:color="000000"/>
              <w:right w:val="nil"/>
            </w:tcBorders>
            <w:shd w:val="clear" w:color="auto" w:fill="auto"/>
            <w:vAlign w:val="center"/>
            <w:hideMark/>
          </w:tcPr>
          <w:p w14:paraId="619297A6" w14:textId="77777777" w:rsidR="007C4843" w:rsidRPr="001A4B94" w:rsidRDefault="007C4843" w:rsidP="00010D71">
            <w:pPr>
              <w:jc w:val="center"/>
              <w:rPr>
                <w:b/>
                <w:bCs/>
                <w:sz w:val="16"/>
                <w:szCs w:val="16"/>
                <w:lang w:val="tr-TR"/>
              </w:rPr>
            </w:pPr>
            <w:r w:rsidRPr="001A4B94">
              <w:rPr>
                <w:b/>
                <w:bCs/>
                <w:sz w:val="16"/>
                <w:szCs w:val="16"/>
                <w:lang w:val="tr-TR"/>
              </w:rPr>
              <w:t>Risk Yön</w:t>
            </w:r>
          </w:p>
        </w:tc>
        <w:tc>
          <w:tcPr>
            <w:tcW w:w="919" w:type="dxa"/>
            <w:vMerge w:val="restart"/>
            <w:tcBorders>
              <w:top w:val="nil"/>
              <w:left w:val="nil"/>
              <w:bottom w:val="single" w:sz="8" w:space="0" w:color="000000"/>
              <w:right w:val="nil"/>
            </w:tcBorders>
            <w:shd w:val="clear" w:color="auto" w:fill="auto"/>
            <w:vAlign w:val="center"/>
            <w:hideMark/>
          </w:tcPr>
          <w:p w14:paraId="4FD097FE" w14:textId="77777777" w:rsidR="007C4843" w:rsidRPr="001A4B94" w:rsidRDefault="007C4843" w:rsidP="00010D71">
            <w:pPr>
              <w:jc w:val="center"/>
              <w:rPr>
                <w:b/>
                <w:bCs/>
                <w:sz w:val="16"/>
                <w:szCs w:val="16"/>
                <w:lang w:val="tr-TR"/>
              </w:rPr>
            </w:pPr>
            <w:r w:rsidRPr="001A4B94">
              <w:rPr>
                <w:b/>
                <w:bCs/>
                <w:sz w:val="16"/>
                <w:szCs w:val="16"/>
                <w:lang w:val="tr-TR"/>
              </w:rPr>
              <w:t>IFC TOPLAM</w:t>
            </w:r>
          </w:p>
        </w:tc>
        <w:tc>
          <w:tcPr>
            <w:tcW w:w="990" w:type="dxa"/>
            <w:vMerge w:val="restart"/>
            <w:tcBorders>
              <w:top w:val="nil"/>
              <w:left w:val="nil"/>
              <w:bottom w:val="single" w:sz="8" w:space="0" w:color="000000"/>
              <w:right w:val="nil"/>
            </w:tcBorders>
            <w:shd w:val="clear" w:color="auto" w:fill="auto"/>
            <w:vAlign w:val="center"/>
            <w:hideMark/>
          </w:tcPr>
          <w:p w14:paraId="1063B934" w14:textId="77777777" w:rsidR="007C4843" w:rsidRPr="001A4B94" w:rsidRDefault="007C4843" w:rsidP="00010D71">
            <w:pPr>
              <w:jc w:val="center"/>
              <w:rPr>
                <w:b/>
                <w:bCs/>
                <w:sz w:val="16"/>
                <w:szCs w:val="16"/>
                <w:lang w:val="tr-TR"/>
              </w:rPr>
            </w:pPr>
            <w:r w:rsidRPr="001A4B94">
              <w:rPr>
                <w:b/>
                <w:bCs/>
                <w:sz w:val="16"/>
                <w:szCs w:val="16"/>
                <w:lang w:val="tr-TR"/>
              </w:rPr>
              <w:t>Katılımcı</w:t>
            </w:r>
          </w:p>
        </w:tc>
      </w:tr>
      <w:tr w:rsidR="007C4843" w:rsidRPr="001A4B94" w14:paraId="2182E82E" w14:textId="77777777" w:rsidTr="007C4843">
        <w:trPr>
          <w:trHeight w:val="270"/>
          <w:jc w:val="center"/>
        </w:trPr>
        <w:tc>
          <w:tcPr>
            <w:tcW w:w="1900" w:type="dxa"/>
            <w:tcBorders>
              <w:top w:val="nil"/>
              <w:left w:val="nil"/>
              <w:bottom w:val="single" w:sz="8" w:space="0" w:color="auto"/>
              <w:right w:val="nil"/>
            </w:tcBorders>
            <w:shd w:val="clear" w:color="auto" w:fill="auto"/>
            <w:vAlign w:val="center"/>
            <w:hideMark/>
          </w:tcPr>
          <w:p w14:paraId="0097F508" w14:textId="77777777" w:rsidR="007C4843" w:rsidRPr="001A4B94" w:rsidRDefault="007C4843" w:rsidP="00010D71">
            <w:pPr>
              <w:rPr>
                <w:b/>
                <w:bCs/>
                <w:sz w:val="16"/>
                <w:szCs w:val="16"/>
                <w:lang w:val="tr-TR"/>
              </w:rPr>
            </w:pPr>
            <w:r w:rsidRPr="001A4B94">
              <w:rPr>
                <w:b/>
                <w:bCs/>
                <w:sz w:val="16"/>
                <w:szCs w:val="16"/>
                <w:lang w:val="tr-TR"/>
              </w:rPr>
              <w:t xml:space="preserve">Mali Yıl </w:t>
            </w:r>
          </w:p>
        </w:tc>
        <w:tc>
          <w:tcPr>
            <w:tcW w:w="1470" w:type="dxa"/>
            <w:tcBorders>
              <w:top w:val="nil"/>
              <w:left w:val="nil"/>
              <w:bottom w:val="single" w:sz="8" w:space="0" w:color="auto"/>
              <w:right w:val="nil"/>
            </w:tcBorders>
            <w:shd w:val="clear" w:color="auto" w:fill="auto"/>
            <w:noWrap/>
            <w:vAlign w:val="center"/>
            <w:hideMark/>
          </w:tcPr>
          <w:p w14:paraId="609FECED" w14:textId="77777777" w:rsidR="007C4843" w:rsidRPr="001A4B94" w:rsidRDefault="007C4843" w:rsidP="00010D71">
            <w:pPr>
              <w:rPr>
                <w:b/>
                <w:bCs/>
                <w:sz w:val="16"/>
                <w:szCs w:val="16"/>
                <w:lang w:val="tr-TR"/>
              </w:rPr>
            </w:pPr>
            <w:r w:rsidRPr="001A4B94">
              <w:rPr>
                <w:b/>
                <w:bCs/>
                <w:sz w:val="16"/>
                <w:szCs w:val="16"/>
                <w:lang w:val="tr-TR"/>
              </w:rPr>
              <w:t>Kısa Adı</w:t>
            </w:r>
          </w:p>
        </w:tc>
        <w:tc>
          <w:tcPr>
            <w:tcW w:w="776" w:type="dxa"/>
            <w:vMerge/>
            <w:tcBorders>
              <w:top w:val="nil"/>
              <w:left w:val="nil"/>
              <w:bottom w:val="single" w:sz="8" w:space="0" w:color="000000"/>
              <w:right w:val="nil"/>
            </w:tcBorders>
            <w:vAlign w:val="center"/>
            <w:hideMark/>
          </w:tcPr>
          <w:p w14:paraId="725122B4" w14:textId="77777777" w:rsidR="007C4843" w:rsidRPr="001A4B94" w:rsidRDefault="007C4843"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2DAD3A32" w14:textId="77777777" w:rsidR="007C4843" w:rsidRPr="001A4B94" w:rsidRDefault="007C4843"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699E4BBB" w14:textId="77777777" w:rsidR="007C4843" w:rsidRPr="001A4B94" w:rsidRDefault="007C4843" w:rsidP="00010D71">
            <w:pPr>
              <w:rPr>
                <w:b/>
                <w:bCs/>
                <w:sz w:val="16"/>
                <w:szCs w:val="16"/>
                <w:lang w:val="tr-TR"/>
              </w:rPr>
            </w:pPr>
          </w:p>
        </w:tc>
        <w:tc>
          <w:tcPr>
            <w:tcW w:w="706" w:type="dxa"/>
            <w:vMerge/>
            <w:tcBorders>
              <w:top w:val="nil"/>
              <w:left w:val="nil"/>
              <w:bottom w:val="single" w:sz="8" w:space="0" w:color="000000"/>
              <w:right w:val="nil"/>
            </w:tcBorders>
            <w:vAlign w:val="center"/>
            <w:hideMark/>
          </w:tcPr>
          <w:p w14:paraId="78CC2E48" w14:textId="77777777" w:rsidR="007C4843" w:rsidRPr="001A4B94" w:rsidRDefault="007C4843" w:rsidP="00010D71">
            <w:pPr>
              <w:rPr>
                <w:b/>
                <w:bCs/>
                <w:sz w:val="16"/>
                <w:szCs w:val="16"/>
                <w:lang w:val="tr-TR"/>
              </w:rPr>
            </w:pPr>
          </w:p>
        </w:tc>
        <w:tc>
          <w:tcPr>
            <w:tcW w:w="710" w:type="dxa"/>
            <w:vMerge/>
            <w:tcBorders>
              <w:top w:val="nil"/>
              <w:left w:val="nil"/>
              <w:bottom w:val="single" w:sz="8" w:space="0" w:color="000000"/>
              <w:right w:val="nil"/>
            </w:tcBorders>
            <w:vAlign w:val="center"/>
            <w:hideMark/>
          </w:tcPr>
          <w:p w14:paraId="4C1868D5" w14:textId="77777777" w:rsidR="007C4843" w:rsidRPr="001A4B94" w:rsidRDefault="007C4843" w:rsidP="00010D71">
            <w:pPr>
              <w:rPr>
                <w:b/>
                <w:bCs/>
                <w:sz w:val="16"/>
                <w:szCs w:val="16"/>
                <w:lang w:val="tr-TR"/>
              </w:rPr>
            </w:pPr>
          </w:p>
        </w:tc>
        <w:tc>
          <w:tcPr>
            <w:tcW w:w="919" w:type="dxa"/>
            <w:vMerge/>
            <w:tcBorders>
              <w:top w:val="nil"/>
              <w:left w:val="nil"/>
              <w:bottom w:val="single" w:sz="8" w:space="0" w:color="000000"/>
              <w:right w:val="nil"/>
            </w:tcBorders>
            <w:vAlign w:val="center"/>
            <w:hideMark/>
          </w:tcPr>
          <w:p w14:paraId="5F7A83C6" w14:textId="77777777" w:rsidR="007C4843" w:rsidRPr="001A4B94" w:rsidRDefault="007C4843" w:rsidP="00010D71">
            <w:pPr>
              <w:rPr>
                <w:b/>
                <w:bCs/>
                <w:sz w:val="16"/>
                <w:szCs w:val="16"/>
                <w:lang w:val="tr-TR"/>
              </w:rPr>
            </w:pPr>
          </w:p>
        </w:tc>
        <w:tc>
          <w:tcPr>
            <w:tcW w:w="1069" w:type="dxa"/>
            <w:vMerge/>
            <w:tcBorders>
              <w:top w:val="nil"/>
              <w:left w:val="nil"/>
              <w:bottom w:val="single" w:sz="8" w:space="0" w:color="000000"/>
              <w:right w:val="nil"/>
            </w:tcBorders>
            <w:vAlign w:val="center"/>
            <w:hideMark/>
          </w:tcPr>
          <w:p w14:paraId="7A1E3F4F" w14:textId="77777777" w:rsidR="007C4843" w:rsidRPr="001A4B94" w:rsidRDefault="007C4843" w:rsidP="00010D71">
            <w:pPr>
              <w:rPr>
                <w:b/>
                <w:bCs/>
                <w:sz w:val="16"/>
                <w:szCs w:val="16"/>
                <w:lang w:val="tr-TR"/>
              </w:rPr>
            </w:pPr>
          </w:p>
        </w:tc>
        <w:tc>
          <w:tcPr>
            <w:tcW w:w="776" w:type="dxa"/>
            <w:vMerge/>
            <w:tcBorders>
              <w:top w:val="nil"/>
              <w:left w:val="nil"/>
              <w:bottom w:val="single" w:sz="8" w:space="0" w:color="000000"/>
              <w:right w:val="nil"/>
            </w:tcBorders>
            <w:vAlign w:val="center"/>
            <w:hideMark/>
          </w:tcPr>
          <w:p w14:paraId="756FA79E" w14:textId="77777777" w:rsidR="007C4843" w:rsidRPr="001A4B94" w:rsidRDefault="007C4843"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577E4438" w14:textId="77777777" w:rsidR="007C4843" w:rsidRPr="001A4B94" w:rsidRDefault="007C4843"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220C00DF" w14:textId="77777777" w:rsidR="007C4843" w:rsidRPr="001A4B94" w:rsidRDefault="007C4843" w:rsidP="00010D71">
            <w:pPr>
              <w:rPr>
                <w:b/>
                <w:bCs/>
                <w:sz w:val="16"/>
                <w:szCs w:val="16"/>
                <w:lang w:val="tr-TR"/>
              </w:rPr>
            </w:pPr>
          </w:p>
        </w:tc>
        <w:tc>
          <w:tcPr>
            <w:tcW w:w="706" w:type="dxa"/>
            <w:vMerge/>
            <w:tcBorders>
              <w:top w:val="nil"/>
              <w:left w:val="nil"/>
              <w:bottom w:val="single" w:sz="8" w:space="0" w:color="000000"/>
              <w:right w:val="nil"/>
            </w:tcBorders>
            <w:vAlign w:val="center"/>
            <w:hideMark/>
          </w:tcPr>
          <w:p w14:paraId="418A2D66" w14:textId="77777777" w:rsidR="007C4843" w:rsidRPr="001A4B94" w:rsidRDefault="007C4843" w:rsidP="00010D71">
            <w:pPr>
              <w:rPr>
                <w:b/>
                <w:bCs/>
                <w:sz w:val="16"/>
                <w:szCs w:val="16"/>
                <w:lang w:val="tr-TR"/>
              </w:rPr>
            </w:pPr>
          </w:p>
        </w:tc>
        <w:tc>
          <w:tcPr>
            <w:tcW w:w="685" w:type="dxa"/>
            <w:vMerge/>
            <w:tcBorders>
              <w:top w:val="nil"/>
              <w:left w:val="nil"/>
              <w:bottom w:val="single" w:sz="8" w:space="0" w:color="000000"/>
              <w:right w:val="nil"/>
            </w:tcBorders>
            <w:vAlign w:val="center"/>
            <w:hideMark/>
          </w:tcPr>
          <w:p w14:paraId="6CFC7958" w14:textId="77777777" w:rsidR="007C4843" w:rsidRPr="001A4B94" w:rsidRDefault="007C4843" w:rsidP="00010D71">
            <w:pPr>
              <w:rPr>
                <w:b/>
                <w:bCs/>
                <w:sz w:val="16"/>
                <w:szCs w:val="16"/>
                <w:lang w:val="tr-TR"/>
              </w:rPr>
            </w:pPr>
          </w:p>
        </w:tc>
        <w:tc>
          <w:tcPr>
            <w:tcW w:w="919" w:type="dxa"/>
            <w:vMerge/>
            <w:tcBorders>
              <w:top w:val="nil"/>
              <w:left w:val="nil"/>
              <w:bottom w:val="single" w:sz="8" w:space="0" w:color="000000"/>
              <w:right w:val="nil"/>
            </w:tcBorders>
            <w:vAlign w:val="center"/>
            <w:hideMark/>
          </w:tcPr>
          <w:p w14:paraId="2CC81643" w14:textId="77777777" w:rsidR="007C4843" w:rsidRPr="001A4B94" w:rsidRDefault="007C4843" w:rsidP="00010D71">
            <w:pPr>
              <w:rPr>
                <w:b/>
                <w:bCs/>
                <w:sz w:val="16"/>
                <w:szCs w:val="16"/>
                <w:lang w:val="tr-TR"/>
              </w:rPr>
            </w:pPr>
          </w:p>
        </w:tc>
        <w:tc>
          <w:tcPr>
            <w:tcW w:w="990" w:type="dxa"/>
            <w:vMerge/>
            <w:tcBorders>
              <w:top w:val="nil"/>
              <w:left w:val="nil"/>
              <w:bottom w:val="single" w:sz="8" w:space="0" w:color="000000"/>
              <w:right w:val="nil"/>
            </w:tcBorders>
            <w:vAlign w:val="center"/>
            <w:hideMark/>
          </w:tcPr>
          <w:p w14:paraId="130AD465" w14:textId="77777777" w:rsidR="007C4843" w:rsidRPr="001A4B94" w:rsidRDefault="007C4843" w:rsidP="00010D71">
            <w:pPr>
              <w:rPr>
                <w:b/>
                <w:bCs/>
                <w:sz w:val="16"/>
                <w:szCs w:val="16"/>
                <w:lang w:val="tr-TR"/>
              </w:rPr>
            </w:pPr>
          </w:p>
        </w:tc>
      </w:tr>
      <w:tr w:rsidR="00F16E72" w:rsidRPr="001A4B94" w14:paraId="1BDF99B9" w14:textId="77777777" w:rsidTr="007C4843">
        <w:trPr>
          <w:trHeight w:val="255"/>
          <w:jc w:val="center"/>
        </w:trPr>
        <w:tc>
          <w:tcPr>
            <w:tcW w:w="1900" w:type="dxa"/>
            <w:tcBorders>
              <w:top w:val="nil"/>
              <w:left w:val="nil"/>
              <w:bottom w:val="nil"/>
              <w:right w:val="nil"/>
            </w:tcBorders>
            <w:shd w:val="clear" w:color="000000" w:fill="FFFFFF"/>
            <w:vAlign w:val="center"/>
            <w:hideMark/>
          </w:tcPr>
          <w:p w14:paraId="6F51B0A9" w14:textId="77777777" w:rsidR="00F16E72" w:rsidRPr="001A4B94" w:rsidRDefault="00F16E72" w:rsidP="00F16E72">
            <w:pPr>
              <w:rPr>
                <w:sz w:val="16"/>
                <w:szCs w:val="16"/>
                <w:lang w:val="tr-TR"/>
              </w:rPr>
            </w:pPr>
            <w:r w:rsidRPr="001A4B94">
              <w:rPr>
                <w:sz w:val="16"/>
                <w:szCs w:val="16"/>
                <w:lang w:val="tr-TR"/>
              </w:rPr>
              <w:t>2002</w:t>
            </w:r>
          </w:p>
        </w:tc>
        <w:tc>
          <w:tcPr>
            <w:tcW w:w="1470" w:type="dxa"/>
            <w:tcBorders>
              <w:top w:val="nil"/>
              <w:left w:val="nil"/>
              <w:bottom w:val="nil"/>
              <w:right w:val="nil"/>
            </w:tcBorders>
            <w:shd w:val="clear" w:color="000000" w:fill="FFFFFF"/>
            <w:noWrap/>
            <w:vAlign w:val="center"/>
            <w:hideMark/>
          </w:tcPr>
          <w:p w14:paraId="2BF32DA5" w14:textId="669E0A5A" w:rsidR="00F16E72" w:rsidRPr="001A4B94" w:rsidRDefault="00F16E72" w:rsidP="00F16E72">
            <w:pPr>
              <w:rPr>
                <w:sz w:val="16"/>
                <w:szCs w:val="16"/>
                <w:lang w:val="tr-TR"/>
              </w:rPr>
            </w:pPr>
            <w:r w:rsidRPr="001A4B94">
              <w:rPr>
                <w:sz w:val="16"/>
                <w:szCs w:val="16"/>
                <w:lang w:val="tr-TR"/>
              </w:rPr>
              <w:t>G</w:t>
            </w:r>
            <w:r w:rsidR="007C4843" w:rsidRPr="001A4B94">
              <w:rPr>
                <w:sz w:val="16"/>
                <w:szCs w:val="16"/>
                <w:lang w:val="tr-TR"/>
              </w:rPr>
              <w:t>ü</w:t>
            </w:r>
            <w:r w:rsidRPr="001A4B94">
              <w:rPr>
                <w:sz w:val="16"/>
                <w:szCs w:val="16"/>
                <w:lang w:val="tr-TR"/>
              </w:rPr>
              <w:t>nkol</w:t>
            </w:r>
          </w:p>
        </w:tc>
        <w:tc>
          <w:tcPr>
            <w:tcW w:w="776" w:type="dxa"/>
            <w:tcBorders>
              <w:top w:val="nil"/>
              <w:left w:val="nil"/>
              <w:bottom w:val="nil"/>
              <w:right w:val="nil"/>
            </w:tcBorders>
            <w:shd w:val="clear" w:color="000000" w:fill="FFFFFF"/>
            <w:noWrap/>
            <w:vAlign w:val="center"/>
            <w:hideMark/>
          </w:tcPr>
          <w:p w14:paraId="2B2ADC4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65222C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80D1DF6" w14:textId="0F59A4A3"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000000" w:fill="FFFFFF"/>
            <w:noWrap/>
            <w:vAlign w:val="center"/>
            <w:hideMark/>
          </w:tcPr>
          <w:p w14:paraId="6A432EE5"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2E6B00CD"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A0A8ABE" w14:textId="117DC01D"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617985CB"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0E0EB6B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584F2A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85EF9BE" w14:textId="4CFAC44F"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000000" w:fill="FFFFFF"/>
            <w:noWrap/>
            <w:vAlign w:val="center"/>
            <w:hideMark/>
          </w:tcPr>
          <w:p w14:paraId="2E9FC385"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421C827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AC5A4BC" w14:textId="6EDC7C4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000000" w:fill="FFFFFF"/>
            <w:noWrap/>
            <w:vAlign w:val="center"/>
            <w:hideMark/>
          </w:tcPr>
          <w:p w14:paraId="6B4D9F27" w14:textId="37298746"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6FC7AD1B" w14:textId="77777777" w:rsidTr="007C4843">
        <w:trPr>
          <w:trHeight w:val="255"/>
          <w:jc w:val="center"/>
        </w:trPr>
        <w:tc>
          <w:tcPr>
            <w:tcW w:w="1900" w:type="dxa"/>
            <w:tcBorders>
              <w:top w:val="nil"/>
              <w:left w:val="nil"/>
              <w:bottom w:val="nil"/>
              <w:right w:val="nil"/>
            </w:tcBorders>
            <w:shd w:val="clear" w:color="auto" w:fill="D9D9D9"/>
            <w:vAlign w:val="center"/>
            <w:hideMark/>
          </w:tcPr>
          <w:p w14:paraId="6C19201A"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auto" w:fill="D9D9D9"/>
            <w:noWrap/>
            <w:vAlign w:val="center"/>
            <w:hideMark/>
          </w:tcPr>
          <w:p w14:paraId="1AF173BE" w14:textId="77777777" w:rsidR="00F16E72" w:rsidRPr="001A4B94" w:rsidRDefault="00F16E72" w:rsidP="00F16E72">
            <w:pPr>
              <w:rPr>
                <w:sz w:val="16"/>
                <w:szCs w:val="16"/>
                <w:lang w:val="tr-TR"/>
              </w:rPr>
            </w:pPr>
            <w:r w:rsidRPr="001A4B94">
              <w:rPr>
                <w:sz w:val="16"/>
                <w:szCs w:val="16"/>
                <w:lang w:val="tr-TR"/>
              </w:rPr>
              <w:t>Hepsiburada.com</w:t>
            </w:r>
          </w:p>
        </w:tc>
        <w:tc>
          <w:tcPr>
            <w:tcW w:w="776" w:type="dxa"/>
            <w:tcBorders>
              <w:top w:val="nil"/>
              <w:left w:val="nil"/>
              <w:bottom w:val="nil"/>
              <w:right w:val="nil"/>
            </w:tcBorders>
            <w:shd w:val="clear" w:color="auto" w:fill="D9D9D9"/>
            <w:noWrap/>
            <w:vAlign w:val="center"/>
            <w:hideMark/>
          </w:tcPr>
          <w:p w14:paraId="3BF201E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E3F2E57" w14:textId="1B5FDBA1"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18</w:t>
            </w:r>
          </w:p>
        </w:tc>
        <w:tc>
          <w:tcPr>
            <w:tcW w:w="812" w:type="dxa"/>
            <w:tcBorders>
              <w:top w:val="nil"/>
              <w:left w:val="nil"/>
              <w:bottom w:val="nil"/>
              <w:right w:val="nil"/>
            </w:tcBorders>
            <w:shd w:val="clear" w:color="auto" w:fill="D9D9D9"/>
            <w:noWrap/>
            <w:vAlign w:val="center"/>
            <w:hideMark/>
          </w:tcPr>
          <w:p w14:paraId="68E1A761"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33DF2408"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1276210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8DE908A" w14:textId="174C4A1A"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18</w:t>
            </w:r>
          </w:p>
        </w:tc>
        <w:tc>
          <w:tcPr>
            <w:tcW w:w="1069" w:type="dxa"/>
            <w:tcBorders>
              <w:top w:val="nil"/>
              <w:left w:val="nil"/>
              <w:bottom w:val="nil"/>
              <w:right w:val="nil"/>
            </w:tcBorders>
            <w:shd w:val="clear" w:color="auto" w:fill="D9D9D9"/>
            <w:noWrap/>
            <w:vAlign w:val="center"/>
            <w:hideMark/>
          </w:tcPr>
          <w:p w14:paraId="6D5BED6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7AAF582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33D5411C" w14:textId="3DAAFABD"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18</w:t>
            </w:r>
          </w:p>
        </w:tc>
        <w:tc>
          <w:tcPr>
            <w:tcW w:w="812" w:type="dxa"/>
            <w:tcBorders>
              <w:top w:val="nil"/>
              <w:left w:val="nil"/>
              <w:bottom w:val="nil"/>
              <w:right w:val="nil"/>
            </w:tcBorders>
            <w:shd w:val="clear" w:color="auto" w:fill="D9D9D9"/>
            <w:noWrap/>
            <w:vAlign w:val="center"/>
            <w:hideMark/>
          </w:tcPr>
          <w:p w14:paraId="172F9588"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17884B64"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62C0EBA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E1D6BF1" w14:textId="40ACAED6"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18</w:t>
            </w:r>
          </w:p>
        </w:tc>
        <w:tc>
          <w:tcPr>
            <w:tcW w:w="990" w:type="dxa"/>
            <w:tcBorders>
              <w:top w:val="nil"/>
              <w:left w:val="nil"/>
              <w:bottom w:val="nil"/>
              <w:right w:val="nil"/>
            </w:tcBorders>
            <w:shd w:val="clear" w:color="auto" w:fill="D9D9D9"/>
            <w:noWrap/>
            <w:vAlign w:val="center"/>
            <w:hideMark/>
          </w:tcPr>
          <w:p w14:paraId="69C2C335" w14:textId="3C72368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7FDF6F4E" w14:textId="77777777" w:rsidTr="007C4843">
        <w:trPr>
          <w:trHeight w:val="255"/>
          <w:jc w:val="center"/>
        </w:trPr>
        <w:tc>
          <w:tcPr>
            <w:tcW w:w="1900" w:type="dxa"/>
            <w:tcBorders>
              <w:top w:val="nil"/>
              <w:left w:val="nil"/>
              <w:bottom w:val="nil"/>
              <w:right w:val="nil"/>
            </w:tcBorders>
            <w:shd w:val="clear" w:color="000000" w:fill="FFFFFF"/>
            <w:vAlign w:val="center"/>
            <w:hideMark/>
          </w:tcPr>
          <w:p w14:paraId="5A48D161" w14:textId="77777777" w:rsidR="00F16E72" w:rsidRPr="001A4B94" w:rsidRDefault="00F16E72" w:rsidP="00F16E72">
            <w:pPr>
              <w:rPr>
                <w:sz w:val="16"/>
                <w:szCs w:val="16"/>
                <w:lang w:val="tr-TR"/>
              </w:rPr>
            </w:pPr>
            <w:r w:rsidRPr="001A4B94">
              <w:rPr>
                <w:sz w:val="16"/>
                <w:szCs w:val="16"/>
                <w:lang w:val="tr-TR"/>
              </w:rPr>
              <w:t>2015/ 2016</w:t>
            </w:r>
          </w:p>
        </w:tc>
        <w:tc>
          <w:tcPr>
            <w:tcW w:w="1470" w:type="dxa"/>
            <w:tcBorders>
              <w:top w:val="nil"/>
              <w:left w:val="nil"/>
              <w:bottom w:val="nil"/>
              <w:right w:val="nil"/>
            </w:tcBorders>
            <w:shd w:val="clear" w:color="000000" w:fill="FFFFFF"/>
            <w:noWrap/>
            <w:vAlign w:val="center"/>
            <w:hideMark/>
          </w:tcPr>
          <w:p w14:paraId="369557B9" w14:textId="77777777" w:rsidR="00F16E72" w:rsidRPr="001A4B94" w:rsidRDefault="00F16E72" w:rsidP="00F16E72">
            <w:pPr>
              <w:rPr>
                <w:sz w:val="16"/>
                <w:szCs w:val="16"/>
                <w:lang w:val="tr-TR"/>
              </w:rPr>
            </w:pPr>
            <w:r w:rsidRPr="001A4B94">
              <w:rPr>
                <w:sz w:val="16"/>
                <w:szCs w:val="16"/>
                <w:lang w:val="tr-TR"/>
              </w:rPr>
              <w:t>Hexagon KA</w:t>
            </w:r>
          </w:p>
        </w:tc>
        <w:tc>
          <w:tcPr>
            <w:tcW w:w="776" w:type="dxa"/>
            <w:tcBorders>
              <w:top w:val="nil"/>
              <w:left w:val="nil"/>
              <w:bottom w:val="nil"/>
              <w:right w:val="nil"/>
            </w:tcBorders>
            <w:shd w:val="clear" w:color="000000" w:fill="FFFFFF"/>
            <w:noWrap/>
            <w:vAlign w:val="center"/>
            <w:hideMark/>
          </w:tcPr>
          <w:p w14:paraId="1A5313C0" w14:textId="5E370EC6" w:rsidR="00F16E72" w:rsidRPr="001A4B94" w:rsidRDefault="00F16E72" w:rsidP="00F16E72">
            <w:pPr>
              <w:jc w:val="right"/>
              <w:rPr>
                <w:sz w:val="16"/>
                <w:szCs w:val="16"/>
                <w:lang w:val="tr-TR"/>
              </w:rPr>
            </w:pPr>
            <w:r w:rsidRPr="001A4B94">
              <w:rPr>
                <w:sz w:val="16"/>
                <w:szCs w:val="16"/>
                <w:lang w:val="tr-TR"/>
              </w:rPr>
              <w:t>50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0029616E" w14:textId="59694C0F" w:rsidR="00F16E72" w:rsidRPr="001A4B94" w:rsidRDefault="00F16E72" w:rsidP="00F16E72">
            <w:pPr>
              <w:jc w:val="right"/>
              <w:rPr>
                <w:sz w:val="16"/>
                <w:szCs w:val="16"/>
                <w:lang w:val="tr-TR"/>
              </w:rPr>
            </w:pPr>
            <w:r w:rsidRPr="001A4B94">
              <w:rPr>
                <w:sz w:val="16"/>
                <w:szCs w:val="16"/>
                <w:lang w:val="tr-TR"/>
              </w:rPr>
              <w:t>20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4E8B60A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4088AAA"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66BC7E5D" w14:textId="510D20C9"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15</w:t>
            </w:r>
          </w:p>
        </w:tc>
        <w:tc>
          <w:tcPr>
            <w:tcW w:w="919" w:type="dxa"/>
            <w:tcBorders>
              <w:top w:val="nil"/>
              <w:left w:val="nil"/>
              <w:bottom w:val="nil"/>
              <w:right w:val="nil"/>
            </w:tcBorders>
            <w:shd w:val="clear" w:color="000000" w:fill="FFFFFF"/>
            <w:noWrap/>
            <w:vAlign w:val="center"/>
            <w:hideMark/>
          </w:tcPr>
          <w:p w14:paraId="6848911F" w14:textId="11B85CDE" w:rsidR="00F16E72" w:rsidRPr="001A4B94" w:rsidRDefault="00F16E72" w:rsidP="00F16E72">
            <w:pPr>
              <w:jc w:val="right"/>
              <w:rPr>
                <w:sz w:val="16"/>
                <w:szCs w:val="16"/>
                <w:lang w:val="tr-TR"/>
              </w:rPr>
            </w:pPr>
            <w:r w:rsidRPr="001A4B94">
              <w:rPr>
                <w:sz w:val="16"/>
                <w:szCs w:val="16"/>
                <w:lang w:val="tr-TR"/>
              </w:rPr>
              <w:t>74</w:t>
            </w:r>
            <w:r w:rsidR="007C4843" w:rsidRPr="001A4B94">
              <w:rPr>
                <w:sz w:val="16"/>
                <w:szCs w:val="16"/>
                <w:lang w:val="tr-TR"/>
              </w:rPr>
              <w:t>,</w:t>
            </w:r>
            <w:r w:rsidRPr="001A4B94">
              <w:rPr>
                <w:sz w:val="16"/>
                <w:szCs w:val="16"/>
                <w:lang w:val="tr-TR"/>
              </w:rPr>
              <w:t>15</w:t>
            </w:r>
          </w:p>
        </w:tc>
        <w:tc>
          <w:tcPr>
            <w:tcW w:w="1069" w:type="dxa"/>
            <w:tcBorders>
              <w:top w:val="nil"/>
              <w:left w:val="nil"/>
              <w:bottom w:val="nil"/>
              <w:right w:val="nil"/>
            </w:tcBorders>
            <w:shd w:val="clear" w:color="000000" w:fill="FFFFFF"/>
            <w:noWrap/>
            <w:vAlign w:val="center"/>
            <w:hideMark/>
          </w:tcPr>
          <w:p w14:paraId="42F43C3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2EB6B750" w14:textId="7A09D139" w:rsidR="00F16E72" w:rsidRPr="001A4B94" w:rsidRDefault="00F16E72" w:rsidP="00F16E72">
            <w:pPr>
              <w:jc w:val="right"/>
              <w:rPr>
                <w:sz w:val="16"/>
                <w:szCs w:val="16"/>
                <w:lang w:val="tr-TR"/>
              </w:rPr>
            </w:pPr>
            <w:r w:rsidRPr="001A4B94">
              <w:rPr>
                <w:sz w:val="16"/>
                <w:szCs w:val="16"/>
                <w:lang w:val="tr-TR"/>
              </w:rPr>
              <w:t>34</w:t>
            </w:r>
            <w:r w:rsidR="007C4843" w:rsidRPr="001A4B94">
              <w:rPr>
                <w:sz w:val="16"/>
                <w:szCs w:val="16"/>
                <w:lang w:val="tr-TR"/>
              </w:rPr>
              <w:t>,</w:t>
            </w:r>
            <w:r w:rsidRPr="001A4B94">
              <w:rPr>
                <w:sz w:val="16"/>
                <w:szCs w:val="16"/>
                <w:lang w:val="tr-TR"/>
              </w:rPr>
              <w:t>14</w:t>
            </w:r>
          </w:p>
        </w:tc>
        <w:tc>
          <w:tcPr>
            <w:tcW w:w="812" w:type="dxa"/>
            <w:tcBorders>
              <w:top w:val="nil"/>
              <w:left w:val="nil"/>
              <w:bottom w:val="nil"/>
              <w:right w:val="nil"/>
            </w:tcBorders>
            <w:shd w:val="clear" w:color="000000" w:fill="FFFFFF"/>
            <w:noWrap/>
            <w:vAlign w:val="center"/>
            <w:hideMark/>
          </w:tcPr>
          <w:p w14:paraId="32A34DC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DEBC3B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8BFA643"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0B5A11F7" w14:textId="20C0E297"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77</w:t>
            </w:r>
          </w:p>
        </w:tc>
        <w:tc>
          <w:tcPr>
            <w:tcW w:w="919" w:type="dxa"/>
            <w:tcBorders>
              <w:top w:val="nil"/>
              <w:left w:val="nil"/>
              <w:bottom w:val="nil"/>
              <w:right w:val="nil"/>
            </w:tcBorders>
            <w:shd w:val="clear" w:color="000000" w:fill="FFFFFF"/>
            <w:noWrap/>
            <w:vAlign w:val="center"/>
            <w:hideMark/>
          </w:tcPr>
          <w:p w14:paraId="196FD7FF" w14:textId="71FA6151" w:rsidR="00F16E72" w:rsidRPr="001A4B94" w:rsidRDefault="00F16E72" w:rsidP="00F16E72">
            <w:pPr>
              <w:jc w:val="right"/>
              <w:rPr>
                <w:sz w:val="16"/>
                <w:szCs w:val="16"/>
                <w:lang w:val="tr-TR"/>
              </w:rPr>
            </w:pPr>
            <w:r w:rsidRPr="001A4B94">
              <w:rPr>
                <w:sz w:val="16"/>
                <w:szCs w:val="16"/>
                <w:lang w:val="tr-TR"/>
              </w:rPr>
              <w:t>34</w:t>
            </w:r>
            <w:r w:rsidR="007C4843" w:rsidRPr="001A4B94">
              <w:rPr>
                <w:sz w:val="16"/>
                <w:szCs w:val="16"/>
                <w:lang w:val="tr-TR"/>
              </w:rPr>
              <w:t>,</w:t>
            </w:r>
            <w:r w:rsidRPr="001A4B94">
              <w:rPr>
                <w:sz w:val="16"/>
                <w:szCs w:val="16"/>
                <w:lang w:val="tr-TR"/>
              </w:rPr>
              <w:t>91</w:t>
            </w:r>
          </w:p>
        </w:tc>
        <w:tc>
          <w:tcPr>
            <w:tcW w:w="990" w:type="dxa"/>
            <w:tcBorders>
              <w:top w:val="nil"/>
              <w:left w:val="nil"/>
              <w:bottom w:val="nil"/>
              <w:right w:val="nil"/>
            </w:tcBorders>
            <w:shd w:val="clear" w:color="000000" w:fill="FFFFFF"/>
            <w:noWrap/>
            <w:vAlign w:val="center"/>
            <w:hideMark/>
          </w:tcPr>
          <w:p w14:paraId="72BE0C01" w14:textId="60A9A07A"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ABFF2E9" w14:textId="77777777" w:rsidTr="007C4843">
        <w:trPr>
          <w:trHeight w:val="255"/>
          <w:jc w:val="center"/>
        </w:trPr>
        <w:tc>
          <w:tcPr>
            <w:tcW w:w="1900" w:type="dxa"/>
            <w:tcBorders>
              <w:top w:val="nil"/>
              <w:left w:val="nil"/>
              <w:bottom w:val="nil"/>
              <w:right w:val="nil"/>
            </w:tcBorders>
            <w:shd w:val="clear" w:color="auto" w:fill="D9D9D9"/>
            <w:vAlign w:val="center"/>
            <w:hideMark/>
          </w:tcPr>
          <w:p w14:paraId="39BE07BC" w14:textId="77777777" w:rsidR="00F16E72" w:rsidRPr="001A4B94" w:rsidRDefault="00F16E72" w:rsidP="00F16E72">
            <w:pPr>
              <w:rPr>
                <w:sz w:val="16"/>
                <w:szCs w:val="16"/>
                <w:lang w:val="tr-TR"/>
              </w:rPr>
            </w:pPr>
            <w:r w:rsidRPr="001A4B94">
              <w:rPr>
                <w:sz w:val="16"/>
                <w:szCs w:val="16"/>
                <w:lang w:val="tr-TR"/>
              </w:rPr>
              <w:t>2009</w:t>
            </w:r>
          </w:p>
        </w:tc>
        <w:tc>
          <w:tcPr>
            <w:tcW w:w="1470" w:type="dxa"/>
            <w:tcBorders>
              <w:top w:val="nil"/>
              <w:left w:val="nil"/>
              <w:bottom w:val="nil"/>
              <w:right w:val="nil"/>
            </w:tcBorders>
            <w:shd w:val="clear" w:color="auto" w:fill="D9D9D9"/>
            <w:noWrap/>
            <w:vAlign w:val="center"/>
            <w:hideMark/>
          </w:tcPr>
          <w:p w14:paraId="4A3B8FA3" w14:textId="787AC0C3" w:rsidR="00F16E72" w:rsidRPr="001A4B94" w:rsidRDefault="007C4843" w:rsidP="00F16E72">
            <w:pPr>
              <w:rPr>
                <w:sz w:val="16"/>
                <w:szCs w:val="16"/>
                <w:lang w:val="tr-TR"/>
              </w:rPr>
            </w:pPr>
            <w:r w:rsidRPr="001A4B94">
              <w:rPr>
                <w:sz w:val="16"/>
                <w:szCs w:val="16"/>
                <w:lang w:val="tr-TR"/>
              </w:rPr>
              <w:t>İ</w:t>
            </w:r>
            <w:r w:rsidR="00F16E72" w:rsidRPr="001A4B94">
              <w:rPr>
                <w:sz w:val="16"/>
                <w:szCs w:val="16"/>
                <w:lang w:val="tr-TR"/>
              </w:rPr>
              <w:t>ZGAZ</w:t>
            </w:r>
          </w:p>
        </w:tc>
        <w:tc>
          <w:tcPr>
            <w:tcW w:w="776" w:type="dxa"/>
            <w:tcBorders>
              <w:top w:val="nil"/>
              <w:left w:val="nil"/>
              <w:bottom w:val="nil"/>
              <w:right w:val="nil"/>
            </w:tcBorders>
            <w:shd w:val="clear" w:color="auto" w:fill="D9D9D9"/>
            <w:noWrap/>
            <w:vAlign w:val="center"/>
            <w:hideMark/>
          </w:tcPr>
          <w:p w14:paraId="6A023FF9" w14:textId="18C4E224"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80</w:t>
            </w:r>
          </w:p>
        </w:tc>
        <w:tc>
          <w:tcPr>
            <w:tcW w:w="812" w:type="dxa"/>
            <w:tcBorders>
              <w:top w:val="nil"/>
              <w:left w:val="nil"/>
              <w:bottom w:val="nil"/>
              <w:right w:val="nil"/>
            </w:tcBorders>
            <w:shd w:val="clear" w:color="auto" w:fill="D9D9D9"/>
            <w:noWrap/>
            <w:vAlign w:val="center"/>
            <w:hideMark/>
          </w:tcPr>
          <w:p w14:paraId="735D128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549D253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2BAA0DE5"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35E3CC4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7F20A192" w14:textId="0E240733"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80</w:t>
            </w:r>
          </w:p>
        </w:tc>
        <w:tc>
          <w:tcPr>
            <w:tcW w:w="1069" w:type="dxa"/>
            <w:tcBorders>
              <w:top w:val="nil"/>
              <w:left w:val="nil"/>
              <w:bottom w:val="nil"/>
              <w:right w:val="nil"/>
            </w:tcBorders>
            <w:shd w:val="clear" w:color="auto" w:fill="D9D9D9"/>
            <w:noWrap/>
            <w:vAlign w:val="center"/>
            <w:hideMark/>
          </w:tcPr>
          <w:p w14:paraId="21E35FD1"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2ADF9F7B" w14:textId="611B245F"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80</w:t>
            </w:r>
          </w:p>
        </w:tc>
        <w:tc>
          <w:tcPr>
            <w:tcW w:w="812" w:type="dxa"/>
            <w:tcBorders>
              <w:top w:val="nil"/>
              <w:left w:val="nil"/>
              <w:bottom w:val="nil"/>
              <w:right w:val="nil"/>
            </w:tcBorders>
            <w:shd w:val="clear" w:color="auto" w:fill="D9D9D9"/>
            <w:noWrap/>
            <w:vAlign w:val="center"/>
            <w:hideMark/>
          </w:tcPr>
          <w:p w14:paraId="5FF6014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7B9B1711"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7D0DC11"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72973970"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2E835F8C" w14:textId="2131C12A"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80</w:t>
            </w:r>
          </w:p>
        </w:tc>
        <w:tc>
          <w:tcPr>
            <w:tcW w:w="990" w:type="dxa"/>
            <w:tcBorders>
              <w:top w:val="nil"/>
              <w:left w:val="nil"/>
              <w:bottom w:val="nil"/>
              <w:right w:val="nil"/>
            </w:tcBorders>
            <w:shd w:val="clear" w:color="auto" w:fill="D9D9D9"/>
            <w:noWrap/>
            <w:vAlign w:val="center"/>
            <w:hideMark/>
          </w:tcPr>
          <w:p w14:paraId="00F53A08" w14:textId="11CBB95F"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29D7CA4D" w14:textId="77777777" w:rsidTr="007C4843">
        <w:trPr>
          <w:trHeight w:val="255"/>
          <w:jc w:val="center"/>
        </w:trPr>
        <w:tc>
          <w:tcPr>
            <w:tcW w:w="1900" w:type="dxa"/>
            <w:tcBorders>
              <w:top w:val="nil"/>
              <w:left w:val="nil"/>
              <w:bottom w:val="nil"/>
              <w:right w:val="nil"/>
            </w:tcBorders>
            <w:shd w:val="clear" w:color="000000" w:fill="FFFFFF"/>
            <w:vAlign w:val="center"/>
            <w:hideMark/>
          </w:tcPr>
          <w:p w14:paraId="10D6C2B8" w14:textId="77777777" w:rsidR="00F16E72" w:rsidRPr="001A4B94" w:rsidRDefault="00F16E72" w:rsidP="00F16E72">
            <w:pPr>
              <w:rPr>
                <w:sz w:val="16"/>
                <w:szCs w:val="16"/>
                <w:lang w:val="tr-TR"/>
              </w:rPr>
            </w:pPr>
            <w:r w:rsidRPr="001A4B94">
              <w:rPr>
                <w:sz w:val="16"/>
                <w:szCs w:val="16"/>
                <w:lang w:val="tr-TR"/>
              </w:rPr>
              <w:t>2013</w:t>
            </w:r>
          </w:p>
        </w:tc>
        <w:tc>
          <w:tcPr>
            <w:tcW w:w="1470" w:type="dxa"/>
            <w:tcBorders>
              <w:top w:val="nil"/>
              <w:left w:val="nil"/>
              <w:bottom w:val="nil"/>
              <w:right w:val="nil"/>
            </w:tcBorders>
            <w:shd w:val="clear" w:color="000000" w:fill="FFFFFF"/>
            <w:noWrap/>
            <w:vAlign w:val="center"/>
            <w:hideMark/>
          </w:tcPr>
          <w:p w14:paraId="19F8C544" w14:textId="3754A872" w:rsidR="00F16E72" w:rsidRPr="001A4B94" w:rsidRDefault="007C4843" w:rsidP="00F16E72">
            <w:pPr>
              <w:rPr>
                <w:sz w:val="16"/>
                <w:szCs w:val="16"/>
                <w:lang w:val="tr-TR"/>
              </w:rPr>
            </w:pPr>
            <w:r w:rsidRPr="001A4B94">
              <w:rPr>
                <w:sz w:val="16"/>
                <w:szCs w:val="16"/>
                <w:lang w:val="tr-TR"/>
              </w:rPr>
              <w:t>İş</w:t>
            </w:r>
            <w:r w:rsidR="00F16E72" w:rsidRPr="001A4B94">
              <w:rPr>
                <w:sz w:val="16"/>
                <w:szCs w:val="16"/>
                <w:lang w:val="tr-TR"/>
              </w:rPr>
              <w:t>Leasing</w:t>
            </w:r>
          </w:p>
        </w:tc>
        <w:tc>
          <w:tcPr>
            <w:tcW w:w="776" w:type="dxa"/>
            <w:tcBorders>
              <w:top w:val="nil"/>
              <w:left w:val="nil"/>
              <w:bottom w:val="nil"/>
              <w:right w:val="nil"/>
            </w:tcBorders>
            <w:shd w:val="clear" w:color="000000" w:fill="FFFFFF"/>
            <w:noWrap/>
            <w:vAlign w:val="center"/>
            <w:hideMark/>
          </w:tcPr>
          <w:p w14:paraId="77B492EC" w14:textId="5BB9A72D" w:rsidR="00F16E72" w:rsidRPr="001A4B94" w:rsidRDefault="00F16E72" w:rsidP="00F16E72">
            <w:pPr>
              <w:jc w:val="right"/>
              <w:rPr>
                <w:sz w:val="16"/>
                <w:szCs w:val="16"/>
                <w:lang w:val="tr-TR"/>
              </w:rPr>
            </w:pPr>
            <w:r w:rsidRPr="001A4B94">
              <w:rPr>
                <w:sz w:val="16"/>
                <w:szCs w:val="16"/>
                <w:lang w:val="tr-TR"/>
              </w:rPr>
              <w:t>10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6575640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38BBAA8"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284B5DF"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3841E2A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2A04AA7" w14:textId="07D9F9BA" w:rsidR="00F16E72" w:rsidRPr="001A4B94" w:rsidRDefault="00F16E72" w:rsidP="00F16E72">
            <w:pPr>
              <w:jc w:val="right"/>
              <w:rPr>
                <w:sz w:val="16"/>
                <w:szCs w:val="16"/>
                <w:lang w:val="tr-TR"/>
              </w:rPr>
            </w:pPr>
            <w:r w:rsidRPr="001A4B94">
              <w:rPr>
                <w:sz w:val="16"/>
                <w:szCs w:val="16"/>
                <w:lang w:val="tr-TR"/>
              </w:rPr>
              <w:t>10</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6A5CC56D"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040EE1DC" w14:textId="5AAEDC04" w:rsidR="00F16E72" w:rsidRPr="001A4B94" w:rsidRDefault="00F16E72" w:rsidP="00F16E72">
            <w:pPr>
              <w:jc w:val="right"/>
              <w:rPr>
                <w:sz w:val="16"/>
                <w:szCs w:val="16"/>
                <w:lang w:val="tr-TR"/>
              </w:rPr>
            </w:pPr>
            <w:r w:rsidRPr="001A4B94">
              <w:rPr>
                <w:sz w:val="16"/>
                <w:szCs w:val="16"/>
                <w:lang w:val="tr-TR"/>
              </w:rPr>
              <w:t>10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49FB60A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BB8D00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C12383A"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3203B0B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29EECF7" w14:textId="5F33815D" w:rsidR="00F16E72" w:rsidRPr="001A4B94" w:rsidRDefault="00F16E72" w:rsidP="00F16E72">
            <w:pPr>
              <w:jc w:val="right"/>
              <w:rPr>
                <w:sz w:val="16"/>
                <w:szCs w:val="16"/>
                <w:lang w:val="tr-TR"/>
              </w:rPr>
            </w:pPr>
            <w:r w:rsidRPr="001A4B94">
              <w:rPr>
                <w:sz w:val="16"/>
                <w:szCs w:val="16"/>
                <w:lang w:val="tr-TR"/>
              </w:rPr>
              <w:t>10</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000000" w:fill="FFFFFF"/>
            <w:noWrap/>
            <w:vAlign w:val="center"/>
            <w:hideMark/>
          </w:tcPr>
          <w:p w14:paraId="35F59812" w14:textId="73C1D57B"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D4371AA" w14:textId="77777777" w:rsidTr="007C4843">
        <w:trPr>
          <w:trHeight w:val="255"/>
          <w:jc w:val="center"/>
        </w:trPr>
        <w:tc>
          <w:tcPr>
            <w:tcW w:w="1900" w:type="dxa"/>
            <w:tcBorders>
              <w:top w:val="nil"/>
              <w:left w:val="nil"/>
              <w:bottom w:val="nil"/>
              <w:right w:val="nil"/>
            </w:tcBorders>
            <w:shd w:val="clear" w:color="auto" w:fill="D9D9D9"/>
            <w:vAlign w:val="center"/>
            <w:hideMark/>
          </w:tcPr>
          <w:p w14:paraId="5678A4B1" w14:textId="77777777" w:rsidR="00F16E72" w:rsidRPr="001A4B94" w:rsidRDefault="00F16E72" w:rsidP="00F16E72">
            <w:pPr>
              <w:rPr>
                <w:sz w:val="16"/>
                <w:szCs w:val="16"/>
                <w:lang w:val="tr-TR"/>
              </w:rPr>
            </w:pPr>
            <w:r w:rsidRPr="001A4B94">
              <w:rPr>
                <w:sz w:val="16"/>
                <w:szCs w:val="16"/>
                <w:lang w:val="tr-TR"/>
              </w:rPr>
              <w:t>2009/ 2016</w:t>
            </w:r>
          </w:p>
        </w:tc>
        <w:tc>
          <w:tcPr>
            <w:tcW w:w="1470" w:type="dxa"/>
            <w:tcBorders>
              <w:top w:val="nil"/>
              <w:left w:val="nil"/>
              <w:bottom w:val="nil"/>
              <w:right w:val="nil"/>
            </w:tcBorders>
            <w:shd w:val="clear" w:color="auto" w:fill="D9D9D9"/>
            <w:noWrap/>
            <w:vAlign w:val="center"/>
            <w:hideMark/>
          </w:tcPr>
          <w:p w14:paraId="6D530765" w14:textId="73B038CE" w:rsidR="00F16E72" w:rsidRPr="001A4B94" w:rsidRDefault="007C4843" w:rsidP="00F16E72">
            <w:pPr>
              <w:rPr>
                <w:sz w:val="16"/>
                <w:szCs w:val="16"/>
                <w:lang w:val="tr-TR"/>
              </w:rPr>
            </w:pPr>
            <w:r w:rsidRPr="001A4B94">
              <w:rPr>
                <w:sz w:val="16"/>
                <w:szCs w:val="16"/>
                <w:lang w:val="tr-TR"/>
              </w:rPr>
              <w:t>İ</w:t>
            </w:r>
            <w:r w:rsidR="00F16E72" w:rsidRPr="001A4B94">
              <w:rPr>
                <w:sz w:val="16"/>
                <w:szCs w:val="16"/>
                <w:lang w:val="tr-TR"/>
              </w:rPr>
              <w:t xml:space="preserve">stanbul </w:t>
            </w:r>
            <w:r w:rsidRPr="001A4B94">
              <w:rPr>
                <w:sz w:val="16"/>
                <w:szCs w:val="16"/>
                <w:lang w:val="tr-TR"/>
              </w:rPr>
              <w:t>BB</w:t>
            </w:r>
          </w:p>
        </w:tc>
        <w:tc>
          <w:tcPr>
            <w:tcW w:w="776" w:type="dxa"/>
            <w:tcBorders>
              <w:top w:val="nil"/>
              <w:left w:val="nil"/>
              <w:bottom w:val="nil"/>
              <w:right w:val="nil"/>
            </w:tcBorders>
            <w:shd w:val="clear" w:color="auto" w:fill="D9D9D9"/>
            <w:noWrap/>
            <w:vAlign w:val="center"/>
            <w:hideMark/>
          </w:tcPr>
          <w:p w14:paraId="254F9984" w14:textId="067EFEBD" w:rsidR="00F16E72" w:rsidRPr="001A4B94" w:rsidRDefault="00F16E72" w:rsidP="00F16E72">
            <w:pPr>
              <w:jc w:val="right"/>
              <w:rPr>
                <w:sz w:val="16"/>
                <w:szCs w:val="16"/>
                <w:lang w:val="tr-TR"/>
              </w:rPr>
            </w:pPr>
            <w:r w:rsidRPr="001A4B94">
              <w:rPr>
                <w:sz w:val="16"/>
                <w:szCs w:val="16"/>
                <w:lang w:val="tr-TR"/>
              </w:rPr>
              <w:t>75</w:t>
            </w:r>
            <w:r w:rsidR="007C4843" w:rsidRPr="001A4B94">
              <w:rPr>
                <w:sz w:val="16"/>
                <w:szCs w:val="16"/>
                <w:lang w:val="tr-TR"/>
              </w:rPr>
              <w:t>,</w:t>
            </w:r>
            <w:r w:rsidRPr="001A4B94">
              <w:rPr>
                <w:sz w:val="16"/>
                <w:szCs w:val="16"/>
                <w:lang w:val="tr-TR"/>
              </w:rPr>
              <w:t>91</w:t>
            </w:r>
          </w:p>
        </w:tc>
        <w:tc>
          <w:tcPr>
            <w:tcW w:w="812" w:type="dxa"/>
            <w:tcBorders>
              <w:top w:val="nil"/>
              <w:left w:val="nil"/>
              <w:bottom w:val="nil"/>
              <w:right w:val="nil"/>
            </w:tcBorders>
            <w:shd w:val="clear" w:color="auto" w:fill="D9D9D9"/>
            <w:noWrap/>
            <w:vAlign w:val="center"/>
            <w:hideMark/>
          </w:tcPr>
          <w:p w14:paraId="79C11F1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0D3844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D86BBF6"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44E5A53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900BE12" w14:textId="6CB1310A" w:rsidR="00F16E72" w:rsidRPr="001A4B94" w:rsidRDefault="00F16E72" w:rsidP="00F16E72">
            <w:pPr>
              <w:jc w:val="right"/>
              <w:rPr>
                <w:sz w:val="16"/>
                <w:szCs w:val="16"/>
                <w:lang w:val="tr-TR"/>
              </w:rPr>
            </w:pPr>
            <w:r w:rsidRPr="001A4B94">
              <w:rPr>
                <w:sz w:val="16"/>
                <w:szCs w:val="16"/>
                <w:lang w:val="tr-TR"/>
              </w:rPr>
              <w:t>75</w:t>
            </w:r>
            <w:r w:rsidR="007C4843" w:rsidRPr="001A4B94">
              <w:rPr>
                <w:sz w:val="16"/>
                <w:szCs w:val="16"/>
                <w:lang w:val="tr-TR"/>
              </w:rPr>
              <w:t>,</w:t>
            </w:r>
            <w:r w:rsidRPr="001A4B94">
              <w:rPr>
                <w:sz w:val="16"/>
                <w:szCs w:val="16"/>
                <w:lang w:val="tr-TR"/>
              </w:rPr>
              <w:t>91</w:t>
            </w:r>
          </w:p>
        </w:tc>
        <w:tc>
          <w:tcPr>
            <w:tcW w:w="1069" w:type="dxa"/>
            <w:tcBorders>
              <w:top w:val="nil"/>
              <w:left w:val="nil"/>
              <w:bottom w:val="nil"/>
              <w:right w:val="nil"/>
            </w:tcBorders>
            <w:shd w:val="clear" w:color="auto" w:fill="D9D9D9"/>
            <w:noWrap/>
            <w:vAlign w:val="center"/>
            <w:hideMark/>
          </w:tcPr>
          <w:p w14:paraId="6C88991F" w14:textId="4CC2C90F" w:rsidR="00F16E72" w:rsidRPr="001A4B94" w:rsidRDefault="00F16E72" w:rsidP="00F16E72">
            <w:pPr>
              <w:jc w:val="right"/>
              <w:rPr>
                <w:sz w:val="16"/>
                <w:szCs w:val="16"/>
                <w:lang w:val="tr-TR"/>
              </w:rPr>
            </w:pPr>
            <w:r w:rsidRPr="001A4B94">
              <w:rPr>
                <w:sz w:val="16"/>
                <w:szCs w:val="16"/>
                <w:lang w:val="tr-TR"/>
              </w:rPr>
              <w:t>57</w:t>
            </w:r>
            <w:r w:rsidR="007C4843" w:rsidRPr="001A4B94">
              <w:rPr>
                <w:sz w:val="16"/>
                <w:szCs w:val="16"/>
                <w:lang w:val="tr-TR"/>
              </w:rPr>
              <w:t>,</w:t>
            </w:r>
            <w:r w:rsidRPr="001A4B94">
              <w:rPr>
                <w:sz w:val="16"/>
                <w:szCs w:val="16"/>
                <w:lang w:val="tr-TR"/>
              </w:rPr>
              <w:t>01</w:t>
            </w:r>
          </w:p>
        </w:tc>
        <w:tc>
          <w:tcPr>
            <w:tcW w:w="776" w:type="dxa"/>
            <w:tcBorders>
              <w:top w:val="nil"/>
              <w:left w:val="nil"/>
              <w:bottom w:val="nil"/>
              <w:right w:val="nil"/>
            </w:tcBorders>
            <w:shd w:val="clear" w:color="auto" w:fill="D9D9D9"/>
            <w:noWrap/>
            <w:vAlign w:val="center"/>
            <w:hideMark/>
          </w:tcPr>
          <w:p w14:paraId="4F671945" w14:textId="384E26AB" w:rsidR="00F16E72" w:rsidRPr="001A4B94" w:rsidRDefault="00F16E72" w:rsidP="00F16E72">
            <w:pPr>
              <w:jc w:val="right"/>
              <w:rPr>
                <w:sz w:val="16"/>
                <w:szCs w:val="16"/>
                <w:lang w:val="tr-TR"/>
              </w:rPr>
            </w:pPr>
            <w:r w:rsidRPr="001A4B94">
              <w:rPr>
                <w:sz w:val="16"/>
                <w:szCs w:val="16"/>
                <w:lang w:val="tr-TR"/>
              </w:rPr>
              <w:t>32</w:t>
            </w:r>
            <w:r w:rsidR="007C4843" w:rsidRPr="001A4B94">
              <w:rPr>
                <w:sz w:val="16"/>
                <w:szCs w:val="16"/>
                <w:lang w:val="tr-TR"/>
              </w:rPr>
              <w:t>,</w:t>
            </w:r>
            <w:r w:rsidRPr="001A4B94">
              <w:rPr>
                <w:sz w:val="16"/>
                <w:szCs w:val="16"/>
                <w:lang w:val="tr-TR"/>
              </w:rPr>
              <w:t>96</w:t>
            </w:r>
          </w:p>
        </w:tc>
        <w:tc>
          <w:tcPr>
            <w:tcW w:w="812" w:type="dxa"/>
            <w:tcBorders>
              <w:top w:val="nil"/>
              <w:left w:val="nil"/>
              <w:bottom w:val="nil"/>
              <w:right w:val="nil"/>
            </w:tcBorders>
            <w:shd w:val="clear" w:color="auto" w:fill="D9D9D9"/>
            <w:noWrap/>
            <w:vAlign w:val="center"/>
            <w:hideMark/>
          </w:tcPr>
          <w:p w14:paraId="4141523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1FB11BF"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17E48E1A"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362C3A6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9C8C89F" w14:textId="6C4CBF69" w:rsidR="00F16E72" w:rsidRPr="001A4B94" w:rsidRDefault="00F16E72" w:rsidP="00F16E72">
            <w:pPr>
              <w:jc w:val="right"/>
              <w:rPr>
                <w:sz w:val="16"/>
                <w:szCs w:val="16"/>
                <w:lang w:val="tr-TR"/>
              </w:rPr>
            </w:pPr>
            <w:r w:rsidRPr="001A4B94">
              <w:rPr>
                <w:sz w:val="16"/>
                <w:szCs w:val="16"/>
                <w:lang w:val="tr-TR"/>
              </w:rPr>
              <w:t>32</w:t>
            </w:r>
            <w:r w:rsidR="007C4843" w:rsidRPr="001A4B94">
              <w:rPr>
                <w:sz w:val="16"/>
                <w:szCs w:val="16"/>
                <w:lang w:val="tr-TR"/>
              </w:rPr>
              <w:t>,</w:t>
            </w:r>
            <w:r w:rsidRPr="001A4B94">
              <w:rPr>
                <w:sz w:val="16"/>
                <w:szCs w:val="16"/>
                <w:lang w:val="tr-TR"/>
              </w:rPr>
              <w:t>96</w:t>
            </w:r>
          </w:p>
        </w:tc>
        <w:tc>
          <w:tcPr>
            <w:tcW w:w="990" w:type="dxa"/>
            <w:tcBorders>
              <w:top w:val="nil"/>
              <w:left w:val="nil"/>
              <w:bottom w:val="nil"/>
              <w:right w:val="nil"/>
            </w:tcBorders>
            <w:shd w:val="clear" w:color="auto" w:fill="D9D9D9"/>
            <w:noWrap/>
            <w:vAlign w:val="center"/>
            <w:hideMark/>
          </w:tcPr>
          <w:p w14:paraId="06C561BE" w14:textId="6AE848CE" w:rsidR="00F16E72" w:rsidRPr="001A4B94" w:rsidRDefault="00F16E72" w:rsidP="00F16E72">
            <w:pPr>
              <w:jc w:val="right"/>
              <w:rPr>
                <w:sz w:val="16"/>
                <w:szCs w:val="16"/>
                <w:lang w:val="tr-TR"/>
              </w:rPr>
            </w:pPr>
            <w:r w:rsidRPr="001A4B94">
              <w:rPr>
                <w:sz w:val="16"/>
                <w:szCs w:val="16"/>
                <w:lang w:val="tr-TR"/>
              </w:rPr>
              <w:t>21</w:t>
            </w:r>
            <w:r w:rsidR="007C4843" w:rsidRPr="001A4B94">
              <w:rPr>
                <w:sz w:val="16"/>
                <w:szCs w:val="16"/>
                <w:lang w:val="tr-TR"/>
              </w:rPr>
              <w:t>,</w:t>
            </w:r>
            <w:r w:rsidRPr="001A4B94">
              <w:rPr>
                <w:sz w:val="16"/>
                <w:szCs w:val="16"/>
                <w:lang w:val="tr-TR"/>
              </w:rPr>
              <w:t>23</w:t>
            </w:r>
          </w:p>
        </w:tc>
      </w:tr>
      <w:tr w:rsidR="00F16E72" w:rsidRPr="001A4B94" w14:paraId="490247D2" w14:textId="77777777" w:rsidTr="007C4843">
        <w:trPr>
          <w:trHeight w:val="255"/>
          <w:jc w:val="center"/>
        </w:trPr>
        <w:tc>
          <w:tcPr>
            <w:tcW w:w="1900" w:type="dxa"/>
            <w:tcBorders>
              <w:top w:val="nil"/>
              <w:left w:val="nil"/>
              <w:bottom w:val="nil"/>
              <w:right w:val="nil"/>
            </w:tcBorders>
            <w:shd w:val="clear" w:color="000000" w:fill="FFFFFF"/>
            <w:vAlign w:val="center"/>
            <w:hideMark/>
          </w:tcPr>
          <w:p w14:paraId="7F6C7712" w14:textId="77777777" w:rsidR="00F16E72" w:rsidRPr="001A4B94" w:rsidRDefault="00F16E72" w:rsidP="00F16E72">
            <w:pPr>
              <w:rPr>
                <w:sz w:val="16"/>
                <w:szCs w:val="16"/>
                <w:lang w:val="tr-TR"/>
              </w:rPr>
            </w:pPr>
            <w:r w:rsidRPr="001A4B94">
              <w:rPr>
                <w:sz w:val="16"/>
                <w:szCs w:val="16"/>
                <w:lang w:val="tr-TR"/>
              </w:rPr>
              <w:t>2017/ 2015</w:t>
            </w:r>
          </w:p>
        </w:tc>
        <w:tc>
          <w:tcPr>
            <w:tcW w:w="1470" w:type="dxa"/>
            <w:tcBorders>
              <w:top w:val="nil"/>
              <w:left w:val="nil"/>
              <w:bottom w:val="nil"/>
              <w:right w:val="nil"/>
            </w:tcBorders>
            <w:shd w:val="clear" w:color="000000" w:fill="FFFFFF"/>
            <w:noWrap/>
            <w:vAlign w:val="center"/>
            <w:hideMark/>
          </w:tcPr>
          <w:p w14:paraId="7F20F874" w14:textId="77777777" w:rsidR="00F16E72" w:rsidRPr="001A4B94" w:rsidRDefault="00F16E72" w:rsidP="00F16E72">
            <w:pPr>
              <w:rPr>
                <w:sz w:val="16"/>
                <w:szCs w:val="16"/>
                <w:lang w:val="tr-TR"/>
              </w:rPr>
            </w:pPr>
            <w:r w:rsidRPr="001A4B94">
              <w:rPr>
                <w:sz w:val="16"/>
                <w:szCs w:val="16"/>
                <w:lang w:val="tr-TR"/>
              </w:rPr>
              <w:t>Iyzico</w:t>
            </w:r>
          </w:p>
        </w:tc>
        <w:tc>
          <w:tcPr>
            <w:tcW w:w="776" w:type="dxa"/>
            <w:tcBorders>
              <w:top w:val="nil"/>
              <w:left w:val="nil"/>
              <w:bottom w:val="nil"/>
              <w:right w:val="nil"/>
            </w:tcBorders>
            <w:shd w:val="clear" w:color="000000" w:fill="FFFFFF"/>
            <w:noWrap/>
            <w:vAlign w:val="center"/>
            <w:hideMark/>
          </w:tcPr>
          <w:p w14:paraId="2EE8715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651633D" w14:textId="1DCFB3F0"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86</w:t>
            </w:r>
          </w:p>
        </w:tc>
        <w:tc>
          <w:tcPr>
            <w:tcW w:w="812" w:type="dxa"/>
            <w:tcBorders>
              <w:top w:val="nil"/>
              <w:left w:val="nil"/>
              <w:bottom w:val="nil"/>
              <w:right w:val="nil"/>
            </w:tcBorders>
            <w:shd w:val="clear" w:color="000000" w:fill="FFFFFF"/>
            <w:noWrap/>
            <w:vAlign w:val="center"/>
            <w:hideMark/>
          </w:tcPr>
          <w:p w14:paraId="1B58D0F6"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95530E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1440F47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1AEF5312" w14:textId="03CE7B77"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86</w:t>
            </w:r>
          </w:p>
        </w:tc>
        <w:tc>
          <w:tcPr>
            <w:tcW w:w="1069" w:type="dxa"/>
            <w:tcBorders>
              <w:top w:val="nil"/>
              <w:left w:val="nil"/>
              <w:bottom w:val="nil"/>
              <w:right w:val="nil"/>
            </w:tcBorders>
            <w:shd w:val="clear" w:color="000000" w:fill="FFFFFF"/>
            <w:noWrap/>
            <w:vAlign w:val="center"/>
            <w:hideMark/>
          </w:tcPr>
          <w:p w14:paraId="6A52AB35"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007F100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595EAF4" w14:textId="2FEFB157"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86</w:t>
            </w:r>
          </w:p>
        </w:tc>
        <w:tc>
          <w:tcPr>
            <w:tcW w:w="812" w:type="dxa"/>
            <w:tcBorders>
              <w:top w:val="nil"/>
              <w:left w:val="nil"/>
              <w:bottom w:val="nil"/>
              <w:right w:val="nil"/>
            </w:tcBorders>
            <w:shd w:val="clear" w:color="000000" w:fill="FFFFFF"/>
            <w:noWrap/>
            <w:vAlign w:val="center"/>
            <w:hideMark/>
          </w:tcPr>
          <w:p w14:paraId="03635E66"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629202C"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42C4012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746D0A19" w14:textId="737DD26D"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86</w:t>
            </w:r>
          </w:p>
        </w:tc>
        <w:tc>
          <w:tcPr>
            <w:tcW w:w="990" w:type="dxa"/>
            <w:tcBorders>
              <w:top w:val="nil"/>
              <w:left w:val="nil"/>
              <w:bottom w:val="nil"/>
              <w:right w:val="nil"/>
            </w:tcBorders>
            <w:shd w:val="clear" w:color="000000" w:fill="FFFFFF"/>
            <w:noWrap/>
            <w:vAlign w:val="center"/>
            <w:hideMark/>
          </w:tcPr>
          <w:p w14:paraId="162949D6" w14:textId="0FF7853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05B7E7B8" w14:textId="77777777" w:rsidTr="007C4843">
        <w:trPr>
          <w:trHeight w:val="255"/>
          <w:jc w:val="center"/>
        </w:trPr>
        <w:tc>
          <w:tcPr>
            <w:tcW w:w="1900" w:type="dxa"/>
            <w:tcBorders>
              <w:top w:val="nil"/>
              <w:left w:val="nil"/>
              <w:bottom w:val="nil"/>
              <w:right w:val="nil"/>
            </w:tcBorders>
            <w:shd w:val="clear" w:color="auto" w:fill="D9D9D9"/>
            <w:vAlign w:val="center"/>
            <w:hideMark/>
          </w:tcPr>
          <w:p w14:paraId="778A1C27" w14:textId="77777777" w:rsidR="00F16E72" w:rsidRPr="001A4B94" w:rsidRDefault="00F16E72" w:rsidP="00F16E72">
            <w:pPr>
              <w:rPr>
                <w:sz w:val="16"/>
                <w:szCs w:val="16"/>
                <w:lang w:val="tr-TR"/>
              </w:rPr>
            </w:pPr>
            <w:r w:rsidRPr="001A4B94">
              <w:rPr>
                <w:sz w:val="16"/>
                <w:szCs w:val="16"/>
                <w:lang w:val="tr-TR"/>
              </w:rPr>
              <w:t>2013/ 2014/ 2015</w:t>
            </w:r>
          </w:p>
        </w:tc>
        <w:tc>
          <w:tcPr>
            <w:tcW w:w="1470" w:type="dxa"/>
            <w:tcBorders>
              <w:top w:val="nil"/>
              <w:left w:val="nil"/>
              <w:bottom w:val="nil"/>
              <w:right w:val="nil"/>
            </w:tcBorders>
            <w:shd w:val="clear" w:color="auto" w:fill="D9D9D9"/>
            <w:noWrap/>
            <w:vAlign w:val="center"/>
            <w:hideMark/>
          </w:tcPr>
          <w:p w14:paraId="0866EE58" w14:textId="65E89C30" w:rsidR="00F16E72" w:rsidRPr="001A4B94" w:rsidRDefault="007C4843" w:rsidP="00F16E72">
            <w:pPr>
              <w:rPr>
                <w:sz w:val="16"/>
                <w:szCs w:val="16"/>
                <w:lang w:val="tr-TR"/>
              </w:rPr>
            </w:pPr>
            <w:r w:rsidRPr="001A4B94">
              <w:rPr>
                <w:sz w:val="16"/>
                <w:szCs w:val="16"/>
                <w:lang w:val="tr-TR"/>
              </w:rPr>
              <w:t>İzmir BB</w:t>
            </w:r>
          </w:p>
        </w:tc>
        <w:tc>
          <w:tcPr>
            <w:tcW w:w="776" w:type="dxa"/>
            <w:tcBorders>
              <w:top w:val="nil"/>
              <w:left w:val="nil"/>
              <w:bottom w:val="nil"/>
              <w:right w:val="nil"/>
            </w:tcBorders>
            <w:shd w:val="clear" w:color="auto" w:fill="D9D9D9"/>
            <w:noWrap/>
            <w:vAlign w:val="center"/>
            <w:hideMark/>
          </w:tcPr>
          <w:p w14:paraId="6FD26847" w14:textId="00B75912" w:rsidR="00F16E72" w:rsidRPr="001A4B94" w:rsidRDefault="00F16E72" w:rsidP="00F16E72">
            <w:pPr>
              <w:jc w:val="right"/>
              <w:rPr>
                <w:sz w:val="16"/>
                <w:szCs w:val="16"/>
                <w:lang w:val="tr-TR"/>
              </w:rPr>
            </w:pPr>
            <w:r w:rsidRPr="001A4B94">
              <w:rPr>
                <w:sz w:val="16"/>
                <w:szCs w:val="16"/>
                <w:lang w:val="tr-TR"/>
              </w:rPr>
              <w:t>117</w:t>
            </w:r>
            <w:r w:rsidR="007C4843" w:rsidRPr="001A4B94">
              <w:rPr>
                <w:sz w:val="16"/>
                <w:szCs w:val="16"/>
                <w:lang w:val="tr-TR"/>
              </w:rPr>
              <w:t>,</w:t>
            </w:r>
            <w:r w:rsidRPr="001A4B94">
              <w:rPr>
                <w:sz w:val="16"/>
                <w:szCs w:val="16"/>
                <w:lang w:val="tr-TR"/>
              </w:rPr>
              <w:t>35</w:t>
            </w:r>
          </w:p>
        </w:tc>
        <w:tc>
          <w:tcPr>
            <w:tcW w:w="812" w:type="dxa"/>
            <w:tcBorders>
              <w:top w:val="nil"/>
              <w:left w:val="nil"/>
              <w:bottom w:val="nil"/>
              <w:right w:val="nil"/>
            </w:tcBorders>
            <w:shd w:val="clear" w:color="auto" w:fill="D9D9D9"/>
            <w:noWrap/>
            <w:vAlign w:val="center"/>
            <w:hideMark/>
          </w:tcPr>
          <w:p w14:paraId="75F7627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E89D7B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7926130C"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44B5A5B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7A2A510" w14:textId="0C2B7D5D" w:rsidR="00F16E72" w:rsidRPr="001A4B94" w:rsidRDefault="00F16E72" w:rsidP="00F16E72">
            <w:pPr>
              <w:jc w:val="right"/>
              <w:rPr>
                <w:sz w:val="16"/>
                <w:szCs w:val="16"/>
                <w:lang w:val="tr-TR"/>
              </w:rPr>
            </w:pPr>
            <w:r w:rsidRPr="001A4B94">
              <w:rPr>
                <w:sz w:val="16"/>
                <w:szCs w:val="16"/>
                <w:lang w:val="tr-TR"/>
              </w:rPr>
              <w:t>117</w:t>
            </w:r>
            <w:r w:rsidR="007C4843" w:rsidRPr="001A4B94">
              <w:rPr>
                <w:sz w:val="16"/>
                <w:szCs w:val="16"/>
                <w:lang w:val="tr-TR"/>
              </w:rPr>
              <w:t>,</w:t>
            </w:r>
            <w:r w:rsidRPr="001A4B94">
              <w:rPr>
                <w:sz w:val="16"/>
                <w:szCs w:val="16"/>
                <w:lang w:val="tr-TR"/>
              </w:rPr>
              <w:t>35</w:t>
            </w:r>
          </w:p>
        </w:tc>
        <w:tc>
          <w:tcPr>
            <w:tcW w:w="1069" w:type="dxa"/>
            <w:tcBorders>
              <w:top w:val="nil"/>
              <w:left w:val="nil"/>
              <w:bottom w:val="nil"/>
              <w:right w:val="nil"/>
            </w:tcBorders>
            <w:shd w:val="clear" w:color="auto" w:fill="D9D9D9"/>
            <w:noWrap/>
            <w:vAlign w:val="center"/>
            <w:hideMark/>
          </w:tcPr>
          <w:p w14:paraId="05A312E9"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C191BAE" w14:textId="543D69C2" w:rsidR="00F16E72" w:rsidRPr="001A4B94" w:rsidRDefault="00F16E72" w:rsidP="00F16E72">
            <w:pPr>
              <w:jc w:val="right"/>
              <w:rPr>
                <w:sz w:val="16"/>
                <w:szCs w:val="16"/>
                <w:lang w:val="tr-TR"/>
              </w:rPr>
            </w:pPr>
            <w:r w:rsidRPr="001A4B94">
              <w:rPr>
                <w:sz w:val="16"/>
                <w:szCs w:val="16"/>
                <w:lang w:val="tr-TR"/>
              </w:rPr>
              <w:t>77</w:t>
            </w:r>
            <w:r w:rsidR="007C4843" w:rsidRPr="001A4B94">
              <w:rPr>
                <w:sz w:val="16"/>
                <w:szCs w:val="16"/>
                <w:lang w:val="tr-TR"/>
              </w:rPr>
              <w:t>,</w:t>
            </w:r>
            <w:r w:rsidRPr="001A4B94">
              <w:rPr>
                <w:sz w:val="16"/>
                <w:szCs w:val="16"/>
                <w:lang w:val="tr-TR"/>
              </w:rPr>
              <w:t>44</w:t>
            </w:r>
          </w:p>
        </w:tc>
        <w:tc>
          <w:tcPr>
            <w:tcW w:w="812" w:type="dxa"/>
            <w:tcBorders>
              <w:top w:val="nil"/>
              <w:left w:val="nil"/>
              <w:bottom w:val="nil"/>
              <w:right w:val="nil"/>
            </w:tcBorders>
            <w:shd w:val="clear" w:color="auto" w:fill="D9D9D9"/>
            <w:noWrap/>
            <w:vAlign w:val="center"/>
            <w:hideMark/>
          </w:tcPr>
          <w:p w14:paraId="4A47D467"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0AC465D"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2C143A8C"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1F16E1C1"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4BDF7B3C" w14:textId="03C1E5FB" w:rsidR="00F16E72" w:rsidRPr="001A4B94" w:rsidRDefault="00F16E72" w:rsidP="00F16E72">
            <w:pPr>
              <w:jc w:val="right"/>
              <w:rPr>
                <w:sz w:val="16"/>
                <w:szCs w:val="16"/>
                <w:lang w:val="tr-TR"/>
              </w:rPr>
            </w:pPr>
            <w:r w:rsidRPr="001A4B94">
              <w:rPr>
                <w:sz w:val="16"/>
                <w:szCs w:val="16"/>
                <w:lang w:val="tr-TR"/>
              </w:rPr>
              <w:t>77</w:t>
            </w:r>
            <w:r w:rsidR="007C4843" w:rsidRPr="001A4B94">
              <w:rPr>
                <w:sz w:val="16"/>
                <w:szCs w:val="16"/>
                <w:lang w:val="tr-TR"/>
              </w:rPr>
              <w:t>,</w:t>
            </w:r>
            <w:r w:rsidRPr="001A4B94">
              <w:rPr>
                <w:sz w:val="16"/>
                <w:szCs w:val="16"/>
                <w:lang w:val="tr-TR"/>
              </w:rPr>
              <w:t>44</w:t>
            </w:r>
          </w:p>
        </w:tc>
        <w:tc>
          <w:tcPr>
            <w:tcW w:w="990" w:type="dxa"/>
            <w:tcBorders>
              <w:top w:val="nil"/>
              <w:left w:val="nil"/>
              <w:bottom w:val="nil"/>
              <w:right w:val="nil"/>
            </w:tcBorders>
            <w:shd w:val="clear" w:color="auto" w:fill="D9D9D9"/>
            <w:noWrap/>
            <w:vAlign w:val="center"/>
            <w:hideMark/>
          </w:tcPr>
          <w:p w14:paraId="578789A2" w14:textId="69D17419"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7190C99C" w14:textId="77777777" w:rsidTr="007C4843">
        <w:trPr>
          <w:trHeight w:val="255"/>
          <w:jc w:val="center"/>
        </w:trPr>
        <w:tc>
          <w:tcPr>
            <w:tcW w:w="1900" w:type="dxa"/>
            <w:tcBorders>
              <w:top w:val="nil"/>
              <w:left w:val="nil"/>
              <w:bottom w:val="nil"/>
              <w:right w:val="nil"/>
            </w:tcBorders>
            <w:shd w:val="clear" w:color="000000" w:fill="FFFFFF"/>
            <w:vAlign w:val="center"/>
            <w:hideMark/>
          </w:tcPr>
          <w:p w14:paraId="7B41257A" w14:textId="77777777" w:rsidR="00F16E72" w:rsidRPr="001A4B94" w:rsidRDefault="00F16E72" w:rsidP="00F16E72">
            <w:pPr>
              <w:rPr>
                <w:sz w:val="16"/>
                <w:szCs w:val="16"/>
                <w:lang w:val="tr-TR"/>
              </w:rPr>
            </w:pPr>
            <w:r w:rsidRPr="001A4B94">
              <w:rPr>
                <w:sz w:val="16"/>
                <w:szCs w:val="16"/>
                <w:lang w:val="tr-TR"/>
              </w:rPr>
              <w:t>2013/ 2015</w:t>
            </w:r>
          </w:p>
        </w:tc>
        <w:tc>
          <w:tcPr>
            <w:tcW w:w="1470" w:type="dxa"/>
            <w:tcBorders>
              <w:top w:val="nil"/>
              <w:left w:val="nil"/>
              <w:bottom w:val="nil"/>
              <w:right w:val="nil"/>
            </w:tcBorders>
            <w:shd w:val="clear" w:color="000000" w:fill="FFFFFF"/>
            <w:noWrap/>
            <w:vAlign w:val="center"/>
            <w:hideMark/>
          </w:tcPr>
          <w:p w14:paraId="0D47BCE6" w14:textId="48462C18" w:rsidR="00F16E72" w:rsidRPr="001A4B94" w:rsidRDefault="007C4843" w:rsidP="00F16E72">
            <w:pPr>
              <w:rPr>
                <w:sz w:val="16"/>
                <w:szCs w:val="16"/>
                <w:lang w:val="tr-TR"/>
              </w:rPr>
            </w:pPr>
            <w:r w:rsidRPr="001A4B94">
              <w:rPr>
                <w:sz w:val="16"/>
                <w:szCs w:val="16"/>
                <w:lang w:val="tr-TR"/>
              </w:rPr>
              <w:t>İ</w:t>
            </w:r>
            <w:r w:rsidR="00F16E72" w:rsidRPr="001A4B94">
              <w:rPr>
                <w:sz w:val="16"/>
                <w:szCs w:val="16"/>
                <w:lang w:val="tr-TR"/>
              </w:rPr>
              <w:t>zsu</w:t>
            </w:r>
          </w:p>
        </w:tc>
        <w:tc>
          <w:tcPr>
            <w:tcW w:w="776" w:type="dxa"/>
            <w:tcBorders>
              <w:top w:val="nil"/>
              <w:left w:val="nil"/>
              <w:bottom w:val="nil"/>
              <w:right w:val="nil"/>
            </w:tcBorders>
            <w:shd w:val="clear" w:color="000000" w:fill="FFFFFF"/>
            <w:noWrap/>
            <w:vAlign w:val="center"/>
            <w:hideMark/>
          </w:tcPr>
          <w:p w14:paraId="14267589" w14:textId="2D18A1CD" w:rsidR="00F16E72" w:rsidRPr="001A4B94" w:rsidRDefault="00F16E72" w:rsidP="00F16E72">
            <w:pPr>
              <w:jc w:val="right"/>
              <w:rPr>
                <w:sz w:val="16"/>
                <w:szCs w:val="16"/>
                <w:lang w:val="tr-TR"/>
              </w:rPr>
            </w:pPr>
            <w:r w:rsidRPr="001A4B94">
              <w:rPr>
                <w:sz w:val="16"/>
                <w:szCs w:val="16"/>
                <w:lang w:val="tr-TR"/>
              </w:rPr>
              <w:t>38</w:t>
            </w:r>
            <w:r w:rsidR="007C4843" w:rsidRPr="001A4B94">
              <w:rPr>
                <w:sz w:val="16"/>
                <w:szCs w:val="16"/>
                <w:lang w:val="tr-TR"/>
              </w:rPr>
              <w:t>,</w:t>
            </w:r>
            <w:r w:rsidRPr="001A4B94">
              <w:rPr>
                <w:sz w:val="16"/>
                <w:szCs w:val="16"/>
                <w:lang w:val="tr-TR"/>
              </w:rPr>
              <w:t>06</w:t>
            </w:r>
          </w:p>
        </w:tc>
        <w:tc>
          <w:tcPr>
            <w:tcW w:w="812" w:type="dxa"/>
            <w:tcBorders>
              <w:top w:val="nil"/>
              <w:left w:val="nil"/>
              <w:bottom w:val="nil"/>
              <w:right w:val="nil"/>
            </w:tcBorders>
            <w:shd w:val="clear" w:color="000000" w:fill="FFFFFF"/>
            <w:noWrap/>
            <w:vAlign w:val="center"/>
            <w:hideMark/>
          </w:tcPr>
          <w:p w14:paraId="2277C22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760A45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18D8AB5"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2E0EE0D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0BD4CD49" w14:textId="262E545C" w:rsidR="00F16E72" w:rsidRPr="001A4B94" w:rsidRDefault="00F16E72" w:rsidP="00F16E72">
            <w:pPr>
              <w:jc w:val="right"/>
              <w:rPr>
                <w:sz w:val="16"/>
                <w:szCs w:val="16"/>
                <w:lang w:val="tr-TR"/>
              </w:rPr>
            </w:pPr>
            <w:r w:rsidRPr="001A4B94">
              <w:rPr>
                <w:sz w:val="16"/>
                <w:szCs w:val="16"/>
                <w:lang w:val="tr-TR"/>
              </w:rPr>
              <w:t>38</w:t>
            </w:r>
            <w:r w:rsidR="007C4843" w:rsidRPr="001A4B94">
              <w:rPr>
                <w:sz w:val="16"/>
                <w:szCs w:val="16"/>
                <w:lang w:val="tr-TR"/>
              </w:rPr>
              <w:t>,</w:t>
            </w:r>
            <w:r w:rsidRPr="001A4B94">
              <w:rPr>
                <w:sz w:val="16"/>
                <w:szCs w:val="16"/>
                <w:lang w:val="tr-TR"/>
              </w:rPr>
              <w:t>06</w:t>
            </w:r>
          </w:p>
        </w:tc>
        <w:tc>
          <w:tcPr>
            <w:tcW w:w="1069" w:type="dxa"/>
            <w:tcBorders>
              <w:top w:val="nil"/>
              <w:left w:val="nil"/>
              <w:bottom w:val="nil"/>
              <w:right w:val="nil"/>
            </w:tcBorders>
            <w:shd w:val="clear" w:color="000000" w:fill="FFFFFF"/>
            <w:noWrap/>
            <w:vAlign w:val="center"/>
            <w:hideMark/>
          </w:tcPr>
          <w:p w14:paraId="7DD43070"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505322BF" w14:textId="3F3AEAF7" w:rsidR="00F16E72" w:rsidRPr="001A4B94" w:rsidRDefault="00F16E72" w:rsidP="00F16E72">
            <w:pPr>
              <w:jc w:val="right"/>
              <w:rPr>
                <w:sz w:val="16"/>
                <w:szCs w:val="16"/>
                <w:lang w:val="tr-TR"/>
              </w:rPr>
            </w:pPr>
            <w:r w:rsidRPr="001A4B94">
              <w:rPr>
                <w:sz w:val="16"/>
                <w:szCs w:val="16"/>
                <w:lang w:val="tr-TR"/>
              </w:rPr>
              <w:t>37</w:t>
            </w:r>
            <w:r w:rsidR="007C4843" w:rsidRPr="001A4B94">
              <w:rPr>
                <w:sz w:val="16"/>
                <w:szCs w:val="16"/>
                <w:lang w:val="tr-TR"/>
              </w:rPr>
              <w:t>,</w:t>
            </w:r>
            <w:r w:rsidRPr="001A4B94">
              <w:rPr>
                <w:sz w:val="16"/>
                <w:szCs w:val="16"/>
                <w:lang w:val="tr-TR"/>
              </w:rPr>
              <w:t>43</w:t>
            </w:r>
          </w:p>
        </w:tc>
        <w:tc>
          <w:tcPr>
            <w:tcW w:w="812" w:type="dxa"/>
            <w:tcBorders>
              <w:top w:val="nil"/>
              <w:left w:val="nil"/>
              <w:bottom w:val="nil"/>
              <w:right w:val="nil"/>
            </w:tcBorders>
            <w:shd w:val="clear" w:color="000000" w:fill="FFFFFF"/>
            <w:noWrap/>
            <w:vAlign w:val="center"/>
            <w:hideMark/>
          </w:tcPr>
          <w:p w14:paraId="2068EAC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7402C12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28B81915"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39A70B7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87020C9" w14:textId="1C373F8B" w:rsidR="00F16E72" w:rsidRPr="001A4B94" w:rsidRDefault="00F16E72" w:rsidP="00F16E72">
            <w:pPr>
              <w:jc w:val="right"/>
              <w:rPr>
                <w:sz w:val="16"/>
                <w:szCs w:val="16"/>
                <w:lang w:val="tr-TR"/>
              </w:rPr>
            </w:pPr>
            <w:r w:rsidRPr="001A4B94">
              <w:rPr>
                <w:sz w:val="16"/>
                <w:szCs w:val="16"/>
                <w:lang w:val="tr-TR"/>
              </w:rPr>
              <w:t>37</w:t>
            </w:r>
            <w:r w:rsidR="007C4843" w:rsidRPr="001A4B94">
              <w:rPr>
                <w:sz w:val="16"/>
                <w:szCs w:val="16"/>
                <w:lang w:val="tr-TR"/>
              </w:rPr>
              <w:t>,</w:t>
            </w:r>
            <w:r w:rsidRPr="001A4B94">
              <w:rPr>
                <w:sz w:val="16"/>
                <w:szCs w:val="16"/>
                <w:lang w:val="tr-TR"/>
              </w:rPr>
              <w:t>43</w:t>
            </w:r>
          </w:p>
        </w:tc>
        <w:tc>
          <w:tcPr>
            <w:tcW w:w="990" w:type="dxa"/>
            <w:tcBorders>
              <w:top w:val="nil"/>
              <w:left w:val="nil"/>
              <w:bottom w:val="nil"/>
              <w:right w:val="nil"/>
            </w:tcBorders>
            <w:shd w:val="clear" w:color="000000" w:fill="FFFFFF"/>
            <w:noWrap/>
            <w:vAlign w:val="center"/>
            <w:hideMark/>
          </w:tcPr>
          <w:p w14:paraId="60A69436" w14:textId="632DDA0A"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10A5501A" w14:textId="77777777" w:rsidTr="007C4843">
        <w:trPr>
          <w:trHeight w:val="255"/>
          <w:jc w:val="center"/>
        </w:trPr>
        <w:tc>
          <w:tcPr>
            <w:tcW w:w="1900" w:type="dxa"/>
            <w:tcBorders>
              <w:top w:val="nil"/>
              <w:left w:val="nil"/>
              <w:bottom w:val="nil"/>
              <w:right w:val="nil"/>
            </w:tcBorders>
            <w:shd w:val="clear" w:color="auto" w:fill="D9D9D9"/>
            <w:vAlign w:val="center"/>
            <w:hideMark/>
          </w:tcPr>
          <w:p w14:paraId="5A935863"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auto" w:fill="D9D9D9"/>
            <w:noWrap/>
            <w:vAlign w:val="center"/>
            <w:hideMark/>
          </w:tcPr>
          <w:p w14:paraId="61B2AB66" w14:textId="17725919" w:rsidR="00F16E72" w:rsidRPr="001A4B94" w:rsidRDefault="00F16E72" w:rsidP="00F16E72">
            <w:pPr>
              <w:rPr>
                <w:sz w:val="16"/>
                <w:szCs w:val="16"/>
                <w:lang w:val="tr-TR"/>
              </w:rPr>
            </w:pPr>
            <w:r w:rsidRPr="001A4B94">
              <w:rPr>
                <w:sz w:val="16"/>
                <w:szCs w:val="16"/>
                <w:lang w:val="tr-TR"/>
              </w:rPr>
              <w:t xml:space="preserve">Kayseri </w:t>
            </w:r>
            <w:r w:rsidR="007C4843" w:rsidRPr="001A4B94">
              <w:rPr>
                <w:sz w:val="16"/>
                <w:szCs w:val="16"/>
                <w:lang w:val="tr-TR"/>
              </w:rPr>
              <w:t xml:space="preserve">Sağlık </w:t>
            </w:r>
          </w:p>
        </w:tc>
        <w:tc>
          <w:tcPr>
            <w:tcW w:w="776" w:type="dxa"/>
            <w:tcBorders>
              <w:top w:val="nil"/>
              <w:left w:val="nil"/>
              <w:bottom w:val="nil"/>
              <w:right w:val="nil"/>
            </w:tcBorders>
            <w:shd w:val="clear" w:color="auto" w:fill="D9D9D9"/>
            <w:noWrap/>
            <w:vAlign w:val="center"/>
            <w:hideMark/>
          </w:tcPr>
          <w:p w14:paraId="1E66554D" w14:textId="72FE4A47" w:rsidR="00F16E72" w:rsidRPr="001A4B94" w:rsidRDefault="00F16E72" w:rsidP="00F16E72">
            <w:pPr>
              <w:jc w:val="right"/>
              <w:rPr>
                <w:sz w:val="16"/>
                <w:szCs w:val="16"/>
                <w:lang w:val="tr-TR"/>
              </w:rPr>
            </w:pPr>
            <w:r w:rsidRPr="001A4B94">
              <w:rPr>
                <w:sz w:val="16"/>
                <w:szCs w:val="16"/>
                <w:lang w:val="tr-TR"/>
              </w:rPr>
              <w:t>39</w:t>
            </w:r>
            <w:r w:rsidR="007C4843" w:rsidRPr="001A4B94">
              <w:rPr>
                <w:sz w:val="16"/>
                <w:szCs w:val="16"/>
                <w:lang w:val="tr-TR"/>
              </w:rPr>
              <w:t>,</w:t>
            </w:r>
            <w:r w:rsidRPr="001A4B94">
              <w:rPr>
                <w:sz w:val="16"/>
                <w:szCs w:val="16"/>
                <w:lang w:val="tr-TR"/>
              </w:rPr>
              <w:t>91</w:t>
            </w:r>
          </w:p>
        </w:tc>
        <w:tc>
          <w:tcPr>
            <w:tcW w:w="812" w:type="dxa"/>
            <w:tcBorders>
              <w:top w:val="nil"/>
              <w:left w:val="nil"/>
              <w:bottom w:val="nil"/>
              <w:right w:val="nil"/>
            </w:tcBorders>
            <w:shd w:val="clear" w:color="auto" w:fill="D9D9D9"/>
            <w:noWrap/>
            <w:vAlign w:val="center"/>
            <w:hideMark/>
          </w:tcPr>
          <w:p w14:paraId="56E33E5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6DC7C5B"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339B9197"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722D2239" w14:textId="2E42FC0B"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54</w:t>
            </w:r>
          </w:p>
        </w:tc>
        <w:tc>
          <w:tcPr>
            <w:tcW w:w="919" w:type="dxa"/>
            <w:tcBorders>
              <w:top w:val="nil"/>
              <w:left w:val="nil"/>
              <w:bottom w:val="nil"/>
              <w:right w:val="nil"/>
            </w:tcBorders>
            <w:shd w:val="clear" w:color="auto" w:fill="D9D9D9"/>
            <w:noWrap/>
            <w:vAlign w:val="center"/>
            <w:hideMark/>
          </w:tcPr>
          <w:p w14:paraId="4886D2C7" w14:textId="60B28521" w:rsidR="00F16E72" w:rsidRPr="001A4B94" w:rsidRDefault="00F16E72" w:rsidP="00F16E72">
            <w:pPr>
              <w:jc w:val="right"/>
              <w:rPr>
                <w:sz w:val="16"/>
                <w:szCs w:val="16"/>
                <w:lang w:val="tr-TR"/>
              </w:rPr>
            </w:pPr>
            <w:r w:rsidRPr="001A4B94">
              <w:rPr>
                <w:sz w:val="16"/>
                <w:szCs w:val="16"/>
                <w:lang w:val="tr-TR"/>
              </w:rPr>
              <w:t>43</w:t>
            </w:r>
            <w:r w:rsidR="007C4843" w:rsidRPr="001A4B94">
              <w:rPr>
                <w:sz w:val="16"/>
                <w:szCs w:val="16"/>
                <w:lang w:val="tr-TR"/>
              </w:rPr>
              <w:t>,</w:t>
            </w:r>
            <w:r w:rsidRPr="001A4B94">
              <w:rPr>
                <w:sz w:val="16"/>
                <w:szCs w:val="16"/>
                <w:lang w:val="tr-TR"/>
              </w:rPr>
              <w:t>45</w:t>
            </w:r>
          </w:p>
        </w:tc>
        <w:tc>
          <w:tcPr>
            <w:tcW w:w="1069" w:type="dxa"/>
            <w:tcBorders>
              <w:top w:val="nil"/>
              <w:left w:val="nil"/>
              <w:bottom w:val="nil"/>
              <w:right w:val="nil"/>
            </w:tcBorders>
            <w:shd w:val="clear" w:color="auto" w:fill="D9D9D9"/>
            <w:noWrap/>
            <w:vAlign w:val="center"/>
            <w:hideMark/>
          </w:tcPr>
          <w:p w14:paraId="7750EFAF"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77081324" w14:textId="09881286" w:rsidR="00F16E72" w:rsidRPr="001A4B94" w:rsidRDefault="00F16E72" w:rsidP="00F16E72">
            <w:pPr>
              <w:jc w:val="right"/>
              <w:rPr>
                <w:sz w:val="16"/>
                <w:szCs w:val="16"/>
                <w:lang w:val="tr-TR"/>
              </w:rPr>
            </w:pPr>
            <w:r w:rsidRPr="001A4B94">
              <w:rPr>
                <w:sz w:val="16"/>
                <w:szCs w:val="16"/>
                <w:lang w:val="tr-TR"/>
              </w:rPr>
              <w:t>27</w:t>
            </w:r>
            <w:r w:rsidR="007C4843" w:rsidRPr="001A4B94">
              <w:rPr>
                <w:sz w:val="16"/>
                <w:szCs w:val="16"/>
                <w:lang w:val="tr-TR"/>
              </w:rPr>
              <w:t>,</w:t>
            </w:r>
            <w:r w:rsidRPr="001A4B94">
              <w:rPr>
                <w:sz w:val="16"/>
                <w:szCs w:val="16"/>
                <w:lang w:val="tr-TR"/>
              </w:rPr>
              <w:t>06</w:t>
            </w:r>
          </w:p>
        </w:tc>
        <w:tc>
          <w:tcPr>
            <w:tcW w:w="812" w:type="dxa"/>
            <w:tcBorders>
              <w:top w:val="nil"/>
              <w:left w:val="nil"/>
              <w:bottom w:val="nil"/>
              <w:right w:val="nil"/>
            </w:tcBorders>
            <w:shd w:val="clear" w:color="auto" w:fill="D9D9D9"/>
            <w:noWrap/>
            <w:vAlign w:val="center"/>
            <w:hideMark/>
          </w:tcPr>
          <w:p w14:paraId="0BD354F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56FA8E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7AF7497"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5118BA6B" w14:textId="36049516" w:rsidR="00F16E72" w:rsidRPr="001A4B94" w:rsidRDefault="00F16E72" w:rsidP="00F16E72">
            <w:pPr>
              <w:jc w:val="right"/>
              <w:rPr>
                <w:sz w:val="16"/>
                <w:szCs w:val="16"/>
                <w:lang w:val="tr-TR"/>
              </w:rPr>
            </w:pPr>
            <w:r w:rsidRPr="001A4B94">
              <w:rPr>
                <w:sz w:val="16"/>
                <w:szCs w:val="16"/>
                <w:lang w:val="tr-TR"/>
              </w:rPr>
              <w:t>1</w:t>
            </w:r>
            <w:r w:rsidR="007C4843" w:rsidRPr="001A4B94">
              <w:rPr>
                <w:sz w:val="16"/>
                <w:szCs w:val="16"/>
                <w:lang w:val="tr-TR"/>
              </w:rPr>
              <w:t>,</w:t>
            </w:r>
            <w:r w:rsidRPr="001A4B94">
              <w:rPr>
                <w:sz w:val="16"/>
                <w:szCs w:val="16"/>
                <w:lang w:val="tr-TR"/>
              </w:rPr>
              <w:t>96</w:t>
            </w:r>
          </w:p>
        </w:tc>
        <w:tc>
          <w:tcPr>
            <w:tcW w:w="919" w:type="dxa"/>
            <w:tcBorders>
              <w:top w:val="nil"/>
              <w:left w:val="nil"/>
              <w:bottom w:val="nil"/>
              <w:right w:val="nil"/>
            </w:tcBorders>
            <w:shd w:val="clear" w:color="auto" w:fill="D9D9D9"/>
            <w:noWrap/>
            <w:vAlign w:val="center"/>
            <w:hideMark/>
          </w:tcPr>
          <w:p w14:paraId="3CB4747C" w14:textId="4D0B0093" w:rsidR="00F16E72" w:rsidRPr="001A4B94" w:rsidRDefault="00F16E72" w:rsidP="00F16E72">
            <w:pPr>
              <w:jc w:val="right"/>
              <w:rPr>
                <w:sz w:val="16"/>
                <w:szCs w:val="16"/>
                <w:lang w:val="tr-TR"/>
              </w:rPr>
            </w:pPr>
            <w:r w:rsidRPr="001A4B94">
              <w:rPr>
                <w:sz w:val="16"/>
                <w:szCs w:val="16"/>
                <w:lang w:val="tr-TR"/>
              </w:rPr>
              <w:t>29</w:t>
            </w:r>
            <w:r w:rsidR="007C4843" w:rsidRPr="001A4B94">
              <w:rPr>
                <w:sz w:val="16"/>
                <w:szCs w:val="16"/>
                <w:lang w:val="tr-TR"/>
              </w:rPr>
              <w:t>,</w:t>
            </w:r>
            <w:r w:rsidRPr="001A4B94">
              <w:rPr>
                <w:sz w:val="16"/>
                <w:szCs w:val="16"/>
                <w:lang w:val="tr-TR"/>
              </w:rPr>
              <w:t>02</w:t>
            </w:r>
          </w:p>
        </w:tc>
        <w:tc>
          <w:tcPr>
            <w:tcW w:w="990" w:type="dxa"/>
            <w:tcBorders>
              <w:top w:val="nil"/>
              <w:left w:val="nil"/>
              <w:bottom w:val="nil"/>
              <w:right w:val="nil"/>
            </w:tcBorders>
            <w:shd w:val="clear" w:color="auto" w:fill="D9D9D9"/>
            <w:noWrap/>
            <w:vAlign w:val="center"/>
            <w:hideMark/>
          </w:tcPr>
          <w:p w14:paraId="71E59C2D" w14:textId="4271662F"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7EA5DFF7" w14:textId="77777777" w:rsidTr="007C4843">
        <w:trPr>
          <w:trHeight w:val="255"/>
          <w:jc w:val="center"/>
        </w:trPr>
        <w:tc>
          <w:tcPr>
            <w:tcW w:w="1900" w:type="dxa"/>
            <w:tcBorders>
              <w:top w:val="nil"/>
              <w:left w:val="nil"/>
              <w:bottom w:val="nil"/>
              <w:right w:val="nil"/>
            </w:tcBorders>
            <w:shd w:val="clear" w:color="000000" w:fill="FFFFFF"/>
            <w:vAlign w:val="center"/>
            <w:hideMark/>
          </w:tcPr>
          <w:p w14:paraId="30FEC2B3" w14:textId="77777777" w:rsidR="00F16E72" w:rsidRPr="001A4B94" w:rsidRDefault="00F16E72" w:rsidP="00F16E72">
            <w:pPr>
              <w:rPr>
                <w:sz w:val="16"/>
                <w:szCs w:val="16"/>
                <w:lang w:val="tr-TR"/>
              </w:rPr>
            </w:pPr>
            <w:r w:rsidRPr="001A4B94">
              <w:rPr>
                <w:sz w:val="16"/>
                <w:szCs w:val="16"/>
                <w:lang w:val="tr-TR"/>
              </w:rPr>
              <w:t>2016</w:t>
            </w:r>
          </w:p>
        </w:tc>
        <w:tc>
          <w:tcPr>
            <w:tcW w:w="1470" w:type="dxa"/>
            <w:tcBorders>
              <w:top w:val="nil"/>
              <w:left w:val="nil"/>
              <w:bottom w:val="nil"/>
              <w:right w:val="nil"/>
            </w:tcBorders>
            <w:shd w:val="clear" w:color="000000" w:fill="FFFFFF"/>
            <w:noWrap/>
            <w:vAlign w:val="center"/>
            <w:hideMark/>
          </w:tcPr>
          <w:p w14:paraId="38800AEB" w14:textId="77777777" w:rsidR="00F16E72" w:rsidRPr="001A4B94" w:rsidRDefault="00F16E72" w:rsidP="00F16E72">
            <w:pPr>
              <w:rPr>
                <w:sz w:val="16"/>
                <w:szCs w:val="16"/>
                <w:lang w:val="tr-TR"/>
              </w:rPr>
            </w:pPr>
            <w:r w:rsidRPr="001A4B94">
              <w:rPr>
                <w:sz w:val="16"/>
                <w:szCs w:val="16"/>
                <w:lang w:val="tr-TR"/>
              </w:rPr>
              <w:t>Kremna Elektrik</w:t>
            </w:r>
          </w:p>
        </w:tc>
        <w:tc>
          <w:tcPr>
            <w:tcW w:w="776" w:type="dxa"/>
            <w:tcBorders>
              <w:top w:val="nil"/>
              <w:left w:val="nil"/>
              <w:bottom w:val="nil"/>
              <w:right w:val="nil"/>
            </w:tcBorders>
            <w:shd w:val="clear" w:color="000000" w:fill="FFFFFF"/>
            <w:noWrap/>
            <w:vAlign w:val="center"/>
            <w:hideMark/>
          </w:tcPr>
          <w:p w14:paraId="232FB490" w14:textId="63BB1F9E" w:rsidR="00F16E72" w:rsidRPr="001A4B94" w:rsidRDefault="00F16E72" w:rsidP="00F16E72">
            <w:pPr>
              <w:jc w:val="right"/>
              <w:rPr>
                <w:sz w:val="16"/>
                <w:szCs w:val="16"/>
                <w:lang w:val="tr-TR"/>
              </w:rPr>
            </w:pPr>
            <w:r w:rsidRPr="001A4B94">
              <w:rPr>
                <w:sz w:val="16"/>
                <w:szCs w:val="16"/>
                <w:lang w:val="tr-TR"/>
              </w:rPr>
              <w:t>44</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782EADF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1D4924E"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42FD8F6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14725C4D" w14:textId="78FF6EA6"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00</w:t>
            </w:r>
          </w:p>
        </w:tc>
        <w:tc>
          <w:tcPr>
            <w:tcW w:w="919" w:type="dxa"/>
            <w:tcBorders>
              <w:top w:val="nil"/>
              <w:left w:val="nil"/>
              <w:bottom w:val="nil"/>
              <w:right w:val="nil"/>
            </w:tcBorders>
            <w:shd w:val="clear" w:color="000000" w:fill="FFFFFF"/>
            <w:noWrap/>
            <w:vAlign w:val="center"/>
            <w:hideMark/>
          </w:tcPr>
          <w:p w14:paraId="024BA435" w14:textId="3A3A1530"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2AE73B81"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03E28AD4" w14:textId="2FC969B5" w:rsidR="00F16E72" w:rsidRPr="001A4B94" w:rsidRDefault="00F16E72" w:rsidP="00F16E72">
            <w:pPr>
              <w:jc w:val="right"/>
              <w:rPr>
                <w:sz w:val="16"/>
                <w:szCs w:val="16"/>
                <w:lang w:val="tr-TR"/>
              </w:rPr>
            </w:pPr>
            <w:r w:rsidRPr="001A4B94">
              <w:rPr>
                <w:sz w:val="16"/>
                <w:szCs w:val="16"/>
                <w:lang w:val="tr-TR"/>
              </w:rPr>
              <w:t>44</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24F48BA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49E7F0D"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F7CF973"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587AA7EA" w14:textId="73A6DD26"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87</w:t>
            </w:r>
          </w:p>
        </w:tc>
        <w:tc>
          <w:tcPr>
            <w:tcW w:w="919" w:type="dxa"/>
            <w:tcBorders>
              <w:top w:val="nil"/>
              <w:left w:val="nil"/>
              <w:bottom w:val="nil"/>
              <w:right w:val="nil"/>
            </w:tcBorders>
            <w:shd w:val="clear" w:color="000000" w:fill="FFFFFF"/>
            <w:noWrap/>
            <w:vAlign w:val="center"/>
            <w:hideMark/>
          </w:tcPr>
          <w:p w14:paraId="74888E80" w14:textId="1A284533" w:rsidR="00F16E72" w:rsidRPr="001A4B94" w:rsidRDefault="00F16E72" w:rsidP="00F16E72">
            <w:pPr>
              <w:jc w:val="right"/>
              <w:rPr>
                <w:sz w:val="16"/>
                <w:szCs w:val="16"/>
                <w:lang w:val="tr-TR"/>
              </w:rPr>
            </w:pPr>
            <w:r w:rsidRPr="001A4B94">
              <w:rPr>
                <w:sz w:val="16"/>
                <w:szCs w:val="16"/>
                <w:lang w:val="tr-TR"/>
              </w:rPr>
              <w:t>44</w:t>
            </w:r>
            <w:r w:rsidR="007C4843" w:rsidRPr="001A4B94">
              <w:rPr>
                <w:sz w:val="16"/>
                <w:szCs w:val="16"/>
                <w:lang w:val="tr-TR"/>
              </w:rPr>
              <w:t>,</w:t>
            </w:r>
            <w:r w:rsidRPr="001A4B94">
              <w:rPr>
                <w:sz w:val="16"/>
                <w:szCs w:val="16"/>
                <w:lang w:val="tr-TR"/>
              </w:rPr>
              <w:t>87</w:t>
            </w:r>
          </w:p>
        </w:tc>
        <w:tc>
          <w:tcPr>
            <w:tcW w:w="990" w:type="dxa"/>
            <w:tcBorders>
              <w:top w:val="nil"/>
              <w:left w:val="nil"/>
              <w:bottom w:val="nil"/>
              <w:right w:val="nil"/>
            </w:tcBorders>
            <w:shd w:val="clear" w:color="000000" w:fill="FFFFFF"/>
            <w:noWrap/>
            <w:vAlign w:val="center"/>
            <w:hideMark/>
          </w:tcPr>
          <w:p w14:paraId="35CFC42E" w14:textId="37C22982"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0E23B482" w14:textId="77777777" w:rsidTr="007C4843">
        <w:trPr>
          <w:trHeight w:val="255"/>
          <w:jc w:val="center"/>
        </w:trPr>
        <w:tc>
          <w:tcPr>
            <w:tcW w:w="1900" w:type="dxa"/>
            <w:tcBorders>
              <w:top w:val="nil"/>
              <w:left w:val="nil"/>
              <w:bottom w:val="nil"/>
              <w:right w:val="nil"/>
            </w:tcBorders>
            <w:shd w:val="clear" w:color="auto" w:fill="D9D9D9"/>
            <w:vAlign w:val="center"/>
            <w:hideMark/>
          </w:tcPr>
          <w:p w14:paraId="3C8DFCF8" w14:textId="77777777" w:rsidR="00F16E72" w:rsidRPr="001A4B94" w:rsidRDefault="00F16E72" w:rsidP="00F16E72">
            <w:pPr>
              <w:rPr>
                <w:sz w:val="16"/>
                <w:szCs w:val="16"/>
                <w:lang w:val="tr-TR"/>
              </w:rPr>
            </w:pPr>
            <w:r w:rsidRPr="001A4B94">
              <w:rPr>
                <w:sz w:val="16"/>
                <w:szCs w:val="16"/>
                <w:lang w:val="tr-TR"/>
              </w:rPr>
              <w:t>2015/ 2012</w:t>
            </w:r>
          </w:p>
        </w:tc>
        <w:tc>
          <w:tcPr>
            <w:tcW w:w="1470" w:type="dxa"/>
            <w:tcBorders>
              <w:top w:val="nil"/>
              <w:left w:val="nil"/>
              <w:bottom w:val="nil"/>
              <w:right w:val="nil"/>
            </w:tcBorders>
            <w:shd w:val="clear" w:color="auto" w:fill="D9D9D9"/>
            <w:noWrap/>
            <w:vAlign w:val="center"/>
            <w:hideMark/>
          </w:tcPr>
          <w:p w14:paraId="2E2E81D9" w14:textId="77777777" w:rsidR="00F16E72" w:rsidRPr="001A4B94" w:rsidRDefault="00F16E72" w:rsidP="00F16E72">
            <w:pPr>
              <w:rPr>
                <w:sz w:val="16"/>
                <w:szCs w:val="16"/>
                <w:lang w:val="tr-TR"/>
              </w:rPr>
            </w:pPr>
            <w:r w:rsidRPr="001A4B94">
              <w:rPr>
                <w:sz w:val="16"/>
                <w:szCs w:val="16"/>
                <w:lang w:val="tr-TR"/>
              </w:rPr>
              <w:t>MNT</w:t>
            </w:r>
          </w:p>
        </w:tc>
        <w:tc>
          <w:tcPr>
            <w:tcW w:w="776" w:type="dxa"/>
            <w:tcBorders>
              <w:top w:val="nil"/>
              <w:left w:val="nil"/>
              <w:bottom w:val="nil"/>
              <w:right w:val="nil"/>
            </w:tcBorders>
            <w:shd w:val="clear" w:color="auto" w:fill="D9D9D9"/>
            <w:noWrap/>
            <w:vAlign w:val="center"/>
            <w:hideMark/>
          </w:tcPr>
          <w:p w14:paraId="49382DC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B423F16" w14:textId="77CD5F3C" w:rsidR="00F16E72" w:rsidRPr="001A4B94" w:rsidRDefault="00F16E72" w:rsidP="00F16E72">
            <w:pPr>
              <w:jc w:val="right"/>
              <w:rPr>
                <w:sz w:val="16"/>
                <w:szCs w:val="16"/>
                <w:lang w:val="tr-TR"/>
              </w:rPr>
            </w:pPr>
            <w:r w:rsidRPr="001A4B94">
              <w:rPr>
                <w:sz w:val="16"/>
                <w:szCs w:val="16"/>
                <w:lang w:val="tr-TR"/>
              </w:rPr>
              <w:t>29</w:t>
            </w:r>
            <w:r w:rsidR="007C4843" w:rsidRPr="001A4B94">
              <w:rPr>
                <w:sz w:val="16"/>
                <w:szCs w:val="16"/>
                <w:lang w:val="tr-TR"/>
              </w:rPr>
              <w:t>,</w:t>
            </w:r>
            <w:r w:rsidRPr="001A4B94">
              <w:rPr>
                <w:sz w:val="16"/>
                <w:szCs w:val="16"/>
                <w:lang w:val="tr-TR"/>
              </w:rPr>
              <w:t>15</w:t>
            </w:r>
          </w:p>
        </w:tc>
        <w:tc>
          <w:tcPr>
            <w:tcW w:w="812" w:type="dxa"/>
            <w:tcBorders>
              <w:top w:val="nil"/>
              <w:left w:val="nil"/>
              <w:bottom w:val="nil"/>
              <w:right w:val="nil"/>
            </w:tcBorders>
            <w:shd w:val="clear" w:color="auto" w:fill="D9D9D9"/>
            <w:noWrap/>
            <w:vAlign w:val="center"/>
            <w:hideMark/>
          </w:tcPr>
          <w:p w14:paraId="077ADD2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F82D073"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288396DB"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B3F298C" w14:textId="44D05DF4" w:rsidR="00F16E72" w:rsidRPr="001A4B94" w:rsidRDefault="00F16E72" w:rsidP="00F16E72">
            <w:pPr>
              <w:jc w:val="right"/>
              <w:rPr>
                <w:sz w:val="16"/>
                <w:szCs w:val="16"/>
                <w:lang w:val="tr-TR"/>
              </w:rPr>
            </w:pPr>
            <w:r w:rsidRPr="001A4B94">
              <w:rPr>
                <w:sz w:val="16"/>
                <w:szCs w:val="16"/>
                <w:lang w:val="tr-TR"/>
              </w:rPr>
              <w:t>29</w:t>
            </w:r>
            <w:r w:rsidR="007C4843" w:rsidRPr="001A4B94">
              <w:rPr>
                <w:sz w:val="16"/>
                <w:szCs w:val="16"/>
                <w:lang w:val="tr-TR"/>
              </w:rPr>
              <w:t>,</w:t>
            </w:r>
            <w:r w:rsidRPr="001A4B94">
              <w:rPr>
                <w:sz w:val="16"/>
                <w:szCs w:val="16"/>
                <w:lang w:val="tr-TR"/>
              </w:rPr>
              <w:t>15</w:t>
            </w:r>
          </w:p>
        </w:tc>
        <w:tc>
          <w:tcPr>
            <w:tcW w:w="1069" w:type="dxa"/>
            <w:tcBorders>
              <w:top w:val="nil"/>
              <w:left w:val="nil"/>
              <w:bottom w:val="nil"/>
              <w:right w:val="nil"/>
            </w:tcBorders>
            <w:shd w:val="clear" w:color="auto" w:fill="D9D9D9"/>
            <w:noWrap/>
            <w:vAlign w:val="center"/>
            <w:hideMark/>
          </w:tcPr>
          <w:p w14:paraId="2129BF78"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9A32FB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46B5AFF" w14:textId="109AECA9" w:rsidR="00F16E72" w:rsidRPr="001A4B94" w:rsidRDefault="00F16E72" w:rsidP="00F16E72">
            <w:pPr>
              <w:jc w:val="right"/>
              <w:rPr>
                <w:sz w:val="16"/>
                <w:szCs w:val="16"/>
                <w:lang w:val="tr-TR"/>
              </w:rPr>
            </w:pPr>
            <w:r w:rsidRPr="001A4B94">
              <w:rPr>
                <w:sz w:val="16"/>
                <w:szCs w:val="16"/>
                <w:lang w:val="tr-TR"/>
              </w:rPr>
              <w:t>29</w:t>
            </w:r>
            <w:r w:rsidR="007C4843" w:rsidRPr="001A4B94">
              <w:rPr>
                <w:sz w:val="16"/>
                <w:szCs w:val="16"/>
                <w:lang w:val="tr-TR"/>
              </w:rPr>
              <w:t>,</w:t>
            </w:r>
            <w:r w:rsidRPr="001A4B94">
              <w:rPr>
                <w:sz w:val="16"/>
                <w:szCs w:val="16"/>
                <w:lang w:val="tr-TR"/>
              </w:rPr>
              <w:t>15</w:t>
            </w:r>
          </w:p>
        </w:tc>
        <w:tc>
          <w:tcPr>
            <w:tcW w:w="812" w:type="dxa"/>
            <w:tcBorders>
              <w:top w:val="nil"/>
              <w:left w:val="nil"/>
              <w:bottom w:val="nil"/>
              <w:right w:val="nil"/>
            </w:tcBorders>
            <w:shd w:val="clear" w:color="auto" w:fill="D9D9D9"/>
            <w:noWrap/>
            <w:vAlign w:val="center"/>
            <w:hideMark/>
          </w:tcPr>
          <w:p w14:paraId="058ED3B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535CB63F"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26C87384"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7304669E" w14:textId="1D037CB1" w:rsidR="00F16E72" w:rsidRPr="001A4B94" w:rsidRDefault="00F16E72" w:rsidP="00F16E72">
            <w:pPr>
              <w:jc w:val="right"/>
              <w:rPr>
                <w:sz w:val="16"/>
                <w:szCs w:val="16"/>
                <w:lang w:val="tr-TR"/>
              </w:rPr>
            </w:pPr>
            <w:r w:rsidRPr="001A4B94">
              <w:rPr>
                <w:sz w:val="16"/>
                <w:szCs w:val="16"/>
                <w:lang w:val="tr-TR"/>
              </w:rPr>
              <w:t>29</w:t>
            </w:r>
            <w:r w:rsidR="007C4843" w:rsidRPr="001A4B94">
              <w:rPr>
                <w:sz w:val="16"/>
                <w:szCs w:val="16"/>
                <w:lang w:val="tr-TR"/>
              </w:rPr>
              <w:t>,</w:t>
            </w:r>
            <w:r w:rsidRPr="001A4B94">
              <w:rPr>
                <w:sz w:val="16"/>
                <w:szCs w:val="16"/>
                <w:lang w:val="tr-TR"/>
              </w:rPr>
              <w:t>15</w:t>
            </w:r>
          </w:p>
        </w:tc>
        <w:tc>
          <w:tcPr>
            <w:tcW w:w="990" w:type="dxa"/>
            <w:tcBorders>
              <w:top w:val="nil"/>
              <w:left w:val="nil"/>
              <w:bottom w:val="nil"/>
              <w:right w:val="nil"/>
            </w:tcBorders>
            <w:shd w:val="clear" w:color="auto" w:fill="D9D9D9"/>
            <w:noWrap/>
            <w:vAlign w:val="center"/>
            <w:hideMark/>
          </w:tcPr>
          <w:p w14:paraId="0AE1A92C" w14:textId="2B703AB7"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245B16AB" w14:textId="77777777" w:rsidTr="007C4843">
        <w:trPr>
          <w:trHeight w:val="255"/>
          <w:jc w:val="center"/>
        </w:trPr>
        <w:tc>
          <w:tcPr>
            <w:tcW w:w="1900" w:type="dxa"/>
            <w:tcBorders>
              <w:top w:val="nil"/>
              <w:left w:val="nil"/>
              <w:bottom w:val="nil"/>
              <w:right w:val="nil"/>
            </w:tcBorders>
            <w:shd w:val="clear" w:color="000000" w:fill="FFFFFF"/>
            <w:vAlign w:val="center"/>
            <w:hideMark/>
          </w:tcPr>
          <w:p w14:paraId="0AD0A98F" w14:textId="77777777" w:rsidR="00F16E72" w:rsidRPr="001A4B94" w:rsidRDefault="00F16E72" w:rsidP="00F16E72">
            <w:pPr>
              <w:rPr>
                <w:sz w:val="16"/>
                <w:szCs w:val="16"/>
                <w:lang w:val="tr-TR"/>
              </w:rPr>
            </w:pPr>
            <w:r w:rsidRPr="001A4B94">
              <w:rPr>
                <w:sz w:val="16"/>
                <w:szCs w:val="16"/>
                <w:lang w:val="tr-TR"/>
              </w:rPr>
              <w:t>2017</w:t>
            </w:r>
          </w:p>
        </w:tc>
        <w:tc>
          <w:tcPr>
            <w:tcW w:w="1470" w:type="dxa"/>
            <w:tcBorders>
              <w:top w:val="nil"/>
              <w:left w:val="nil"/>
              <w:bottom w:val="nil"/>
              <w:right w:val="nil"/>
            </w:tcBorders>
            <w:shd w:val="clear" w:color="000000" w:fill="FFFFFF"/>
            <w:noWrap/>
            <w:vAlign w:val="center"/>
            <w:hideMark/>
          </w:tcPr>
          <w:p w14:paraId="02058D9F" w14:textId="77777777" w:rsidR="00F16E72" w:rsidRPr="001A4B94" w:rsidRDefault="00F16E72" w:rsidP="00F16E72">
            <w:pPr>
              <w:rPr>
                <w:sz w:val="16"/>
                <w:szCs w:val="16"/>
                <w:lang w:val="tr-TR"/>
              </w:rPr>
            </w:pPr>
            <w:r w:rsidRPr="001A4B94">
              <w:rPr>
                <w:sz w:val="16"/>
                <w:szCs w:val="16"/>
                <w:lang w:val="tr-TR"/>
              </w:rPr>
              <w:t>Martur</w:t>
            </w:r>
          </w:p>
        </w:tc>
        <w:tc>
          <w:tcPr>
            <w:tcW w:w="776" w:type="dxa"/>
            <w:tcBorders>
              <w:top w:val="nil"/>
              <w:left w:val="nil"/>
              <w:bottom w:val="nil"/>
              <w:right w:val="nil"/>
            </w:tcBorders>
            <w:shd w:val="clear" w:color="000000" w:fill="FFFFFF"/>
            <w:noWrap/>
            <w:vAlign w:val="center"/>
            <w:hideMark/>
          </w:tcPr>
          <w:p w14:paraId="2A16C8D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72446F6" w14:textId="2A59A9A6" w:rsidR="00F16E72" w:rsidRPr="001A4B94" w:rsidRDefault="00F16E72" w:rsidP="00F16E72">
            <w:pPr>
              <w:jc w:val="right"/>
              <w:rPr>
                <w:sz w:val="16"/>
                <w:szCs w:val="16"/>
                <w:lang w:val="tr-TR"/>
              </w:rPr>
            </w:pPr>
            <w:r w:rsidRPr="001A4B94">
              <w:rPr>
                <w:sz w:val="16"/>
                <w:szCs w:val="16"/>
                <w:lang w:val="tr-TR"/>
              </w:rPr>
              <w:t>31</w:t>
            </w:r>
            <w:r w:rsidR="007C4843" w:rsidRPr="001A4B94">
              <w:rPr>
                <w:sz w:val="16"/>
                <w:szCs w:val="16"/>
                <w:lang w:val="tr-TR"/>
              </w:rPr>
              <w:t>,</w:t>
            </w:r>
            <w:r w:rsidRPr="001A4B94">
              <w:rPr>
                <w:sz w:val="16"/>
                <w:szCs w:val="16"/>
                <w:lang w:val="tr-TR"/>
              </w:rPr>
              <w:t>92</w:t>
            </w:r>
          </w:p>
        </w:tc>
        <w:tc>
          <w:tcPr>
            <w:tcW w:w="812" w:type="dxa"/>
            <w:tcBorders>
              <w:top w:val="nil"/>
              <w:left w:val="nil"/>
              <w:bottom w:val="nil"/>
              <w:right w:val="nil"/>
            </w:tcBorders>
            <w:shd w:val="clear" w:color="000000" w:fill="FFFFFF"/>
            <w:noWrap/>
            <w:vAlign w:val="center"/>
            <w:hideMark/>
          </w:tcPr>
          <w:p w14:paraId="55C32E3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BD02468"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3B11875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A82F5F8" w14:textId="1A8AC03F" w:rsidR="00F16E72" w:rsidRPr="001A4B94" w:rsidRDefault="00F16E72" w:rsidP="00F16E72">
            <w:pPr>
              <w:jc w:val="right"/>
              <w:rPr>
                <w:sz w:val="16"/>
                <w:szCs w:val="16"/>
                <w:lang w:val="tr-TR"/>
              </w:rPr>
            </w:pPr>
            <w:r w:rsidRPr="001A4B94">
              <w:rPr>
                <w:sz w:val="16"/>
                <w:szCs w:val="16"/>
                <w:lang w:val="tr-TR"/>
              </w:rPr>
              <w:t>31</w:t>
            </w:r>
            <w:r w:rsidR="007C4843" w:rsidRPr="001A4B94">
              <w:rPr>
                <w:sz w:val="16"/>
                <w:szCs w:val="16"/>
                <w:lang w:val="tr-TR"/>
              </w:rPr>
              <w:t>,</w:t>
            </w:r>
            <w:r w:rsidRPr="001A4B94">
              <w:rPr>
                <w:sz w:val="16"/>
                <w:szCs w:val="16"/>
                <w:lang w:val="tr-TR"/>
              </w:rPr>
              <w:t>92</w:t>
            </w:r>
          </w:p>
        </w:tc>
        <w:tc>
          <w:tcPr>
            <w:tcW w:w="1069" w:type="dxa"/>
            <w:tcBorders>
              <w:top w:val="nil"/>
              <w:left w:val="nil"/>
              <w:bottom w:val="nil"/>
              <w:right w:val="nil"/>
            </w:tcBorders>
            <w:shd w:val="clear" w:color="000000" w:fill="FFFFFF"/>
            <w:noWrap/>
            <w:vAlign w:val="center"/>
            <w:hideMark/>
          </w:tcPr>
          <w:p w14:paraId="7D22F63E"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414DAFD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C5FCD1B" w14:textId="42BB6F1F" w:rsidR="00F16E72" w:rsidRPr="001A4B94" w:rsidRDefault="00F16E72" w:rsidP="00F16E72">
            <w:pPr>
              <w:jc w:val="right"/>
              <w:rPr>
                <w:sz w:val="16"/>
                <w:szCs w:val="16"/>
                <w:lang w:val="tr-TR"/>
              </w:rPr>
            </w:pPr>
            <w:r w:rsidRPr="001A4B94">
              <w:rPr>
                <w:sz w:val="16"/>
                <w:szCs w:val="16"/>
                <w:lang w:val="tr-TR"/>
              </w:rPr>
              <w:t>31</w:t>
            </w:r>
            <w:r w:rsidR="007C4843" w:rsidRPr="001A4B94">
              <w:rPr>
                <w:sz w:val="16"/>
                <w:szCs w:val="16"/>
                <w:lang w:val="tr-TR"/>
              </w:rPr>
              <w:t>,</w:t>
            </w:r>
            <w:r w:rsidRPr="001A4B94">
              <w:rPr>
                <w:sz w:val="16"/>
                <w:szCs w:val="16"/>
                <w:lang w:val="tr-TR"/>
              </w:rPr>
              <w:t>92</w:t>
            </w:r>
          </w:p>
        </w:tc>
        <w:tc>
          <w:tcPr>
            <w:tcW w:w="812" w:type="dxa"/>
            <w:tcBorders>
              <w:top w:val="nil"/>
              <w:left w:val="nil"/>
              <w:bottom w:val="nil"/>
              <w:right w:val="nil"/>
            </w:tcBorders>
            <w:shd w:val="clear" w:color="000000" w:fill="FFFFFF"/>
            <w:noWrap/>
            <w:vAlign w:val="center"/>
            <w:hideMark/>
          </w:tcPr>
          <w:p w14:paraId="624C644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27AF6E47"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1026710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DCA440D" w14:textId="1ECDB35B" w:rsidR="00F16E72" w:rsidRPr="001A4B94" w:rsidRDefault="00F16E72" w:rsidP="00F16E72">
            <w:pPr>
              <w:jc w:val="right"/>
              <w:rPr>
                <w:sz w:val="16"/>
                <w:szCs w:val="16"/>
                <w:lang w:val="tr-TR"/>
              </w:rPr>
            </w:pPr>
            <w:r w:rsidRPr="001A4B94">
              <w:rPr>
                <w:sz w:val="16"/>
                <w:szCs w:val="16"/>
                <w:lang w:val="tr-TR"/>
              </w:rPr>
              <w:t>31</w:t>
            </w:r>
            <w:r w:rsidR="007C4843" w:rsidRPr="001A4B94">
              <w:rPr>
                <w:sz w:val="16"/>
                <w:szCs w:val="16"/>
                <w:lang w:val="tr-TR"/>
              </w:rPr>
              <w:t>,</w:t>
            </w:r>
            <w:r w:rsidRPr="001A4B94">
              <w:rPr>
                <w:sz w:val="16"/>
                <w:szCs w:val="16"/>
                <w:lang w:val="tr-TR"/>
              </w:rPr>
              <w:t>92</w:t>
            </w:r>
          </w:p>
        </w:tc>
        <w:tc>
          <w:tcPr>
            <w:tcW w:w="990" w:type="dxa"/>
            <w:tcBorders>
              <w:top w:val="nil"/>
              <w:left w:val="nil"/>
              <w:bottom w:val="nil"/>
              <w:right w:val="nil"/>
            </w:tcBorders>
            <w:shd w:val="clear" w:color="000000" w:fill="FFFFFF"/>
            <w:noWrap/>
            <w:vAlign w:val="center"/>
            <w:hideMark/>
          </w:tcPr>
          <w:p w14:paraId="43A176E5" w14:textId="76E5798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EE2D542" w14:textId="77777777" w:rsidTr="007C4843">
        <w:trPr>
          <w:trHeight w:val="255"/>
          <w:jc w:val="center"/>
        </w:trPr>
        <w:tc>
          <w:tcPr>
            <w:tcW w:w="1900" w:type="dxa"/>
            <w:tcBorders>
              <w:top w:val="nil"/>
              <w:left w:val="nil"/>
              <w:bottom w:val="nil"/>
              <w:right w:val="nil"/>
            </w:tcBorders>
            <w:shd w:val="clear" w:color="auto" w:fill="D9D9D9"/>
            <w:vAlign w:val="center"/>
            <w:hideMark/>
          </w:tcPr>
          <w:p w14:paraId="5581720A" w14:textId="77777777" w:rsidR="00F16E72" w:rsidRPr="001A4B94" w:rsidRDefault="00F16E72" w:rsidP="00F16E72">
            <w:pPr>
              <w:rPr>
                <w:sz w:val="16"/>
                <w:szCs w:val="16"/>
                <w:lang w:val="tr-TR"/>
              </w:rPr>
            </w:pPr>
            <w:r w:rsidRPr="001A4B94">
              <w:rPr>
                <w:sz w:val="16"/>
                <w:szCs w:val="16"/>
                <w:lang w:val="tr-TR"/>
              </w:rPr>
              <w:t>2013</w:t>
            </w:r>
          </w:p>
        </w:tc>
        <w:tc>
          <w:tcPr>
            <w:tcW w:w="1470" w:type="dxa"/>
            <w:tcBorders>
              <w:top w:val="nil"/>
              <w:left w:val="nil"/>
              <w:bottom w:val="nil"/>
              <w:right w:val="nil"/>
            </w:tcBorders>
            <w:shd w:val="clear" w:color="auto" w:fill="D9D9D9"/>
            <w:noWrap/>
            <w:vAlign w:val="center"/>
            <w:hideMark/>
          </w:tcPr>
          <w:p w14:paraId="6200D441" w14:textId="77777777" w:rsidR="00F16E72" w:rsidRPr="001A4B94" w:rsidRDefault="00F16E72" w:rsidP="00F16E72">
            <w:pPr>
              <w:rPr>
                <w:sz w:val="16"/>
                <w:szCs w:val="16"/>
                <w:lang w:val="tr-TR"/>
              </w:rPr>
            </w:pPr>
            <w:r w:rsidRPr="001A4B94">
              <w:rPr>
                <w:sz w:val="16"/>
                <w:szCs w:val="16"/>
                <w:lang w:val="tr-TR"/>
              </w:rPr>
              <w:t>Mediterra I</w:t>
            </w:r>
          </w:p>
        </w:tc>
        <w:tc>
          <w:tcPr>
            <w:tcW w:w="776" w:type="dxa"/>
            <w:tcBorders>
              <w:top w:val="nil"/>
              <w:left w:val="nil"/>
              <w:bottom w:val="nil"/>
              <w:right w:val="nil"/>
            </w:tcBorders>
            <w:shd w:val="clear" w:color="auto" w:fill="D9D9D9"/>
            <w:noWrap/>
            <w:vAlign w:val="center"/>
            <w:hideMark/>
          </w:tcPr>
          <w:p w14:paraId="54DBADA9"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AA20364" w14:textId="5CBCB56A"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77</w:t>
            </w:r>
          </w:p>
        </w:tc>
        <w:tc>
          <w:tcPr>
            <w:tcW w:w="812" w:type="dxa"/>
            <w:tcBorders>
              <w:top w:val="nil"/>
              <w:left w:val="nil"/>
              <w:bottom w:val="nil"/>
              <w:right w:val="nil"/>
            </w:tcBorders>
            <w:shd w:val="clear" w:color="auto" w:fill="D9D9D9"/>
            <w:noWrap/>
            <w:vAlign w:val="center"/>
            <w:hideMark/>
          </w:tcPr>
          <w:p w14:paraId="0468C263"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1F60623"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1656531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8BD91AA" w14:textId="690C0529" w:rsidR="00F16E72" w:rsidRPr="001A4B94" w:rsidRDefault="00F16E72" w:rsidP="00F16E72">
            <w:pPr>
              <w:jc w:val="right"/>
              <w:rPr>
                <w:sz w:val="16"/>
                <w:szCs w:val="16"/>
                <w:lang w:val="tr-TR"/>
              </w:rPr>
            </w:pPr>
            <w:r w:rsidRPr="001A4B94">
              <w:rPr>
                <w:sz w:val="16"/>
                <w:szCs w:val="16"/>
                <w:lang w:val="tr-TR"/>
              </w:rPr>
              <w:t>4</w:t>
            </w:r>
            <w:r w:rsidR="007C4843" w:rsidRPr="001A4B94">
              <w:rPr>
                <w:sz w:val="16"/>
                <w:szCs w:val="16"/>
                <w:lang w:val="tr-TR"/>
              </w:rPr>
              <w:t>,</w:t>
            </w:r>
            <w:r w:rsidRPr="001A4B94">
              <w:rPr>
                <w:sz w:val="16"/>
                <w:szCs w:val="16"/>
                <w:lang w:val="tr-TR"/>
              </w:rPr>
              <w:t>77</w:t>
            </w:r>
          </w:p>
        </w:tc>
        <w:tc>
          <w:tcPr>
            <w:tcW w:w="1069" w:type="dxa"/>
            <w:tcBorders>
              <w:top w:val="nil"/>
              <w:left w:val="nil"/>
              <w:bottom w:val="nil"/>
              <w:right w:val="nil"/>
            </w:tcBorders>
            <w:shd w:val="clear" w:color="auto" w:fill="D9D9D9"/>
            <w:noWrap/>
            <w:vAlign w:val="center"/>
            <w:hideMark/>
          </w:tcPr>
          <w:p w14:paraId="6B89DC1B"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22CDDE3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ED38953" w14:textId="5B2E6B13"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89</w:t>
            </w:r>
          </w:p>
        </w:tc>
        <w:tc>
          <w:tcPr>
            <w:tcW w:w="812" w:type="dxa"/>
            <w:tcBorders>
              <w:top w:val="nil"/>
              <w:left w:val="nil"/>
              <w:bottom w:val="nil"/>
              <w:right w:val="nil"/>
            </w:tcBorders>
            <w:shd w:val="clear" w:color="auto" w:fill="D9D9D9"/>
            <w:noWrap/>
            <w:vAlign w:val="center"/>
            <w:hideMark/>
          </w:tcPr>
          <w:p w14:paraId="244813B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7C290FCB"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4E4FE76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A6DB355" w14:textId="78ADF5AE"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89</w:t>
            </w:r>
          </w:p>
        </w:tc>
        <w:tc>
          <w:tcPr>
            <w:tcW w:w="990" w:type="dxa"/>
            <w:tcBorders>
              <w:top w:val="nil"/>
              <w:left w:val="nil"/>
              <w:bottom w:val="nil"/>
              <w:right w:val="nil"/>
            </w:tcBorders>
            <w:shd w:val="clear" w:color="auto" w:fill="D9D9D9"/>
            <w:noWrap/>
            <w:vAlign w:val="center"/>
            <w:hideMark/>
          </w:tcPr>
          <w:p w14:paraId="0D85BE51" w14:textId="3D12E9A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6B53DADA" w14:textId="77777777" w:rsidTr="007C4843">
        <w:trPr>
          <w:trHeight w:val="255"/>
          <w:jc w:val="center"/>
        </w:trPr>
        <w:tc>
          <w:tcPr>
            <w:tcW w:w="1900" w:type="dxa"/>
            <w:tcBorders>
              <w:top w:val="nil"/>
              <w:left w:val="nil"/>
              <w:bottom w:val="nil"/>
              <w:right w:val="nil"/>
            </w:tcBorders>
            <w:shd w:val="clear" w:color="000000" w:fill="FFFFFF"/>
            <w:vAlign w:val="center"/>
            <w:hideMark/>
          </w:tcPr>
          <w:p w14:paraId="3F1C28C8" w14:textId="77777777" w:rsidR="00F16E72" w:rsidRPr="001A4B94" w:rsidRDefault="00F16E72" w:rsidP="00F16E72">
            <w:pPr>
              <w:rPr>
                <w:sz w:val="16"/>
                <w:szCs w:val="16"/>
                <w:lang w:val="tr-TR"/>
              </w:rPr>
            </w:pPr>
            <w:r w:rsidRPr="001A4B94">
              <w:rPr>
                <w:sz w:val="16"/>
                <w:szCs w:val="16"/>
                <w:lang w:val="tr-TR"/>
              </w:rPr>
              <w:t>2017</w:t>
            </w:r>
          </w:p>
        </w:tc>
        <w:tc>
          <w:tcPr>
            <w:tcW w:w="1470" w:type="dxa"/>
            <w:tcBorders>
              <w:top w:val="nil"/>
              <w:left w:val="nil"/>
              <w:bottom w:val="nil"/>
              <w:right w:val="nil"/>
            </w:tcBorders>
            <w:shd w:val="clear" w:color="000000" w:fill="FFFFFF"/>
            <w:noWrap/>
            <w:vAlign w:val="center"/>
            <w:hideMark/>
          </w:tcPr>
          <w:p w14:paraId="36555866" w14:textId="77777777" w:rsidR="00F16E72" w:rsidRPr="001A4B94" w:rsidRDefault="00F16E72" w:rsidP="00F16E72">
            <w:pPr>
              <w:rPr>
                <w:sz w:val="16"/>
                <w:szCs w:val="16"/>
                <w:lang w:val="tr-TR"/>
              </w:rPr>
            </w:pPr>
            <w:r w:rsidRPr="001A4B94">
              <w:rPr>
                <w:sz w:val="16"/>
                <w:szCs w:val="16"/>
                <w:lang w:val="tr-TR"/>
              </w:rPr>
              <w:t>Mediterra II</w:t>
            </w:r>
          </w:p>
        </w:tc>
        <w:tc>
          <w:tcPr>
            <w:tcW w:w="776" w:type="dxa"/>
            <w:tcBorders>
              <w:top w:val="nil"/>
              <w:left w:val="nil"/>
              <w:bottom w:val="nil"/>
              <w:right w:val="nil"/>
            </w:tcBorders>
            <w:shd w:val="clear" w:color="000000" w:fill="FFFFFF"/>
            <w:noWrap/>
            <w:vAlign w:val="center"/>
            <w:hideMark/>
          </w:tcPr>
          <w:p w14:paraId="032D0F6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72B5C8A6" w14:textId="43D3264C" w:rsidR="00F16E72" w:rsidRPr="001A4B94" w:rsidRDefault="00F16E72" w:rsidP="00F16E72">
            <w:pPr>
              <w:jc w:val="right"/>
              <w:rPr>
                <w:sz w:val="16"/>
                <w:szCs w:val="16"/>
                <w:lang w:val="tr-TR"/>
              </w:rPr>
            </w:pPr>
            <w:r w:rsidRPr="001A4B94">
              <w:rPr>
                <w:sz w:val="16"/>
                <w:szCs w:val="16"/>
                <w:lang w:val="tr-TR"/>
              </w:rPr>
              <w:t>16</w:t>
            </w:r>
            <w:r w:rsidR="007C4843" w:rsidRPr="001A4B94">
              <w:rPr>
                <w:sz w:val="16"/>
                <w:szCs w:val="16"/>
                <w:lang w:val="tr-TR"/>
              </w:rPr>
              <w:t>,</w:t>
            </w:r>
            <w:r w:rsidRPr="001A4B94">
              <w:rPr>
                <w:sz w:val="16"/>
                <w:szCs w:val="16"/>
                <w:lang w:val="tr-TR"/>
              </w:rPr>
              <w:t>91</w:t>
            </w:r>
          </w:p>
        </w:tc>
        <w:tc>
          <w:tcPr>
            <w:tcW w:w="812" w:type="dxa"/>
            <w:tcBorders>
              <w:top w:val="nil"/>
              <w:left w:val="nil"/>
              <w:bottom w:val="nil"/>
              <w:right w:val="nil"/>
            </w:tcBorders>
            <w:shd w:val="clear" w:color="000000" w:fill="FFFFFF"/>
            <w:noWrap/>
            <w:vAlign w:val="center"/>
            <w:hideMark/>
          </w:tcPr>
          <w:p w14:paraId="42DF7268"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134D22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326E075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421D70A6" w14:textId="09F66AC6" w:rsidR="00F16E72" w:rsidRPr="001A4B94" w:rsidRDefault="00F16E72" w:rsidP="00F16E72">
            <w:pPr>
              <w:jc w:val="right"/>
              <w:rPr>
                <w:sz w:val="16"/>
                <w:szCs w:val="16"/>
                <w:lang w:val="tr-TR"/>
              </w:rPr>
            </w:pPr>
            <w:r w:rsidRPr="001A4B94">
              <w:rPr>
                <w:sz w:val="16"/>
                <w:szCs w:val="16"/>
                <w:lang w:val="tr-TR"/>
              </w:rPr>
              <w:t>16</w:t>
            </w:r>
            <w:r w:rsidR="007C4843" w:rsidRPr="001A4B94">
              <w:rPr>
                <w:sz w:val="16"/>
                <w:szCs w:val="16"/>
                <w:lang w:val="tr-TR"/>
              </w:rPr>
              <w:t>,</w:t>
            </w:r>
            <w:r w:rsidRPr="001A4B94">
              <w:rPr>
                <w:sz w:val="16"/>
                <w:szCs w:val="16"/>
                <w:lang w:val="tr-TR"/>
              </w:rPr>
              <w:t>91</w:t>
            </w:r>
          </w:p>
        </w:tc>
        <w:tc>
          <w:tcPr>
            <w:tcW w:w="1069" w:type="dxa"/>
            <w:tcBorders>
              <w:top w:val="nil"/>
              <w:left w:val="nil"/>
              <w:bottom w:val="nil"/>
              <w:right w:val="nil"/>
            </w:tcBorders>
            <w:shd w:val="clear" w:color="000000" w:fill="FFFFFF"/>
            <w:noWrap/>
            <w:vAlign w:val="center"/>
            <w:hideMark/>
          </w:tcPr>
          <w:p w14:paraId="7E775F6D"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4494D19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1C3A0EA3" w14:textId="15FD5F7C"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83</w:t>
            </w:r>
          </w:p>
        </w:tc>
        <w:tc>
          <w:tcPr>
            <w:tcW w:w="812" w:type="dxa"/>
            <w:tcBorders>
              <w:top w:val="nil"/>
              <w:left w:val="nil"/>
              <w:bottom w:val="nil"/>
              <w:right w:val="nil"/>
            </w:tcBorders>
            <w:shd w:val="clear" w:color="000000" w:fill="FFFFFF"/>
            <w:noWrap/>
            <w:vAlign w:val="center"/>
            <w:hideMark/>
          </w:tcPr>
          <w:p w14:paraId="7A50493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7514F607"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402F55E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72FFD715" w14:textId="50C76841"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83</w:t>
            </w:r>
          </w:p>
        </w:tc>
        <w:tc>
          <w:tcPr>
            <w:tcW w:w="990" w:type="dxa"/>
            <w:tcBorders>
              <w:top w:val="nil"/>
              <w:left w:val="nil"/>
              <w:bottom w:val="nil"/>
              <w:right w:val="nil"/>
            </w:tcBorders>
            <w:shd w:val="clear" w:color="000000" w:fill="FFFFFF"/>
            <w:noWrap/>
            <w:vAlign w:val="center"/>
            <w:hideMark/>
          </w:tcPr>
          <w:p w14:paraId="5BEB421B" w14:textId="080A62D8"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459900F3" w14:textId="77777777" w:rsidTr="007C4843">
        <w:trPr>
          <w:trHeight w:val="255"/>
          <w:jc w:val="center"/>
        </w:trPr>
        <w:tc>
          <w:tcPr>
            <w:tcW w:w="1900" w:type="dxa"/>
            <w:tcBorders>
              <w:top w:val="nil"/>
              <w:left w:val="nil"/>
              <w:bottom w:val="nil"/>
              <w:right w:val="nil"/>
            </w:tcBorders>
            <w:shd w:val="clear" w:color="auto" w:fill="D9D9D9"/>
            <w:vAlign w:val="center"/>
            <w:hideMark/>
          </w:tcPr>
          <w:p w14:paraId="0AFFBD42" w14:textId="77777777" w:rsidR="00F16E72" w:rsidRPr="001A4B94" w:rsidRDefault="00F16E72" w:rsidP="00F16E72">
            <w:pPr>
              <w:rPr>
                <w:sz w:val="16"/>
                <w:szCs w:val="16"/>
                <w:lang w:val="tr-TR"/>
              </w:rPr>
            </w:pPr>
            <w:r w:rsidRPr="001A4B94">
              <w:rPr>
                <w:sz w:val="16"/>
                <w:szCs w:val="16"/>
                <w:lang w:val="tr-TR"/>
              </w:rPr>
              <w:t>2014</w:t>
            </w:r>
          </w:p>
        </w:tc>
        <w:tc>
          <w:tcPr>
            <w:tcW w:w="1470" w:type="dxa"/>
            <w:tcBorders>
              <w:top w:val="nil"/>
              <w:left w:val="nil"/>
              <w:bottom w:val="nil"/>
              <w:right w:val="nil"/>
            </w:tcBorders>
            <w:shd w:val="clear" w:color="auto" w:fill="D9D9D9"/>
            <w:noWrap/>
            <w:vAlign w:val="center"/>
            <w:hideMark/>
          </w:tcPr>
          <w:p w14:paraId="100C3B5C" w14:textId="77730E07" w:rsidR="00F16E72" w:rsidRPr="001A4B94" w:rsidRDefault="00F16E72" w:rsidP="00F16E72">
            <w:pPr>
              <w:rPr>
                <w:sz w:val="16"/>
                <w:szCs w:val="16"/>
                <w:lang w:val="tr-TR"/>
              </w:rPr>
            </w:pPr>
            <w:r w:rsidRPr="001A4B94">
              <w:rPr>
                <w:sz w:val="16"/>
                <w:szCs w:val="16"/>
                <w:lang w:val="tr-TR"/>
              </w:rPr>
              <w:t xml:space="preserve">Mersin </w:t>
            </w:r>
            <w:r w:rsidR="007C4843" w:rsidRPr="001A4B94">
              <w:rPr>
                <w:sz w:val="16"/>
                <w:szCs w:val="16"/>
                <w:lang w:val="tr-TR"/>
              </w:rPr>
              <w:t xml:space="preserve">Limanı </w:t>
            </w:r>
          </w:p>
        </w:tc>
        <w:tc>
          <w:tcPr>
            <w:tcW w:w="776" w:type="dxa"/>
            <w:tcBorders>
              <w:top w:val="nil"/>
              <w:left w:val="nil"/>
              <w:bottom w:val="nil"/>
              <w:right w:val="nil"/>
            </w:tcBorders>
            <w:shd w:val="clear" w:color="auto" w:fill="D9D9D9"/>
            <w:noWrap/>
            <w:vAlign w:val="center"/>
            <w:hideMark/>
          </w:tcPr>
          <w:p w14:paraId="404DFC9B" w14:textId="43779602"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72</w:t>
            </w:r>
          </w:p>
        </w:tc>
        <w:tc>
          <w:tcPr>
            <w:tcW w:w="812" w:type="dxa"/>
            <w:tcBorders>
              <w:top w:val="nil"/>
              <w:left w:val="nil"/>
              <w:bottom w:val="nil"/>
              <w:right w:val="nil"/>
            </w:tcBorders>
            <w:shd w:val="clear" w:color="auto" w:fill="D9D9D9"/>
            <w:noWrap/>
            <w:vAlign w:val="center"/>
            <w:hideMark/>
          </w:tcPr>
          <w:p w14:paraId="0AE0AB6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81BD013"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E0A6450"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3FB70AC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C248911" w14:textId="102A3519"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72</w:t>
            </w:r>
          </w:p>
        </w:tc>
        <w:tc>
          <w:tcPr>
            <w:tcW w:w="1069" w:type="dxa"/>
            <w:tcBorders>
              <w:top w:val="nil"/>
              <w:left w:val="nil"/>
              <w:bottom w:val="nil"/>
              <w:right w:val="nil"/>
            </w:tcBorders>
            <w:shd w:val="clear" w:color="auto" w:fill="D9D9D9"/>
            <w:noWrap/>
            <w:vAlign w:val="center"/>
            <w:hideMark/>
          </w:tcPr>
          <w:p w14:paraId="50AB542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7C82320" w14:textId="49FDFC13"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72</w:t>
            </w:r>
          </w:p>
        </w:tc>
        <w:tc>
          <w:tcPr>
            <w:tcW w:w="812" w:type="dxa"/>
            <w:tcBorders>
              <w:top w:val="nil"/>
              <w:left w:val="nil"/>
              <w:bottom w:val="nil"/>
              <w:right w:val="nil"/>
            </w:tcBorders>
            <w:shd w:val="clear" w:color="auto" w:fill="D9D9D9"/>
            <w:noWrap/>
            <w:vAlign w:val="center"/>
            <w:hideMark/>
          </w:tcPr>
          <w:p w14:paraId="33F85CF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5A1431FF"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53CEE68B"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436F335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C119070" w14:textId="61B7881A" w:rsidR="00F16E72" w:rsidRPr="001A4B94" w:rsidRDefault="00F16E72" w:rsidP="00F16E72">
            <w:pPr>
              <w:jc w:val="right"/>
              <w:rPr>
                <w:sz w:val="16"/>
                <w:szCs w:val="16"/>
                <w:lang w:val="tr-TR"/>
              </w:rPr>
            </w:pPr>
            <w:r w:rsidRPr="001A4B94">
              <w:rPr>
                <w:sz w:val="16"/>
                <w:szCs w:val="16"/>
                <w:lang w:val="tr-TR"/>
              </w:rPr>
              <w:t>47</w:t>
            </w:r>
            <w:r w:rsidR="007C4843" w:rsidRPr="001A4B94">
              <w:rPr>
                <w:sz w:val="16"/>
                <w:szCs w:val="16"/>
                <w:lang w:val="tr-TR"/>
              </w:rPr>
              <w:t>,</w:t>
            </w:r>
            <w:r w:rsidRPr="001A4B94">
              <w:rPr>
                <w:sz w:val="16"/>
                <w:szCs w:val="16"/>
                <w:lang w:val="tr-TR"/>
              </w:rPr>
              <w:t>72</w:t>
            </w:r>
          </w:p>
        </w:tc>
        <w:tc>
          <w:tcPr>
            <w:tcW w:w="990" w:type="dxa"/>
            <w:tcBorders>
              <w:top w:val="nil"/>
              <w:left w:val="nil"/>
              <w:bottom w:val="nil"/>
              <w:right w:val="nil"/>
            </w:tcBorders>
            <w:shd w:val="clear" w:color="auto" w:fill="D9D9D9"/>
            <w:noWrap/>
            <w:vAlign w:val="center"/>
            <w:hideMark/>
          </w:tcPr>
          <w:p w14:paraId="68DEC784" w14:textId="1F84309D"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6203213A" w14:textId="77777777" w:rsidTr="007C4843">
        <w:trPr>
          <w:trHeight w:val="255"/>
          <w:jc w:val="center"/>
        </w:trPr>
        <w:tc>
          <w:tcPr>
            <w:tcW w:w="1900" w:type="dxa"/>
            <w:tcBorders>
              <w:top w:val="nil"/>
              <w:left w:val="nil"/>
              <w:bottom w:val="nil"/>
              <w:right w:val="nil"/>
            </w:tcBorders>
            <w:shd w:val="clear" w:color="000000" w:fill="FFFFFF"/>
            <w:vAlign w:val="center"/>
            <w:hideMark/>
          </w:tcPr>
          <w:p w14:paraId="19C636A2" w14:textId="77777777" w:rsidR="00F16E72" w:rsidRPr="001A4B94" w:rsidRDefault="00F16E72" w:rsidP="00F16E72">
            <w:pPr>
              <w:rPr>
                <w:sz w:val="16"/>
                <w:szCs w:val="16"/>
                <w:lang w:val="tr-TR"/>
              </w:rPr>
            </w:pPr>
            <w:r w:rsidRPr="001A4B94">
              <w:rPr>
                <w:sz w:val="16"/>
                <w:szCs w:val="16"/>
                <w:lang w:val="tr-TR"/>
              </w:rPr>
              <w:t>1992</w:t>
            </w:r>
          </w:p>
        </w:tc>
        <w:tc>
          <w:tcPr>
            <w:tcW w:w="1470" w:type="dxa"/>
            <w:tcBorders>
              <w:top w:val="nil"/>
              <w:left w:val="nil"/>
              <w:bottom w:val="nil"/>
              <w:right w:val="nil"/>
            </w:tcBorders>
            <w:shd w:val="clear" w:color="000000" w:fill="FFFFFF"/>
            <w:noWrap/>
            <w:vAlign w:val="center"/>
            <w:hideMark/>
          </w:tcPr>
          <w:p w14:paraId="642A9BD9" w14:textId="77777777" w:rsidR="00F16E72" w:rsidRPr="001A4B94" w:rsidRDefault="00F16E72" w:rsidP="00F16E72">
            <w:pPr>
              <w:rPr>
                <w:sz w:val="16"/>
                <w:szCs w:val="16"/>
                <w:lang w:val="tr-TR"/>
              </w:rPr>
            </w:pPr>
            <w:r w:rsidRPr="001A4B94">
              <w:rPr>
                <w:sz w:val="16"/>
                <w:szCs w:val="16"/>
                <w:lang w:val="tr-TR"/>
              </w:rPr>
              <w:t>NASCO</w:t>
            </w:r>
          </w:p>
        </w:tc>
        <w:tc>
          <w:tcPr>
            <w:tcW w:w="776" w:type="dxa"/>
            <w:tcBorders>
              <w:top w:val="nil"/>
              <w:left w:val="nil"/>
              <w:bottom w:val="nil"/>
              <w:right w:val="nil"/>
            </w:tcBorders>
            <w:shd w:val="clear" w:color="000000" w:fill="FFFFFF"/>
            <w:noWrap/>
            <w:vAlign w:val="center"/>
            <w:hideMark/>
          </w:tcPr>
          <w:p w14:paraId="51A9BA1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77559BAF" w14:textId="7F8C44D5"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2A428EC6"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66C01B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0889D33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A79D99A" w14:textId="16A8B1EA"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1F9DA7E3"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7E3E791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DB962F1" w14:textId="768C3566"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0C1598E3"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396EE1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4037E57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3B6A86D5" w14:textId="45E06063"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000000" w:fill="FFFFFF"/>
            <w:noWrap/>
            <w:vAlign w:val="center"/>
            <w:hideMark/>
          </w:tcPr>
          <w:p w14:paraId="00C35E3E" w14:textId="3342AEE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40E411F1" w14:textId="77777777" w:rsidTr="007C4843">
        <w:trPr>
          <w:trHeight w:val="255"/>
          <w:jc w:val="center"/>
        </w:trPr>
        <w:tc>
          <w:tcPr>
            <w:tcW w:w="1900" w:type="dxa"/>
            <w:tcBorders>
              <w:top w:val="nil"/>
              <w:left w:val="nil"/>
              <w:bottom w:val="nil"/>
              <w:right w:val="nil"/>
            </w:tcBorders>
            <w:shd w:val="clear" w:color="auto" w:fill="D9D9D9"/>
            <w:vAlign w:val="center"/>
            <w:hideMark/>
          </w:tcPr>
          <w:p w14:paraId="2D1E8A76" w14:textId="77777777" w:rsidR="00F16E72" w:rsidRPr="001A4B94" w:rsidRDefault="00F16E72" w:rsidP="00F16E72">
            <w:pPr>
              <w:rPr>
                <w:sz w:val="16"/>
                <w:szCs w:val="16"/>
                <w:lang w:val="tr-TR"/>
              </w:rPr>
            </w:pPr>
            <w:r w:rsidRPr="001A4B94">
              <w:rPr>
                <w:sz w:val="16"/>
                <w:szCs w:val="16"/>
                <w:lang w:val="tr-TR"/>
              </w:rPr>
              <w:t>2014/ 2017/ 2015/ 2016</w:t>
            </w:r>
          </w:p>
        </w:tc>
        <w:tc>
          <w:tcPr>
            <w:tcW w:w="1470" w:type="dxa"/>
            <w:tcBorders>
              <w:top w:val="nil"/>
              <w:left w:val="nil"/>
              <w:bottom w:val="nil"/>
              <w:right w:val="nil"/>
            </w:tcBorders>
            <w:shd w:val="clear" w:color="auto" w:fill="D9D9D9"/>
            <w:noWrap/>
            <w:vAlign w:val="center"/>
            <w:hideMark/>
          </w:tcPr>
          <w:p w14:paraId="07B28E63" w14:textId="77777777" w:rsidR="00F16E72" w:rsidRPr="001A4B94" w:rsidRDefault="00F16E72" w:rsidP="00F16E72">
            <w:pPr>
              <w:rPr>
                <w:sz w:val="16"/>
                <w:szCs w:val="16"/>
                <w:lang w:val="tr-TR"/>
              </w:rPr>
            </w:pPr>
            <w:r w:rsidRPr="001A4B94">
              <w:rPr>
                <w:sz w:val="16"/>
                <w:szCs w:val="16"/>
                <w:lang w:val="tr-TR"/>
              </w:rPr>
              <w:t>Odea Bank</w:t>
            </w:r>
          </w:p>
        </w:tc>
        <w:tc>
          <w:tcPr>
            <w:tcW w:w="776" w:type="dxa"/>
            <w:tcBorders>
              <w:top w:val="nil"/>
              <w:left w:val="nil"/>
              <w:bottom w:val="nil"/>
              <w:right w:val="nil"/>
            </w:tcBorders>
            <w:shd w:val="clear" w:color="auto" w:fill="D9D9D9"/>
            <w:noWrap/>
            <w:vAlign w:val="center"/>
            <w:hideMark/>
          </w:tcPr>
          <w:p w14:paraId="680D244F" w14:textId="3E6D68C8" w:rsidR="00F16E72" w:rsidRPr="001A4B94" w:rsidRDefault="00F16E72" w:rsidP="00F16E72">
            <w:pPr>
              <w:jc w:val="right"/>
              <w:rPr>
                <w:sz w:val="16"/>
                <w:szCs w:val="16"/>
                <w:lang w:val="tr-TR"/>
              </w:rPr>
            </w:pPr>
            <w:r w:rsidRPr="001A4B94">
              <w:rPr>
                <w:sz w:val="16"/>
                <w:szCs w:val="16"/>
                <w:lang w:val="tr-TR"/>
              </w:rPr>
              <w:t>65</w:t>
            </w:r>
            <w:r w:rsidR="007C4843" w:rsidRPr="001A4B94">
              <w:rPr>
                <w:sz w:val="16"/>
                <w:szCs w:val="16"/>
                <w:lang w:val="tr-TR"/>
              </w:rPr>
              <w:t>,</w:t>
            </w:r>
            <w:r w:rsidRPr="001A4B94">
              <w:rPr>
                <w:sz w:val="16"/>
                <w:szCs w:val="16"/>
                <w:lang w:val="tr-TR"/>
              </w:rPr>
              <w:t>93</w:t>
            </w:r>
          </w:p>
        </w:tc>
        <w:tc>
          <w:tcPr>
            <w:tcW w:w="812" w:type="dxa"/>
            <w:tcBorders>
              <w:top w:val="nil"/>
              <w:left w:val="nil"/>
              <w:bottom w:val="nil"/>
              <w:right w:val="nil"/>
            </w:tcBorders>
            <w:shd w:val="clear" w:color="auto" w:fill="D9D9D9"/>
            <w:noWrap/>
            <w:vAlign w:val="center"/>
            <w:hideMark/>
          </w:tcPr>
          <w:p w14:paraId="5B36DB51" w14:textId="34DF5EF3" w:rsidR="00F16E72" w:rsidRPr="001A4B94" w:rsidRDefault="00F16E72" w:rsidP="00F16E72">
            <w:pPr>
              <w:jc w:val="right"/>
              <w:rPr>
                <w:sz w:val="16"/>
                <w:szCs w:val="16"/>
                <w:lang w:val="tr-TR"/>
              </w:rPr>
            </w:pPr>
            <w:r w:rsidRPr="001A4B94">
              <w:rPr>
                <w:sz w:val="16"/>
                <w:szCs w:val="16"/>
                <w:lang w:val="tr-TR"/>
              </w:rPr>
              <w:t>48</w:t>
            </w:r>
            <w:r w:rsidR="007C4843" w:rsidRPr="001A4B94">
              <w:rPr>
                <w:sz w:val="16"/>
                <w:szCs w:val="16"/>
                <w:lang w:val="tr-TR"/>
              </w:rPr>
              <w:t>,</w:t>
            </w:r>
            <w:r w:rsidRPr="001A4B94">
              <w:rPr>
                <w:sz w:val="16"/>
                <w:szCs w:val="16"/>
                <w:lang w:val="tr-TR"/>
              </w:rPr>
              <w:t>56</w:t>
            </w:r>
          </w:p>
        </w:tc>
        <w:tc>
          <w:tcPr>
            <w:tcW w:w="812" w:type="dxa"/>
            <w:tcBorders>
              <w:top w:val="nil"/>
              <w:left w:val="nil"/>
              <w:bottom w:val="nil"/>
              <w:right w:val="nil"/>
            </w:tcBorders>
            <w:shd w:val="clear" w:color="auto" w:fill="D9D9D9"/>
            <w:noWrap/>
            <w:vAlign w:val="center"/>
            <w:hideMark/>
          </w:tcPr>
          <w:p w14:paraId="62888C7D"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2B827DFD" w14:textId="592F1A12" w:rsidR="00F16E72" w:rsidRPr="001A4B94" w:rsidRDefault="00F16E72" w:rsidP="00F16E72">
            <w:pPr>
              <w:jc w:val="right"/>
              <w:rPr>
                <w:sz w:val="16"/>
                <w:szCs w:val="16"/>
                <w:lang w:val="tr-TR"/>
              </w:rPr>
            </w:pPr>
            <w:r w:rsidRPr="001A4B94">
              <w:rPr>
                <w:sz w:val="16"/>
                <w:szCs w:val="16"/>
                <w:lang w:val="tr-TR"/>
              </w:rPr>
              <w:t>198</w:t>
            </w:r>
            <w:r w:rsidR="007C4843" w:rsidRPr="001A4B94">
              <w:rPr>
                <w:sz w:val="16"/>
                <w:szCs w:val="16"/>
                <w:lang w:val="tr-TR"/>
              </w:rPr>
              <w:t>,</w:t>
            </w:r>
            <w:r w:rsidRPr="001A4B94">
              <w:rPr>
                <w:sz w:val="16"/>
                <w:szCs w:val="16"/>
                <w:lang w:val="tr-TR"/>
              </w:rPr>
              <w:t>58</w:t>
            </w:r>
          </w:p>
        </w:tc>
        <w:tc>
          <w:tcPr>
            <w:tcW w:w="710" w:type="dxa"/>
            <w:tcBorders>
              <w:top w:val="nil"/>
              <w:left w:val="nil"/>
              <w:bottom w:val="nil"/>
              <w:right w:val="nil"/>
            </w:tcBorders>
            <w:shd w:val="clear" w:color="auto" w:fill="D9D9D9"/>
            <w:noWrap/>
            <w:vAlign w:val="center"/>
            <w:hideMark/>
          </w:tcPr>
          <w:p w14:paraId="48281FF0"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465E0989" w14:textId="71F8926C" w:rsidR="00F16E72" w:rsidRPr="001A4B94" w:rsidRDefault="00F16E72" w:rsidP="00F16E72">
            <w:pPr>
              <w:jc w:val="right"/>
              <w:rPr>
                <w:sz w:val="16"/>
                <w:szCs w:val="16"/>
                <w:lang w:val="tr-TR"/>
              </w:rPr>
            </w:pPr>
            <w:r w:rsidRPr="001A4B94">
              <w:rPr>
                <w:sz w:val="16"/>
                <w:szCs w:val="16"/>
                <w:lang w:val="tr-TR"/>
              </w:rPr>
              <w:t>313</w:t>
            </w:r>
            <w:r w:rsidR="007C4843" w:rsidRPr="001A4B94">
              <w:rPr>
                <w:sz w:val="16"/>
                <w:szCs w:val="16"/>
                <w:lang w:val="tr-TR"/>
              </w:rPr>
              <w:t>,</w:t>
            </w:r>
            <w:r w:rsidRPr="001A4B94">
              <w:rPr>
                <w:sz w:val="16"/>
                <w:szCs w:val="16"/>
                <w:lang w:val="tr-TR"/>
              </w:rPr>
              <w:t>06</w:t>
            </w:r>
          </w:p>
        </w:tc>
        <w:tc>
          <w:tcPr>
            <w:tcW w:w="1069" w:type="dxa"/>
            <w:tcBorders>
              <w:top w:val="nil"/>
              <w:left w:val="nil"/>
              <w:bottom w:val="nil"/>
              <w:right w:val="nil"/>
            </w:tcBorders>
            <w:shd w:val="clear" w:color="auto" w:fill="D9D9D9"/>
            <w:noWrap/>
            <w:vAlign w:val="center"/>
            <w:hideMark/>
          </w:tcPr>
          <w:p w14:paraId="20A0B453" w14:textId="376CD206" w:rsidR="00F16E72" w:rsidRPr="001A4B94" w:rsidRDefault="00F16E72" w:rsidP="00F16E72">
            <w:pPr>
              <w:jc w:val="right"/>
              <w:rPr>
                <w:sz w:val="16"/>
                <w:szCs w:val="16"/>
                <w:lang w:val="tr-TR"/>
              </w:rPr>
            </w:pPr>
            <w:r w:rsidRPr="001A4B94">
              <w:rPr>
                <w:sz w:val="16"/>
                <w:szCs w:val="16"/>
                <w:lang w:val="tr-TR"/>
              </w:rPr>
              <w:t>35</w:t>
            </w:r>
            <w:r w:rsidR="007C4843" w:rsidRPr="001A4B94">
              <w:rPr>
                <w:sz w:val="16"/>
                <w:szCs w:val="16"/>
                <w:lang w:val="tr-TR"/>
              </w:rPr>
              <w:t>,</w:t>
            </w:r>
            <w:r w:rsidRPr="001A4B94">
              <w:rPr>
                <w:sz w:val="16"/>
                <w:szCs w:val="16"/>
                <w:lang w:val="tr-TR"/>
              </w:rPr>
              <w:t>00</w:t>
            </w:r>
          </w:p>
        </w:tc>
        <w:tc>
          <w:tcPr>
            <w:tcW w:w="776" w:type="dxa"/>
            <w:tcBorders>
              <w:top w:val="nil"/>
              <w:left w:val="nil"/>
              <w:bottom w:val="nil"/>
              <w:right w:val="nil"/>
            </w:tcBorders>
            <w:shd w:val="clear" w:color="auto" w:fill="D9D9D9"/>
            <w:noWrap/>
            <w:vAlign w:val="center"/>
            <w:hideMark/>
          </w:tcPr>
          <w:p w14:paraId="503288AD" w14:textId="7F1C009F" w:rsidR="00F16E72" w:rsidRPr="001A4B94" w:rsidRDefault="00F16E72" w:rsidP="00F16E72">
            <w:pPr>
              <w:jc w:val="right"/>
              <w:rPr>
                <w:sz w:val="16"/>
                <w:szCs w:val="16"/>
                <w:lang w:val="tr-TR"/>
              </w:rPr>
            </w:pPr>
            <w:r w:rsidRPr="001A4B94">
              <w:rPr>
                <w:sz w:val="16"/>
                <w:szCs w:val="16"/>
                <w:lang w:val="tr-TR"/>
              </w:rPr>
              <w:t>65</w:t>
            </w:r>
            <w:r w:rsidR="007C4843" w:rsidRPr="001A4B94">
              <w:rPr>
                <w:sz w:val="16"/>
                <w:szCs w:val="16"/>
                <w:lang w:val="tr-TR"/>
              </w:rPr>
              <w:t>,</w:t>
            </w:r>
            <w:r w:rsidRPr="001A4B94">
              <w:rPr>
                <w:sz w:val="16"/>
                <w:szCs w:val="16"/>
                <w:lang w:val="tr-TR"/>
              </w:rPr>
              <w:t>93</w:t>
            </w:r>
          </w:p>
        </w:tc>
        <w:tc>
          <w:tcPr>
            <w:tcW w:w="812" w:type="dxa"/>
            <w:tcBorders>
              <w:top w:val="nil"/>
              <w:left w:val="nil"/>
              <w:bottom w:val="nil"/>
              <w:right w:val="nil"/>
            </w:tcBorders>
            <w:shd w:val="clear" w:color="auto" w:fill="D9D9D9"/>
            <w:noWrap/>
            <w:vAlign w:val="center"/>
            <w:hideMark/>
          </w:tcPr>
          <w:p w14:paraId="3DB23B5A" w14:textId="64E0FEEE" w:rsidR="00F16E72" w:rsidRPr="001A4B94" w:rsidRDefault="00F16E72" w:rsidP="00F16E72">
            <w:pPr>
              <w:jc w:val="right"/>
              <w:rPr>
                <w:sz w:val="16"/>
                <w:szCs w:val="16"/>
                <w:lang w:val="tr-TR"/>
              </w:rPr>
            </w:pPr>
            <w:r w:rsidRPr="001A4B94">
              <w:rPr>
                <w:sz w:val="16"/>
                <w:szCs w:val="16"/>
                <w:lang w:val="tr-TR"/>
              </w:rPr>
              <w:t>48</w:t>
            </w:r>
            <w:r w:rsidR="007C4843" w:rsidRPr="001A4B94">
              <w:rPr>
                <w:sz w:val="16"/>
                <w:szCs w:val="16"/>
                <w:lang w:val="tr-TR"/>
              </w:rPr>
              <w:t>,</w:t>
            </w:r>
            <w:r w:rsidRPr="001A4B94">
              <w:rPr>
                <w:sz w:val="16"/>
                <w:szCs w:val="16"/>
                <w:lang w:val="tr-TR"/>
              </w:rPr>
              <w:t>56</w:t>
            </w:r>
          </w:p>
        </w:tc>
        <w:tc>
          <w:tcPr>
            <w:tcW w:w="812" w:type="dxa"/>
            <w:tcBorders>
              <w:top w:val="nil"/>
              <w:left w:val="nil"/>
              <w:bottom w:val="nil"/>
              <w:right w:val="nil"/>
            </w:tcBorders>
            <w:shd w:val="clear" w:color="auto" w:fill="D9D9D9"/>
            <w:noWrap/>
            <w:vAlign w:val="center"/>
            <w:hideMark/>
          </w:tcPr>
          <w:p w14:paraId="799BB1C0"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4FF0C95" w14:textId="055A9129" w:rsidR="00F16E72" w:rsidRPr="001A4B94" w:rsidRDefault="00F16E72" w:rsidP="00F16E72">
            <w:pPr>
              <w:jc w:val="right"/>
              <w:rPr>
                <w:sz w:val="16"/>
                <w:szCs w:val="16"/>
                <w:lang w:val="tr-TR"/>
              </w:rPr>
            </w:pPr>
            <w:r w:rsidRPr="001A4B94">
              <w:rPr>
                <w:sz w:val="16"/>
                <w:szCs w:val="16"/>
                <w:lang w:val="tr-TR"/>
              </w:rPr>
              <w:t>198</w:t>
            </w:r>
            <w:r w:rsidR="007C4843" w:rsidRPr="001A4B94">
              <w:rPr>
                <w:sz w:val="16"/>
                <w:szCs w:val="16"/>
                <w:lang w:val="tr-TR"/>
              </w:rPr>
              <w:t>,</w:t>
            </w:r>
            <w:r w:rsidRPr="001A4B94">
              <w:rPr>
                <w:sz w:val="16"/>
                <w:szCs w:val="16"/>
                <w:lang w:val="tr-TR"/>
              </w:rPr>
              <w:t>58</w:t>
            </w:r>
          </w:p>
        </w:tc>
        <w:tc>
          <w:tcPr>
            <w:tcW w:w="685" w:type="dxa"/>
            <w:tcBorders>
              <w:top w:val="nil"/>
              <w:left w:val="nil"/>
              <w:bottom w:val="nil"/>
              <w:right w:val="nil"/>
            </w:tcBorders>
            <w:shd w:val="clear" w:color="auto" w:fill="D9D9D9"/>
            <w:noWrap/>
            <w:vAlign w:val="center"/>
            <w:hideMark/>
          </w:tcPr>
          <w:p w14:paraId="27929775"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DC9297D" w14:textId="7D601CDA" w:rsidR="00F16E72" w:rsidRPr="001A4B94" w:rsidRDefault="00F16E72" w:rsidP="00F16E72">
            <w:pPr>
              <w:jc w:val="right"/>
              <w:rPr>
                <w:sz w:val="16"/>
                <w:szCs w:val="16"/>
                <w:lang w:val="tr-TR"/>
              </w:rPr>
            </w:pPr>
            <w:r w:rsidRPr="001A4B94">
              <w:rPr>
                <w:sz w:val="16"/>
                <w:szCs w:val="16"/>
                <w:lang w:val="tr-TR"/>
              </w:rPr>
              <w:t>313</w:t>
            </w:r>
            <w:r w:rsidR="007C4843" w:rsidRPr="001A4B94">
              <w:rPr>
                <w:sz w:val="16"/>
                <w:szCs w:val="16"/>
                <w:lang w:val="tr-TR"/>
              </w:rPr>
              <w:t>,</w:t>
            </w:r>
            <w:r w:rsidRPr="001A4B94">
              <w:rPr>
                <w:sz w:val="16"/>
                <w:szCs w:val="16"/>
                <w:lang w:val="tr-TR"/>
              </w:rPr>
              <w:t>06</w:t>
            </w:r>
          </w:p>
        </w:tc>
        <w:tc>
          <w:tcPr>
            <w:tcW w:w="990" w:type="dxa"/>
            <w:tcBorders>
              <w:top w:val="nil"/>
              <w:left w:val="nil"/>
              <w:bottom w:val="nil"/>
              <w:right w:val="nil"/>
            </w:tcBorders>
            <w:shd w:val="clear" w:color="auto" w:fill="D9D9D9"/>
            <w:noWrap/>
            <w:vAlign w:val="center"/>
            <w:hideMark/>
          </w:tcPr>
          <w:p w14:paraId="69496CE9" w14:textId="0B87B22F" w:rsidR="00F16E72" w:rsidRPr="001A4B94" w:rsidRDefault="00F16E72" w:rsidP="00F16E72">
            <w:pPr>
              <w:jc w:val="right"/>
              <w:rPr>
                <w:sz w:val="16"/>
                <w:szCs w:val="16"/>
                <w:lang w:val="tr-TR"/>
              </w:rPr>
            </w:pPr>
            <w:r w:rsidRPr="001A4B94">
              <w:rPr>
                <w:sz w:val="16"/>
                <w:szCs w:val="16"/>
                <w:lang w:val="tr-TR"/>
              </w:rPr>
              <w:t>35</w:t>
            </w:r>
            <w:r w:rsidR="007C4843" w:rsidRPr="001A4B94">
              <w:rPr>
                <w:sz w:val="16"/>
                <w:szCs w:val="16"/>
                <w:lang w:val="tr-TR"/>
              </w:rPr>
              <w:t>,</w:t>
            </w:r>
            <w:r w:rsidRPr="001A4B94">
              <w:rPr>
                <w:sz w:val="16"/>
                <w:szCs w:val="16"/>
                <w:lang w:val="tr-TR"/>
              </w:rPr>
              <w:t>00</w:t>
            </w:r>
          </w:p>
        </w:tc>
      </w:tr>
      <w:tr w:rsidR="00F16E72" w:rsidRPr="001A4B94" w14:paraId="7282BEAF" w14:textId="77777777" w:rsidTr="007C4843">
        <w:trPr>
          <w:trHeight w:val="255"/>
          <w:jc w:val="center"/>
        </w:trPr>
        <w:tc>
          <w:tcPr>
            <w:tcW w:w="1900" w:type="dxa"/>
            <w:tcBorders>
              <w:top w:val="nil"/>
              <w:left w:val="nil"/>
              <w:bottom w:val="nil"/>
              <w:right w:val="nil"/>
            </w:tcBorders>
            <w:shd w:val="clear" w:color="000000" w:fill="FFFFFF"/>
            <w:vAlign w:val="center"/>
            <w:hideMark/>
          </w:tcPr>
          <w:p w14:paraId="08912897" w14:textId="77777777" w:rsidR="00F16E72" w:rsidRPr="001A4B94" w:rsidRDefault="00F16E72" w:rsidP="00F16E72">
            <w:pPr>
              <w:rPr>
                <w:sz w:val="16"/>
                <w:szCs w:val="16"/>
                <w:lang w:val="tr-TR"/>
              </w:rPr>
            </w:pPr>
            <w:r w:rsidRPr="001A4B94">
              <w:rPr>
                <w:sz w:val="16"/>
                <w:szCs w:val="16"/>
                <w:lang w:val="tr-TR"/>
              </w:rPr>
              <w:t>2013/ 2014</w:t>
            </w:r>
          </w:p>
        </w:tc>
        <w:tc>
          <w:tcPr>
            <w:tcW w:w="1470" w:type="dxa"/>
            <w:tcBorders>
              <w:top w:val="nil"/>
              <w:left w:val="nil"/>
              <w:bottom w:val="nil"/>
              <w:right w:val="nil"/>
            </w:tcBorders>
            <w:shd w:val="clear" w:color="000000" w:fill="FFFFFF"/>
            <w:noWrap/>
            <w:vAlign w:val="center"/>
            <w:hideMark/>
          </w:tcPr>
          <w:p w14:paraId="43CEDAC2" w14:textId="77777777" w:rsidR="00F16E72" w:rsidRPr="001A4B94" w:rsidRDefault="00F16E72" w:rsidP="00F16E72">
            <w:pPr>
              <w:rPr>
                <w:sz w:val="16"/>
                <w:szCs w:val="16"/>
                <w:lang w:val="tr-TR"/>
              </w:rPr>
            </w:pPr>
            <w:r w:rsidRPr="001A4B94">
              <w:rPr>
                <w:sz w:val="16"/>
                <w:szCs w:val="16"/>
                <w:lang w:val="tr-TR"/>
              </w:rPr>
              <w:t>OzU</w:t>
            </w:r>
          </w:p>
        </w:tc>
        <w:tc>
          <w:tcPr>
            <w:tcW w:w="776" w:type="dxa"/>
            <w:tcBorders>
              <w:top w:val="nil"/>
              <w:left w:val="nil"/>
              <w:bottom w:val="nil"/>
              <w:right w:val="nil"/>
            </w:tcBorders>
            <w:shd w:val="clear" w:color="000000" w:fill="FFFFFF"/>
            <w:noWrap/>
            <w:vAlign w:val="center"/>
            <w:hideMark/>
          </w:tcPr>
          <w:p w14:paraId="71AB1D44" w14:textId="6A683007" w:rsidR="00F16E72" w:rsidRPr="001A4B94" w:rsidRDefault="00F16E72" w:rsidP="00F16E72">
            <w:pPr>
              <w:jc w:val="right"/>
              <w:rPr>
                <w:sz w:val="16"/>
                <w:szCs w:val="16"/>
                <w:lang w:val="tr-TR"/>
              </w:rPr>
            </w:pPr>
            <w:r w:rsidRPr="001A4B94">
              <w:rPr>
                <w:sz w:val="16"/>
                <w:szCs w:val="16"/>
                <w:lang w:val="tr-TR"/>
              </w:rPr>
              <w:t>23</w:t>
            </w:r>
            <w:r w:rsidR="007C4843" w:rsidRPr="001A4B94">
              <w:rPr>
                <w:sz w:val="16"/>
                <w:szCs w:val="16"/>
                <w:lang w:val="tr-TR"/>
              </w:rPr>
              <w:t>,</w:t>
            </w:r>
            <w:r w:rsidRPr="001A4B94">
              <w:rPr>
                <w:sz w:val="16"/>
                <w:szCs w:val="16"/>
                <w:lang w:val="tr-TR"/>
              </w:rPr>
              <w:t>18</w:t>
            </w:r>
          </w:p>
        </w:tc>
        <w:tc>
          <w:tcPr>
            <w:tcW w:w="812" w:type="dxa"/>
            <w:tcBorders>
              <w:top w:val="nil"/>
              <w:left w:val="nil"/>
              <w:bottom w:val="nil"/>
              <w:right w:val="nil"/>
            </w:tcBorders>
            <w:shd w:val="clear" w:color="000000" w:fill="FFFFFF"/>
            <w:noWrap/>
            <w:vAlign w:val="center"/>
            <w:hideMark/>
          </w:tcPr>
          <w:p w14:paraId="4C8E9CE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16265D01"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8CAB858"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740EDEA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7980D94D" w14:textId="4C1B7F21" w:rsidR="00F16E72" w:rsidRPr="001A4B94" w:rsidRDefault="00F16E72" w:rsidP="00F16E72">
            <w:pPr>
              <w:jc w:val="right"/>
              <w:rPr>
                <w:sz w:val="16"/>
                <w:szCs w:val="16"/>
                <w:lang w:val="tr-TR"/>
              </w:rPr>
            </w:pPr>
            <w:r w:rsidRPr="001A4B94">
              <w:rPr>
                <w:sz w:val="16"/>
                <w:szCs w:val="16"/>
                <w:lang w:val="tr-TR"/>
              </w:rPr>
              <w:t>23</w:t>
            </w:r>
            <w:r w:rsidR="007C4843" w:rsidRPr="001A4B94">
              <w:rPr>
                <w:sz w:val="16"/>
                <w:szCs w:val="16"/>
                <w:lang w:val="tr-TR"/>
              </w:rPr>
              <w:t>,</w:t>
            </w:r>
            <w:r w:rsidRPr="001A4B94">
              <w:rPr>
                <w:sz w:val="16"/>
                <w:szCs w:val="16"/>
                <w:lang w:val="tr-TR"/>
              </w:rPr>
              <w:t>18</w:t>
            </w:r>
          </w:p>
        </w:tc>
        <w:tc>
          <w:tcPr>
            <w:tcW w:w="1069" w:type="dxa"/>
            <w:tcBorders>
              <w:top w:val="nil"/>
              <w:left w:val="nil"/>
              <w:bottom w:val="nil"/>
              <w:right w:val="nil"/>
            </w:tcBorders>
            <w:shd w:val="clear" w:color="000000" w:fill="FFFFFF"/>
            <w:noWrap/>
            <w:vAlign w:val="center"/>
            <w:hideMark/>
          </w:tcPr>
          <w:p w14:paraId="5F1D4BFE"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01F93435" w14:textId="626FE016" w:rsidR="00F16E72" w:rsidRPr="001A4B94" w:rsidRDefault="00F16E72" w:rsidP="00F16E72">
            <w:pPr>
              <w:jc w:val="right"/>
              <w:rPr>
                <w:sz w:val="16"/>
                <w:szCs w:val="16"/>
                <w:lang w:val="tr-TR"/>
              </w:rPr>
            </w:pPr>
            <w:r w:rsidRPr="001A4B94">
              <w:rPr>
                <w:sz w:val="16"/>
                <w:szCs w:val="16"/>
                <w:lang w:val="tr-TR"/>
              </w:rPr>
              <w:t>23</w:t>
            </w:r>
            <w:r w:rsidR="007C4843" w:rsidRPr="001A4B94">
              <w:rPr>
                <w:sz w:val="16"/>
                <w:szCs w:val="16"/>
                <w:lang w:val="tr-TR"/>
              </w:rPr>
              <w:t>,</w:t>
            </w:r>
            <w:r w:rsidRPr="001A4B94">
              <w:rPr>
                <w:sz w:val="16"/>
                <w:szCs w:val="16"/>
                <w:lang w:val="tr-TR"/>
              </w:rPr>
              <w:t>18</w:t>
            </w:r>
          </w:p>
        </w:tc>
        <w:tc>
          <w:tcPr>
            <w:tcW w:w="812" w:type="dxa"/>
            <w:tcBorders>
              <w:top w:val="nil"/>
              <w:left w:val="nil"/>
              <w:bottom w:val="nil"/>
              <w:right w:val="nil"/>
            </w:tcBorders>
            <w:shd w:val="clear" w:color="000000" w:fill="FFFFFF"/>
            <w:noWrap/>
            <w:vAlign w:val="center"/>
            <w:hideMark/>
          </w:tcPr>
          <w:p w14:paraId="50547C1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428757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2F2F262E"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3ED8854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137DFB71" w14:textId="58548753" w:rsidR="00F16E72" w:rsidRPr="001A4B94" w:rsidRDefault="00F16E72" w:rsidP="00F16E72">
            <w:pPr>
              <w:jc w:val="right"/>
              <w:rPr>
                <w:sz w:val="16"/>
                <w:szCs w:val="16"/>
                <w:lang w:val="tr-TR"/>
              </w:rPr>
            </w:pPr>
            <w:r w:rsidRPr="001A4B94">
              <w:rPr>
                <w:sz w:val="16"/>
                <w:szCs w:val="16"/>
                <w:lang w:val="tr-TR"/>
              </w:rPr>
              <w:t>23</w:t>
            </w:r>
            <w:r w:rsidR="007C4843" w:rsidRPr="001A4B94">
              <w:rPr>
                <w:sz w:val="16"/>
                <w:szCs w:val="16"/>
                <w:lang w:val="tr-TR"/>
              </w:rPr>
              <w:t>,</w:t>
            </w:r>
            <w:r w:rsidRPr="001A4B94">
              <w:rPr>
                <w:sz w:val="16"/>
                <w:szCs w:val="16"/>
                <w:lang w:val="tr-TR"/>
              </w:rPr>
              <w:t>18</w:t>
            </w:r>
          </w:p>
        </w:tc>
        <w:tc>
          <w:tcPr>
            <w:tcW w:w="990" w:type="dxa"/>
            <w:tcBorders>
              <w:top w:val="nil"/>
              <w:left w:val="nil"/>
              <w:bottom w:val="nil"/>
              <w:right w:val="nil"/>
            </w:tcBorders>
            <w:shd w:val="clear" w:color="000000" w:fill="FFFFFF"/>
            <w:noWrap/>
            <w:vAlign w:val="center"/>
            <w:hideMark/>
          </w:tcPr>
          <w:p w14:paraId="6323E12F" w14:textId="31974B0C"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D8CFDD2" w14:textId="77777777" w:rsidTr="007C4843">
        <w:trPr>
          <w:trHeight w:val="270"/>
          <w:jc w:val="center"/>
        </w:trPr>
        <w:tc>
          <w:tcPr>
            <w:tcW w:w="1900" w:type="dxa"/>
            <w:tcBorders>
              <w:top w:val="nil"/>
              <w:left w:val="nil"/>
              <w:bottom w:val="nil"/>
              <w:right w:val="nil"/>
            </w:tcBorders>
            <w:shd w:val="clear" w:color="auto" w:fill="D9D9D9"/>
            <w:vAlign w:val="center"/>
            <w:hideMark/>
          </w:tcPr>
          <w:p w14:paraId="1CDA2E05" w14:textId="77777777" w:rsidR="00F16E72" w:rsidRPr="001A4B94" w:rsidRDefault="00F16E72" w:rsidP="00F16E72">
            <w:pPr>
              <w:rPr>
                <w:sz w:val="16"/>
                <w:szCs w:val="16"/>
                <w:lang w:val="tr-TR"/>
              </w:rPr>
            </w:pPr>
            <w:r w:rsidRPr="001A4B94">
              <w:rPr>
                <w:sz w:val="16"/>
                <w:szCs w:val="16"/>
                <w:lang w:val="tr-TR"/>
              </w:rPr>
              <w:t>2013</w:t>
            </w:r>
          </w:p>
        </w:tc>
        <w:tc>
          <w:tcPr>
            <w:tcW w:w="1470" w:type="dxa"/>
            <w:tcBorders>
              <w:top w:val="nil"/>
              <w:left w:val="nil"/>
              <w:bottom w:val="nil"/>
              <w:right w:val="nil"/>
            </w:tcBorders>
            <w:shd w:val="clear" w:color="auto" w:fill="D9D9D9"/>
            <w:noWrap/>
            <w:vAlign w:val="center"/>
            <w:hideMark/>
          </w:tcPr>
          <w:p w14:paraId="792445C3" w14:textId="77777777" w:rsidR="00F16E72" w:rsidRPr="001A4B94" w:rsidRDefault="00F16E72" w:rsidP="00F16E72">
            <w:pPr>
              <w:rPr>
                <w:sz w:val="16"/>
                <w:szCs w:val="16"/>
                <w:lang w:val="tr-TR"/>
              </w:rPr>
            </w:pPr>
            <w:r w:rsidRPr="001A4B94">
              <w:rPr>
                <w:sz w:val="16"/>
                <w:szCs w:val="16"/>
                <w:lang w:val="tr-TR"/>
              </w:rPr>
              <w:t>Plato</w:t>
            </w:r>
          </w:p>
        </w:tc>
        <w:tc>
          <w:tcPr>
            <w:tcW w:w="776" w:type="dxa"/>
            <w:tcBorders>
              <w:top w:val="nil"/>
              <w:left w:val="nil"/>
              <w:bottom w:val="nil"/>
              <w:right w:val="nil"/>
            </w:tcBorders>
            <w:shd w:val="clear" w:color="auto" w:fill="D9D9D9"/>
            <w:noWrap/>
            <w:vAlign w:val="center"/>
            <w:hideMark/>
          </w:tcPr>
          <w:p w14:paraId="7F9542C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1C2F865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6426EEE" w14:textId="31287EBD"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auto" w:fill="D9D9D9"/>
            <w:noWrap/>
            <w:vAlign w:val="center"/>
            <w:hideMark/>
          </w:tcPr>
          <w:p w14:paraId="1DA695CD"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1ACD9E2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D3A3A34" w14:textId="12C788B2"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auto" w:fill="D9D9D9"/>
            <w:noWrap/>
            <w:vAlign w:val="center"/>
            <w:hideMark/>
          </w:tcPr>
          <w:p w14:paraId="1DD7C18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7927E2F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A3BA4F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D340287" w14:textId="58ABC7FD"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auto" w:fill="D9D9D9"/>
            <w:noWrap/>
            <w:vAlign w:val="center"/>
            <w:hideMark/>
          </w:tcPr>
          <w:p w14:paraId="3F51BF5F"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3E27808B"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C7B36F5" w14:textId="6FCF67FD" w:rsidR="00F16E72" w:rsidRPr="001A4B94" w:rsidRDefault="00F16E72" w:rsidP="00F16E72">
            <w:pPr>
              <w:jc w:val="right"/>
              <w:rPr>
                <w:sz w:val="16"/>
                <w:szCs w:val="16"/>
                <w:lang w:val="tr-TR"/>
              </w:rPr>
            </w:pPr>
            <w:r w:rsidRPr="001A4B94">
              <w:rPr>
                <w:sz w:val="16"/>
                <w:szCs w:val="16"/>
                <w:lang w:val="tr-TR"/>
              </w:rPr>
              <w:t>2</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auto" w:fill="D9D9D9"/>
            <w:noWrap/>
            <w:vAlign w:val="center"/>
            <w:hideMark/>
          </w:tcPr>
          <w:p w14:paraId="6DF7FC0A" w14:textId="4A2CADF1"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0CFE566E" w14:textId="77777777" w:rsidTr="007C4843">
        <w:trPr>
          <w:trHeight w:val="255"/>
          <w:jc w:val="center"/>
        </w:trPr>
        <w:tc>
          <w:tcPr>
            <w:tcW w:w="1900" w:type="dxa"/>
            <w:tcBorders>
              <w:top w:val="nil"/>
              <w:left w:val="nil"/>
              <w:bottom w:val="nil"/>
              <w:right w:val="nil"/>
            </w:tcBorders>
            <w:shd w:val="clear" w:color="000000" w:fill="FFFFFF"/>
            <w:vAlign w:val="center"/>
            <w:hideMark/>
          </w:tcPr>
          <w:p w14:paraId="04F25A9A" w14:textId="77777777" w:rsidR="00F16E72" w:rsidRPr="001A4B94" w:rsidRDefault="00F16E72" w:rsidP="00F16E72">
            <w:pPr>
              <w:rPr>
                <w:sz w:val="16"/>
                <w:szCs w:val="16"/>
                <w:lang w:val="tr-TR"/>
              </w:rPr>
            </w:pPr>
            <w:r w:rsidRPr="001A4B94">
              <w:rPr>
                <w:sz w:val="16"/>
                <w:szCs w:val="16"/>
                <w:lang w:val="tr-TR"/>
              </w:rPr>
              <w:t>2013/ 2007/ 2011/ 2016/ 2012</w:t>
            </w:r>
          </w:p>
        </w:tc>
        <w:tc>
          <w:tcPr>
            <w:tcW w:w="1470" w:type="dxa"/>
            <w:tcBorders>
              <w:top w:val="nil"/>
              <w:left w:val="nil"/>
              <w:bottom w:val="nil"/>
              <w:right w:val="nil"/>
            </w:tcBorders>
            <w:shd w:val="clear" w:color="000000" w:fill="FFFFFF"/>
            <w:noWrap/>
            <w:vAlign w:val="center"/>
            <w:hideMark/>
          </w:tcPr>
          <w:p w14:paraId="608A7C57" w14:textId="77777777" w:rsidR="00F16E72" w:rsidRPr="001A4B94" w:rsidRDefault="00F16E72" w:rsidP="00F16E72">
            <w:pPr>
              <w:rPr>
                <w:sz w:val="16"/>
                <w:szCs w:val="16"/>
                <w:lang w:val="tr-TR"/>
              </w:rPr>
            </w:pPr>
            <w:r w:rsidRPr="001A4B94">
              <w:rPr>
                <w:sz w:val="16"/>
                <w:szCs w:val="16"/>
                <w:lang w:val="tr-TR"/>
              </w:rPr>
              <w:t>QNB Finansbank</w:t>
            </w:r>
          </w:p>
        </w:tc>
        <w:tc>
          <w:tcPr>
            <w:tcW w:w="776" w:type="dxa"/>
            <w:tcBorders>
              <w:top w:val="nil"/>
              <w:left w:val="nil"/>
              <w:bottom w:val="nil"/>
              <w:right w:val="nil"/>
            </w:tcBorders>
            <w:shd w:val="clear" w:color="000000" w:fill="FFFFFF"/>
            <w:noWrap/>
            <w:vAlign w:val="center"/>
            <w:hideMark/>
          </w:tcPr>
          <w:p w14:paraId="3BD110DD" w14:textId="0C2017B9" w:rsidR="00F16E72" w:rsidRPr="001A4B94" w:rsidRDefault="00F16E72" w:rsidP="00F16E72">
            <w:pPr>
              <w:jc w:val="right"/>
              <w:rPr>
                <w:sz w:val="16"/>
                <w:szCs w:val="16"/>
                <w:lang w:val="tr-TR"/>
              </w:rPr>
            </w:pPr>
            <w:r w:rsidRPr="001A4B94">
              <w:rPr>
                <w:sz w:val="16"/>
                <w:szCs w:val="16"/>
                <w:lang w:val="tr-TR"/>
              </w:rPr>
              <w:t>115</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5E80C06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0C62329F"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2E3CB343"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69B5DF5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0145E9D2" w14:textId="5816D5BA" w:rsidR="00F16E72" w:rsidRPr="001A4B94" w:rsidRDefault="00F16E72" w:rsidP="00F16E72">
            <w:pPr>
              <w:jc w:val="right"/>
              <w:rPr>
                <w:sz w:val="16"/>
                <w:szCs w:val="16"/>
                <w:lang w:val="tr-TR"/>
              </w:rPr>
            </w:pPr>
            <w:r w:rsidRPr="001A4B94">
              <w:rPr>
                <w:sz w:val="16"/>
                <w:szCs w:val="16"/>
                <w:lang w:val="tr-TR"/>
              </w:rPr>
              <w:t>115</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7227CF43"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7C474376" w14:textId="77C21AD3" w:rsidR="00F16E72" w:rsidRPr="001A4B94" w:rsidRDefault="00F16E72" w:rsidP="00F16E72">
            <w:pPr>
              <w:jc w:val="right"/>
              <w:rPr>
                <w:sz w:val="16"/>
                <w:szCs w:val="16"/>
                <w:lang w:val="tr-TR"/>
              </w:rPr>
            </w:pPr>
            <w:r w:rsidRPr="001A4B94">
              <w:rPr>
                <w:sz w:val="16"/>
                <w:szCs w:val="16"/>
                <w:lang w:val="tr-TR"/>
              </w:rPr>
              <w:t>115</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54F3F07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D5DD788"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4225A5F"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34F1997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33988754" w14:textId="55F661B7" w:rsidR="00F16E72" w:rsidRPr="001A4B94" w:rsidRDefault="00F16E72" w:rsidP="00F16E72">
            <w:pPr>
              <w:jc w:val="right"/>
              <w:rPr>
                <w:sz w:val="16"/>
                <w:szCs w:val="16"/>
                <w:lang w:val="tr-TR"/>
              </w:rPr>
            </w:pPr>
            <w:r w:rsidRPr="001A4B94">
              <w:rPr>
                <w:sz w:val="16"/>
                <w:szCs w:val="16"/>
                <w:lang w:val="tr-TR"/>
              </w:rPr>
              <w:t>115</w:t>
            </w:r>
            <w:r w:rsidR="007C4843"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000000" w:fill="FFFFFF"/>
            <w:noWrap/>
            <w:vAlign w:val="center"/>
            <w:hideMark/>
          </w:tcPr>
          <w:p w14:paraId="7D8C5DFB" w14:textId="39698D37"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5907BC70" w14:textId="77777777" w:rsidTr="007C4843">
        <w:trPr>
          <w:trHeight w:val="255"/>
          <w:jc w:val="center"/>
        </w:trPr>
        <w:tc>
          <w:tcPr>
            <w:tcW w:w="1900" w:type="dxa"/>
            <w:tcBorders>
              <w:top w:val="nil"/>
              <w:left w:val="nil"/>
              <w:bottom w:val="nil"/>
              <w:right w:val="nil"/>
            </w:tcBorders>
            <w:shd w:val="clear" w:color="auto" w:fill="D9D9D9"/>
            <w:vAlign w:val="center"/>
            <w:hideMark/>
          </w:tcPr>
          <w:p w14:paraId="14467156" w14:textId="77777777" w:rsidR="00F16E72" w:rsidRPr="001A4B94" w:rsidRDefault="00F16E72" w:rsidP="00F16E72">
            <w:pPr>
              <w:rPr>
                <w:sz w:val="16"/>
                <w:szCs w:val="16"/>
                <w:lang w:val="tr-TR"/>
              </w:rPr>
            </w:pPr>
            <w:r w:rsidRPr="001A4B94">
              <w:rPr>
                <w:sz w:val="16"/>
                <w:szCs w:val="16"/>
                <w:lang w:val="tr-TR"/>
              </w:rPr>
              <w:t>2014</w:t>
            </w:r>
          </w:p>
        </w:tc>
        <w:tc>
          <w:tcPr>
            <w:tcW w:w="1470" w:type="dxa"/>
            <w:tcBorders>
              <w:top w:val="nil"/>
              <w:left w:val="nil"/>
              <w:bottom w:val="nil"/>
              <w:right w:val="nil"/>
            </w:tcBorders>
            <w:shd w:val="clear" w:color="auto" w:fill="D9D9D9"/>
            <w:noWrap/>
            <w:vAlign w:val="center"/>
            <w:hideMark/>
          </w:tcPr>
          <w:p w14:paraId="6D76ACA2" w14:textId="17CAED66" w:rsidR="00F16E72" w:rsidRPr="001A4B94" w:rsidRDefault="00F16E72" w:rsidP="00F16E72">
            <w:pPr>
              <w:rPr>
                <w:sz w:val="16"/>
                <w:szCs w:val="16"/>
                <w:lang w:val="tr-TR"/>
              </w:rPr>
            </w:pPr>
            <w:r w:rsidRPr="001A4B94">
              <w:rPr>
                <w:sz w:val="16"/>
                <w:szCs w:val="16"/>
                <w:lang w:val="tr-TR"/>
              </w:rPr>
              <w:t xml:space="preserve">Recordati </w:t>
            </w:r>
            <w:r w:rsidR="007C4843" w:rsidRPr="001A4B94">
              <w:rPr>
                <w:sz w:val="16"/>
                <w:szCs w:val="16"/>
                <w:lang w:val="tr-TR"/>
              </w:rPr>
              <w:t>İlaç</w:t>
            </w:r>
          </w:p>
        </w:tc>
        <w:tc>
          <w:tcPr>
            <w:tcW w:w="776" w:type="dxa"/>
            <w:tcBorders>
              <w:top w:val="nil"/>
              <w:left w:val="nil"/>
              <w:bottom w:val="nil"/>
              <w:right w:val="nil"/>
            </w:tcBorders>
            <w:shd w:val="clear" w:color="auto" w:fill="D9D9D9"/>
            <w:noWrap/>
            <w:vAlign w:val="center"/>
            <w:hideMark/>
          </w:tcPr>
          <w:p w14:paraId="7CC9AC1F" w14:textId="47831699" w:rsidR="00F16E72" w:rsidRPr="001A4B94" w:rsidRDefault="00F16E72" w:rsidP="00F16E72">
            <w:pPr>
              <w:jc w:val="right"/>
              <w:rPr>
                <w:sz w:val="16"/>
                <w:szCs w:val="16"/>
                <w:lang w:val="tr-TR"/>
              </w:rPr>
            </w:pPr>
            <w:r w:rsidRPr="001A4B94">
              <w:rPr>
                <w:sz w:val="16"/>
                <w:szCs w:val="16"/>
                <w:lang w:val="tr-TR"/>
              </w:rPr>
              <w:t>17</w:t>
            </w:r>
            <w:r w:rsidR="007C4843" w:rsidRPr="001A4B94">
              <w:rPr>
                <w:sz w:val="16"/>
                <w:szCs w:val="16"/>
                <w:lang w:val="tr-TR"/>
              </w:rPr>
              <w:t>,</w:t>
            </w:r>
            <w:r w:rsidRPr="001A4B94">
              <w:rPr>
                <w:sz w:val="16"/>
                <w:szCs w:val="16"/>
                <w:lang w:val="tr-TR"/>
              </w:rPr>
              <w:t>82</w:t>
            </w:r>
          </w:p>
        </w:tc>
        <w:tc>
          <w:tcPr>
            <w:tcW w:w="812" w:type="dxa"/>
            <w:tcBorders>
              <w:top w:val="nil"/>
              <w:left w:val="nil"/>
              <w:bottom w:val="nil"/>
              <w:right w:val="nil"/>
            </w:tcBorders>
            <w:shd w:val="clear" w:color="auto" w:fill="D9D9D9"/>
            <w:noWrap/>
            <w:vAlign w:val="center"/>
            <w:hideMark/>
          </w:tcPr>
          <w:p w14:paraId="5FDD296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28A5645"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501C6696"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6C987A4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098FF2B" w14:textId="1EF004FA" w:rsidR="00F16E72" w:rsidRPr="001A4B94" w:rsidRDefault="00F16E72" w:rsidP="00F16E72">
            <w:pPr>
              <w:jc w:val="right"/>
              <w:rPr>
                <w:sz w:val="16"/>
                <w:szCs w:val="16"/>
                <w:lang w:val="tr-TR"/>
              </w:rPr>
            </w:pPr>
            <w:r w:rsidRPr="001A4B94">
              <w:rPr>
                <w:sz w:val="16"/>
                <w:szCs w:val="16"/>
                <w:lang w:val="tr-TR"/>
              </w:rPr>
              <w:t>17</w:t>
            </w:r>
            <w:r w:rsidR="007C4843" w:rsidRPr="001A4B94">
              <w:rPr>
                <w:sz w:val="16"/>
                <w:szCs w:val="16"/>
                <w:lang w:val="tr-TR"/>
              </w:rPr>
              <w:t>,</w:t>
            </w:r>
            <w:r w:rsidRPr="001A4B94">
              <w:rPr>
                <w:sz w:val="16"/>
                <w:szCs w:val="16"/>
                <w:lang w:val="tr-TR"/>
              </w:rPr>
              <w:t>82</w:t>
            </w:r>
          </w:p>
        </w:tc>
        <w:tc>
          <w:tcPr>
            <w:tcW w:w="1069" w:type="dxa"/>
            <w:tcBorders>
              <w:top w:val="nil"/>
              <w:left w:val="nil"/>
              <w:bottom w:val="nil"/>
              <w:right w:val="nil"/>
            </w:tcBorders>
            <w:shd w:val="clear" w:color="auto" w:fill="D9D9D9"/>
            <w:noWrap/>
            <w:vAlign w:val="center"/>
            <w:hideMark/>
          </w:tcPr>
          <w:p w14:paraId="7881DFC5"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29728FE3" w14:textId="695ECAFC" w:rsidR="00F16E72" w:rsidRPr="001A4B94" w:rsidRDefault="00F16E72" w:rsidP="00F16E72">
            <w:pPr>
              <w:jc w:val="right"/>
              <w:rPr>
                <w:sz w:val="16"/>
                <w:szCs w:val="16"/>
                <w:lang w:val="tr-TR"/>
              </w:rPr>
            </w:pPr>
            <w:r w:rsidRPr="001A4B94">
              <w:rPr>
                <w:sz w:val="16"/>
                <w:szCs w:val="16"/>
                <w:lang w:val="tr-TR"/>
              </w:rPr>
              <w:t>17</w:t>
            </w:r>
            <w:r w:rsidR="007C4843" w:rsidRPr="001A4B94">
              <w:rPr>
                <w:sz w:val="16"/>
                <w:szCs w:val="16"/>
                <w:lang w:val="tr-TR"/>
              </w:rPr>
              <w:t>,</w:t>
            </w:r>
            <w:r w:rsidRPr="001A4B94">
              <w:rPr>
                <w:sz w:val="16"/>
                <w:szCs w:val="16"/>
                <w:lang w:val="tr-TR"/>
              </w:rPr>
              <w:t>82</w:t>
            </w:r>
          </w:p>
        </w:tc>
        <w:tc>
          <w:tcPr>
            <w:tcW w:w="812" w:type="dxa"/>
            <w:tcBorders>
              <w:top w:val="nil"/>
              <w:left w:val="nil"/>
              <w:bottom w:val="nil"/>
              <w:right w:val="nil"/>
            </w:tcBorders>
            <w:shd w:val="clear" w:color="auto" w:fill="D9D9D9"/>
            <w:noWrap/>
            <w:vAlign w:val="center"/>
            <w:hideMark/>
          </w:tcPr>
          <w:p w14:paraId="2B06D31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3FDD6BE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2C81667E"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7B45C6FD"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EEFC23C" w14:textId="6EF62CA1" w:rsidR="00F16E72" w:rsidRPr="001A4B94" w:rsidRDefault="00F16E72" w:rsidP="00F16E72">
            <w:pPr>
              <w:jc w:val="right"/>
              <w:rPr>
                <w:sz w:val="16"/>
                <w:szCs w:val="16"/>
                <w:lang w:val="tr-TR"/>
              </w:rPr>
            </w:pPr>
            <w:r w:rsidRPr="001A4B94">
              <w:rPr>
                <w:sz w:val="16"/>
                <w:szCs w:val="16"/>
                <w:lang w:val="tr-TR"/>
              </w:rPr>
              <w:t>17</w:t>
            </w:r>
            <w:r w:rsidR="007C4843" w:rsidRPr="001A4B94">
              <w:rPr>
                <w:sz w:val="16"/>
                <w:szCs w:val="16"/>
                <w:lang w:val="tr-TR"/>
              </w:rPr>
              <w:t>,</w:t>
            </w:r>
            <w:r w:rsidRPr="001A4B94">
              <w:rPr>
                <w:sz w:val="16"/>
                <w:szCs w:val="16"/>
                <w:lang w:val="tr-TR"/>
              </w:rPr>
              <w:t>82</w:t>
            </w:r>
          </w:p>
        </w:tc>
        <w:tc>
          <w:tcPr>
            <w:tcW w:w="990" w:type="dxa"/>
            <w:tcBorders>
              <w:top w:val="nil"/>
              <w:left w:val="nil"/>
              <w:bottom w:val="nil"/>
              <w:right w:val="nil"/>
            </w:tcBorders>
            <w:shd w:val="clear" w:color="auto" w:fill="D9D9D9"/>
            <w:noWrap/>
            <w:vAlign w:val="center"/>
            <w:hideMark/>
          </w:tcPr>
          <w:p w14:paraId="0EFB480C" w14:textId="2C8FFF65"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353E55E2" w14:textId="77777777" w:rsidTr="007C4843">
        <w:trPr>
          <w:trHeight w:val="255"/>
          <w:jc w:val="center"/>
        </w:trPr>
        <w:tc>
          <w:tcPr>
            <w:tcW w:w="1900" w:type="dxa"/>
            <w:tcBorders>
              <w:top w:val="nil"/>
              <w:left w:val="nil"/>
              <w:bottom w:val="nil"/>
              <w:right w:val="nil"/>
            </w:tcBorders>
            <w:shd w:val="clear" w:color="000000" w:fill="FFFFFF"/>
            <w:vAlign w:val="center"/>
            <w:hideMark/>
          </w:tcPr>
          <w:p w14:paraId="18D50ADA" w14:textId="77777777" w:rsidR="00F16E72" w:rsidRPr="001A4B94" w:rsidRDefault="00F16E72" w:rsidP="00F16E72">
            <w:pPr>
              <w:rPr>
                <w:sz w:val="16"/>
                <w:szCs w:val="16"/>
                <w:lang w:val="tr-TR"/>
              </w:rPr>
            </w:pPr>
            <w:r w:rsidRPr="001A4B94">
              <w:rPr>
                <w:sz w:val="16"/>
                <w:szCs w:val="16"/>
                <w:lang w:val="tr-TR"/>
              </w:rPr>
              <w:t>2016</w:t>
            </w:r>
          </w:p>
        </w:tc>
        <w:tc>
          <w:tcPr>
            <w:tcW w:w="1470" w:type="dxa"/>
            <w:tcBorders>
              <w:top w:val="nil"/>
              <w:left w:val="nil"/>
              <w:bottom w:val="nil"/>
              <w:right w:val="nil"/>
            </w:tcBorders>
            <w:shd w:val="clear" w:color="000000" w:fill="FFFFFF"/>
            <w:noWrap/>
            <w:vAlign w:val="center"/>
            <w:hideMark/>
          </w:tcPr>
          <w:p w14:paraId="400E11D4" w14:textId="77777777" w:rsidR="00F16E72" w:rsidRPr="001A4B94" w:rsidRDefault="00F16E72" w:rsidP="00F16E72">
            <w:pPr>
              <w:rPr>
                <w:sz w:val="16"/>
                <w:szCs w:val="16"/>
                <w:lang w:val="tr-TR"/>
              </w:rPr>
            </w:pPr>
            <w:r w:rsidRPr="001A4B94">
              <w:rPr>
                <w:sz w:val="16"/>
                <w:szCs w:val="16"/>
                <w:lang w:val="tr-TR"/>
              </w:rPr>
              <w:t>Revo Capital</w:t>
            </w:r>
          </w:p>
        </w:tc>
        <w:tc>
          <w:tcPr>
            <w:tcW w:w="776" w:type="dxa"/>
            <w:tcBorders>
              <w:top w:val="nil"/>
              <w:left w:val="nil"/>
              <w:bottom w:val="nil"/>
              <w:right w:val="nil"/>
            </w:tcBorders>
            <w:shd w:val="clear" w:color="000000" w:fill="FFFFFF"/>
            <w:noWrap/>
            <w:vAlign w:val="center"/>
            <w:hideMark/>
          </w:tcPr>
          <w:p w14:paraId="76CEDA8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78A2C8E1" w14:textId="2506A41F" w:rsidR="00F16E72" w:rsidRPr="001A4B94" w:rsidRDefault="00F16E72" w:rsidP="00F16E72">
            <w:pPr>
              <w:jc w:val="right"/>
              <w:rPr>
                <w:sz w:val="16"/>
                <w:szCs w:val="16"/>
                <w:lang w:val="tr-TR"/>
              </w:rPr>
            </w:pPr>
            <w:r w:rsidRPr="001A4B94">
              <w:rPr>
                <w:sz w:val="16"/>
                <w:szCs w:val="16"/>
                <w:lang w:val="tr-TR"/>
              </w:rPr>
              <w:t>8</w:t>
            </w:r>
            <w:r w:rsidR="007C4843"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18015D8C"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76E767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33C27178"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4587C6B6" w14:textId="5A241112" w:rsidR="00F16E72" w:rsidRPr="001A4B94" w:rsidRDefault="00F16E72" w:rsidP="00F16E72">
            <w:pPr>
              <w:jc w:val="right"/>
              <w:rPr>
                <w:sz w:val="16"/>
                <w:szCs w:val="16"/>
                <w:lang w:val="tr-TR"/>
              </w:rPr>
            </w:pPr>
            <w:r w:rsidRPr="001A4B94">
              <w:rPr>
                <w:sz w:val="16"/>
                <w:szCs w:val="16"/>
                <w:lang w:val="tr-TR"/>
              </w:rPr>
              <w:t>8</w:t>
            </w:r>
            <w:r w:rsidR="007C4843"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04DEFDDA"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79BD3D7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BEC74BE" w14:textId="56337B38"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69</w:t>
            </w:r>
          </w:p>
        </w:tc>
        <w:tc>
          <w:tcPr>
            <w:tcW w:w="812" w:type="dxa"/>
            <w:tcBorders>
              <w:top w:val="nil"/>
              <w:left w:val="nil"/>
              <w:bottom w:val="nil"/>
              <w:right w:val="nil"/>
            </w:tcBorders>
            <w:shd w:val="clear" w:color="000000" w:fill="FFFFFF"/>
            <w:noWrap/>
            <w:vAlign w:val="center"/>
            <w:hideMark/>
          </w:tcPr>
          <w:p w14:paraId="69478DF0"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791D263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6E4F4F96"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73AD1E68" w14:textId="0D14C2F1" w:rsidR="00F16E72" w:rsidRPr="001A4B94" w:rsidRDefault="00F16E72" w:rsidP="00F16E72">
            <w:pPr>
              <w:jc w:val="right"/>
              <w:rPr>
                <w:sz w:val="16"/>
                <w:szCs w:val="16"/>
                <w:lang w:val="tr-TR"/>
              </w:rPr>
            </w:pPr>
            <w:r w:rsidRPr="001A4B94">
              <w:rPr>
                <w:sz w:val="16"/>
                <w:szCs w:val="16"/>
                <w:lang w:val="tr-TR"/>
              </w:rPr>
              <w:t>3</w:t>
            </w:r>
            <w:r w:rsidR="007C4843" w:rsidRPr="001A4B94">
              <w:rPr>
                <w:sz w:val="16"/>
                <w:szCs w:val="16"/>
                <w:lang w:val="tr-TR"/>
              </w:rPr>
              <w:t>,</w:t>
            </w:r>
            <w:r w:rsidRPr="001A4B94">
              <w:rPr>
                <w:sz w:val="16"/>
                <w:szCs w:val="16"/>
                <w:lang w:val="tr-TR"/>
              </w:rPr>
              <w:t>69</w:t>
            </w:r>
          </w:p>
        </w:tc>
        <w:tc>
          <w:tcPr>
            <w:tcW w:w="990" w:type="dxa"/>
            <w:tcBorders>
              <w:top w:val="nil"/>
              <w:left w:val="nil"/>
              <w:bottom w:val="nil"/>
              <w:right w:val="nil"/>
            </w:tcBorders>
            <w:shd w:val="clear" w:color="000000" w:fill="FFFFFF"/>
            <w:noWrap/>
            <w:vAlign w:val="center"/>
            <w:hideMark/>
          </w:tcPr>
          <w:p w14:paraId="537471CB" w14:textId="1105A0D7"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3FA72EEE" w14:textId="77777777" w:rsidTr="007C4843">
        <w:trPr>
          <w:trHeight w:val="255"/>
          <w:jc w:val="center"/>
        </w:trPr>
        <w:tc>
          <w:tcPr>
            <w:tcW w:w="1900" w:type="dxa"/>
            <w:tcBorders>
              <w:top w:val="nil"/>
              <w:left w:val="nil"/>
              <w:bottom w:val="nil"/>
              <w:right w:val="nil"/>
            </w:tcBorders>
            <w:shd w:val="clear" w:color="auto" w:fill="D9D9D9"/>
            <w:vAlign w:val="center"/>
            <w:hideMark/>
          </w:tcPr>
          <w:p w14:paraId="3371907A" w14:textId="77777777" w:rsidR="00F16E72" w:rsidRPr="001A4B94" w:rsidRDefault="00F16E72" w:rsidP="00F16E72">
            <w:pPr>
              <w:rPr>
                <w:sz w:val="16"/>
                <w:szCs w:val="16"/>
                <w:lang w:val="tr-TR"/>
              </w:rPr>
            </w:pPr>
            <w:r w:rsidRPr="001A4B94">
              <w:rPr>
                <w:sz w:val="16"/>
                <w:szCs w:val="16"/>
                <w:lang w:val="tr-TR"/>
              </w:rPr>
              <w:t>2016</w:t>
            </w:r>
          </w:p>
        </w:tc>
        <w:tc>
          <w:tcPr>
            <w:tcW w:w="1470" w:type="dxa"/>
            <w:tcBorders>
              <w:top w:val="nil"/>
              <w:left w:val="nil"/>
              <w:bottom w:val="nil"/>
              <w:right w:val="nil"/>
            </w:tcBorders>
            <w:shd w:val="clear" w:color="auto" w:fill="D9D9D9"/>
            <w:noWrap/>
            <w:vAlign w:val="center"/>
            <w:hideMark/>
          </w:tcPr>
          <w:p w14:paraId="26C055D7" w14:textId="5530DD83" w:rsidR="00F16E72" w:rsidRPr="001A4B94" w:rsidRDefault="00562063" w:rsidP="00F16E72">
            <w:pPr>
              <w:rPr>
                <w:sz w:val="16"/>
                <w:szCs w:val="16"/>
                <w:lang w:val="tr-TR"/>
              </w:rPr>
            </w:pPr>
            <w:r w:rsidRPr="001A4B94">
              <w:rPr>
                <w:sz w:val="16"/>
                <w:szCs w:val="16"/>
                <w:lang w:val="tr-TR"/>
              </w:rPr>
              <w:t>Rönesans</w:t>
            </w:r>
            <w:r w:rsidR="00F16E72" w:rsidRPr="001A4B94">
              <w:rPr>
                <w:sz w:val="16"/>
                <w:szCs w:val="16"/>
                <w:lang w:val="tr-TR"/>
              </w:rPr>
              <w:t xml:space="preserve"> Holding</w:t>
            </w:r>
          </w:p>
        </w:tc>
        <w:tc>
          <w:tcPr>
            <w:tcW w:w="776" w:type="dxa"/>
            <w:tcBorders>
              <w:top w:val="nil"/>
              <w:left w:val="nil"/>
              <w:bottom w:val="nil"/>
              <w:right w:val="nil"/>
            </w:tcBorders>
            <w:shd w:val="clear" w:color="auto" w:fill="D9D9D9"/>
            <w:noWrap/>
            <w:vAlign w:val="center"/>
            <w:hideMark/>
          </w:tcPr>
          <w:p w14:paraId="3BA9D17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7CD51964" w14:textId="09E124CE" w:rsidR="00F16E72" w:rsidRPr="001A4B94" w:rsidRDefault="00F16E72" w:rsidP="00F16E72">
            <w:pPr>
              <w:jc w:val="right"/>
              <w:rPr>
                <w:sz w:val="16"/>
                <w:szCs w:val="16"/>
                <w:lang w:val="tr-TR"/>
              </w:rPr>
            </w:pPr>
            <w:r w:rsidRPr="001A4B94">
              <w:rPr>
                <w:sz w:val="16"/>
                <w:szCs w:val="16"/>
                <w:lang w:val="tr-TR"/>
              </w:rPr>
              <w:t>197</w:t>
            </w:r>
            <w:r w:rsidR="007C4843" w:rsidRPr="001A4B94">
              <w:rPr>
                <w:sz w:val="16"/>
                <w:szCs w:val="16"/>
                <w:lang w:val="tr-TR"/>
              </w:rPr>
              <w:t>,</w:t>
            </w:r>
            <w:r w:rsidRPr="001A4B94">
              <w:rPr>
                <w:sz w:val="16"/>
                <w:szCs w:val="16"/>
                <w:lang w:val="tr-TR"/>
              </w:rPr>
              <w:t>33</w:t>
            </w:r>
          </w:p>
        </w:tc>
        <w:tc>
          <w:tcPr>
            <w:tcW w:w="812" w:type="dxa"/>
            <w:tcBorders>
              <w:top w:val="nil"/>
              <w:left w:val="nil"/>
              <w:bottom w:val="nil"/>
              <w:right w:val="nil"/>
            </w:tcBorders>
            <w:shd w:val="clear" w:color="auto" w:fill="D9D9D9"/>
            <w:noWrap/>
            <w:vAlign w:val="center"/>
            <w:hideMark/>
          </w:tcPr>
          <w:p w14:paraId="163C11C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1981FFD8"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2B40B61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C9597A5" w14:textId="46E0DD83" w:rsidR="00F16E72" w:rsidRPr="001A4B94" w:rsidRDefault="00F16E72" w:rsidP="00F16E72">
            <w:pPr>
              <w:jc w:val="right"/>
              <w:rPr>
                <w:sz w:val="16"/>
                <w:szCs w:val="16"/>
                <w:lang w:val="tr-TR"/>
              </w:rPr>
            </w:pPr>
            <w:r w:rsidRPr="001A4B94">
              <w:rPr>
                <w:sz w:val="16"/>
                <w:szCs w:val="16"/>
                <w:lang w:val="tr-TR"/>
              </w:rPr>
              <w:t>197</w:t>
            </w:r>
            <w:r w:rsidR="007C4843" w:rsidRPr="001A4B94">
              <w:rPr>
                <w:sz w:val="16"/>
                <w:szCs w:val="16"/>
                <w:lang w:val="tr-TR"/>
              </w:rPr>
              <w:t>,</w:t>
            </w:r>
            <w:r w:rsidRPr="001A4B94">
              <w:rPr>
                <w:sz w:val="16"/>
                <w:szCs w:val="16"/>
                <w:lang w:val="tr-TR"/>
              </w:rPr>
              <w:t>33</w:t>
            </w:r>
          </w:p>
        </w:tc>
        <w:tc>
          <w:tcPr>
            <w:tcW w:w="1069" w:type="dxa"/>
            <w:tcBorders>
              <w:top w:val="nil"/>
              <w:left w:val="nil"/>
              <w:bottom w:val="nil"/>
              <w:right w:val="nil"/>
            </w:tcBorders>
            <w:shd w:val="clear" w:color="auto" w:fill="D9D9D9"/>
            <w:noWrap/>
            <w:vAlign w:val="center"/>
            <w:hideMark/>
          </w:tcPr>
          <w:p w14:paraId="41E77D3E"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68BC875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3A204CE" w14:textId="52C619F2" w:rsidR="00F16E72" w:rsidRPr="001A4B94" w:rsidRDefault="00F16E72" w:rsidP="00F16E72">
            <w:pPr>
              <w:jc w:val="right"/>
              <w:rPr>
                <w:sz w:val="16"/>
                <w:szCs w:val="16"/>
                <w:lang w:val="tr-TR"/>
              </w:rPr>
            </w:pPr>
            <w:r w:rsidRPr="001A4B94">
              <w:rPr>
                <w:sz w:val="16"/>
                <w:szCs w:val="16"/>
                <w:lang w:val="tr-TR"/>
              </w:rPr>
              <w:t>197</w:t>
            </w:r>
            <w:r w:rsidR="007C4843" w:rsidRPr="001A4B94">
              <w:rPr>
                <w:sz w:val="16"/>
                <w:szCs w:val="16"/>
                <w:lang w:val="tr-TR"/>
              </w:rPr>
              <w:t>,</w:t>
            </w:r>
            <w:r w:rsidRPr="001A4B94">
              <w:rPr>
                <w:sz w:val="16"/>
                <w:szCs w:val="16"/>
                <w:lang w:val="tr-TR"/>
              </w:rPr>
              <w:t>33</w:t>
            </w:r>
          </w:p>
        </w:tc>
        <w:tc>
          <w:tcPr>
            <w:tcW w:w="812" w:type="dxa"/>
            <w:tcBorders>
              <w:top w:val="nil"/>
              <w:left w:val="nil"/>
              <w:bottom w:val="nil"/>
              <w:right w:val="nil"/>
            </w:tcBorders>
            <w:shd w:val="clear" w:color="auto" w:fill="D9D9D9"/>
            <w:noWrap/>
            <w:vAlign w:val="center"/>
            <w:hideMark/>
          </w:tcPr>
          <w:p w14:paraId="199F1CA5"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81A9633"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7F00D51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DFC3796" w14:textId="2C5C1BA1" w:rsidR="00F16E72" w:rsidRPr="001A4B94" w:rsidRDefault="00F16E72" w:rsidP="00F16E72">
            <w:pPr>
              <w:jc w:val="right"/>
              <w:rPr>
                <w:sz w:val="16"/>
                <w:szCs w:val="16"/>
                <w:lang w:val="tr-TR"/>
              </w:rPr>
            </w:pPr>
            <w:r w:rsidRPr="001A4B94">
              <w:rPr>
                <w:sz w:val="16"/>
                <w:szCs w:val="16"/>
                <w:lang w:val="tr-TR"/>
              </w:rPr>
              <w:t>197</w:t>
            </w:r>
            <w:r w:rsidR="007C4843" w:rsidRPr="001A4B94">
              <w:rPr>
                <w:sz w:val="16"/>
                <w:szCs w:val="16"/>
                <w:lang w:val="tr-TR"/>
              </w:rPr>
              <w:t>,</w:t>
            </w:r>
            <w:r w:rsidRPr="001A4B94">
              <w:rPr>
                <w:sz w:val="16"/>
                <w:szCs w:val="16"/>
                <w:lang w:val="tr-TR"/>
              </w:rPr>
              <w:t>33</w:t>
            </w:r>
          </w:p>
        </w:tc>
        <w:tc>
          <w:tcPr>
            <w:tcW w:w="990" w:type="dxa"/>
            <w:tcBorders>
              <w:top w:val="nil"/>
              <w:left w:val="nil"/>
              <w:bottom w:val="nil"/>
              <w:right w:val="nil"/>
            </w:tcBorders>
            <w:shd w:val="clear" w:color="auto" w:fill="D9D9D9"/>
            <w:noWrap/>
            <w:vAlign w:val="center"/>
            <w:hideMark/>
          </w:tcPr>
          <w:p w14:paraId="2FED5A1F" w14:textId="6D43746D"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2562BEC2" w14:textId="77777777" w:rsidTr="007C4843">
        <w:trPr>
          <w:trHeight w:val="255"/>
          <w:jc w:val="center"/>
        </w:trPr>
        <w:tc>
          <w:tcPr>
            <w:tcW w:w="1900" w:type="dxa"/>
            <w:tcBorders>
              <w:top w:val="nil"/>
              <w:left w:val="nil"/>
              <w:bottom w:val="nil"/>
              <w:right w:val="nil"/>
            </w:tcBorders>
            <w:shd w:val="clear" w:color="000000" w:fill="FFFFFF"/>
            <w:vAlign w:val="center"/>
            <w:hideMark/>
          </w:tcPr>
          <w:p w14:paraId="0BC027DF" w14:textId="77777777" w:rsidR="00F16E72" w:rsidRPr="001A4B94" w:rsidRDefault="00F16E72" w:rsidP="00F16E72">
            <w:pPr>
              <w:rPr>
                <w:sz w:val="16"/>
                <w:szCs w:val="16"/>
                <w:lang w:val="tr-TR"/>
              </w:rPr>
            </w:pPr>
            <w:r w:rsidRPr="001A4B94">
              <w:rPr>
                <w:sz w:val="16"/>
                <w:szCs w:val="16"/>
                <w:lang w:val="tr-TR"/>
              </w:rPr>
              <w:t>2009</w:t>
            </w:r>
          </w:p>
        </w:tc>
        <w:tc>
          <w:tcPr>
            <w:tcW w:w="1470" w:type="dxa"/>
            <w:tcBorders>
              <w:top w:val="nil"/>
              <w:left w:val="nil"/>
              <w:bottom w:val="nil"/>
              <w:right w:val="nil"/>
            </w:tcBorders>
            <w:shd w:val="clear" w:color="000000" w:fill="FFFFFF"/>
            <w:noWrap/>
            <w:vAlign w:val="center"/>
            <w:hideMark/>
          </w:tcPr>
          <w:p w14:paraId="65C64D75" w14:textId="77777777" w:rsidR="00F16E72" w:rsidRPr="001A4B94" w:rsidRDefault="00F16E72" w:rsidP="00F16E72">
            <w:pPr>
              <w:rPr>
                <w:sz w:val="16"/>
                <w:szCs w:val="16"/>
                <w:lang w:val="tr-TR"/>
              </w:rPr>
            </w:pPr>
            <w:r w:rsidRPr="001A4B94">
              <w:rPr>
                <w:sz w:val="16"/>
                <w:szCs w:val="16"/>
                <w:lang w:val="tr-TR"/>
              </w:rPr>
              <w:t>Rotor Elektrik</w:t>
            </w:r>
          </w:p>
        </w:tc>
        <w:tc>
          <w:tcPr>
            <w:tcW w:w="776" w:type="dxa"/>
            <w:tcBorders>
              <w:top w:val="nil"/>
              <w:left w:val="nil"/>
              <w:bottom w:val="nil"/>
              <w:right w:val="nil"/>
            </w:tcBorders>
            <w:shd w:val="clear" w:color="000000" w:fill="FFFFFF"/>
            <w:noWrap/>
            <w:vAlign w:val="center"/>
            <w:hideMark/>
          </w:tcPr>
          <w:p w14:paraId="03966B3B" w14:textId="72113EF5" w:rsidR="00F16E72" w:rsidRPr="001A4B94" w:rsidRDefault="00F16E72" w:rsidP="00F16E72">
            <w:pPr>
              <w:jc w:val="right"/>
              <w:rPr>
                <w:sz w:val="16"/>
                <w:szCs w:val="16"/>
                <w:lang w:val="tr-TR"/>
              </w:rPr>
            </w:pPr>
            <w:r w:rsidRPr="001A4B94">
              <w:rPr>
                <w:sz w:val="16"/>
                <w:szCs w:val="16"/>
                <w:lang w:val="tr-TR"/>
              </w:rPr>
              <w:t>33</w:t>
            </w:r>
            <w:r w:rsidR="007C4843" w:rsidRPr="001A4B94">
              <w:rPr>
                <w:sz w:val="16"/>
                <w:szCs w:val="16"/>
                <w:lang w:val="tr-TR"/>
              </w:rPr>
              <w:t>,</w:t>
            </w:r>
            <w:r w:rsidRPr="001A4B94">
              <w:rPr>
                <w:sz w:val="16"/>
                <w:szCs w:val="16"/>
                <w:lang w:val="tr-TR"/>
              </w:rPr>
              <w:t>22</w:t>
            </w:r>
          </w:p>
        </w:tc>
        <w:tc>
          <w:tcPr>
            <w:tcW w:w="812" w:type="dxa"/>
            <w:tcBorders>
              <w:top w:val="nil"/>
              <w:left w:val="nil"/>
              <w:bottom w:val="nil"/>
              <w:right w:val="nil"/>
            </w:tcBorders>
            <w:shd w:val="clear" w:color="000000" w:fill="FFFFFF"/>
            <w:noWrap/>
            <w:vAlign w:val="center"/>
            <w:hideMark/>
          </w:tcPr>
          <w:p w14:paraId="3C9C7539"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949EDC9"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4342F4F"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6107A3C4"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7D228DA3" w14:textId="695BCEE6" w:rsidR="00F16E72" w:rsidRPr="001A4B94" w:rsidRDefault="00F16E72" w:rsidP="00F16E72">
            <w:pPr>
              <w:jc w:val="right"/>
              <w:rPr>
                <w:sz w:val="16"/>
                <w:szCs w:val="16"/>
                <w:lang w:val="tr-TR"/>
              </w:rPr>
            </w:pPr>
            <w:r w:rsidRPr="001A4B94">
              <w:rPr>
                <w:sz w:val="16"/>
                <w:szCs w:val="16"/>
                <w:lang w:val="tr-TR"/>
              </w:rPr>
              <w:t>33</w:t>
            </w:r>
            <w:r w:rsidR="007C4843" w:rsidRPr="001A4B94">
              <w:rPr>
                <w:sz w:val="16"/>
                <w:szCs w:val="16"/>
                <w:lang w:val="tr-TR"/>
              </w:rPr>
              <w:t>,</w:t>
            </w:r>
            <w:r w:rsidRPr="001A4B94">
              <w:rPr>
                <w:sz w:val="16"/>
                <w:szCs w:val="16"/>
                <w:lang w:val="tr-TR"/>
              </w:rPr>
              <w:t>22</w:t>
            </w:r>
          </w:p>
        </w:tc>
        <w:tc>
          <w:tcPr>
            <w:tcW w:w="1069" w:type="dxa"/>
            <w:tcBorders>
              <w:top w:val="nil"/>
              <w:left w:val="nil"/>
              <w:bottom w:val="nil"/>
              <w:right w:val="nil"/>
            </w:tcBorders>
            <w:shd w:val="clear" w:color="000000" w:fill="FFFFFF"/>
            <w:noWrap/>
            <w:vAlign w:val="center"/>
            <w:hideMark/>
          </w:tcPr>
          <w:p w14:paraId="31A0949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78710765" w14:textId="3620A0F9" w:rsidR="00F16E72" w:rsidRPr="001A4B94" w:rsidRDefault="00F16E72" w:rsidP="00F16E72">
            <w:pPr>
              <w:jc w:val="right"/>
              <w:rPr>
                <w:sz w:val="16"/>
                <w:szCs w:val="16"/>
                <w:lang w:val="tr-TR"/>
              </w:rPr>
            </w:pPr>
            <w:r w:rsidRPr="001A4B94">
              <w:rPr>
                <w:sz w:val="16"/>
                <w:szCs w:val="16"/>
                <w:lang w:val="tr-TR"/>
              </w:rPr>
              <w:t>33</w:t>
            </w:r>
            <w:r w:rsidR="007C4843" w:rsidRPr="001A4B94">
              <w:rPr>
                <w:sz w:val="16"/>
                <w:szCs w:val="16"/>
                <w:lang w:val="tr-TR"/>
              </w:rPr>
              <w:t>,</w:t>
            </w:r>
            <w:r w:rsidRPr="001A4B94">
              <w:rPr>
                <w:sz w:val="16"/>
                <w:szCs w:val="16"/>
                <w:lang w:val="tr-TR"/>
              </w:rPr>
              <w:t>22</w:t>
            </w:r>
          </w:p>
        </w:tc>
        <w:tc>
          <w:tcPr>
            <w:tcW w:w="812" w:type="dxa"/>
            <w:tcBorders>
              <w:top w:val="nil"/>
              <w:left w:val="nil"/>
              <w:bottom w:val="nil"/>
              <w:right w:val="nil"/>
            </w:tcBorders>
            <w:shd w:val="clear" w:color="000000" w:fill="FFFFFF"/>
            <w:noWrap/>
            <w:vAlign w:val="center"/>
            <w:hideMark/>
          </w:tcPr>
          <w:p w14:paraId="2335A3C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BD8ED5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2C154F70"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48953DB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06CD6D8" w14:textId="62D29F39" w:rsidR="00F16E72" w:rsidRPr="001A4B94" w:rsidRDefault="00F16E72" w:rsidP="00F16E72">
            <w:pPr>
              <w:jc w:val="right"/>
              <w:rPr>
                <w:sz w:val="16"/>
                <w:szCs w:val="16"/>
                <w:lang w:val="tr-TR"/>
              </w:rPr>
            </w:pPr>
            <w:r w:rsidRPr="001A4B94">
              <w:rPr>
                <w:sz w:val="16"/>
                <w:szCs w:val="16"/>
                <w:lang w:val="tr-TR"/>
              </w:rPr>
              <w:t>33</w:t>
            </w:r>
            <w:r w:rsidR="007C4843" w:rsidRPr="001A4B94">
              <w:rPr>
                <w:sz w:val="16"/>
                <w:szCs w:val="16"/>
                <w:lang w:val="tr-TR"/>
              </w:rPr>
              <w:t>,</w:t>
            </w:r>
            <w:r w:rsidRPr="001A4B94">
              <w:rPr>
                <w:sz w:val="16"/>
                <w:szCs w:val="16"/>
                <w:lang w:val="tr-TR"/>
              </w:rPr>
              <w:t>22</w:t>
            </w:r>
          </w:p>
        </w:tc>
        <w:tc>
          <w:tcPr>
            <w:tcW w:w="990" w:type="dxa"/>
            <w:tcBorders>
              <w:top w:val="nil"/>
              <w:left w:val="nil"/>
              <w:bottom w:val="nil"/>
              <w:right w:val="nil"/>
            </w:tcBorders>
            <w:shd w:val="clear" w:color="000000" w:fill="FFFFFF"/>
            <w:noWrap/>
            <w:vAlign w:val="center"/>
            <w:hideMark/>
          </w:tcPr>
          <w:p w14:paraId="0A7AD5A5" w14:textId="5B3E00F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79D48545" w14:textId="77777777" w:rsidTr="007C4843">
        <w:trPr>
          <w:trHeight w:val="255"/>
          <w:jc w:val="center"/>
        </w:trPr>
        <w:tc>
          <w:tcPr>
            <w:tcW w:w="1900" w:type="dxa"/>
            <w:tcBorders>
              <w:top w:val="nil"/>
              <w:left w:val="nil"/>
              <w:bottom w:val="nil"/>
              <w:right w:val="nil"/>
            </w:tcBorders>
            <w:shd w:val="clear" w:color="auto" w:fill="D9D9D9"/>
            <w:vAlign w:val="center"/>
            <w:hideMark/>
          </w:tcPr>
          <w:p w14:paraId="583CEB92" w14:textId="77777777" w:rsidR="00F16E72" w:rsidRPr="001A4B94" w:rsidRDefault="00F16E72" w:rsidP="00F16E72">
            <w:pPr>
              <w:rPr>
                <w:sz w:val="16"/>
                <w:szCs w:val="16"/>
                <w:lang w:val="tr-TR"/>
              </w:rPr>
            </w:pPr>
            <w:r w:rsidRPr="001A4B94">
              <w:rPr>
                <w:sz w:val="16"/>
                <w:szCs w:val="16"/>
                <w:lang w:val="tr-TR"/>
              </w:rPr>
              <w:t>2006/ 2014/ 2007</w:t>
            </w:r>
          </w:p>
        </w:tc>
        <w:tc>
          <w:tcPr>
            <w:tcW w:w="1470" w:type="dxa"/>
            <w:tcBorders>
              <w:top w:val="nil"/>
              <w:left w:val="nil"/>
              <w:bottom w:val="nil"/>
              <w:right w:val="nil"/>
            </w:tcBorders>
            <w:shd w:val="clear" w:color="auto" w:fill="D9D9D9"/>
            <w:noWrap/>
            <w:vAlign w:val="center"/>
            <w:hideMark/>
          </w:tcPr>
          <w:p w14:paraId="34262ABD" w14:textId="3E428070" w:rsidR="00F16E72" w:rsidRPr="001A4B94" w:rsidRDefault="007C4843" w:rsidP="00F16E72">
            <w:pPr>
              <w:rPr>
                <w:sz w:val="16"/>
                <w:szCs w:val="16"/>
                <w:lang w:val="tr-TR"/>
              </w:rPr>
            </w:pPr>
            <w:r w:rsidRPr="001A4B94">
              <w:rPr>
                <w:sz w:val="16"/>
                <w:szCs w:val="16"/>
                <w:lang w:val="tr-TR"/>
              </w:rPr>
              <w:t>Sanko Gr</w:t>
            </w:r>
            <w:r w:rsidR="00F16E72" w:rsidRPr="001A4B94">
              <w:rPr>
                <w:sz w:val="16"/>
                <w:szCs w:val="16"/>
                <w:lang w:val="tr-TR"/>
              </w:rPr>
              <w:t>up</w:t>
            </w:r>
          </w:p>
        </w:tc>
        <w:tc>
          <w:tcPr>
            <w:tcW w:w="776" w:type="dxa"/>
            <w:tcBorders>
              <w:top w:val="nil"/>
              <w:left w:val="nil"/>
              <w:bottom w:val="nil"/>
              <w:right w:val="nil"/>
            </w:tcBorders>
            <w:shd w:val="clear" w:color="auto" w:fill="D9D9D9"/>
            <w:noWrap/>
            <w:vAlign w:val="center"/>
            <w:hideMark/>
          </w:tcPr>
          <w:p w14:paraId="37426150" w14:textId="3F4296E7" w:rsidR="00F16E72" w:rsidRPr="001A4B94" w:rsidRDefault="00F16E72" w:rsidP="00F16E72">
            <w:pPr>
              <w:jc w:val="right"/>
              <w:rPr>
                <w:sz w:val="16"/>
                <w:szCs w:val="16"/>
                <w:lang w:val="tr-TR"/>
              </w:rPr>
            </w:pPr>
            <w:r w:rsidRPr="001A4B94">
              <w:rPr>
                <w:sz w:val="16"/>
                <w:szCs w:val="16"/>
                <w:lang w:val="tr-TR"/>
              </w:rPr>
              <w:t>22</w:t>
            </w:r>
            <w:r w:rsidR="007C4843" w:rsidRPr="001A4B94">
              <w:rPr>
                <w:sz w:val="16"/>
                <w:szCs w:val="16"/>
                <w:lang w:val="tr-TR"/>
              </w:rPr>
              <w:t>,</w:t>
            </w:r>
            <w:r w:rsidRPr="001A4B94">
              <w:rPr>
                <w:sz w:val="16"/>
                <w:szCs w:val="16"/>
                <w:lang w:val="tr-TR"/>
              </w:rPr>
              <w:t>89</w:t>
            </w:r>
          </w:p>
        </w:tc>
        <w:tc>
          <w:tcPr>
            <w:tcW w:w="812" w:type="dxa"/>
            <w:tcBorders>
              <w:top w:val="nil"/>
              <w:left w:val="nil"/>
              <w:bottom w:val="nil"/>
              <w:right w:val="nil"/>
            </w:tcBorders>
            <w:shd w:val="clear" w:color="auto" w:fill="D9D9D9"/>
            <w:noWrap/>
            <w:vAlign w:val="center"/>
            <w:hideMark/>
          </w:tcPr>
          <w:p w14:paraId="089C0CF0"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5A9029D"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1FD6406A"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7971F440"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23B441F9" w14:textId="44826BE0" w:rsidR="00F16E72" w:rsidRPr="001A4B94" w:rsidRDefault="00F16E72" w:rsidP="00F16E72">
            <w:pPr>
              <w:jc w:val="right"/>
              <w:rPr>
                <w:sz w:val="16"/>
                <w:szCs w:val="16"/>
                <w:lang w:val="tr-TR"/>
              </w:rPr>
            </w:pPr>
            <w:r w:rsidRPr="001A4B94">
              <w:rPr>
                <w:sz w:val="16"/>
                <w:szCs w:val="16"/>
                <w:lang w:val="tr-TR"/>
              </w:rPr>
              <w:t>22</w:t>
            </w:r>
            <w:r w:rsidR="007C4843" w:rsidRPr="001A4B94">
              <w:rPr>
                <w:sz w:val="16"/>
                <w:szCs w:val="16"/>
                <w:lang w:val="tr-TR"/>
              </w:rPr>
              <w:t>,</w:t>
            </w:r>
            <w:r w:rsidRPr="001A4B94">
              <w:rPr>
                <w:sz w:val="16"/>
                <w:szCs w:val="16"/>
                <w:lang w:val="tr-TR"/>
              </w:rPr>
              <w:t>89</w:t>
            </w:r>
          </w:p>
        </w:tc>
        <w:tc>
          <w:tcPr>
            <w:tcW w:w="1069" w:type="dxa"/>
            <w:tcBorders>
              <w:top w:val="nil"/>
              <w:left w:val="nil"/>
              <w:bottom w:val="nil"/>
              <w:right w:val="nil"/>
            </w:tcBorders>
            <w:shd w:val="clear" w:color="auto" w:fill="D9D9D9"/>
            <w:noWrap/>
            <w:vAlign w:val="center"/>
            <w:hideMark/>
          </w:tcPr>
          <w:p w14:paraId="5553B7B6" w14:textId="44CC0D96" w:rsidR="00F16E72" w:rsidRPr="001A4B94" w:rsidRDefault="00F16E72" w:rsidP="00F16E72">
            <w:pPr>
              <w:jc w:val="right"/>
              <w:rPr>
                <w:sz w:val="16"/>
                <w:szCs w:val="16"/>
                <w:lang w:val="tr-TR"/>
              </w:rPr>
            </w:pPr>
            <w:r w:rsidRPr="001A4B94">
              <w:rPr>
                <w:sz w:val="16"/>
                <w:szCs w:val="16"/>
                <w:lang w:val="tr-TR"/>
              </w:rPr>
              <w:t>15</w:t>
            </w:r>
            <w:r w:rsidR="007C4843" w:rsidRPr="001A4B94">
              <w:rPr>
                <w:sz w:val="16"/>
                <w:szCs w:val="16"/>
                <w:lang w:val="tr-TR"/>
              </w:rPr>
              <w:t>,</w:t>
            </w:r>
            <w:r w:rsidRPr="001A4B94">
              <w:rPr>
                <w:sz w:val="16"/>
                <w:szCs w:val="16"/>
                <w:lang w:val="tr-TR"/>
              </w:rPr>
              <w:t>79</w:t>
            </w:r>
          </w:p>
        </w:tc>
        <w:tc>
          <w:tcPr>
            <w:tcW w:w="776" w:type="dxa"/>
            <w:tcBorders>
              <w:top w:val="nil"/>
              <w:left w:val="nil"/>
              <w:bottom w:val="nil"/>
              <w:right w:val="nil"/>
            </w:tcBorders>
            <w:shd w:val="clear" w:color="auto" w:fill="D9D9D9"/>
            <w:noWrap/>
            <w:vAlign w:val="center"/>
            <w:hideMark/>
          </w:tcPr>
          <w:p w14:paraId="07BB9B2F" w14:textId="134FFAE1" w:rsidR="00F16E72" w:rsidRPr="001A4B94" w:rsidRDefault="00F16E72" w:rsidP="00F16E72">
            <w:pPr>
              <w:jc w:val="right"/>
              <w:rPr>
                <w:sz w:val="16"/>
                <w:szCs w:val="16"/>
                <w:lang w:val="tr-TR"/>
              </w:rPr>
            </w:pPr>
            <w:r w:rsidRPr="001A4B94">
              <w:rPr>
                <w:sz w:val="16"/>
                <w:szCs w:val="16"/>
                <w:lang w:val="tr-TR"/>
              </w:rPr>
              <w:t>22</w:t>
            </w:r>
            <w:r w:rsidR="007C4843" w:rsidRPr="001A4B94">
              <w:rPr>
                <w:sz w:val="16"/>
                <w:szCs w:val="16"/>
                <w:lang w:val="tr-TR"/>
              </w:rPr>
              <w:t>,</w:t>
            </w:r>
            <w:r w:rsidRPr="001A4B94">
              <w:rPr>
                <w:sz w:val="16"/>
                <w:szCs w:val="16"/>
                <w:lang w:val="tr-TR"/>
              </w:rPr>
              <w:t>89</w:t>
            </w:r>
          </w:p>
        </w:tc>
        <w:tc>
          <w:tcPr>
            <w:tcW w:w="812" w:type="dxa"/>
            <w:tcBorders>
              <w:top w:val="nil"/>
              <w:left w:val="nil"/>
              <w:bottom w:val="nil"/>
              <w:right w:val="nil"/>
            </w:tcBorders>
            <w:shd w:val="clear" w:color="auto" w:fill="D9D9D9"/>
            <w:noWrap/>
            <w:vAlign w:val="center"/>
            <w:hideMark/>
          </w:tcPr>
          <w:p w14:paraId="433D1A4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1A2655E9"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BBA9AFE"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50D8E9D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2C8F1E8B" w14:textId="1CD79A22" w:rsidR="00F16E72" w:rsidRPr="001A4B94" w:rsidRDefault="00F16E72" w:rsidP="00F16E72">
            <w:pPr>
              <w:jc w:val="right"/>
              <w:rPr>
                <w:sz w:val="16"/>
                <w:szCs w:val="16"/>
                <w:lang w:val="tr-TR"/>
              </w:rPr>
            </w:pPr>
            <w:r w:rsidRPr="001A4B94">
              <w:rPr>
                <w:sz w:val="16"/>
                <w:szCs w:val="16"/>
                <w:lang w:val="tr-TR"/>
              </w:rPr>
              <w:t>22</w:t>
            </w:r>
            <w:r w:rsidR="007C4843" w:rsidRPr="001A4B94">
              <w:rPr>
                <w:sz w:val="16"/>
                <w:szCs w:val="16"/>
                <w:lang w:val="tr-TR"/>
              </w:rPr>
              <w:t>,</w:t>
            </w:r>
            <w:r w:rsidRPr="001A4B94">
              <w:rPr>
                <w:sz w:val="16"/>
                <w:szCs w:val="16"/>
                <w:lang w:val="tr-TR"/>
              </w:rPr>
              <w:t>89</w:t>
            </w:r>
          </w:p>
        </w:tc>
        <w:tc>
          <w:tcPr>
            <w:tcW w:w="990" w:type="dxa"/>
            <w:tcBorders>
              <w:top w:val="nil"/>
              <w:left w:val="nil"/>
              <w:bottom w:val="nil"/>
              <w:right w:val="nil"/>
            </w:tcBorders>
            <w:shd w:val="clear" w:color="auto" w:fill="D9D9D9"/>
            <w:noWrap/>
            <w:vAlign w:val="center"/>
            <w:hideMark/>
          </w:tcPr>
          <w:p w14:paraId="09937AA3" w14:textId="506E1545" w:rsidR="00F16E72" w:rsidRPr="001A4B94" w:rsidRDefault="00F16E72" w:rsidP="00F16E72">
            <w:pPr>
              <w:jc w:val="right"/>
              <w:rPr>
                <w:sz w:val="16"/>
                <w:szCs w:val="16"/>
                <w:lang w:val="tr-TR"/>
              </w:rPr>
            </w:pPr>
            <w:r w:rsidRPr="001A4B94">
              <w:rPr>
                <w:sz w:val="16"/>
                <w:szCs w:val="16"/>
                <w:lang w:val="tr-TR"/>
              </w:rPr>
              <w:t>15</w:t>
            </w:r>
            <w:r w:rsidR="007C4843" w:rsidRPr="001A4B94">
              <w:rPr>
                <w:sz w:val="16"/>
                <w:szCs w:val="16"/>
                <w:lang w:val="tr-TR"/>
              </w:rPr>
              <w:t>,</w:t>
            </w:r>
            <w:r w:rsidRPr="001A4B94">
              <w:rPr>
                <w:sz w:val="16"/>
                <w:szCs w:val="16"/>
                <w:lang w:val="tr-TR"/>
              </w:rPr>
              <w:t>79</w:t>
            </w:r>
          </w:p>
        </w:tc>
      </w:tr>
      <w:tr w:rsidR="00F16E72" w:rsidRPr="001A4B94" w14:paraId="29CB3A2A" w14:textId="77777777" w:rsidTr="007C4843">
        <w:trPr>
          <w:trHeight w:val="675"/>
          <w:jc w:val="center"/>
        </w:trPr>
        <w:tc>
          <w:tcPr>
            <w:tcW w:w="1900" w:type="dxa"/>
            <w:tcBorders>
              <w:top w:val="nil"/>
              <w:left w:val="nil"/>
              <w:bottom w:val="nil"/>
              <w:right w:val="nil"/>
            </w:tcBorders>
            <w:shd w:val="clear" w:color="000000" w:fill="FFFFFF"/>
            <w:vAlign w:val="center"/>
            <w:hideMark/>
          </w:tcPr>
          <w:p w14:paraId="6909A1E6" w14:textId="77777777" w:rsidR="00F16E72" w:rsidRPr="001A4B94" w:rsidRDefault="00F16E72" w:rsidP="00F16E72">
            <w:pPr>
              <w:rPr>
                <w:sz w:val="16"/>
                <w:szCs w:val="16"/>
                <w:lang w:val="tr-TR"/>
              </w:rPr>
            </w:pPr>
            <w:r w:rsidRPr="001A4B94">
              <w:rPr>
                <w:sz w:val="16"/>
                <w:szCs w:val="16"/>
                <w:lang w:val="tr-TR"/>
              </w:rPr>
              <w:t>2013</w:t>
            </w:r>
          </w:p>
        </w:tc>
        <w:tc>
          <w:tcPr>
            <w:tcW w:w="1470" w:type="dxa"/>
            <w:tcBorders>
              <w:top w:val="nil"/>
              <w:left w:val="nil"/>
              <w:bottom w:val="nil"/>
              <w:right w:val="nil"/>
            </w:tcBorders>
            <w:shd w:val="clear" w:color="000000" w:fill="FFFFFF"/>
            <w:noWrap/>
            <w:vAlign w:val="center"/>
            <w:hideMark/>
          </w:tcPr>
          <w:p w14:paraId="3194DBE2" w14:textId="77777777" w:rsidR="00F16E72" w:rsidRPr="001A4B94" w:rsidRDefault="00F16E72" w:rsidP="00F16E72">
            <w:pPr>
              <w:rPr>
                <w:sz w:val="16"/>
                <w:szCs w:val="16"/>
                <w:lang w:val="tr-TR"/>
              </w:rPr>
            </w:pPr>
            <w:r w:rsidRPr="001A4B94">
              <w:rPr>
                <w:sz w:val="16"/>
                <w:szCs w:val="16"/>
                <w:lang w:val="tr-TR"/>
              </w:rPr>
              <w:t>Sanko Tekstil</w:t>
            </w:r>
          </w:p>
        </w:tc>
        <w:tc>
          <w:tcPr>
            <w:tcW w:w="776" w:type="dxa"/>
            <w:tcBorders>
              <w:top w:val="nil"/>
              <w:left w:val="nil"/>
              <w:bottom w:val="nil"/>
              <w:right w:val="nil"/>
            </w:tcBorders>
            <w:shd w:val="clear" w:color="000000" w:fill="FFFFFF"/>
            <w:noWrap/>
            <w:vAlign w:val="center"/>
            <w:hideMark/>
          </w:tcPr>
          <w:p w14:paraId="36C43316" w14:textId="7941533F"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54</w:t>
            </w:r>
          </w:p>
        </w:tc>
        <w:tc>
          <w:tcPr>
            <w:tcW w:w="812" w:type="dxa"/>
            <w:tcBorders>
              <w:top w:val="nil"/>
              <w:left w:val="nil"/>
              <w:bottom w:val="nil"/>
              <w:right w:val="nil"/>
            </w:tcBorders>
            <w:shd w:val="clear" w:color="000000" w:fill="FFFFFF"/>
            <w:noWrap/>
            <w:vAlign w:val="center"/>
            <w:hideMark/>
          </w:tcPr>
          <w:p w14:paraId="1FE89F7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3A3B901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A12E094"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613E3FAB"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C1D5BEA" w14:textId="1FD11BA9"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54</w:t>
            </w:r>
          </w:p>
        </w:tc>
        <w:tc>
          <w:tcPr>
            <w:tcW w:w="1069" w:type="dxa"/>
            <w:tcBorders>
              <w:top w:val="nil"/>
              <w:left w:val="nil"/>
              <w:bottom w:val="nil"/>
              <w:right w:val="nil"/>
            </w:tcBorders>
            <w:shd w:val="clear" w:color="000000" w:fill="FFFFFF"/>
            <w:noWrap/>
            <w:vAlign w:val="center"/>
            <w:hideMark/>
          </w:tcPr>
          <w:p w14:paraId="7D5BDCD9"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48345D8E" w14:textId="20302478"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54</w:t>
            </w:r>
          </w:p>
        </w:tc>
        <w:tc>
          <w:tcPr>
            <w:tcW w:w="812" w:type="dxa"/>
            <w:tcBorders>
              <w:top w:val="nil"/>
              <w:left w:val="nil"/>
              <w:bottom w:val="nil"/>
              <w:right w:val="nil"/>
            </w:tcBorders>
            <w:shd w:val="clear" w:color="000000" w:fill="FFFFFF"/>
            <w:noWrap/>
            <w:vAlign w:val="center"/>
            <w:hideMark/>
          </w:tcPr>
          <w:p w14:paraId="1BF5D9A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1AB463D"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62B26DF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7230CA4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4CE1A08" w14:textId="2FCBB87F" w:rsidR="00F16E72" w:rsidRPr="001A4B94" w:rsidRDefault="00F16E72" w:rsidP="00F16E72">
            <w:pPr>
              <w:jc w:val="right"/>
              <w:rPr>
                <w:sz w:val="16"/>
                <w:szCs w:val="16"/>
                <w:lang w:val="tr-TR"/>
              </w:rPr>
            </w:pPr>
            <w:r w:rsidRPr="001A4B94">
              <w:rPr>
                <w:sz w:val="16"/>
                <w:szCs w:val="16"/>
                <w:lang w:val="tr-TR"/>
              </w:rPr>
              <w:t>11</w:t>
            </w:r>
            <w:r w:rsidR="007C4843" w:rsidRPr="001A4B94">
              <w:rPr>
                <w:sz w:val="16"/>
                <w:szCs w:val="16"/>
                <w:lang w:val="tr-TR"/>
              </w:rPr>
              <w:t>,</w:t>
            </w:r>
            <w:r w:rsidRPr="001A4B94">
              <w:rPr>
                <w:sz w:val="16"/>
                <w:szCs w:val="16"/>
                <w:lang w:val="tr-TR"/>
              </w:rPr>
              <w:t>54</w:t>
            </w:r>
          </w:p>
        </w:tc>
        <w:tc>
          <w:tcPr>
            <w:tcW w:w="990" w:type="dxa"/>
            <w:tcBorders>
              <w:top w:val="nil"/>
              <w:left w:val="nil"/>
              <w:bottom w:val="nil"/>
              <w:right w:val="nil"/>
            </w:tcBorders>
            <w:shd w:val="clear" w:color="000000" w:fill="FFFFFF"/>
            <w:noWrap/>
            <w:vAlign w:val="center"/>
            <w:hideMark/>
          </w:tcPr>
          <w:p w14:paraId="01C97CF3" w14:textId="65718F14" w:rsidR="00F16E72" w:rsidRPr="001A4B94" w:rsidRDefault="00F16E72" w:rsidP="00F16E72">
            <w:pPr>
              <w:jc w:val="right"/>
              <w:rPr>
                <w:sz w:val="16"/>
                <w:szCs w:val="16"/>
                <w:lang w:val="tr-TR"/>
              </w:rPr>
            </w:pPr>
            <w:r w:rsidRPr="001A4B94">
              <w:rPr>
                <w:sz w:val="16"/>
                <w:szCs w:val="16"/>
                <w:lang w:val="tr-TR"/>
              </w:rPr>
              <w:t>0</w:t>
            </w:r>
            <w:r w:rsidR="007C4843" w:rsidRPr="001A4B94">
              <w:rPr>
                <w:sz w:val="16"/>
                <w:szCs w:val="16"/>
                <w:lang w:val="tr-TR"/>
              </w:rPr>
              <w:t>,</w:t>
            </w:r>
            <w:r w:rsidRPr="001A4B94">
              <w:rPr>
                <w:sz w:val="16"/>
                <w:szCs w:val="16"/>
                <w:lang w:val="tr-TR"/>
              </w:rPr>
              <w:t>00</w:t>
            </w:r>
          </w:p>
        </w:tc>
      </w:tr>
      <w:tr w:rsidR="00F16E72" w:rsidRPr="001A4B94" w14:paraId="2372267D" w14:textId="77777777" w:rsidTr="007C4843">
        <w:trPr>
          <w:trHeight w:val="255"/>
          <w:jc w:val="center"/>
        </w:trPr>
        <w:tc>
          <w:tcPr>
            <w:tcW w:w="1900" w:type="dxa"/>
            <w:tcBorders>
              <w:top w:val="nil"/>
              <w:left w:val="nil"/>
              <w:right w:val="nil"/>
            </w:tcBorders>
            <w:shd w:val="clear" w:color="auto" w:fill="auto"/>
            <w:vAlign w:val="center"/>
          </w:tcPr>
          <w:p w14:paraId="74832676" w14:textId="77777777" w:rsidR="00F16E72" w:rsidRPr="001A4B94" w:rsidRDefault="00F16E72" w:rsidP="00F16E72">
            <w:pPr>
              <w:rPr>
                <w:sz w:val="16"/>
                <w:szCs w:val="16"/>
                <w:lang w:val="tr-TR"/>
              </w:rPr>
            </w:pPr>
          </w:p>
          <w:p w14:paraId="66677F77" w14:textId="77777777" w:rsidR="00F16E72" w:rsidRPr="001A4B94" w:rsidRDefault="00F16E72" w:rsidP="00F16E72">
            <w:pPr>
              <w:rPr>
                <w:sz w:val="16"/>
                <w:szCs w:val="16"/>
                <w:lang w:val="tr-TR"/>
              </w:rPr>
            </w:pPr>
          </w:p>
        </w:tc>
        <w:tc>
          <w:tcPr>
            <w:tcW w:w="1470" w:type="dxa"/>
            <w:tcBorders>
              <w:top w:val="nil"/>
              <w:left w:val="nil"/>
              <w:right w:val="nil"/>
            </w:tcBorders>
            <w:shd w:val="clear" w:color="auto" w:fill="auto"/>
            <w:noWrap/>
            <w:vAlign w:val="center"/>
          </w:tcPr>
          <w:p w14:paraId="2B91E926" w14:textId="77777777" w:rsidR="00F16E72" w:rsidRPr="001A4B94" w:rsidRDefault="00F16E72" w:rsidP="00F16E72">
            <w:pPr>
              <w:rPr>
                <w:sz w:val="16"/>
                <w:szCs w:val="16"/>
                <w:lang w:val="tr-TR"/>
              </w:rPr>
            </w:pPr>
          </w:p>
          <w:p w14:paraId="17AA2662" w14:textId="77777777" w:rsidR="00F16E72" w:rsidRPr="001A4B94" w:rsidRDefault="00F16E72" w:rsidP="00F16E72">
            <w:pPr>
              <w:rPr>
                <w:sz w:val="16"/>
                <w:szCs w:val="16"/>
                <w:lang w:val="tr-TR"/>
              </w:rPr>
            </w:pPr>
          </w:p>
        </w:tc>
        <w:tc>
          <w:tcPr>
            <w:tcW w:w="776" w:type="dxa"/>
            <w:tcBorders>
              <w:top w:val="nil"/>
              <w:left w:val="nil"/>
              <w:right w:val="nil"/>
            </w:tcBorders>
            <w:shd w:val="clear" w:color="auto" w:fill="auto"/>
            <w:noWrap/>
            <w:vAlign w:val="center"/>
          </w:tcPr>
          <w:p w14:paraId="758F2D54"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10CAE468" w14:textId="77777777" w:rsidR="00F16E72" w:rsidRPr="001A4B94" w:rsidRDefault="00F16E72" w:rsidP="00F16E72">
            <w:pPr>
              <w:jc w:val="right"/>
              <w:rPr>
                <w:sz w:val="16"/>
                <w:szCs w:val="16"/>
                <w:lang w:val="tr-TR"/>
              </w:rPr>
            </w:pPr>
          </w:p>
          <w:p w14:paraId="52A92B0B" w14:textId="77777777" w:rsidR="00F16E72" w:rsidRPr="001A4B94" w:rsidRDefault="00F16E72" w:rsidP="00F16E72">
            <w:pPr>
              <w:jc w:val="right"/>
              <w:rPr>
                <w:sz w:val="16"/>
                <w:szCs w:val="16"/>
                <w:lang w:val="tr-TR"/>
              </w:rPr>
            </w:pPr>
          </w:p>
          <w:p w14:paraId="3EE526DA"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78105B93" w14:textId="77777777" w:rsidR="00F16E72" w:rsidRPr="001A4B94" w:rsidRDefault="00F16E72" w:rsidP="00F16E72">
            <w:pPr>
              <w:jc w:val="right"/>
              <w:rPr>
                <w:sz w:val="16"/>
                <w:szCs w:val="16"/>
                <w:lang w:val="tr-TR"/>
              </w:rPr>
            </w:pPr>
          </w:p>
        </w:tc>
        <w:tc>
          <w:tcPr>
            <w:tcW w:w="706" w:type="dxa"/>
            <w:tcBorders>
              <w:top w:val="nil"/>
              <w:left w:val="nil"/>
              <w:right w:val="nil"/>
            </w:tcBorders>
            <w:shd w:val="clear" w:color="auto" w:fill="auto"/>
            <w:noWrap/>
            <w:vAlign w:val="center"/>
          </w:tcPr>
          <w:p w14:paraId="26960333" w14:textId="77777777" w:rsidR="00F16E72" w:rsidRPr="001A4B94" w:rsidRDefault="00F16E72" w:rsidP="00F16E72">
            <w:pPr>
              <w:jc w:val="right"/>
              <w:rPr>
                <w:sz w:val="16"/>
                <w:szCs w:val="16"/>
                <w:lang w:val="tr-TR"/>
              </w:rPr>
            </w:pPr>
          </w:p>
        </w:tc>
        <w:tc>
          <w:tcPr>
            <w:tcW w:w="710" w:type="dxa"/>
            <w:tcBorders>
              <w:top w:val="nil"/>
              <w:left w:val="nil"/>
              <w:right w:val="nil"/>
            </w:tcBorders>
            <w:shd w:val="clear" w:color="auto" w:fill="auto"/>
            <w:noWrap/>
            <w:vAlign w:val="center"/>
          </w:tcPr>
          <w:p w14:paraId="64058B79" w14:textId="77777777" w:rsidR="00F16E72" w:rsidRPr="001A4B94" w:rsidRDefault="00F16E72" w:rsidP="00F16E72">
            <w:pPr>
              <w:jc w:val="right"/>
              <w:rPr>
                <w:sz w:val="16"/>
                <w:szCs w:val="16"/>
                <w:lang w:val="tr-TR"/>
              </w:rPr>
            </w:pPr>
          </w:p>
        </w:tc>
        <w:tc>
          <w:tcPr>
            <w:tcW w:w="919" w:type="dxa"/>
            <w:tcBorders>
              <w:top w:val="nil"/>
              <w:left w:val="nil"/>
              <w:right w:val="nil"/>
            </w:tcBorders>
            <w:shd w:val="clear" w:color="auto" w:fill="auto"/>
            <w:noWrap/>
            <w:vAlign w:val="center"/>
          </w:tcPr>
          <w:p w14:paraId="43C499E4" w14:textId="77777777" w:rsidR="00F16E72" w:rsidRPr="001A4B94" w:rsidRDefault="00F16E72" w:rsidP="00F16E72">
            <w:pPr>
              <w:jc w:val="right"/>
              <w:rPr>
                <w:sz w:val="16"/>
                <w:szCs w:val="16"/>
                <w:lang w:val="tr-TR"/>
              </w:rPr>
            </w:pPr>
          </w:p>
        </w:tc>
        <w:tc>
          <w:tcPr>
            <w:tcW w:w="1069" w:type="dxa"/>
            <w:tcBorders>
              <w:top w:val="nil"/>
              <w:left w:val="nil"/>
              <w:right w:val="nil"/>
            </w:tcBorders>
            <w:shd w:val="clear" w:color="auto" w:fill="auto"/>
            <w:noWrap/>
            <w:vAlign w:val="center"/>
          </w:tcPr>
          <w:p w14:paraId="6850A01C" w14:textId="77777777" w:rsidR="00F16E72" w:rsidRPr="001A4B94" w:rsidRDefault="00F16E72" w:rsidP="00F16E72">
            <w:pPr>
              <w:jc w:val="right"/>
              <w:rPr>
                <w:sz w:val="16"/>
                <w:szCs w:val="16"/>
                <w:lang w:val="tr-TR"/>
              </w:rPr>
            </w:pPr>
          </w:p>
        </w:tc>
        <w:tc>
          <w:tcPr>
            <w:tcW w:w="776" w:type="dxa"/>
            <w:tcBorders>
              <w:top w:val="nil"/>
              <w:left w:val="nil"/>
              <w:right w:val="nil"/>
            </w:tcBorders>
            <w:shd w:val="clear" w:color="auto" w:fill="auto"/>
            <w:noWrap/>
            <w:vAlign w:val="center"/>
          </w:tcPr>
          <w:p w14:paraId="781B3BAB"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47CD05BC" w14:textId="77777777" w:rsidR="00F16E72" w:rsidRPr="001A4B94" w:rsidRDefault="00F16E72" w:rsidP="00F16E72">
            <w:pPr>
              <w:jc w:val="right"/>
              <w:rPr>
                <w:sz w:val="16"/>
                <w:szCs w:val="16"/>
                <w:lang w:val="tr-TR"/>
              </w:rPr>
            </w:pPr>
          </w:p>
        </w:tc>
        <w:tc>
          <w:tcPr>
            <w:tcW w:w="812" w:type="dxa"/>
            <w:tcBorders>
              <w:top w:val="nil"/>
              <w:left w:val="nil"/>
              <w:right w:val="nil"/>
            </w:tcBorders>
            <w:shd w:val="clear" w:color="auto" w:fill="auto"/>
            <w:noWrap/>
            <w:vAlign w:val="center"/>
          </w:tcPr>
          <w:p w14:paraId="1F61C575" w14:textId="77777777" w:rsidR="00F16E72" w:rsidRPr="001A4B94" w:rsidRDefault="00F16E72" w:rsidP="00F16E72">
            <w:pPr>
              <w:jc w:val="right"/>
              <w:rPr>
                <w:sz w:val="16"/>
                <w:szCs w:val="16"/>
                <w:lang w:val="tr-TR"/>
              </w:rPr>
            </w:pPr>
          </w:p>
        </w:tc>
        <w:tc>
          <w:tcPr>
            <w:tcW w:w="706" w:type="dxa"/>
            <w:tcBorders>
              <w:top w:val="nil"/>
              <w:left w:val="nil"/>
              <w:right w:val="nil"/>
            </w:tcBorders>
            <w:shd w:val="clear" w:color="auto" w:fill="auto"/>
            <w:noWrap/>
            <w:vAlign w:val="center"/>
          </w:tcPr>
          <w:p w14:paraId="04E0C9E9" w14:textId="77777777" w:rsidR="00F16E72" w:rsidRPr="001A4B94" w:rsidRDefault="00F16E72" w:rsidP="00F16E72">
            <w:pPr>
              <w:jc w:val="right"/>
              <w:rPr>
                <w:sz w:val="16"/>
                <w:szCs w:val="16"/>
                <w:lang w:val="tr-TR"/>
              </w:rPr>
            </w:pPr>
          </w:p>
        </w:tc>
        <w:tc>
          <w:tcPr>
            <w:tcW w:w="685" w:type="dxa"/>
            <w:tcBorders>
              <w:top w:val="nil"/>
              <w:left w:val="nil"/>
              <w:right w:val="nil"/>
            </w:tcBorders>
            <w:shd w:val="clear" w:color="auto" w:fill="auto"/>
            <w:noWrap/>
            <w:vAlign w:val="center"/>
          </w:tcPr>
          <w:p w14:paraId="3EAEB028" w14:textId="77777777" w:rsidR="00F16E72" w:rsidRPr="001A4B94" w:rsidRDefault="00F16E72" w:rsidP="00F16E72">
            <w:pPr>
              <w:jc w:val="right"/>
              <w:rPr>
                <w:sz w:val="16"/>
                <w:szCs w:val="16"/>
                <w:lang w:val="tr-TR"/>
              </w:rPr>
            </w:pPr>
          </w:p>
        </w:tc>
        <w:tc>
          <w:tcPr>
            <w:tcW w:w="919" w:type="dxa"/>
            <w:tcBorders>
              <w:top w:val="nil"/>
              <w:left w:val="nil"/>
              <w:right w:val="nil"/>
            </w:tcBorders>
            <w:shd w:val="clear" w:color="auto" w:fill="auto"/>
            <w:noWrap/>
            <w:vAlign w:val="center"/>
          </w:tcPr>
          <w:p w14:paraId="4EA8D76E" w14:textId="77777777" w:rsidR="00F16E72" w:rsidRPr="001A4B94" w:rsidRDefault="00F16E72" w:rsidP="00F16E72">
            <w:pPr>
              <w:jc w:val="right"/>
              <w:rPr>
                <w:sz w:val="16"/>
                <w:szCs w:val="16"/>
                <w:lang w:val="tr-TR"/>
              </w:rPr>
            </w:pPr>
          </w:p>
        </w:tc>
        <w:tc>
          <w:tcPr>
            <w:tcW w:w="990" w:type="dxa"/>
            <w:tcBorders>
              <w:top w:val="nil"/>
              <w:left w:val="nil"/>
              <w:right w:val="nil"/>
            </w:tcBorders>
            <w:shd w:val="clear" w:color="auto" w:fill="auto"/>
            <w:noWrap/>
            <w:vAlign w:val="center"/>
          </w:tcPr>
          <w:p w14:paraId="3E5D7C31" w14:textId="77777777" w:rsidR="00F16E72" w:rsidRPr="001A4B94" w:rsidRDefault="00F16E72" w:rsidP="00F16E72">
            <w:pPr>
              <w:jc w:val="right"/>
              <w:rPr>
                <w:sz w:val="16"/>
                <w:szCs w:val="16"/>
                <w:lang w:val="tr-TR"/>
              </w:rPr>
            </w:pPr>
          </w:p>
        </w:tc>
      </w:tr>
      <w:tr w:rsidR="002A1771" w:rsidRPr="001A4B94" w14:paraId="78E53322" w14:textId="77777777" w:rsidTr="00010D71">
        <w:trPr>
          <w:trHeight w:val="285"/>
          <w:jc w:val="center"/>
        </w:trPr>
        <w:tc>
          <w:tcPr>
            <w:tcW w:w="1900" w:type="dxa"/>
            <w:tcBorders>
              <w:top w:val="nil"/>
              <w:left w:val="nil"/>
              <w:bottom w:val="nil"/>
              <w:right w:val="nil"/>
            </w:tcBorders>
            <w:shd w:val="clear" w:color="auto" w:fill="auto"/>
            <w:noWrap/>
            <w:vAlign w:val="bottom"/>
            <w:hideMark/>
          </w:tcPr>
          <w:p w14:paraId="10DED9C9" w14:textId="77777777" w:rsidR="002A1771" w:rsidRPr="001A4B94" w:rsidRDefault="002A1771" w:rsidP="00010D71">
            <w:pPr>
              <w:rPr>
                <w:sz w:val="20"/>
                <w:szCs w:val="20"/>
                <w:lang w:val="tr-TR"/>
              </w:rPr>
            </w:pPr>
          </w:p>
        </w:tc>
        <w:tc>
          <w:tcPr>
            <w:tcW w:w="1470" w:type="dxa"/>
            <w:tcBorders>
              <w:top w:val="nil"/>
              <w:left w:val="nil"/>
              <w:bottom w:val="nil"/>
              <w:right w:val="nil"/>
            </w:tcBorders>
            <w:shd w:val="clear" w:color="auto" w:fill="auto"/>
            <w:noWrap/>
            <w:vAlign w:val="bottom"/>
            <w:hideMark/>
          </w:tcPr>
          <w:p w14:paraId="5055B85B" w14:textId="77777777" w:rsidR="002A1771" w:rsidRPr="001A4B94" w:rsidRDefault="002A1771" w:rsidP="00010D71">
            <w:pPr>
              <w:rPr>
                <w:sz w:val="20"/>
                <w:szCs w:val="20"/>
                <w:lang w:val="tr-TR"/>
              </w:rPr>
            </w:pPr>
          </w:p>
        </w:tc>
        <w:tc>
          <w:tcPr>
            <w:tcW w:w="5804" w:type="dxa"/>
            <w:gridSpan w:val="7"/>
            <w:tcBorders>
              <w:top w:val="double" w:sz="6" w:space="0" w:color="auto"/>
              <w:left w:val="single" w:sz="4" w:space="0" w:color="auto"/>
              <w:bottom w:val="single" w:sz="8" w:space="0" w:color="auto"/>
              <w:right w:val="single" w:sz="4" w:space="0" w:color="000000"/>
            </w:tcBorders>
            <w:shd w:val="clear" w:color="auto" w:fill="auto"/>
            <w:noWrap/>
            <w:vAlign w:val="bottom"/>
            <w:hideMark/>
          </w:tcPr>
          <w:p w14:paraId="038E5EB8" w14:textId="77777777" w:rsidR="002A1771" w:rsidRPr="001A4B94" w:rsidRDefault="002A1771" w:rsidP="00010D71">
            <w:pPr>
              <w:jc w:val="center"/>
              <w:rPr>
                <w:b/>
                <w:bCs/>
                <w:sz w:val="20"/>
                <w:szCs w:val="20"/>
                <w:lang w:val="tr-TR"/>
              </w:rPr>
            </w:pPr>
            <w:r w:rsidRPr="001A4B94">
              <w:rPr>
                <w:b/>
                <w:bCs/>
                <w:sz w:val="20"/>
                <w:szCs w:val="20"/>
                <w:lang w:val="tr-TR"/>
              </w:rPr>
              <w:t>Taahhüt Edilen</w:t>
            </w:r>
          </w:p>
        </w:tc>
        <w:tc>
          <w:tcPr>
            <w:tcW w:w="5700" w:type="dxa"/>
            <w:gridSpan w:val="7"/>
            <w:tcBorders>
              <w:top w:val="double" w:sz="6" w:space="0" w:color="auto"/>
              <w:left w:val="nil"/>
              <w:bottom w:val="single" w:sz="8" w:space="0" w:color="auto"/>
              <w:right w:val="single" w:sz="4" w:space="0" w:color="000000"/>
            </w:tcBorders>
            <w:shd w:val="clear" w:color="auto" w:fill="auto"/>
            <w:noWrap/>
            <w:vAlign w:val="bottom"/>
            <w:hideMark/>
          </w:tcPr>
          <w:p w14:paraId="07D45C4A" w14:textId="77777777" w:rsidR="002A1771" w:rsidRPr="001A4B94" w:rsidRDefault="002A1771" w:rsidP="00010D71">
            <w:pPr>
              <w:jc w:val="center"/>
              <w:rPr>
                <w:b/>
                <w:bCs/>
                <w:sz w:val="20"/>
                <w:szCs w:val="20"/>
                <w:lang w:val="tr-TR"/>
              </w:rPr>
            </w:pPr>
            <w:r w:rsidRPr="001A4B94">
              <w:rPr>
                <w:b/>
                <w:bCs/>
                <w:sz w:val="20"/>
                <w:szCs w:val="20"/>
                <w:lang w:val="tr-TR"/>
              </w:rPr>
              <w:t xml:space="preserve">Kullandırılan ve Ödenmemiş </w:t>
            </w:r>
          </w:p>
        </w:tc>
      </w:tr>
      <w:tr w:rsidR="002A1771" w:rsidRPr="001A4B94" w14:paraId="2989A5B3" w14:textId="77777777" w:rsidTr="00010D71">
        <w:trPr>
          <w:trHeight w:val="255"/>
          <w:jc w:val="center"/>
        </w:trPr>
        <w:tc>
          <w:tcPr>
            <w:tcW w:w="1900" w:type="dxa"/>
            <w:tcBorders>
              <w:top w:val="single" w:sz="8" w:space="0" w:color="auto"/>
              <w:left w:val="nil"/>
              <w:bottom w:val="nil"/>
              <w:right w:val="nil"/>
            </w:tcBorders>
            <w:shd w:val="clear" w:color="auto" w:fill="auto"/>
            <w:vAlign w:val="center"/>
            <w:hideMark/>
          </w:tcPr>
          <w:p w14:paraId="0BE79EA9" w14:textId="77777777" w:rsidR="002A1771" w:rsidRPr="001A4B94" w:rsidRDefault="002A1771" w:rsidP="00010D71">
            <w:pPr>
              <w:rPr>
                <w:b/>
                <w:bCs/>
                <w:sz w:val="16"/>
                <w:szCs w:val="16"/>
                <w:lang w:val="tr-TR"/>
              </w:rPr>
            </w:pPr>
            <w:r w:rsidRPr="001A4B94">
              <w:rPr>
                <w:b/>
                <w:bCs/>
                <w:sz w:val="16"/>
                <w:szCs w:val="16"/>
                <w:lang w:val="tr-TR"/>
              </w:rPr>
              <w:t>Taahhüt</w:t>
            </w:r>
          </w:p>
        </w:tc>
        <w:tc>
          <w:tcPr>
            <w:tcW w:w="1470" w:type="dxa"/>
            <w:tcBorders>
              <w:top w:val="single" w:sz="8" w:space="0" w:color="auto"/>
              <w:left w:val="nil"/>
              <w:bottom w:val="nil"/>
              <w:right w:val="nil"/>
            </w:tcBorders>
            <w:shd w:val="clear" w:color="auto" w:fill="auto"/>
            <w:noWrap/>
            <w:vAlign w:val="center"/>
            <w:hideMark/>
          </w:tcPr>
          <w:p w14:paraId="4FBE5DE2" w14:textId="77777777" w:rsidR="002A1771" w:rsidRPr="001A4B94" w:rsidRDefault="002A1771" w:rsidP="00010D71">
            <w:pPr>
              <w:rPr>
                <w:b/>
                <w:bCs/>
                <w:sz w:val="16"/>
                <w:szCs w:val="16"/>
                <w:lang w:val="tr-TR"/>
              </w:rPr>
            </w:pPr>
            <w:r w:rsidRPr="001A4B94">
              <w:rPr>
                <w:b/>
                <w:bCs/>
                <w:sz w:val="16"/>
                <w:szCs w:val="16"/>
                <w:lang w:val="tr-TR"/>
              </w:rPr>
              <w:t xml:space="preserve">Kurum </w:t>
            </w:r>
          </w:p>
        </w:tc>
        <w:tc>
          <w:tcPr>
            <w:tcW w:w="776" w:type="dxa"/>
            <w:vMerge w:val="restart"/>
            <w:tcBorders>
              <w:top w:val="nil"/>
              <w:left w:val="nil"/>
              <w:bottom w:val="single" w:sz="8" w:space="0" w:color="000000"/>
              <w:right w:val="nil"/>
            </w:tcBorders>
            <w:shd w:val="clear" w:color="auto" w:fill="auto"/>
            <w:noWrap/>
            <w:vAlign w:val="center"/>
            <w:hideMark/>
          </w:tcPr>
          <w:p w14:paraId="5524928C" w14:textId="77777777" w:rsidR="002A1771" w:rsidRPr="001A4B94" w:rsidRDefault="002A1771" w:rsidP="00010D71">
            <w:pPr>
              <w:jc w:val="center"/>
              <w:rPr>
                <w:b/>
                <w:bCs/>
                <w:sz w:val="16"/>
                <w:szCs w:val="16"/>
                <w:lang w:val="tr-TR"/>
              </w:rPr>
            </w:pPr>
            <w:r w:rsidRPr="001A4B94">
              <w:rPr>
                <w:b/>
                <w:bCs/>
                <w:sz w:val="16"/>
                <w:szCs w:val="16"/>
                <w:lang w:val="tr-TR"/>
              </w:rPr>
              <w:t>Kredi</w:t>
            </w:r>
          </w:p>
        </w:tc>
        <w:tc>
          <w:tcPr>
            <w:tcW w:w="812" w:type="dxa"/>
            <w:vMerge w:val="restart"/>
            <w:tcBorders>
              <w:top w:val="nil"/>
              <w:left w:val="nil"/>
              <w:bottom w:val="single" w:sz="8" w:space="0" w:color="000000"/>
              <w:right w:val="nil"/>
            </w:tcBorders>
            <w:shd w:val="clear" w:color="auto" w:fill="auto"/>
            <w:noWrap/>
            <w:vAlign w:val="center"/>
            <w:hideMark/>
          </w:tcPr>
          <w:p w14:paraId="7716F0D4" w14:textId="77777777" w:rsidR="002A1771" w:rsidRPr="001A4B94" w:rsidRDefault="002A1771" w:rsidP="00010D71">
            <w:pPr>
              <w:jc w:val="center"/>
              <w:rPr>
                <w:b/>
                <w:bCs/>
                <w:sz w:val="16"/>
                <w:szCs w:val="16"/>
                <w:lang w:val="tr-TR"/>
              </w:rPr>
            </w:pPr>
            <w:r w:rsidRPr="001A4B94">
              <w:rPr>
                <w:b/>
                <w:bCs/>
                <w:sz w:val="16"/>
                <w:szCs w:val="16"/>
                <w:lang w:val="tr-TR"/>
              </w:rPr>
              <w:t>Sermaye</w:t>
            </w:r>
          </w:p>
        </w:tc>
        <w:tc>
          <w:tcPr>
            <w:tcW w:w="812" w:type="dxa"/>
            <w:vMerge w:val="restart"/>
            <w:tcBorders>
              <w:top w:val="nil"/>
              <w:left w:val="nil"/>
              <w:bottom w:val="single" w:sz="8" w:space="0" w:color="000000"/>
              <w:right w:val="nil"/>
            </w:tcBorders>
            <w:shd w:val="clear" w:color="auto" w:fill="auto"/>
            <w:vAlign w:val="center"/>
            <w:hideMark/>
          </w:tcPr>
          <w:p w14:paraId="4621EB67" w14:textId="77777777" w:rsidR="002A1771" w:rsidRPr="001A4B94" w:rsidRDefault="002A1771" w:rsidP="00010D71">
            <w:pPr>
              <w:jc w:val="center"/>
              <w:rPr>
                <w:b/>
                <w:bCs/>
                <w:sz w:val="16"/>
                <w:szCs w:val="16"/>
                <w:lang w:val="tr-TR"/>
              </w:rPr>
            </w:pPr>
            <w:r w:rsidRPr="001A4B94">
              <w:rPr>
                <w:b/>
                <w:bCs/>
                <w:sz w:val="16"/>
                <w:szCs w:val="16"/>
                <w:lang w:val="tr-TR"/>
              </w:rPr>
              <w:t xml:space="preserve">Sermaye Benzeri </w:t>
            </w:r>
          </w:p>
        </w:tc>
        <w:tc>
          <w:tcPr>
            <w:tcW w:w="706" w:type="dxa"/>
            <w:vMerge w:val="restart"/>
            <w:tcBorders>
              <w:top w:val="nil"/>
              <w:left w:val="nil"/>
              <w:bottom w:val="single" w:sz="8" w:space="0" w:color="000000"/>
              <w:right w:val="nil"/>
            </w:tcBorders>
            <w:shd w:val="clear" w:color="auto" w:fill="auto"/>
            <w:noWrap/>
            <w:vAlign w:val="center"/>
            <w:hideMark/>
          </w:tcPr>
          <w:p w14:paraId="1E50A7F6" w14:textId="77777777" w:rsidR="002A1771" w:rsidRPr="001A4B94" w:rsidRDefault="002A1771" w:rsidP="00010D71">
            <w:pPr>
              <w:jc w:val="center"/>
              <w:rPr>
                <w:b/>
                <w:bCs/>
                <w:sz w:val="16"/>
                <w:szCs w:val="16"/>
                <w:lang w:val="tr-TR"/>
              </w:rPr>
            </w:pPr>
            <w:r w:rsidRPr="001A4B94">
              <w:rPr>
                <w:b/>
                <w:bCs/>
                <w:sz w:val="16"/>
                <w:szCs w:val="16"/>
                <w:lang w:val="tr-TR"/>
              </w:rPr>
              <w:t>GT</w:t>
            </w:r>
          </w:p>
        </w:tc>
        <w:tc>
          <w:tcPr>
            <w:tcW w:w="710" w:type="dxa"/>
            <w:vMerge w:val="restart"/>
            <w:tcBorders>
              <w:top w:val="nil"/>
              <w:left w:val="nil"/>
              <w:bottom w:val="single" w:sz="8" w:space="0" w:color="000000"/>
              <w:right w:val="nil"/>
            </w:tcBorders>
            <w:shd w:val="clear" w:color="auto" w:fill="auto"/>
            <w:vAlign w:val="center"/>
            <w:hideMark/>
          </w:tcPr>
          <w:p w14:paraId="17483E2B" w14:textId="77777777" w:rsidR="002A1771" w:rsidRPr="001A4B94" w:rsidRDefault="002A1771" w:rsidP="00010D71">
            <w:pPr>
              <w:jc w:val="center"/>
              <w:rPr>
                <w:b/>
                <w:bCs/>
                <w:sz w:val="16"/>
                <w:szCs w:val="16"/>
                <w:lang w:val="tr-TR"/>
              </w:rPr>
            </w:pPr>
            <w:r w:rsidRPr="001A4B94">
              <w:rPr>
                <w:b/>
                <w:bCs/>
                <w:sz w:val="16"/>
                <w:szCs w:val="16"/>
                <w:lang w:val="tr-TR"/>
              </w:rPr>
              <w:t>Risk Yön</w:t>
            </w:r>
          </w:p>
        </w:tc>
        <w:tc>
          <w:tcPr>
            <w:tcW w:w="919" w:type="dxa"/>
            <w:vMerge w:val="restart"/>
            <w:tcBorders>
              <w:top w:val="nil"/>
              <w:left w:val="nil"/>
              <w:bottom w:val="single" w:sz="8" w:space="0" w:color="000000"/>
              <w:right w:val="nil"/>
            </w:tcBorders>
            <w:shd w:val="clear" w:color="auto" w:fill="auto"/>
            <w:vAlign w:val="center"/>
            <w:hideMark/>
          </w:tcPr>
          <w:p w14:paraId="4985BB22" w14:textId="77777777" w:rsidR="002A1771" w:rsidRPr="001A4B94" w:rsidRDefault="002A1771" w:rsidP="00010D71">
            <w:pPr>
              <w:jc w:val="center"/>
              <w:rPr>
                <w:b/>
                <w:bCs/>
                <w:sz w:val="16"/>
                <w:szCs w:val="16"/>
                <w:lang w:val="tr-TR"/>
              </w:rPr>
            </w:pPr>
            <w:r w:rsidRPr="001A4B94">
              <w:rPr>
                <w:b/>
                <w:bCs/>
                <w:sz w:val="16"/>
                <w:szCs w:val="16"/>
                <w:lang w:val="tr-TR"/>
              </w:rPr>
              <w:t>IFC TOPLAM</w:t>
            </w:r>
          </w:p>
        </w:tc>
        <w:tc>
          <w:tcPr>
            <w:tcW w:w="1069" w:type="dxa"/>
            <w:vMerge w:val="restart"/>
            <w:tcBorders>
              <w:top w:val="nil"/>
              <w:left w:val="nil"/>
              <w:bottom w:val="single" w:sz="8" w:space="0" w:color="000000"/>
              <w:right w:val="nil"/>
            </w:tcBorders>
            <w:shd w:val="clear" w:color="auto" w:fill="auto"/>
            <w:vAlign w:val="center"/>
            <w:hideMark/>
          </w:tcPr>
          <w:p w14:paraId="2A68D414" w14:textId="77777777" w:rsidR="002A1771" w:rsidRPr="001A4B94" w:rsidRDefault="002A1771" w:rsidP="00010D71">
            <w:pPr>
              <w:jc w:val="center"/>
              <w:rPr>
                <w:b/>
                <w:bCs/>
                <w:sz w:val="16"/>
                <w:szCs w:val="16"/>
                <w:lang w:val="tr-TR"/>
              </w:rPr>
            </w:pPr>
            <w:r w:rsidRPr="001A4B94">
              <w:rPr>
                <w:b/>
                <w:bCs/>
                <w:sz w:val="16"/>
                <w:szCs w:val="16"/>
                <w:lang w:val="tr-TR"/>
              </w:rPr>
              <w:t>Katılımcı</w:t>
            </w:r>
          </w:p>
        </w:tc>
        <w:tc>
          <w:tcPr>
            <w:tcW w:w="776" w:type="dxa"/>
            <w:vMerge w:val="restart"/>
            <w:tcBorders>
              <w:top w:val="nil"/>
              <w:left w:val="nil"/>
              <w:bottom w:val="single" w:sz="8" w:space="0" w:color="000000"/>
              <w:right w:val="nil"/>
            </w:tcBorders>
            <w:shd w:val="clear" w:color="auto" w:fill="auto"/>
            <w:noWrap/>
            <w:vAlign w:val="center"/>
            <w:hideMark/>
          </w:tcPr>
          <w:p w14:paraId="129CDD1C" w14:textId="77777777" w:rsidR="002A1771" w:rsidRPr="001A4B94" w:rsidRDefault="002A1771" w:rsidP="00010D71">
            <w:pPr>
              <w:jc w:val="center"/>
              <w:rPr>
                <w:b/>
                <w:bCs/>
                <w:sz w:val="16"/>
                <w:szCs w:val="16"/>
                <w:lang w:val="tr-TR"/>
              </w:rPr>
            </w:pPr>
            <w:r w:rsidRPr="001A4B94">
              <w:rPr>
                <w:b/>
                <w:bCs/>
                <w:sz w:val="16"/>
                <w:szCs w:val="16"/>
                <w:lang w:val="tr-TR"/>
              </w:rPr>
              <w:t>Kredi</w:t>
            </w:r>
          </w:p>
        </w:tc>
        <w:tc>
          <w:tcPr>
            <w:tcW w:w="812" w:type="dxa"/>
            <w:vMerge w:val="restart"/>
            <w:tcBorders>
              <w:top w:val="nil"/>
              <w:left w:val="nil"/>
              <w:bottom w:val="single" w:sz="8" w:space="0" w:color="000000"/>
              <w:right w:val="nil"/>
            </w:tcBorders>
            <w:shd w:val="clear" w:color="auto" w:fill="auto"/>
            <w:noWrap/>
            <w:vAlign w:val="center"/>
            <w:hideMark/>
          </w:tcPr>
          <w:p w14:paraId="26DB267B" w14:textId="77777777" w:rsidR="002A1771" w:rsidRPr="001A4B94" w:rsidRDefault="002A1771" w:rsidP="00010D71">
            <w:pPr>
              <w:jc w:val="center"/>
              <w:rPr>
                <w:b/>
                <w:bCs/>
                <w:sz w:val="16"/>
                <w:szCs w:val="16"/>
                <w:lang w:val="tr-TR"/>
              </w:rPr>
            </w:pPr>
            <w:r w:rsidRPr="001A4B94">
              <w:rPr>
                <w:b/>
                <w:bCs/>
                <w:sz w:val="16"/>
                <w:szCs w:val="16"/>
                <w:lang w:val="tr-TR"/>
              </w:rPr>
              <w:t>Sermaye</w:t>
            </w:r>
          </w:p>
        </w:tc>
        <w:tc>
          <w:tcPr>
            <w:tcW w:w="812" w:type="dxa"/>
            <w:vMerge w:val="restart"/>
            <w:tcBorders>
              <w:top w:val="nil"/>
              <w:left w:val="nil"/>
              <w:bottom w:val="single" w:sz="8" w:space="0" w:color="000000"/>
              <w:right w:val="nil"/>
            </w:tcBorders>
            <w:shd w:val="clear" w:color="auto" w:fill="auto"/>
            <w:vAlign w:val="center"/>
            <w:hideMark/>
          </w:tcPr>
          <w:p w14:paraId="40601613" w14:textId="77777777" w:rsidR="002A1771" w:rsidRPr="001A4B94" w:rsidRDefault="002A1771" w:rsidP="00010D71">
            <w:pPr>
              <w:jc w:val="center"/>
              <w:rPr>
                <w:b/>
                <w:bCs/>
                <w:sz w:val="16"/>
                <w:szCs w:val="16"/>
                <w:lang w:val="tr-TR"/>
              </w:rPr>
            </w:pPr>
            <w:r w:rsidRPr="001A4B94">
              <w:rPr>
                <w:b/>
                <w:bCs/>
                <w:sz w:val="16"/>
                <w:szCs w:val="16"/>
                <w:lang w:val="tr-TR"/>
              </w:rPr>
              <w:t xml:space="preserve">Sermaye Benzeri </w:t>
            </w:r>
          </w:p>
        </w:tc>
        <w:tc>
          <w:tcPr>
            <w:tcW w:w="706" w:type="dxa"/>
            <w:vMerge w:val="restart"/>
            <w:tcBorders>
              <w:top w:val="nil"/>
              <w:left w:val="nil"/>
              <w:bottom w:val="single" w:sz="8" w:space="0" w:color="000000"/>
              <w:right w:val="nil"/>
            </w:tcBorders>
            <w:shd w:val="clear" w:color="auto" w:fill="auto"/>
            <w:vAlign w:val="center"/>
            <w:hideMark/>
          </w:tcPr>
          <w:p w14:paraId="413BA521" w14:textId="77777777" w:rsidR="002A1771" w:rsidRPr="001A4B94" w:rsidRDefault="002A1771" w:rsidP="00010D71">
            <w:pPr>
              <w:jc w:val="center"/>
              <w:rPr>
                <w:b/>
                <w:bCs/>
                <w:sz w:val="16"/>
                <w:szCs w:val="16"/>
                <w:lang w:val="tr-TR"/>
              </w:rPr>
            </w:pPr>
            <w:r w:rsidRPr="001A4B94">
              <w:rPr>
                <w:b/>
                <w:bCs/>
                <w:sz w:val="16"/>
                <w:szCs w:val="16"/>
                <w:lang w:val="tr-TR"/>
              </w:rPr>
              <w:t>GT</w:t>
            </w:r>
          </w:p>
        </w:tc>
        <w:tc>
          <w:tcPr>
            <w:tcW w:w="685" w:type="dxa"/>
            <w:vMerge w:val="restart"/>
            <w:tcBorders>
              <w:top w:val="nil"/>
              <w:left w:val="nil"/>
              <w:bottom w:val="single" w:sz="8" w:space="0" w:color="000000"/>
              <w:right w:val="nil"/>
            </w:tcBorders>
            <w:shd w:val="clear" w:color="auto" w:fill="auto"/>
            <w:vAlign w:val="center"/>
            <w:hideMark/>
          </w:tcPr>
          <w:p w14:paraId="283AAEBE" w14:textId="77777777" w:rsidR="002A1771" w:rsidRPr="001A4B94" w:rsidRDefault="002A1771" w:rsidP="00010D71">
            <w:pPr>
              <w:jc w:val="center"/>
              <w:rPr>
                <w:b/>
                <w:bCs/>
                <w:sz w:val="16"/>
                <w:szCs w:val="16"/>
                <w:lang w:val="tr-TR"/>
              </w:rPr>
            </w:pPr>
            <w:r w:rsidRPr="001A4B94">
              <w:rPr>
                <w:b/>
                <w:bCs/>
                <w:sz w:val="16"/>
                <w:szCs w:val="16"/>
                <w:lang w:val="tr-TR"/>
              </w:rPr>
              <w:t>Risk Yön</w:t>
            </w:r>
          </w:p>
        </w:tc>
        <w:tc>
          <w:tcPr>
            <w:tcW w:w="919" w:type="dxa"/>
            <w:vMerge w:val="restart"/>
            <w:tcBorders>
              <w:top w:val="nil"/>
              <w:left w:val="nil"/>
              <w:bottom w:val="single" w:sz="8" w:space="0" w:color="000000"/>
              <w:right w:val="nil"/>
            </w:tcBorders>
            <w:shd w:val="clear" w:color="auto" w:fill="auto"/>
            <w:vAlign w:val="center"/>
            <w:hideMark/>
          </w:tcPr>
          <w:p w14:paraId="6E4E7B00" w14:textId="77777777" w:rsidR="002A1771" w:rsidRPr="001A4B94" w:rsidRDefault="002A1771" w:rsidP="00010D71">
            <w:pPr>
              <w:jc w:val="center"/>
              <w:rPr>
                <w:b/>
                <w:bCs/>
                <w:sz w:val="16"/>
                <w:szCs w:val="16"/>
                <w:lang w:val="tr-TR"/>
              </w:rPr>
            </w:pPr>
            <w:r w:rsidRPr="001A4B94">
              <w:rPr>
                <w:b/>
                <w:bCs/>
                <w:sz w:val="16"/>
                <w:szCs w:val="16"/>
                <w:lang w:val="tr-TR"/>
              </w:rPr>
              <w:t>IFC TOPLAM</w:t>
            </w:r>
          </w:p>
        </w:tc>
        <w:tc>
          <w:tcPr>
            <w:tcW w:w="990" w:type="dxa"/>
            <w:vMerge w:val="restart"/>
            <w:tcBorders>
              <w:top w:val="nil"/>
              <w:left w:val="nil"/>
              <w:bottom w:val="single" w:sz="8" w:space="0" w:color="000000"/>
              <w:right w:val="nil"/>
            </w:tcBorders>
            <w:shd w:val="clear" w:color="auto" w:fill="auto"/>
            <w:vAlign w:val="center"/>
            <w:hideMark/>
          </w:tcPr>
          <w:p w14:paraId="53D18FE2" w14:textId="77777777" w:rsidR="002A1771" w:rsidRPr="001A4B94" w:rsidRDefault="002A1771" w:rsidP="00010D71">
            <w:pPr>
              <w:jc w:val="center"/>
              <w:rPr>
                <w:b/>
                <w:bCs/>
                <w:sz w:val="16"/>
                <w:szCs w:val="16"/>
                <w:lang w:val="tr-TR"/>
              </w:rPr>
            </w:pPr>
            <w:r w:rsidRPr="001A4B94">
              <w:rPr>
                <w:b/>
                <w:bCs/>
                <w:sz w:val="16"/>
                <w:szCs w:val="16"/>
                <w:lang w:val="tr-TR"/>
              </w:rPr>
              <w:t>Katılımcı</w:t>
            </w:r>
          </w:p>
        </w:tc>
      </w:tr>
      <w:tr w:rsidR="002A1771" w:rsidRPr="001A4B94" w14:paraId="1E41F202" w14:textId="77777777" w:rsidTr="00010D71">
        <w:trPr>
          <w:trHeight w:val="270"/>
          <w:jc w:val="center"/>
        </w:trPr>
        <w:tc>
          <w:tcPr>
            <w:tcW w:w="1900" w:type="dxa"/>
            <w:tcBorders>
              <w:top w:val="nil"/>
              <w:left w:val="nil"/>
              <w:bottom w:val="single" w:sz="8" w:space="0" w:color="auto"/>
              <w:right w:val="nil"/>
            </w:tcBorders>
            <w:shd w:val="clear" w:color="auto" w:fill="auto"/>
            <w:vAlign w:val="center"/>
            <w:hideMark/>
          </w:tcPr>
          <w:p w14:paraId="20A67A47" w14:textId="77777777" w:rsidR="002A1771" w:rsidRPr="001A4B94" w:rsidRDefault="002A1771" w:rsidP="00010D71">
            <w:pPr>
              <w:rPr>
                <w:b/>
                <w:bCs/>
                <w:sz w:val="16"/>
                <w:szCs w:val="16"/>
                <w:lang w:val="tr-TR"/>
              </w:rPr>
            </w:pPr>
            <w:r w:rsidRPr="001A4B94">
              <w:rPr>
                <w:b/>
                <w:bCs/>
                <w:sz w:val="16"/>
                <w:szCs w:val="16"/>
                <w:lang w:val="tr-TR"/>
              </w:rPr>
              <w:t xml:space="preserve">Mali Yıl </w:t>
            </w:r>
          </w:p>
        </w:tc>
        <w:tc>
          <w:tcPr>
            <w:tcW w:w="1470" w:type="dxa"/>
            <w:tcBorders>
              <w:top w:val="nil"/>
              <w:left w:val="nil"/>
              <w:bottom w:val="single" w:sz="8" w:space="0" w:color="auto"/>
              <w:right w:val="nil"/>
            </w:tcBorders>
            <w:shd w:val="clear" w:color="auto" w:fill="auto"/>
            <w:noWrap/>
            <w:vAlign w:val="center"/>
            <w:hideMark/>
          </w:tcPr>
          <w:p w14:paraId="2DADBCC0" w14:textId="77777777" w:rsidR="002A1771" w:rsidRPr="001A4B94" w:rsidRDefault="002A1771" w:rsidP="00010D71">
            <w:pPr>
              <w:rPr>
                <w:b/>
                <w:bCs/>
                <w:sz w:val="16"/>
                <w:szCs w:val="16"/>
                <w:lang w:val="tr-TR"/>
              </w:rPr>
            </w:pPr>
            <w:r w:rsidRPr="001A4B94">
              <w:rPr>
                <w:b/>
                <w:bCs/>
                <w:sz w:val="16"/>
                <w:szCs w:val="16"/>
                <w:lang w:val="tr-TR"/>
              </w:rPr>
              <w:t>Kısa Adı</w:t>
            </w:r>
          </w:p>
        </w:tc>
        <w:tc>
          <w:tcPr>
            <w:tcW w:w="776" w:type="dxa"/>
            <w:vMerge/>
            <w:tcBorders>
              <w:top w:val="nil"/>
              <w:left w:val="nil"/>
              <w:bottom w:val="single" w:sz="8" w:space="0" w:color="000000"/>
              <w:right w:val="nil"/>
            </w:tcBorders>
            <w:vAlign w:val="center"/>
            <w:hideMark/>
          </w:tcPr>
          <w:p w14:paraId="7D2EEC1C" w14:textId="77777777" w:rsidR="002A1771" w:rsidRPr="001A4B94" w:rsidRDefault="002A1771"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0C24F0A0" w14:textId="77777777" w:rsidR="002A1771" w:rsidRPr="001A4B94" w:rsidRDefault="002A1771"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002FE6BF" w14:textId="77777777" w:rsidR="002A1771" w:rsidRPr="001A4B94" w:rsidRDefault="002A1771" w:rsidP="00010D71">
            <w:pPr>
              <w:rPr>
                <w:b/>
                <w:bCs/>
                <w:sz w:val="16"/>
                <w:szCs w:val="16"/>
                <w:lang w:val="tr-TR"/>
              </w:rPr>
            </w:pPr>
          </w:p>
        </w:tc>
        <w:tc>
          <w:tcPr>
            <w:tcW w:w="706" w:type="dxa"/>
            <w:vMerge/>
            <w:tcBorders>
              <w:top w:val="nil"/>
              <w:left w:val="nil"/>
              <w:bottom w:val="single" w:sz="8" w:space="0" w:color="000000"/>
              <w:right w:val="nil"/>
            </w:tcBorders>
            <w:vAlign w:val="center"/>
            <w:hideMark/>
          </w:tcPr>
          <w:p w14:paraId="48B3DED7" w14:textId="77777777" w:rsidR="002A1771" w:rsidRPr="001A4B94" w:rsidRDefault="002A1771" w:rsidP="00010D71">
            <w:pPr>
              <w:rPr>
                <w:b/>
                <w:bCs/>
                <w:sz w:val="16"/>
                <w:szCs w:val="16"/>
                <w:lang w:val="tr-TR"/>
              </w:rPr>
            </w:pPr>
          </w:p>
        </w:tc>
        <w:tc>
          <w:tcPr>
            <w:tcW w:w="710" w:type="dxa"/>
            <w:vMerge/>
            <w:tcBorders>
              <w:top w:val="nil"/>
              <w:left w:val="nil"/>
              <w:bottom w:val="single" w:sz="8" w:space="0" w:color="000000"/>
              <w:right w:val="nil"/>
            </w:tcBorders>
            <w:vAlign w:val="center"/>
            <w:hideMark/>
          </w:tcPr>
          <w:p w14:paraId="3778B373" w14:textId="77777777" w:rsidR="002A1771" w:rsidRPr="001A4B94" w:rsidRDefault="002A1771" w:rsidP="00010D71">
            <w:pPr>
              <w:rPr>
                <w:b/>
                <w:bCs/>
                <w:sz w:val="16"/>
                <w:szCs w:val="16"/>
                <w:lang w:val="tr-TR"/>
              </w:rPr>
            </w:pPr>
          </w:p>
        </w:tc>
        <w:tc>
          <w:tcPr>
            <w:tcW w:w="919" w:type="dxa"/>
            <w:vMerge/>
            <w:tcBorders>
              <w:top w:val="nil"/>
              <w:left w:val="nil"/>
              <w:bottom w:val="single" w:sz="8" w:space="0" w:color="000000"/>
              <w:right w:val="nil"/>
            </w:tcBorders>
            <w:vAlign w:val="center"/>
            <w:hideMark/>
          </w:tcPr>
          <w:p w14:paraId="2C8926BC" w14:textId="77777777" w:rsidR="002A1771" w:rsidRPr="001A4B94" w:rsidRDefault="002A1771" w:rsidP="00010D71">
            <w:pPr>
              <w:rPr>
                <w:b/>
                <w:bCs/>
                <w:sz w:val="16"/>
                <w:szCs w:val="16"/>
                <w:lang w:val="tr-TR"/>
              </w:rPr>
            </w:pPr>
          </w:p>
        </w:tc>
        <w:tc>
          <w:tcPr>
            <w:tcW w:w="1069" w:type="dxa"/>
            <w:vMerge/>
            <w:tcBorders>
              <w:top w:val="nil"/>
              <w:left w:val="nil"/>
              <w:bottom w:val="single" w:sz="8" w:space="0" w:color="000000"/>
              <w:right w:val="nil"/>
            </w:tcBorders>
            <w:vAlign w:val="center"/>
            <w:hideMark/>
          </w:tcPr>
          <w:p w14:paraId="249FB99D" w14:textId="77777777" w:rsidR="002A1771" w:rsidRPr="001A4B94" w:rsidRDefault="002A1771" w:rsidP="00010D71">
            <w:pPr>
              <w:rPr>
                <w:b/>
                <w:bCs/>
                <w:sz w:val="16"/>
                <w:szCs w:val="16"/>
                <w:lang w:val="tr-TR"/>
              </w:rPr>
            </w:pPr>
          </w:p>
        </w:tc>
        <w:tc>
          <w:tcPr>
            <w:tcW w:w="776" w:type="dxa"/>
            <w:vMerge/>
            <w:tcBorders>
              <w:top w:val="nil"/>
              <w:left w:val="nil"/>
              <w:bottom w:val="single" w:sz="8" w:space="0" w:color="000000"/>
              <w:right w:val="nil"/>
            </w:tcBorders>
            <w:vAlign w:val="center"/>
            <w:hideMark/>
          </w:tcPr>
          <w:p w14:paraId="1EA0822C" w14:textId="77777777" w:rsidR="002A1771" w:rsidRPr="001A4B94" w:rsidRDefault="002A1771"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0EAE8610" w14:textId="77777777" w:rsidR="002A1771" w:rsidRPr="001A4B94" w:rsidRDefault="002A1771" w:rsidP="00010D71">
            <w:pPr>
              <w:rPr>
                <w:b/>
                <w:bCs/>
                <w:sz w:val="16"/>
                <w:szCs w:val="16"/>
                <w:lang w:val="tr-TR"/>
              </w:rPr>
            </w:pPr>
          </w:p>
        </w:tc>
        <w:tc>
          <w:tcPr>
            <w:tcW w:w="812" w:type="dxa"/>
            <w:vMerge/>
            <w:tcBorders>
              <w:top w:val="nil"/>
              <w:left w:val="nil"/>
              <w:bottom w:val="single" w:sz="8" w:space="0" w:color="000000"/>
              <w:right w:val="nil"/>
            </w:tcBorders>
            <w:vAlign w:val="center"/>
            <w:hideMark/>
          </w:tcPr>
          <w:p w14:paraId="5859D081" w14:textId="77777777" w:rsidR="002A1771" w:rsidRPr="001A4B94" w:rsidRDefault="002A1771" w:rsidP="00010D71">
            <w:pPr>
              <w:rPr>
                <w:b/>
                <w:bCs/>
                <w:sz w:val="16"/>
                <w:szCs w:val="16"/>
                <w:lang w:val="tr-TR"/>
              </w:rPr>
            </w:pPr>
          </w:p>
        </w:tc>
        <w:tc>
          <w:tcPr>
            <w:tcW w:w="706" w:type="dxa"/>
            <w:vMerge/>
            <w:tcBorders>
              <w:top w:val="nil"/>
              <w:left w:val="nil"/>
              <w:bottom w:val="single" w:sz="8" w:space="0" w:color="000000"/>
              <w:right w:val="nil"/>
            </w:tcBorders>
            <w:vAlign w:val="center"/>
            <w:hideMark/>
          </w:tcPr>
          <w:p w14:paraId="08A0C3A7" w14:textId="77777777" w:rsidR="002A1771" w:rsidRPr="001A4B94" w:rsidRDefault="002A1771" w:rsidP="00010D71">
            <w:pPr>
              <w:rPr>
                <w:b/>
                <w:bCs/>
                <w:sz w:val="16"/>
                <w:szCs w:val="16"/>
                <w:lang w:val="tr-TR"/>
              </w:rPr>
            </w:pPr>
          </w:p>
        </w:tc>
        <w:tc>
          <w:tcPr>
            <w:tcW w:w="685" w:type="dxa"/>
            <w:vMerge/>
            <w:tcBorders>
              <w:top w:val="nil"/>
              <w:left w:val="nil"/>
              <w:bottom w:val="single" w:sz="8" w:space="0" w:color="000000"/>
              <w:right w:val="nil"/>
            </w:tcBorders>
            <w:vAlign w:val="center"/>
            <w:hideMark/>
          </w:tcPr>
          <w:p w14:paraId="1A7E8888" w14:textId="77777777" w:rsidR="002A1771" w:rsidRPr="001A4B94" w:rsidRDefault="002A1771" w:rsidP="00010D71">
            <w:pPr>
              <w:rPr>
                <w:b/>
                <w:bCs/>
                <w:sz w:val="16"/>
                <w:szCs w:val="16"/>
                <w:lang w:val="tr-TR"/>
              </w:rPr>
            </w:pPr>
          </w:p>
        </w:tc>
        <w:tc>
          <w:tcPr>
            <w:tcW w:w="919" w:type="dxa"/>
            <w:vMerge/>
            <w:tcBorders>
              <w:top w:val="nil"/>
              <w:left w:val="nil"/>
              <w:bottom w:val="single" w:sz="8" w:space="0" w:color="000000"/>
              <w:right w:val="nil"/>
            </w:tcBorders>
            <w:vAlign w:val="center"/>
            <w:hideMark/>
          </w:tcPr>
          <w:p w14:paraId="034878FD" w14:textId="77777777" w:rsidR="002A1771" w:rsidRPr="001A4B94" w:rsidRDefault="002A1771" w:rsidP="00010D71">
            <w:pPr>
              <w:rPr>
                <w:b/>
                <w:bCs/>
                <w:sz w:val="16"/>
                <w:szCs w:val="16"/>
                <w:lang w:val="tr-TR"/>
              </w:rPr>
            </w:pPr>
          </w:p>
        </w:tc>
        <w:tc>
          <w:tcPr>
            <w:tcW w:w="990" w:type="dxa"/>
            <w:vMerge/>
            <w:tcBorders>
              <w:top w:val="nil"/>
              <w:left w:val="nil"/>
              <w:bottom w:val="single" w:sz="8" w:space="0" w:color="000000"/>
              <w:right w:val="nil"/>
            </w:tcBorders>
            <w:vAlign w:val="center"/>
            <w:hideMark/>
          </w:tcPr>
          <w:p w14:paraId="0E564280" w14:textId="77777777" w:rsidR="002A1771" w:rsidRPr="001A4B94" w:rsidRDefault="002A1771" w:rsidP="00010D71">
            <w:pPr>
              <w:rPr>
                <w:b/>
                <w:bCs/>
                <w:sz w:val="16"/>
                <w:szCs w:val="16"/>
                <w:lang w:val="tr-TR"/>
              </w:rPr>
            </w:pPr>
          </w:p>
        </w:tc>
      </w:tr>
      <w:tr w:rsidR="00F16E72" w:rsidRPr="001A4B94" w14:paraId="0966F497" w14:textId="77777777" w:rsidTr="007C4843">
        <w:trPr>
          <w:trHeight w:val="255"/>
          <w:jc w:val="center"/>
        </w:trPr>
        <w:tc>
          <w:tcPr>
            <w:tcW w:w="1900" w:type="dxa"/>
            <w:tcBorders>
              <w:top w:val="nil"/>
              <w:left w:val="nil"/>
              <w:bottom w:val="nil"/>
              <w:right w:val="nil"/>
            </w:tcBorders>
            <w:shd w:val="clear" w:color="auto" w:fill="D9D9D9"/>
            <w:vAlign w:val="center"/>
            <w:hideMark/>
          </w:tcPr>
          <w:p w14:paraId="3A6D72F3" w14:textId="77777777" w:rsidR="00F16E72" w:rsidRPr="001A4B94" w:rsidRDefault="00F16E72" w:rsidP="00F16E72">
            <w:pPr>
              <w:rPr>
                <w:sz w:val="16"/>
                <w:szCs w:val="16"/>
                <w:lang w:val="tr-TR"/>
              </w:rPr>
            </w:pPr>
            <w:r w:rsidRPr="001A4B94">
              <w:rPr>
                <w:sz w:val="16"/>
                <w:szCs w:val="16"/>
                <w:lang w:val="tr-TR"/>
              </w:rPr>
              <w:t>2009/ 2010/ 2013/ 2014/ 2017/ 2011/ 2015/ 2016/ 2008/ 2012</w:t>
            </w:r>
          </w:p>
        </w:tc>
        <w:tc>
          <w:tcPr>
            <w:tcW w:w="1470" w:type="dxa"/>
            <w:tcBorders>
              <w:top w:val="nil"/>
              <w:left w:val="nil"/>
              <w:bottom w:val="nil"/>
              <w:right w:val="nil"/>
            </w:tcBorders>
            <w:shd w:val="clear" w:color="auto" w:fill="D9D9D9"/>
            <w:noWrap/>
            <w:vAlign w:val="center"/>
            <w:hideMark/>
          </w:tcPr>
          <w:p w14:paraId="13DF9A0A" w14:textId="0F55DA2F" w:rsidR="00F16E72" w:rsidRPr="001A4B94" w:rsidRDefault="007C4843" w:rsidP="00F16E72">
            <w:pPr>
              <w:rPr>
                <w:sz w:val="16"/>
                <w:szCs w:val="16"/>
                <w:lang w:val="tr-TR"/>
              </w:rPr>
            </w:pPr>
            <w:r w:rsidRPr="001A4B94">
              <w:rPr>
                <w:sz w:val="16"/>
                <w:szCs w:val="16"/>
                <w:lang w:val="tr-TR"/>
              </w:rPr>
              <w:t>Ş</w:t>
            </w:r>
            <w:r w:rsidR="00F16E72" w:rsidRPr="001A4B94">
              <w:rPr>
                <w:sz w:val="16"/>
                <w:szCs w:val="16"/>
                <w:lang w:val="tr-TR"/>
              </w:rPr>
              <w:t>eker Bank</w:t>
            </w:r>
          </w:p>
        </w:tc>
        <w:tc>
          <w:tcPr>
            <w:tcW w:w="776" w:type="dxa"/>
            <w:tcBorders>
              <w:top w:val="nil"/>
              <w:left w:val="nil"/>
              <w:bottom w:val="nil"/>
              <w:right w:val="nil"/>
            </w:tcBorders>
            <w:shd w:val="clear" w:color="auto" w:fill="D9D9D9"/>
            <w:noWrap/>
            <w:vAlign w:val="center"/>
            <w:hideMark/>
          </w:tcPr>
          <w:p w14:paraId="0425293C" w14:textId="1869312E" w:rsidR="00F16E72" w:rsidRPr="001A4B94" w:rsidRDefault="00F16E72" w:rsidP="00F16E72">
            <w:pPr>
              <w:jc w:val="right"/>
              <w:rPr>
                <w:sz w:val="16"/>
                <w:szCs w:val="16"/>
                <w:lang w:val="tr-TR"/>
              </w:rPr>
            </w:pPr>
            <w:r w:rsidRPr="001A4B94">
              <w:rPr>
                <w:sz w:val="16"/>
                <w:szCs w:val="16"/>
                <w:lang w:val="tr-TR"/>
              </w:rPr>
              <w:t>144</w:t>
            </w:r>
            <w:r w:rsidR="00DB7216" w:rsidRPr="001A4B94">
              <w:rPr>
                <w:sz w:val="16"/>
                <w:szCs w:val="16"/>
                <w:lang w:val="tr-TR"/>
              </w:rPr>
              <w:t>,</w:t>
            </w:r>
            <w:r w:rsidRPr="001A4B94">
              <w:rPr>
                <w:sz w:val="16"/>
                <w:szCs w:val="16"/>
                <w:lang w:val="tr-TR"/>
              </w:rPr>
              <w:t>04</w:t>
            </w:r>
          </w:p>
        </w:tc>
        <w:tc>
          <w:tcPr>
            <w:tcW w:w="812" w:type="dxa"/>
            <w:tcBorders>
              <w:top w:val="nil"/>
              <w:left w:val="nil"/>
              <w:bottom w:val="nil"/>
              <w:right w:val="nil"/>
            </w:tcBorders>
            <w:shd w:val="clear" w:color="auto" w:fill="D9D9D9"/>
            <w:noWrap/>
            <w:vAlign w:val="center"/>
            <w:hideMark/>
          </w:tcPr>
          <w:p w14:paraId="20AB8DBC" w14:textId="3C2AB840" w:rsidR="00F16E72" w:rsidRPr="001A4B94" w:rsidRDefault="00F16E72" w:rsidP="00F16E72">
            <w:pPr>
              <w:jc w:val="right"/>
              <w:rPr>
                <w:sz w:val="16"/>
                <w:szCs w:val="16"/>
                <w:lang w:val="tr-TR"/>
              </w:rPr>
            </w:pPr>
            <w:r w:rsidRPr="001A4B94">
              <w:rPr>
                <w:sz w:val="16"/>
                <w:szCs w:val="16"/>
                <w:lang w:val="tr-TR"/>
              </w:rPr>
              <w:t>22</w:t>
            </w:r>
            <w:r w:rsidR="00DB7216" w:rsidRPr="001A4B94">
              <w:rPr>
                <w:sz w:val="16"/>
                <w:szCs w:val="16"/>
                <w:lang w:val="tr-TR"/>
              </w:rPr>
              <w:t>,</w:t>
            </w:r>
            <w:r w:rsidRPr="001A4B94">
              <w:rPr>
                <w:sz w:val="16"/>
                <w:szCs w:val="16"/>
                <w:lang w:val="tr-TR"/>
              </w:rPr>
              <w:t>78</w:t>
            </w:r>
          </w:p>
        </w:tc>
        <w:tc>
          <w:tcPr>
            <w:tcW w:w="812" w:type="dxa"/>
            <w:tcBorders>
              <w:top w:val="nil"/>
              <w:left w:val="nil"/>
              <w:bottom w:val="nil"/>
              <w:right w:val="nil"/>
            </w:tcBorders>
            <w:shd w:val="clear" w:color="auto" w:fill="D9D9D9"/>
            <w:noWrap/>
            <w:vAlign w:val="center"/>
            <w:hideMark/>
          </w:tcPr>
          <w:p w14:paraId="70691BD8"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B5E104D" w14:textId="5312AF0C" w:rsidR="00F16E72" w:rsidRPr="001A4B94" w:rsidRDefault="00F16E72" w:rsidP="00F16E72">
            <w:pPr>
              <w:jc w:val="right"/>
              <w:rPr>
                <w:sz w:val="16"/>
                <w:szCs w:val="16"/>
                <w:lang w:val="tr-TR"/>
              </w:rPr>
            </w:pPr>
            <w:r w:rsidRPr="001A4B94">
              <w:rPr>
                <w:sz w:val="16"/>
                <w:szCs w:val="16"/>
                <w:lang w:val="tr-TR"/>
              </w:rPr>
              <w:t>113</w:t>
            </w:r>
            <w:r w:rsidR="00DB7216" w:rsidRPr="001A4B94">
              <w:rPr>
                <w:sz w:val="16"/>
                <w:szCs w:val="16"/>
                <w:lang w:val="tr-TR"/>
              </w:rPr>
              <w:t>,</w:t>
            </w:r>
            <w:r w:rsidRPr="001A4B94">
              <w:rPr>
                <w:sz w:val="16"/>
                <w:szCs w:val="16"/>
                <w:lang w:val="tr-TR"/>
              </w:rPr>
              <w:t>71</w:t>
            </w:r>
          </w:p>
        </w:tc>
        <w:tc>
          <w:tcPr>
            <w:tcW w:w="710" w:type="dxa"/>
            <w:tcBorders>
              <w:top w:val="nil"/>
              <w:left w:val="nil"/>
              <w:bottom w:val="nil"/>
              <w:right w:val="nil"/>
            </w:tcBorders>
            <w:shd w:val="clear" w:color="auto" w:fill="D9D9D9"/>
            <w:noWrap/>
            <w:vAlign w:val="center"/>
            <w:hideMark/>
          </w:tcPr>
          <w:p w14:paraId="32A423EE" w14:textId="35308570" w:rsidR="00F16E72" w:rsidRPr="001A4B94" w:rsidRDefault="00F16E72" w:rsidP="00F16E72">
            <w:pPr>
              <w:jc w:val="right"/>
              <w:rPr>
                <w:sz w:val="16"/>
                <w:szCs w:val="16"/>
                <w:lang w:val="tr-TR"/>
              </w:rPr>
            </w:pPr>
            <w:r w:rsidRPr="001A4B94">
              <w:rPr>
                <w:sz w:val="16"/>
                <w:szCs w:val="16"/>
                <w:lang w:val="tr-TR"/>
              </w:rPr>
              <w:t>0</w:t>
            </w:r>
            <w:r w:rsidR="00DB7216" w:rsidRPr="001A4B94">
              <w:rPr>
                <w:sz w:val="16"/>
                <w:szCs w:val="16"/>
                <w:lang w:val="tr-TR"/>
              </w:rPr>
              <w:t>,</w:t>
            </w:r>
            <w:r w:rsidRPr="001A4B94">
              <w:rPr>
                <w:sz w:val="16"/>
                <w:szCs w:val="16"/>
                <w:lang w:val="tr-TR"/>
              </w:rPr>
              <w:t>53</w:t>
            </w:r>
          </w:p>
        </w:tc>
        <w:tc>
          <w:tcPr>
            <w:tcW w:w="919" w:type="dxa"/>
            <w:tcBorders>
              <w:top w:val="nil"/>
              <w:left w:val="nil"/>
              <w:bottom w:val="nil"/>
              <w:right w:val="nil"/>
            </w:tcBorders>
            <w:shd w:val="clear" w:color="auto" w:fill="D9D9D9"/>
            <w:noWrap/>
            <w:vAlign w:val="center"/>
            <w:hideMark/>
          </w:tcPr>
          <w:p w14:paraId="5E031FA6" w14:textId="290CACCE" w:rsidR="00F16E72" w:rsidRPr="001A4B94" w:rsidRDefault="00F16E72" w:rsidP="00F16E72">
            <w:pPr>
              <w:jc w:val="right"/>
              <w:rPr>
                <w:sz w:val="16"/>
                <w:szCs w:val="16"/>
                <w:lang w:val="tr-TR"/>
              </w:rPr>
            </w:pPr>
            <w:r w:rsidRPr="001A4B94">
              <w:rPr>
                <w:sz w:val="16"/>
                <w:szCs w:val="16"/>
                <w:lang w:val="tr-TR"/>
              </w:rPr>
              <w:t>281</w:t>
            </w:r>
            <w:r w:rsidR="00DB7216" w:rsidRPr="001A4B94">
              <w:rPr>
                <w:sz w:val="16"/>
                <w:szCs w:val="16"/>
                <w:lang w:val="tr-TR"/>
              </w:rPr>
              <w:t>,</w:t>
            </w:r>
            <w:r w:rsidRPr="001A4B94">
              <w:rPr>
                <w:sz w:val="16"/>
                <w:szCs w:val="16"/>
                <w:lang w:val="tr-TR"/>
              </w:rPr>
              <w:t>06</w:t>
            </w:r>
          </w:p>
        </w:tc>
        <w:tc>
          <w:tcPr>
            <w:tcW w:w="1069" w:type="dxa"/>
            <w:tcBorders>
              <w:top w:val="nil"/>
              <w:left w:val="nil"/>
              <w:bottom w:val="nil"/>
              <w:right w:val="nil"/>
            </w:tcBorders>
            <w:shd w:val="clear" w:color="auto" w:fill="D9D9D9"/>
            <w:noWrap/>
            <w:vAlign w:val="center"/>
            <w:hideMark/>
          </w:tcPr>
          <w:p w14:paraId="38E21A5E"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551A53AD" w14:textId="604AADE6" w:rsidR="00F16E72" w:rsidRPr="001A4B94" w:rsidRDefault="00F16E72" w:rsidP="00F16E72">
            <w:pPr>
              <w:jc w:val="right"/>
              <w:rPr>
                <w:sz w:val="16"/>
                <w:szCs w:val="16"/>
                <w:lang w:val="tr-TR"/>
              </w:rPr>
            </w:pPr>
            <w:r w:rsidRPr="001A4B94">
              <w:rPr>
                <w:sz w:val="16"/>
                <w:szCs w:val="16"/>
                <w:lang w:val="tr-TR"/>
              </w:rPr>
              <w:t>144</w:t>
            </w:r>
            <w:r w:rsidR="00DB7216" w:rsidRPr="001A4B94">
              <w:rPr>
                <w:sz w:val="16"/>
                <w:szCs w:val="16"/>
                <w:lang w:val="tr-TR"/>
              </w:rPr>
              <w:t>,</w:t>
            </w:r>
            <w:r w:rsidRPr="001A4B94">
              <w:rPr>
                <w:sz w:val="16"/>
                <w:szCs w:val="16"/>
                <w:lang w:val="tr-TR"/>
              </w:rPr>
              <w:t>04</w:t>
            </w:r>
          </w:p>
        </w:tc>
        <w:tc>
          <w:tcPr>
            <w:tcW w:w="812" w:type="dxa"/>
            <w:tcBorders>
              <w:top w:val="nil"/>
              <w:left w:val="nil"/>
              <w:bottom w:val="nil"/>
              <w:right w:val="nil"/>
            </w:tcBorders>
            <w:shd w:val="clear" w:color="auto" w:fill="D9D9D9"/>
            <w:noWrap/>
            <w:vAlign w:val="center"/>
            <w:hideMark/>
          </w:tcPr>
          <w:p w14:paraId="6E08F148" w14:textId="5336D922" w:rsidR="00F16E72" w:rsidRPr="001A4B94" w:rsidRDefault="00F16E72" w:rsidP="00F16E72">
            <w:pPr>
              <w:jc w:val="right"/>
              <w:rPr>
                <w:sz w:val="16"/>
                <w:szCs w:val="16"/>
                <w:lang w:val="tr-TR"/>
              </w:rPr>
            </w:pPr>
            <w:r w:rsidRPr="001A4B94">
              <w:rPr>
                <w:sz w:val="16"/>
                <w:szCs w:val="16"/>
                <w:lang w:val="tr-TR"/>
              </w:rPr>
              <w:t>22</w:t>
            </w:r>
            <w:r w:rsidR="00DB7216" w:rsidRPr="001A4B94">
              <w:rPr>
                <w:sz w:val="16"/>
                <w:szCs w:val="16"/>
                <w:lang w:val="tr-TR"/>
              </w:rPr>
              <w:t>,</w:t>
            </w:r>
            <w:r w:rsidRPr="001A4B94">
              <w:rPr>
                <w:sz w:val="16"/>
                <w:szCs w:val="16"/>
                <w:lang w:val="tr-TR"/>
              </w:rPr>
              <w:t>78</w:t>
            </w:r>
          </w:p>
        </w:tc>
        <w:tc>
          <w:tcPr>
            <w:tcW w:w="812" w:type="dxa"/>
            <w:tcBorders>
              <w:top w:val="nil"/>
              <w:left w:val="nil"/>
              <w:bottom w:val="nil"/>
              <w:right w:val="nil"/>
            </w:tcBorders>
            <w:shd w:val="clear" w:color="auto" w:fill="D9D9D9"/>
            <w:noWrap/>
            <w:vAlign w:val="center"/>
            <w:hideMark/>
          </w:tcPr>
          <w:p w14:paraId="681D4466"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5D5F6F7" w14:textId="59E0C566" w:rsidR="00F16E72" w:rsidRPr="001A4B94" w:rsidRDefault="00F16E72" w:rsidP="00F16E72">
            <w:pPr>
              <w:jc w:val="right"/>
              <w:rPr>
                <w:sz w:val="16"/>
                <w:szCs w:val="16"/>
                <w:lang w:val="tr-TR"/>
              </w:rPr>
            </w:pPr>
            <w:r w:rsidRPr="001A4B94">
              <w:rPr>
                <w:sz w:val="16"/>
                <w:szCs w:val="16"/>
                <w:lang w:val="tr-TR"/>
              </w:rPr>
              <w:t>113</w:t>
            </w:r>
            <w:r w:rsidR="00DB7216" w:rsidRPr="001A4B94">
              <w:rPr>
                <w:sz w:val="16"/>
                <w:szCs w:val="16"/>
                <w:lang w:val="tr-TR"/>
              </w:rPr>
              <w:t>,</w:t>
            </w:r>
            <w:r w:rsidRPr="001A4B94">
              <w:rPr>
                <w:sz w:val="16"/>
                <w:szCs w:val="16"/>
                <w:lang w:val="tr-TR"/>
              </w:rPr>
              <w:t>71</w:t>
            </w:r>
          </w:p>
        </w:tc>
        <w:tc>
          <w:tcPr>
            <w:tcW w:w="685" w:type="dxa"/>
            <w:tcBorders>
              <w:top w:val="nil"/>
              <w:left w:val="nil"/>
              <w:bottom w:val="nil"/>
              <w:right w:val="nil"/>
            </w:tcBorders>
            <w:shd w:val="clear" w:color="auto" w:fill="D9D9D9"/>
            <w:noWrap/>
            <w:vAlign w:val="center"/>
            <w:hideMark/>
          </w:tcPr>
          <w:p w14:paraId="3C70298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5F560E1" w14:textId="1EBE311C" w:rsidR="00F16E72" w:rsidRPr="001A4B94" w:rsidRDefault="00F16E72" w:rsidP="00F16E72">
            <w:pPr>
              <w:jc w:val="right"/>
              <w:rPr>
                <w:sz w:val="16"/>
                <w:szCs w:val="16"/>
                <w:lang w:val="tr-TR"/>
              </w:rPr>
            </w:pPr>
            <w:r w:rsidRPr="001A4B94">
              <w:rPr>
                <w:sz w:val="16"/>
                <w:szCs w:val="16"/>
                <w:lang w:val="tr-TR"/>
              </w:rPr>
              <w:t>280</w:t>
            </w:r>
            <w:r w:rsidR="00DB7216" w:rsidRPr="001A4B94">
              <w:rPr>
                <w:sz w:val="16"/>
                <w:szCs w:val="16"/>
                <w:lang w:val="tr-TR"/>
              </w:rPr>
              <w:t>,</w:t>
            </w:r>
            <w:r w:rsidRPr="001A4B94">
              <w:rPr>
                <w:sz w:val="16"/>
                <w:szCs w:val="16"/>
                <w:lang w:val="tr-TR"/>
              </w:rPr>
              <w:t>53</w:t>
            </w:r>
          </w:p>
        </w:tc>
        <w:tc>
          <w:tcPr>
            <w:tcW w:w="990" w:type="dxa"/>
            <w:tcBorders>
              <w:top w:val="nil"/>
              <w:left w:val="nil"/>
              <w:bottom w:val="nil"/>
              <w:right w:val="nil"/>
            </w:tcBorders>
            <w:shd w:val="clear" w:color="auto" w:fill="D9D9D9"/>
            <w:noWrap/>
            <w:vAlign w:val="center"/>
            <w:hideMark/>
          </w:tcPr>
          <w:p w14:paraId="21926CDC"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63781D12" w14:textId="77777777" w:rsidTr="007C4843">
        <w:trPr>
          <w:trHeight w:val="255"/>
          <w:jc w:val="center"/>
        </w:trPr>
        <w:tc>
          <w:tcPr>
            <w:tcW w:w="1900" w:type="dxa"/>
            <w:tcBorders>
              <w:top w:val="nil"/>
              <w:left w:val="nil"/>
              <w:bottom w:val="nil"/>
              <w:right w:val="nil"/>
            </w:tcBorders>
            <w:shd w:val="clear" w:color="000000" w:fill="FFFFFF"/>
            <w:vAlign w:val="center"/>
            <w:hideMark/>
          </w:tcPr>
          <w:p w14:paraId="4DC1EEF7" w14:textId="77777777" w:rsidR="00F16E72" w:rsidRPr="001A4B94" w:rsidRDefault="00F16E72" w:rsidP="00F16E72">
            <w:pPr>
              <w:rPr>
                <w:sz w:val="16"/>
                <w:szCs w:val="16"/>
                <w:lang w:val="tr-TR"/>
              </w:rPr>
            </w:pPr>
            <w:r w:rsidRPr="001A4B94">
              <w:rPr>
                <w:sz w:val="16"/>
                <w:szCs w:val="16"/>
                <w:lang w:val="tr-TR"/>
              </w:rPr>
              <w:t>1997/ 2013/ 1993/ 2003/ 2002</w:t>
            </w:r>
          </w:p>
        </w:tc>
        <w:tc>
          <w:tcPr>
            <w:tcW w:w="1470" w:type="dxa"/>
            <w:tcBorders>
              <w:top w:val="nil"/>
              <w:left w:val="nil"/>
              <w:bottom w:val="nil"/>
              <w:right w:val="nil"/>
            </w:tcBorders>
            <w:shd w:val="clear" w:color="000000" w:fill="FFFFFF"/>
            <w:noWrap/>
            <w:vAlign w:val="center"/>
            <w:hideMark/>
          </w:tcPr>
          <w:p w14:paraId="23F956B8" w14:textId="4720079D" w:rsidR="00F16E72" w:rsidRPr="001A4B94" w:rsidRDefault="007C4843" w:rsidP="00F16E72">
            <w:pPr>
              <w:rPr>
                <w:sz w:val="16"/>
                <w:szCs w:val="16"/>
                <w:lang w:val="tr-TR"/>
              </w:rPr>
            </w:pPr>
            <w:r w:rsidRPr="001A4B94">
              <w:rPr>
                <w:sz w:val="16"/>
                <w:szCs w:val="16"/>
                <w:lang w:val="tr-TR"/>
              </w:rPr>
              <w:t>Ş</w:t>
            </w:r>
            <w:r w:rsidR="00F16E72" w:rsidRPr="001A4B94">
              <w:rPr>
                <w:sz w:val="16"/>
                <w:szCs w:val="16"/>
                <w:lang w:val="tr-TR"/>
              </w:rPr>
              <w:t>i</w:t>
            </w:r>
            <w:r w:rsidRPr="001A4B94">
              <w:rPr>
                <w:sz w:val="16"/>
                <w:szCs w:val="16"/>
                <w:lang w:val="tr-TR"/>
              </w:rPr>
              <w:t>ş</w:t>
            </w:r>
            <w:r w:rsidR="00F16E72" w:rsidRPr="001A4B94">
              <w:rPr>
                <w:sz w:val="16"/>
                <w:szCs w:val="16"/>
                <w:lang w:val="tr-TR"/>
              </w:rPr>
              <w:t>e ve Cam</w:t>
            </w:r>
          </w:p>
        </w:tc>
        <w:tc>
          <w:tcPr>
            <w:tcW w:w="776" w:type="dxa"/>
            <w:tcBorders>
              <w:top w:val="nil"/>
              <w:left w:val="nil"/>
              <w:bottom w:val="nil"/>
              <w:right w:val="nil"/>
            </w:tcBorders>
            <w:shd w:val="clear" w:color="000000" w:fill="FFFFFF"/>
            <w:noWrap/>
            <w:vAlign w:val="center"/>
            <w:hideMark/>
          </w:tcPr>
          <w:p w14:paraId="2F809448" w14:textId="0ECE1BB9" w:rsidR="00F16E72" w:rsidRPr="001A4B94" w:rsidRDefault="00F16E72" w:rsidP="00F16E72">
            <w:pPr>
              <w:jc w:val="right"/>
              <w:rPr>
                <w:sz w:val="16"/>
                <w:szCs w:val="16"/>
                <w:lang w:val="tr-TR"/>
              </w:rPr>
            </w:pPr>
            <w:r w:rsidRPr="001A4B94">
              <w:rPr>
                <w:sz w:val="16"/>
                <w:szCs w:val="16"/>
                <w:lang w:val="tr-TR"/>
              </w:rPr>
              <w:t>39</w:t>
            </w:r>
            <w:r w:rsidR="00DB7216" w:rsidRPr="001A4B94">
              <w:rPr>
                <w:sz w:val="16"/>
                <w:szCs w:val="16"/>
                <w:lang w:val="tr-TR"/>
              </w:rPr>
              <w:t>,</w:t>
            </w:r>
            <w:r w:rsidRPr="001A4B94">
              <w:rPr>
                <w:sz w:val="16"/>
                <w:szCs w:val="16"/>
                <w:lang w:val="tr-TR"/>
              </w:rPr>
              <w:t>71</w:t>
            </w:r>
          </w:p>
        </w:tc>
        <w:tc>
          <w:tcPr>
            <w:tcW w:w="812" w:type="dxa"/>
            <w:tcBorders>
              <w:top w:val="nil"/>
              <w:left w:val="nil"/>
              <w:bottom w:val="nil"/>
              <w:right w:val="nil"/>
            </w:tcBorders>
            <w:shd w:val="clear" w:color="000000" w:fill="FFFFFF"/>
            <w:noWrap/>
            <w:vAlign w:val="center"/>
            <w:hideMark/>
          </w:tcPr>
          <w:p w14:paraId="72C553E9"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173115F9"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1249C8A"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049644F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13E12BC6" w14:textId="665314BF" w:rsidR="00F16E72" w:rsidRPr="001A4B94" w:rsidRDefault="00F16E72" w:rsidP="00F16E72">
            <w:pPr>
              <w:jc w:val="right"/>
              <w:rPr>
                <w:sz w:val="16"/>
                <w:szCs w:val="16"/>
                <w:lang w:val="tr-TR"/>
              </w:rPr>
            </w:pPr>
            <w:r w:rsidRPr="001A4B94">
              <w:rPr>
                <w:sz w:val="16"/>
                <w:szCs w:val="16"/>
                <w:lang w:val="tr-TR"/>
              </w:rPr>
              <w:t>39</w:t>
            </w:r>
            <w:r w:rsidR="00DB7216" w:rsidRPr="001A4B94">
              <w:rPr>
                <w:sz w:val="16"/>
                <w:szCs w:val="16"/>
                <w:lang w:val="tr-TR"/>
              </w:rPr>
              <w:t>,</w:t>
            </w:r>
            <w:r w:rsidRPr="001A4B94">
              <w:rPr>
                <w:sz w:val="16"/>
                <w:szCs w:val="16"/>
                <w:lang w:val="tr-TR"/>
              </w:rPr>
              <w:t>71</w:t>
            </w:r>
          </w:p>
        </w:tc>
        <w:tc>
          <w:tcPr>
            <w:tcW w:w="1069" w:type="dxa"/>
            <w:tcBorders>
              <w:top w:val="nil"/>
              <w:left w:val="nil"/>
              <w:bottom w:val="nil"/>
              <w:right w:val="nil"/>
            </w:tcBorders>
            <w:shd w:val="clear" w:color="000000" w:fill="FFFFFF"/>
            <w:noWrap/>
            <w:vAlign w:val="center"/>
            <w:hideMark/>
          </w:tcPr>
          <w:p w14:paraId="4059158F"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349CE57E" w14:textId="3EE244C0" w:rsidR="00F16E72" w:rsidRPr="001A4B94" w:rsidRDefault="00F16E72" w:rsidP="00F16E72">
            <w:pPr>
              <w:jc w:val="right"/>
              <w:rPr>
                <w:sz w:val="16"/>
                <w:szCs w:val="16"/>
                <w:lang w:val="tr-TR"/>
              </w:rPr>
            </w:pPr>
            <w:r w:rsidRPr="001A4B94">
              <w:rPr>
                <w:sz w:val="16"/>
                <w:szCs w:val="16"/>
                <w:lang w:val="tr-TR"/>
              </w:rPr>
              <w:t>39</w:t>
            </w:r>
            <w:r w:rsidR="00DB7216" w:rsidRPr="001A4B94">
              <w:rPr>
                <w:sz w:val="16"/>
                <w:szCs w:val="16"/>
                <w:lang w:val="tr-TR"/>
              </w:rPr>
              <w:t>,</w:t>
            </w:r>
            <w:r w:rsidRPr="001A4B94">
              <w:rPr>
                <w:sz w:val="16"/>
                <w:szCs w:val="16"/>
                <w:lang w:val="tr-TR"/>
              </w:rPr>
              <w:t>71</w:t>
            </w:r>
          </w:p>
        </w:tc>
        <w:tc>
          <w:tcPr>
            <w:tcW w:w="812" w:type="dxa"/>
            <w:tcBorders>
              <w:top w:val="nil"/>
              <w:left w:val="nil"/>
              <w:bottom w:val="nil"/>
              <w:right w:val="nil"/>
            </w:tcBorders>
            <w:shd w:val="clear" w:color="000000" w:fill="FFFFFF"/>
            <w:noWrap/>
            <w:vAlign w:val="center"/>
            <w:hideMark/>
          </w:tcPr>
          <w:p w14:paraId="021CE4C0"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980424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87BCEA0"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00B2B46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2BEC86D" w14:textId="50D9C0F4" w:rsidR="00F16E72" w:rsidRPr="001A4B94" w:rsidRDefault="00F16E72" w:rsidP="00F16E72">
            <w:pPr>
              <w:jc w:val="right"/>
              <w:rPr>
                <w:sz w:val="16"/>
                <w:szCs w:val="16"/>
                <w:lang w:val="tr-TR"/>
              </w:rPr>
            </w:pPr>
            <w:r w:rsidRPr="001A4B94">
              <w:rPr>
                <w:sz w:val="16"/>
                <w:szCs w:val="16"/>
                <w:lang w:val="tr-TR"/>
              </w:rPr>
              <w:t>39</w:t>
            </w:r>
            <w:r w:rsidR="00DB7216" w:rsidRPr="001A4B94">
              <w:rPr>
                <w:sz w:val="16"/>
                <w:szCs w:val="16"/>
                <w:lang w:val="tr-TR"/>
              </w:rPr>
              <w:t>,</w:t>
            </w:r>
            <w:r w:rsidRPr="001A4B94">
              <w:rPr>
                <w:sz w:val="16"/>
                <w:szCs w:val="16"/>
                <w:lang w:val="tr-TR"/>
              </w:rPr>
              <w:t>71</w:t>
            </w:r>
          </w:p>
        </w:tc>
        <w:tc>
          <w:tcPr>
            <w:tcW w:w="990" w:type="dxa"/>
            <w:tcBorders>
              <w:top w:val="nil"/>
              <w:left w:val="nil"/>
              <w:bottom w:val="nil"/>
              <w:right w:val="nil"/>
            </w:tcBorders>
            <w:shd w:val="clear" w:color="000000" w:fill="FFFFFF"/>
            <w:noWrap/>
            <w:vAlign w:val="center"/>
            <w:hideMark/>
          </w:tcPr>
          <w:p w14:paraId="4C1BD99C"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3C57493D" w14:textId="77777777" w:rsidTr="007C4843">
        <w:trPr>
          <w:trHeight w:val="255"/>
          <w:jc w:val="center"/>
        </w:trPr>
        <w:tc>
          <w:tcPr>
            <w:tcW w:w="1900" w:type="dxa"/>
            <w:tcBorders>
              <w:top w:val="nil"/>
              <w:left w:val="nil"/>
              <w:bottom w:val="nil"/>
              <w:right w:val="nil"/>
            </w:tcBorders>
            <w:shd w:val="clear" w:color="auto" w:fill="D9D9D9"/>
            <w:vAlign w:val="center"/>
            <w:hideMark/>
          </w:tcPr>
          <w:p w14:paraId="12002EDB"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auto" w:fill="D9D9D9"/>
            <w:noWrap/>
            <w:vAlign w:val="center"/>
            <w:hideMark/>
          </w:tcPr>
          <w:p w14:paraId="2C124FF1" w14:textId="77777777" w:rsidR="00F16E72" w:rsidRPr="001A4B94" w:rsidRDefault="00F16E72" w:rsidP="00F16E72">
            <w:pPr>
              <w:rPr>
                <w:sz w:val="16"/>
                <w:szCs w:val="16"/>
                <w:lang w:val="tr-TR"/>
              </w:rPr>
            </w:pPr>
            <w:r w:rsidRPr="001A4B94">
              <w:rPr>
                <w:sz w:val="16"/>
                <w:szCs w:val="16"/>
                <w:lang w:val="tr-TR"/>
              </w:rPr>
              <w:t>Soda Sanayii</w:t>
            </w:r>
          </w:p>
        </w:tc>
        <w:tc>
          <w:tcPr>
            <w:tcW w:w="776" w:type="dxa"/>
            <w:tcBorders>
              <w:top w:val="nil"/>
              <w:left w:val="nil"/>
              <w:bottom w:val="nil"/>
              <w:right w:val="nil"/>
            </w:tcBorders>
            <w:shd w:val="clear" w:color="auto" w:fill="D9D9D9"/>
            <w:noWrap/>
            <w:vAlign w:val="center"/>
            <w:hideMark/>
          </w:tcPr>
          <w:p w14:paraId="559195D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D2EF36F" w14:textId="52D95C13"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52</w:t>
            </w:r>
          </w:p>
        </w:tc>
        <w:tc>
          <w:tcPr>
            <w:tcW w:w="812" w:type="dxa"/>
            <w:tcBorders>
              <w:top w:val="nil"/>
              <w:left w:val="nil"/>
              <w:bottom w:val="nil"/>
              <w:right w:val="nil"/>
            </w:tcBorders>
            <w:shd w:val="clear" w:color="auto" w:fill="D9D9D9"/>
            <w:noWrap/>
            <w:vAlign w:val="center"/>
            <w:hideMark/>
          </w:tcPr>
          <w:p w14:paraId="1D3DD35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7E1D7FE"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5E28233B"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44DC8738" w14:textId="6EF7E405"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52</w:t>
            </w:r>
          </w:p>
        </w:tc>
        <w:tc>
          <w:tcPr>
            <w:tcW w:w="1069" w:type="dxa"/>
            <w:tcBorders>
              <w:top w:val="nil"/>
              <w:left w:val="nil"/>
              <w:bottom w:val="nil"/>
              <w:right w:val="nil"/>
            </w:tcBorders>
            <w:shd w:val="clear" w:color="auto" w:fill="D9D9D9"/>
            <w:noWrap/>
            <w:vAlign w:val="center"/>
            <w:hideMark/>
          </w:tcPr>
          <w:p w14:paraId="5B3C41B0"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31B0EEA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BC158B5" w14:textId="3668F942"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52</w:t>
            </w:r>
          </w:p>
        </w:tc>
        <w:tc>
          <w:tcPr>
            <w:tcW w:w="812" w:type="dxa"/>
            <w:tcBorders>
              <w:top w:val="nil"/>
              <w:left w:val="nil"/>
              <w:bottom w:val="nil"/>
              <w:right w:val="nil"/>
            </w:tcBorders>
            <w:shd w:val="clear" w:color="auto" w:fill="D9D9D9"/>
            <w:noWrap/>
            <w:vAlign w:val="center"/>
            <w:hideMark/>
          </w:tcPr>
          <w:p w14:paraId="73750D3D"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6C89D62B"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7EEA16F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757F2E55" w14:textId="50B1F9A0"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52</w:t>
            </w:r>
          </w:p>
        </w:tc>
        <w:tc>
          <w:tcPr>
            <w:tcW w:w="990" w:type="dxa"/>
            <w:tcBorders>
              <w:top w:val="nil"/>
              <w:left w:val="nil"/>
              <w:bottom w:val="nil"/>
              <w:right w:val="nil"/>
            </w:tcBorders>
            <w:shd w:val="clear" w:color="auto" w:fill="D9D9D9"/>
            <w:noWrap/>
            <w:vAlign w:val="center"/>
            <w:hideMark/>
          </w:tcPr>
          <w:p w14:paraId="2B216CCA"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000ECFF8" w14:textId="77777777" w:rsidTr="007C4843">
        <w:trPr>
          <w:trHeight w:val="423"/>
          <w:jc w:val="center"/>
        </w:trPr>
        <w:tc>
          <w:tcPr>
            <w:tcW w:w="1900" w:type="dxa"/>
            <w:tcBorders>
              <w:top w:val="nil"/>
              <w:left w:val="nil"/>
              <w:bottom w:val="nil"/>
              <w:right w:val="nil"/>
            </w:tcBorders>
            <w:shd w:val="clear" w:color="000000" w:fill="FFFFFF"/>
            <w:vAlign w:val="center"/>
            <w:hideMark/>
          </w:tcPr>
          <w:p w14:paraId="7BA18A6A" w14:textId="77777777" w:rsidR="00F16E72" w:rsidRPr="001A4B94" w:rsidRDefault="00F16E72" w:rsidP="00F16E72">
            <w:pPr>
              <w:rPr>
                <w:sz w:val="16"/>
                <w:szCs w:val="16"/>
                <w:lang w:val="tr-TR"/>
              </w:rPr>
            </w:pPr>
            <w:r w:rsidRPr="001A4B94">
              <w:rPr>
                <w:sz w:val="16"/>
                <w:szCs w:val="16"/>
                <w:lang w:val="tr-TR"/>
              </w:rPr>
              <w:t>2013</w:t>
            </w:r>
          </w:p>
        </w:tc>
        <w:tc>
          <w:tcPr>
            <w:tcW w:w="1470" w:type="dxa"/>
            <w:tcBorders>
              <w:top w:val="nil"/>
              <w:left w:val="nil"/>
              <w:bottom w:val="nil"/>
              <w:right w:val="nil"/>
            </w:tcBorders>
            <w:shd w:val="clear" w:color="000000" w:fill="FFFFFF"/>
            <w:noWrap/>
            <w:vAlign w:val="center"/>
            <w:hideMark/>
          </w:tcPr>
          <w:p w14:paraId="7F47FBDD" w14:textId="5BF42D66" w:rsidR="00F16E72" w:rsidRPr="001A4B94" w:rsidRDefault="007C4843" w:rsidP="00F16E72">
            <w:pPr>
              <w:rPr>
                <w:sz w:val="16"/>
                <w:szCs w:val="16"/>
                <w:lang w:val="tr-TR"/>
              </w:rPr>
            </w:pPr>
            <w:r w:rsidRPr="001A4B94">
              <w:rPr>
                <w:sz w:val="16"/>
                <w:szCs w:val="16"/>
                <w:lang w:val="tr-TR"/>
              </w:rPr>
              <w:t>Sü</w:t>
            </w:r>
            <w:r w:rsidR="00F16E72" w:rsidRPr="001A4B94">
              <w:rPr>
                <w:sz w:val="16"/>
                <w:szCs w:val="16"/>
                <w:lang w:val="tr-TR"/>
              </w:rPr>
              <w:t>perfilm</w:t>
            </w:r>
          </w:p>
        </w:tc>
        <w:tc>
          <w:tcPr>
            <w:tcW w:w="776" w:type="dxa"/>
            <w:tcBorders>
              <w:top w:val="nil"/>
              <w:left w:val="nil"/>
              <w:bottom w:val="nil"/>
              <w:right w:val="nil"/>
            </w:tcBorders>
            <w:shd w:val="clear" w:color="000000" w:fill="FFFFFF"/>
            <w:noWrap/>
            <w:vAlign w:val="center"/>
            <w:hideMark/>
          </w:tcPr>
          <w:p w14:paraId="07965B21" w14:textId="76593EB1" w:rsidR="00F16E72" w:rsidRPr="001A4B94" w:rsidRDefault="00F16E72" w:rsidP="00F16E72">
            <w:pPr>
              <w:jc w:val="right"/>
              <w:rPr>
                <w:sz w:val="16"/>
                <w:szCs w:val="16"/>
                <w:lang w:val="tr-TR"/>
              </w:rPr>
            </w:pPr>
            <w:r w:rsidRPr="001A4B94">
              <w:rPr>
                <w:sz w:val="16"/>
                <w:szCs w:val="16"/>
                <w:lang w:val="tr-TR"/>
              </w:rPr>
              <w:t>20</w:t>
            </w:r>
            <w:r w:rsidR="00DB7216" w:rsidRPr="001A4B94">
              <w:rPr>
                <w:sz w:val="16"/>
                <w:szCs w:val="16"/>
                <w:lang w:val="tr-TR"/>
              </w:rPr>
              <w:t>,</w:t>
            </w:r>
            <w:r w:rsidRPr="001A4B94">
              <w:rPr>
                <w:sz w:val="16"/>
                <w:szCs w:val="16"/>
                <w:lang w:val="tr-TR"/>
              </w:rPr>
              <w:t>77</w:t>
            </w:r>
          </w:p>
        </w:tc>
        <w:tc>
          <w:tcPr>
            <w:tcW w:w="812" w:type="dxa"/>
            <w:tcBorders>
              <w:top w:val="nil"/>
              <w:left w:val="nil"/>
              <w:bottom w:val="nil"/>
              <w:right w:val="nil"/>
            </w:tcBorders>
            <w:shd w:val="clear" w:color="000000" w:fill="FFFFFF"/>
            <w:noWrap/>
            <w:vAlign w:val="center"/>
            <w:hideMark/>
          </w:tcPr>
          <w:p w14:paraId="2E32AE9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961D4FD"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6934D5D5"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2AFC4A1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BB3E612" w14:textId="67937E78" w:rsidR="00F16E72" w:rsidRPr="001A4B94" w:rsidRDefault="00F16E72" w:rsidP="00F16E72">
            <w:pPr>
              <w:jc w:val="right"/>
              <w:rPr>
                <w:sz w:val="16"/>
                <w:szCs w:val="16"/>
                <w:lang w:val="tr-TR"/>
              </w:rPr>
            </w:pPr>
            <w:r w:rsidRPr="001A4B94">
              <w:rPr>
                <w:sz w:val="16"/>
                <w:szCs w:val="16"/>
                <w:lang w:val="tr-TR"/>
              </w:rPr>
              <w:t>20</w:t>
            </w:r>
            <w:r w:rsidR="00DB7216" w:rsidRPr="001A4B94">
              <w:rPr>
                <w:sz w:val="16"/>
                <w:szCs w:val="16"/>
                <w:lang w:val="tr-TR"/>
              </w:rPr>
              <w:t>,</w:t>
            </w:r>
            <w:r w:rsidRPr="001A4B94">
              <w:rPr>
                <w:sz w:val="16"/>
                <w:szCs w:val="16"/>
                <w:lang w:val="tr-TR"/>
              </w:rPr>
              <w:t>77</w:t>
            </w:r>
          </w:p>
        </w:tc>
        <w:tc>
          <w:tcPr>
            <w:tcW w:w="1069" w:type="dxa"/>
            <w:tcBorders>
              <w:top w:val="nil"/>
              <w:left w:val="nil"/>
              <w:bottom w:val="nil"/>
              <w:right w:val="nil"/>
            </w:tcBorders>
            <w:shd w:val="clear" w:color="000000" w:fill="FFFFFF"/>
            <w:noWrap/>
            <w:vAlign w:val="center"/>
            <w:hideMark/>
          </w:tcPr>
          <w:p w14:paraId="2F8E0879"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76E7CBD1" w14:textId="45F8B280" w:rsidR="00F16E72" w:rsidRPr="001A4B94" w:rsidRDefault="00F16E72" w:rsidP="00F16E72">
            <w:pPr>
              <w:jc w:val="right"/>
              <w:rPr>
                <w:sz w:val="16"/>
                <w:szCs w:val="16"/>
                <w:lang w:val="tr-TR"/>
              </w:rPr>
            </w:pPr>
            <w:r w:rsidRPr="001A4B94">
              <w:rPr>
                <w:sz w:val="16"/>
                <w:szCs w:val="16"/>
                <w:lang w:val="tr-TR"/>
              </w:rPr>
              <w:t>20</w:t>
            </w:r>
            <w:r w:rsidR="00DB7216" w:rsidRPr="001A4B94">
              <w:rPr>
                <w:sz w:val="16"/>
                <w:szCs w:val="16"/>
                <w:lang w:val="tr-TR"/>
              </w:rPr>
              <w:t>,</w:t>
            </w:r>
            <w:r w:rsidRPr="001A4B94">
              <w:rPr>
                <w:sz w:val="16"/>
                <w:szCs w:val="16"/>
                <w:lang w:val="tr-TR"/>
              </w:rPr>
              <w:t>77</w:t>
            </w:r>
          </w:p>
        </w:tc>
        <w:tc>
          <w:tcPr>
            <w:tcW w:w="812" w:type="dxa"/>
            <w:tcBorders>
              <w:top w:val="nil"/>
              <w:left w:val="nil"/>
              <w:bottom w:val="nil"/>
              <w:right w:val="nil"/>
            </w:tcBorders>
            <w:shd w:val="clear" w:color="000000" w:fill="FFFFFF"/>
            <w:noWrap/>
            <w:vAlign w:val="center"/>
            <w:hideMark/>
          </w:tcPr>
          <w:p w14:paraId="3583042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7E43A72E"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04718D7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134BFA1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4C666F3" w14:textId="0EE878CF" w:rsidR="00F16E72" w:rsidRPr="001A4B94" w:rsidRDefault="00F16E72" w:rsidP="00F16E72">
            <w:pPr>
              <w:jc w:val="right"/>
              <w:rPr>
                <w:sz w:val="16"/>
                <w:szCs w:val="16"/>
                <w:lang w:val="tr-TR"/>
              </w:rPr>
            </w:pPr>
            <w:r w:rsidRPr="001A4B94">
              <w:rPr>
                <w:sz w:val="16"/>
                <w:szCs w:val="16"/>
                <w:lang w:val="tr-TR"/>
              </w:rPr>
              <w:t>20</w:t>
            </w:r>
            <w:r w:rsidR="00DB7216" w:rsidRPr="001A4B94">
              <w:rPr>
                <w:sz w:val="16"/>
                <w:szCs w:val="16"/>
                <w:lang w:val="tr-TR"/>
              </w:rPr>
              <w:t>,</w:t>
            </w:r>
            <w:r w:rsidRPr="001A4B94">
              <w:rPr>
                <w:sz w:val="16"/>
                <w:szCs w:val="16"/>
                <w:lang w:val="tr-TR"/>
              </w:rPr>
              <w:t>77</w:t>
            </w:r>
          </w:p>
        </w:tc>
        <w:tc>
          <w:tcPr>
            <w:tcW w:w="990" w:type="dxa"/>
            <w:tcBorders>
              <w:top w:val="nil"/>
              <w:left w:val="nil"/>
              <w:bottom w:val="nil"/>
              <w:right w:val="nil"/>
            </w:tcBorders>
            <w:shd w:val="clear" w:color="000000" w:fill="FFFFFF"/>
            <w:noWrap/>
            <w:vAlign w:val="center"/>
            <w:hideMark/>
          </w:tcPr>
          <w:p w14:paraId="2A685843"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68456711" w14:textId="77777777" w:rsidTr="007C4843">
        <w:trPr>
          <w:trHeight w:val="255"/>
          <w:jc w:val="center"/>
        </w:trPr>
        <w:tc>
          <w:tcPr>
            <w:tcW w:w="1900" w:type="dxa"/>
            <w:tcBorders>
              <w:top w:val="nil"/>
              <w:left w:val="nil"/>
              <w:bottom w:val="nil"/>
              <w:right w:val="nil"/>
            </w:tcBorders>
            <w:shd w:val="clear" w:color="auto" w:fill="D9D9D9"/>
            <w:vAlign w:val="center"/>
            <w:hideMark/>
          </w:tcPr>
          <w:p w14:paraId="534D1776" w14:textId="77777777" w:rsidR="00F16E72" w:rsidRPr="001A4B94" w:rsidRDefault="00F16E72" w:rsidP="00F16E72">
            <w:pPr>
              <w:rPr>
                <w:sz w:val="16"/>
                <w:szCs w:val="16"/>
                <w:lang w:val="tr-TR"/>
              </w:rPr>
            </w:pPr>
            <w:r w:rsidRPr="001A4B94">
              <w:rPr>
                <w:sz w:val="16"/>
                <w:szCs w:val="16"/>
                <w:lang w:val="tr-TR"/>
              </w:rPr>
              <w:t>2010</w:t>
            </w:r>
          </w:p>
        </w:tc>
        <w:tc>
          <w:tcPr>
            <w:tcW w:w="1470" w:type="dxa"/>
            <w:tcBorders>
              <w:top w:val="nil"/>
              <w:left w:val="nil"/>
              <w:bottom w:val="nil"/>
              <w:right w:val="nil"/>
            </w:tcBorders>
            <w:shd w:val="clear" w:color="auto" w:fill="D9D9D9"/>
            <w:noWrap/>
            <w:vAlign w:val="center"/>
            <w:hideMark/>
          </w:tcPr>
          <w:p w14:paraId="4F89F6D0" w14:textId="77777777" w:rsidR="00F16E72" w:rsidRPr="001A4B94" w:rsidRDefault="00F16E72" w:rsidP="00F16E72">
            <w:pPr>
              <w:rPr>
                <w:sz w:val="16"/>
                <w:szCs w:val="16"/>
                <w:lang w:val="tr-TR"/>
              </w:rPr>
            </w:pPr>
            <w:r w:rsidRPr="001A4B94">
              <w:rPr>
                <w:sz w:val="16"/>
                <w:szCs w:val="16"/>
                <w:lang w:val="tr-TR"/>
              </w:rPr>
              <w:t>TCE Ege</w:t>
            </w:r>
          </w:p>
        </w:tc>
        <w:tc>
          <w:tcPr>
            <w:tcW w:w="776" w:type="dxa"/>
            <w:tcBorders>
              <w:top w:val="nil"/>
              <w:left w:val="nil"/>
              <w:bottom w:val="nil"/>
              <w:right w:val="nil"/>
            </w:tcBorders>
            <w:shd w:val="clear" w:color="auto" w:fill="D9D9D9"/>
            <w:noWrap/>
            <w:vAlign w:val="center"/>
            <w:hideMark/>
          </w:tcPr>
          <w:p w14:paraId="7ACE7515" w14:textId="55AD408D" w:rsidR="00F16E72" w:rsidRPr="001A4B94" w:rsidRDefault="00F16E72" w:rsidP="00F16E72">
            <w:pPr>
              <w:jc w:val="right"/>
              <w:rPr>
                <w:sz w:val="16"/>
                <w:szCs w:val="16"/>
                <w:lang w:val="tr-TR"/>
              </w:rPr>
            </w:pPr>
            <w:r w:rsidRPr="001A4B94">
              <w:rPr>
                <w:sz w:val="16"/>
                <w:szCs w:val="16"/>
                <w:lang w:val="tr-TR"/>
              </w:rPr>
              <w:t>11</w:t>
            </w:r>
            <w:r w:rsidR="00DB7216" w:rsidRPr="001A4B94">
              <w:rPr>
                <w:sz w:val="16"/>
                <w:szCs w:val="16"/>
                <w:lang w:val="tr-TR"/>
              </w:rPr>
              <w:t>,</w:t>
            </w:r>
            <w:r w:rsidRPr="001A4B94">
              <w:rPr>
                <w:sz w:val="16"/>
                <w:szCs w:val="16"/>
                <w:lang w:val="tr-TR"/>
              </w:rPr>
              <w:t>35</w:t>
            </w:r>
          </w:p>
        </w:tc>
        <w:tc>
          <w:tcPr>
            <w:tcW w:w="812" w:type="dxa"/>
            <w:tcBorders>
              <w:top w:val="nil"/>
              <w:left w:val="nil"/>
              <w:bottom w:val="nil"/>
              <w:right w:val="nil"/>
            </w:tcBorders>
            <w:shd w:val="clear" w:color="auto" w:fill="D9D9D9"/>
            <w:noWrap/>
            <w:vAlign w:val="center"/>
            <w:hideMark/>
          </w:tcPr>
          <w:p w14:paraId="5D6E999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7706421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6225435"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2E0545CE"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1B53AD6E" w14:textId="7129CCE0" w:rsidR="00F16E72" w:rsidRPr="001A4B94" w:rsidRDefault="00F16E72" w:rsidP="00F16E72">
            <w:pPr>
              <w:jc w:val="right"/>
              <w:rPr>
                <w:sz w:val="16"/>
                <w:szCs w:val="16"/>
                <w:lang w:val="tr-TR"/>
              </w:rPr>
            </w:pPr>
            <w:r w:rsidRPr="001A4B94">
              <w:rPr>
                <w:sz w:val="16"/>
                <w:szCs w:val="16"/>
                <w:lang w:val="tr-TR"/>
              </w:rPr>
              <w:t>11</w:t>
            </w:r>
            <w:r w:rsidR="00DB7216" w:rsidRPr="001A4B94">
              <w:rPr>
                <w:sz w:val="16"/>
                <w:szCs w:val="16"/>
                <w:lang w:val="tr-TR"/>
              </w:rPr>
              <w:t>,</w:t>
            </w:r>
            <w:r w:rsidRPr="001A4B94">
              <w:rPr>
                <w:sz w:val="16"/>
                <w:szCs w:val="16"/>
                <w:lang w:val="tr-TR"/>
              </w:rPr>
              <w:t>35</w:t>
            </w:r>
          </w:p>
        </w:tc>
        <w:tc>
          <w:tcPr>
            <w:tcW w:w="1069" w:type="dxa"/>
            <w:tcBorders>
              <w:top w:val="nil"/>
              <w:left w:val="nil"/>
              <w:bottom w:val="nil"/>
              <w:right w:val="nil"/>
            </w:tcBorders>
            <w:shd w:val="clear" w:color="auto" w:fill="D9D9D9"/>
            <w:noWrap/>
            <w:vAlign w:val="center"/>
            <w:hideMark/>
          </w:tcPr>
          <w:p w14:paraId="7431144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19E3ADEE" w14:textId="4C62EB23" w:rsidR="00F16E72" w:rsidRPr="001A4B94" w:rsidRDefault="00F16E72" w:rsidP="00F16E72">
            <w:pPr>
              <w:jc w:val="right"/>
              <w:rPr>
                <w:sz w:val="16"/>
                <w:szCs w:val="16"/>
                <w:lang w:val="tr-TR"/>
              </w:rPr>
            </w:pPr>
            <w:r w:rsidRPr="001A4B94">
              <w:rPr>
                <w:sz w:val="16"/>
                <w:szCs w:val="16"/>
                <w:lang w:val="tr-TR"/>
              </w:rPr>
              <w:t>11</w:t>
            </w:r>
            <w:r w:rsidR="00DB7216" w:rsidRPr="001A4B94">
              <w:rPr>
                <w:sz w:val="16"/>
                <w:szCs w:val="16"/>
                <w:lang w:val="tr-TR"/>
              </w:rPr>
              <w:t>,</w:t>
            </w:r>
            <w:r w:rsidRPr="001A4B94">
              <w:rPr>
                <w:sz w:val="16"/>
                <w:szCs w:val="16"/>
                <w:lang w:val="tr-TR"/>
              </w:rPr>
              <w:t>35</w:t>
            </w:r>
          </w:p>
        </w:tc>
        <w:tc>
          <w:tcPr>
            <w:tcW w:w="812" w:type="dxa"/>
            <w:tcBorders>
              <w:top w:val="nil"/>
              <w:left w:val="nil"/>
              <w:bottom w:val="nil"/>
              <w:right w:val="nil"/>
            </w:tcBorders>
            <w:shd w:val="clear" w:color="auto" w:fill="D9D9D9"/>
            <w:noWrap/>
            <w:vAlign w:val="center"/>
            <w:hideMark/>
          </w:tcPr>
          <w:p w14:paraId="4E943789"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72365D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14062E71"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4C304FE9"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74767396" w14:textId="745D6C0D" w:rsidR="00F16E72" w:rsidRPr="001A4B94" w:rsidRDefault="00F16E72" w:rsidP="00F16E72">
            <w:pPr>
              <w:jc w:val="right"/>
              <w:rPr>
                <w:sz w:val="16"/>
                <w:szCs w:val="16"/>
                <w:lang w:val="tr-TR"/>
              </w:rPr>
            </w:pPr>
            <w:r w:rsidRPr="001A4B94">
              <w:rPr>
                <w:sz w:val="16"/>
                <w:szCs w:val="16"/>
                <w:lang w:val="tr-TR"/>
              </w:rPr>
              <w:t>11</w:t>
            </w:r>
            <w:r w:rsidR="00DB7216" w:rsidRPr="001A4B94">
              <w:rPr>
                <w:sz w:val="16"/>
                <w:szCs w:val="16"/>
                <w:lang w:val="tr-TR"/>
              </w:rPr>
              <w:t>,</w:t>
            </w:r>
            <w:r w:rsidRPr="001A4B94">
              <w:rPr>
                <w:sz w:val="16"/>
                <w:szCs w:val="16"/>
                <w:lang w:val="tr-TR"/>
              </w:rPr>
              <w:t>35</w:t>
            </w:r>
          </w:p>
        </w:tc>
        <w:tc>
          <w:tcPr>
            <w:tcW w:w="990" w:type="dxa"/>
            <w:tcBorders>
              <w:top w:val="nil"/>
              <w:left w:val="nil"/>
              <w:bottom w:val="nil"/>
              <w:right w:val="nil"/>
            </w:tcBorders>
            <w:shd w:val="clear" w:color="auto" w:fill="D9D9D9"/>
            <w:noWrap/>
            <w:vAlign w:val="center"/>
            <w:hideMark/>
          </w:tcPr>
          <w:p w14:paraId="7F3D2871"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262626F7" w14:textId="77777777" w:rsidTr="007C4843">
        <w:trPr>
          <w:trHeight w:val="255"/>
          <w:jc w:val="center"/>
        </w:trPr>
        <w:tc>
          <w:tcPr>
            <w:tcW w:w="1900" w:type="dxa"/>
            <w:tcBorders>
              <w:top w:val="nil"/>
              <w:left w:val="nil"/>
              <w:bottom w:val="nil"/>
              <w:right w:val="nil"/>
            </w:tcBorders>
            <w:shd w:val="clear" w:color="000000" w:fill="FFFFFF"/>
            <w:vAlign w:val="center"/>
            <w:hideMark/>
          </w:tcPr>
          <w:p w14:paraId="498FE64B" w14:textId="77777777" w:rsidR="00F16E72" w:rsidRPr="001A4B94" w:rsidRDefault="00F16E72" w:rsidP="00F16E72">
            <w:pPr>
              <w:rPr>
                <w:sz w:val="16"/>
                <w:szCs w:val="16"/>
                <w:lang w:val="tr-TR"/>
              </w:rPr>
            </w:pPr>
            <w:r w:rsidRPr="001A4B94">
              <w:rPr>
                <w:sz w:val="16"/>
                <w:szCs w:val="16"/>
                <w:lang w:val="tr-TR"/>
              </w:rPr>
              <w:t>2005/ 2013/ 1969/ 1983/ 1993/ 2017/ 1977/ 1975/ 1990/ 1964/ 1967/ 1980/ 1972/ 2016/ 2012</w:t>
            </w:r>
          </w:p>
        </w:tc>
        <w:tc>
          <w:tcPr>
            <w:tcW w:w="1470" w:type="dxa"/>
            <w:tcBorders>
              <w:top w:val="nil"/>
              <w:left w:val="nil"/>
              <w:bottom w:val="nil"/>
              <w:right w:val="nil"/>
            </w:tcBorders>
            <w:shd w:val="clear" w:color="000000" w:fill="FFFFFF"/>
            <w:noWrap/>
            <w:vAlign w:val="center"/>
            <w:hideMark/>
          </w:tcPr>
          <w:p w14:paraId="3082B366" w14:textId="77777777" w:rsidR="00F16E72" w:rsidRPr="001A4B94" w:rsidRDefault="00F16E72" w:rsidP="00F16E72">
            <w:pPr>
              <w:rPr>
                <w:sz w:val="16"/>
                <w:szCs w:val="16"/>
                <w:lang w:val="tr-TR"/>
              </w:rPr>
            </w:pPr>
            <w:r w:rsidRPr="001A4B94">
              <w:rPr>
                <w:sz w:val="16"/>
                <w:szCs w:val="16"/>
                <w:lang w:val="tr-TR"/>
              </w:rPr>
              <w:t>TSKB</w:t>
            </w:r>
          </w:p>
        </w:tc>
        <w:tc>
          <w:tcPr>
            <w:tcW w:w="776" w:type="dxa"/>
            <w:tcBorders>
              <w:top w:val="nil"/>
              <w:left w:val="nil"/>
              <w:bottom w:val="nil"/>
              <w:right w:val="nil"/>
            </w:tcBorders>
            <w:shd w:val="clear" w:color="000000" w:fill="FFFFFF"/>
            <w:noWrap/>
            <w:vAlign w:val="center"/>
            <w:hideMark/>
          </w:tcPr>
          <w:p w14:paraId="212915F7" w14:textId="1035DC25" w:rsidR="00F16E72" w:rsidRPr="001A4B94" w:rsidRDefault="00F16E72" w:rsidP="00F16E72">
            <w:pPr>
              <w:jc w:val="right"/>
              <w:rPr>
                <w:sz w:val="16"/>
                <w:szCs w:val="16"/>
                <w:lang w:val="tr-TR"/>
              </w:rPr>
            </w:pPr>
            <w:r w:rsidRPr="001A4B94">
              <w:rPr>
                <w:sz w:val="16"/>
                <w:szCs w:val="16"/>
                <w:lang w:val="tr-TR"/>
              </w:rPr>
              <w:t>134</w:t>
            </w:r>
            <w:r w:rsidR="00DB7216" w:rsidRPr="001A4B94">
              <w:rPr>
                <w:sz w:val="16"/>
                <w:szCs w:val="16"/>
                <w:lang w:val="tr-TR"/>
              </w:rPr>
              <w:t>,</w:t>
            </w:r>
            <w:r w:rsidRPr="001A4B94">
              <w:rPr>
                <w:sz w:val="16"/>
                <w:szCs w:val="16"/>
                <w:lang w:val="tr-TR"/>
              </w:rPr>
              <w:t>62</w:t>
            </w:r>
          </w:p>
        </w:tc>
        <w:tc>
          <w:tcPr>
            <w:tcW w:w="812" w:type="dxa"/>
            <w:tcBorders>
              <w:top w:val="nil"/>
              <w:left w:val="nil"/>
              <w:bottom w:val="nil"/>
              <w:right w:val="nil"/>
            </w:tcBorders>
            <w:shd w:val="clear" w:color="000000" w:fill="FFFFFF"/>
            <w:noWrap/>
            <w:vAlign w:val="center"/>
            <w:hideMark/>
          </w:tcPr>
          <w:p w14:paraId="403C6A4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8C57BC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7B299F22" w14:textId="46083E92" w:rsidR="00F16E72" w:rsidRPr="001A4B94" w:rsidRDefault="00F16E72" w:rsidP="00F16E72">
            <w:pPr>
              <w:jc w:val="right"/>
              <w:rPr>
                <w:sz w:val="16"/>
                <w:szCs w:val="16"/>
                <w:lang w:val="tr-TR"/>
              </w:rPr>
            </w:pPr>
            <w:r w:rsidRPr="001A4B94">
              <w:rPr>
                <w:sz w:val="16"/>
                <w:szCs w:val="16"/>
                <w:lang w:val="tr-TR"/>
              </w:rPr>
              <w:t>6</w:t>
            </w:r>
            <w:r w:rsidR="00DB7216" w:rsidRPr="001A4B94">
              <w:rPr>
                <w:sz w:val="16"/>
                <w:szCs w:val="16"/>
                <w:lang w:val="tr-TR"/>
              </w:rPr>
              <w:t>,</w:t>
            </w:r>
            <w:r w:rsidRPr="001A4B94">
              <w:rPr>
                <w:sz w:val="16"/>
                <w:szCs w:val="16"/>
                <w:lang w:val="tr-TR"/>
              </w:rPr>
              <w:t>40</w:t>
            </w:r>
          </w:p>
        </w:tc>
        <w:tc>
          <w:tcPr>
            <w:tcW w:w="710" w:type="dxa"/>
            <w:tcBorders>
              <w:top w:val="nil"/>
              <w:left w:val="nil"/>
              <w:bottom w:val="nil"/>
              <w:right w:val="nil"/>
            </w:tcBorders>
            <w:shd w:val="clear" w:color="000000" w:fill="FFFFFF"/>
            <w:noWrap/>
            <w:vAlign w:val="center"/>
            <w:hideMark/>
          </w:tcPr>
          <w:p w14:paraId="06CADD81"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FA064F9" w14:textId="73DD3B71" w:rsidR="00F16E72" w:rsidRPr="001A4B94" w:rsidRDefault="00F16E72" w:rsidP="00F16E72">
            <w:pPr>
              <w:jc w:val="right"/>
              <w:rPr>
                <w:sz w:val="16"/>
                <w:szCs w:val="16"/>
                <w:lang w:val="tr-TR"/>
              </w:rPr>
            </w:pPr>
            <w:r w:rsidRPr="001A4B94">
              <w:rPr>
                <w:sz w:val="16"/>
                <w:szCs w:val="16"/>
                <w:lang w:val="tr-TR"/>
              </w:rPr>
              <w:t>141</w:t>
            </w:r>
            <w:r w:rsidR="00DB7216" w:rsidRPr="001A4B94">
              <w:rPr>
                <w:sz w:val="16"/>
                <w:szCs w:val="16"/>
                <w:lang w:val="tr-TR"/>
              </w:rPr>
              <w:t>,</w:t>
            </w:r>
            <w:r w:rsidRPr="001A4B94">
              <w:rPr>
                <w:sz w:val="16"/>
                <w:szCs w:val="16"/>
                <w:lang w:val="tr-TR"/>
              </w:rPr>
              <w:t>02</w:t>
            </w:r>
          </w:p>
        </w:tc>
        <w:tc>
          <w:tcPr>
            <w:tcW w:w="1069" w:type="dxa"/>
            <w:tcBorders>
              <w:top w:val="nil"/>
              <w:left w:val="nil"/>
              <w:bottom w:val="nil"/>
              <w:right w:val="nil"/>
            </w:tcBorders>
            <w:shd w:val="clear" w:color="000000" w:fill="FFFFFF"/>
            <w:noWrap/>
            <w:vAlign w:val="center"/>
            <w:hideMark/>
          </w:tcPr>
          <w:p w14:paraId="374E6665"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55BB0489" w14:textId="352C1DF8" w:rsidR="00F16E72" w:rsidRPr="001A4B94" w:rsidRDefault="00F16E72" w:rsidP="00F16E72">
            <w:pPr>
              <w:jc w:val="right"/>
              <w:rPr>
                <w:sz w:val="16"/>
                <w:szCs w:val="16"/>
                <w:lang w:val="tr-TR"/>
              </w:rPr>
            </w:pPr>
            <w:r w:rsidRPr="001A4B94">
              <w:rPr>
                <w:sz w:val="16"/>
                <w:szCs w:val="16"/>
                <w:lang w:val="tr-TR"/>
              </w:rPr>
              <w:t>134</w:t>
            </w:r>
            <w:r w:rsidR="00DB7216" w:rsidRPr="001A4B94">
              <w:rPr>
                <w:sz w:val="16"/>
                <w:szCs w:val="16"/>
                <w:lang w:val="tr-TR"/>
              </w:rPr>
              <w:t>,</w:t>
            </w:r>
            <w:r w:rsidRPr="001A4B94">
              <w:rPr>
                <w:sz w:val="16"/>
                <w:szCs w:val="16"/>
                <w:lang w:val="tr-TR"/>
              </w:rPr>
              <w:t>62</w:t>
            </w:r>
          </w:p>
        </w:tc>
        <w:tc>
          <w:tcPr>
            <w:tcW w:w="812" w:type="dxa"/>
            <w:tcBorders>
              <w:top w:val="nil"/>
              <w:left w:val="nil"/>
              <w:bottom w:val="nil"/>
              <w:right w:val="nil"/>
            </w:tcBorders>
            <w:shd w:val="clear" w:color="000000" w:fill="FFFFFF"/>
            <w:noWrap/>
            <w:vAlign w:val="center"/>
            <w:hideMark/>
          </w:tcPr>
          <w:p w14:paraId="02A9DF6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9ED226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294DA00A" w14:textId="5C46E517" w:rsidR="00F16E72" w:rsidRPr="001A4B94" w:rsidRDefault="00F16E72" w:rsidP="00F16E72">
            <w:pPr>
              <w:jc w:val="right"/>
              <w:rPr>
                <w:sz w:val="16"/>
                <w:szCs w:val="16"/>
                <w:lang w:val="tr-TR"/>
              </w:rPr>
            </w:pPr>
            <w:r w:rsidRPr="001A4B94">
              <w:rPr>
                <w:sz w:val="16"/>
                <w:szCs w:val="16"/>
                <w:lang w:val="tr-TR"/>
              </w:rPr>
              <w:t>6</w:t>
            </w:r>
            <w:r w:rsidR="00DB7216" w:rsidRPr="001A4B94">
              <w:rPr>
                <w:sz w:val="16"/>
                <w:szCs w:val="16"/>
                <w:lang w:val="tr-TR"/>
              </w:rPr>
              <w:t>,</w:t>
            </w:r>
            <w:r w:rsidRPr="001A4B94">
              <w:rPr>
                <w:sz w:val="16"/>
                <w:szCs w:val="16"/>
                <w:lang w:val="tr-TR"/>
              </w:rPr>
              <w:t>40</w:t>
            </w:r>
          </w:p>
        </w:tc>
        <w:tc>
          <w:tcPr>
            <w:tcW w:w="685" w:type="dxa"/>
            <w:tcBorders>
              <w:top w:val="nil"/>
              <w:left w:val="nil"/>
              <w:bottom w:val="nil"/>
              <w:right w:val="nil"/>
            </w:tcBorders>
            <w:shd w:val="clear" w:color="000000" w:fill="FFFFFF"/>
            <w:noWrap/>
            <w:vAlign w:val="center"/>
            <w:hideMark/>
          </w:tcPr>
          <w:p w14:paraId="2201693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B2E24B2" w14:textId="03B499CD" w:rsidR="00F16E72" w:rsidRPr="001A4B94" w:rsidRDefault="00F16E72" w:rsidP="00F16E72">
            <w:pPr>
              <w:jc w:val="right"/>
              <w:rPr>
                <w:sz w:val="16"/>
                <w:szCs w:val="16"/>
                <w:lang w:val="tr-TR"/>
              </w:rPr>
            </w:pPr>
            <w:r w:rsidRPr="001A4B94">
              <w:rPr>
                <w:sz w:val="16"/>
                <w:szCs w:val="16"/>
                <w:lang w:val="tr-TR"/>
              </w:rPr>
              <w:t>141</w:t>
            </w:r>
            <w:r w:rsidR="00DB7216" w:rsidRPr="001A4B94">
              <w:rPr>
                <w:sz w:val="16"/>
                <w:szCs w:val="16"/>
                <w:lang w:val="tr-TR"/>
              </w:rPr>
              <w:t>,</w:t>
            </w:r>
            <w:r w:rsidRPr="001A4B94">
              <w:rPr>
                <w:sz w:val="16"/>
                <w:szCs w:val="16"/>
                <w:lang w:val="tr-TR"/>
              </w:rPr>
              <w:t>02</w:t>
            </w:r>
          </w:p>
        </w:tc>
        <w:tc>
          <w:tcPr>
            <w:tcW w:w="990" w:type="dxa"/>
            <w:tcBorders>
              <w:top w:val="nil"/>
              <w:left w:val="nil"/>
              <w:bottom w:val="nil"/>
              <w:right w:val="nil"/>
            </w:tcBorders>
            <w:shd w:val="clear" w:color="000000" w:fill="FFFFFF"/>
            <w:noWrap/>
            <w:vAlign w:val="center"/>
            <w:hideMark/>
          </w:tcPr>
          <w:p w14:paraId="24427F9B"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32EF9D27" w14:textId="77777777" w:rsidTr="007C4843">
        <w:trPr>
          <w:trHeight w:val="270"/>
          <w:jc w:val="center"/>
        </w:trPr>
        <w:tc>
          <w:tcPr>
            <w:tcW w:w="1900" w:type="dxa"/>
            <w:tcBorders>
              <w:top w:val="nil"/>
              <w:left w:val="nil"/>
              <w:bottom w:val="nil"/>
              <w:right w:val="nil"/>
            </w:tcBorders>
            <w:shd w:val="clear" w:color="auto" w:fill="D9D9D9"/>
            <w:vAlign w:val="center"/>
            <w:hideMark/>
          </w:tcPr>
          <w:p w14:paraId="20B19A6A" w14:textId="77777777" w:rsidR="00F16E72" w:rsidRPr="001A4B94" w:rsidRDefault="00F16E72" w:rsidP="00F16E72">
            <w:pPr>
              <w:rPr>
                <w:sz w:val="16"/>
                <w:szCs w:val="16"/>
                <w:lang w:val="tr-TR"/>
              </w:rPr>
            </w:pPr>
            <w:r w:rsidRPr="001A4B94">
              <w:rPr>
                <w:sz w:val="16"/>
                <w:szCs w:val="16"/>
                <w:lang w:val="tr-TR"/>
              </w:rPr>
              <w:t>2016</w:t>
            </w:r>
          </w:p>
        </w:tc>
        <w:tc>
          <w:tcPr>
            <w:tcW w:w="1470" w:type="dxa"/>
            <w:tcBorders>
              <w:top w:val="nil"/>
              <w:left w:val="nil"/>
              <w:bottom w:val="nil"/>
              <w:right w:val="nil"/>
            </w:tcBorders>
            <w:shd w:val="clear" w:color="auto" w:fill="D9D9D9"/>
            <w:noWrap/>
            <w:vAlign w:val="center"/>
            <w:hideMark/>
          </w:tcPr>
          <w:p w14:paraId="587D8F53" w14:textId="77777777" w:rsidR="00F16E72" w:rsidRPr="001A4B94" w:rsidRDefault="00F16E72" w:rsidP="00F16E72">
            <w:pPr>
              <w:rPr>
                <w:sz w:val="16"/>
                <w:szCs w:val="16"/>
                <w:lang w:val="tr-TR"/>
              </w:rPr>
            </w:pPr>
            <w:r w:rsidRPr="001A4B94">
              <w:rPr>
                <w:sz w:val="16"/>
                <w:szCs w:val="16"/>
                <w:lang w:val="tr-TR"/>
              </w:rPr>
              <w:t>Taxim Capital I</w:t>
            </w:r>
          </w:p>
        </w:tc>
        <w:tc>
          <w:tcPr>
            <w:tcW w:w="776" w:type="dxa"/>
            <w:tcBorders>
              <w:top w:val="nil"/>
              <w:left w:val="nil"/>
              <w:bottom w:val="nil"/>
              <w:right w:val="nil"/>
            </w:tcBorders>
            <w:shd w:val="clear" w:color="auto" w:fill="D9D9D9"/>
            <w:noWrap/>
            <w:vAlign w:val="center"/>
            <w:hideMark/>
          </w:tcPr>
          <w:p w14:paraId="63F0538B"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15C1E705" w14:textId="51CAEE3D" w:rsidR="00F16E72" w:rsidRPr="001A4B94" w:rsidRDefault="00F16E72" w:rsidP="00F16E72">
            <w:pPr>
              <w:jc w:val="right"/>
              <w:rPr>
                <w:sz w:val="16"/>
                <w:szCs w:val="16"/>
                <w:lang w:val="tr-TR"/>
              </w:rPr>
            </w:pPr>
            <w:r w:rsidRPr="001A4B94">
              <w:rPr>
                <w:sz w:val="16"/>
                <w:szCs w:val="16"/>
                <w:lang w:val="tr-TR"/>
              </w:rPr>
              <w:t>18</w:t>
            </w:r>
            <w:r w:rsidR="00DB7216" w:rsidRPr="001A4B94">
              <w:rPr>
                <w:sz w:val="16"/>
                <w:szCs w:val="16"/>
                <w:lang w:val="tr-TR"/>
              </w:rPr>
              <w:t>,</w:t>
            </w:r>
            <w:r w:rsidRPr="001A4B94">
              <w:rPr>
                <w:sz w:val="16"/>
                <w:szCs w:val="16"/>
                <w:lang w:val="tr-TR"/>
              </w:rPr>
              <w:t>93</w:t>
            </w:r>
          </w:p>
        </w:tc>
        <w:tc>
          <w:tcPr>
            <w:tcW w:w="812" w:type="dxa"/>
            <w:tcBorders>
              <w:top w:val="nil"/>
              <w:left w:val="nil"/>
              <w:bottom w:val="nil"/>
              <w:right w:val="nil"/>
            </w:tcBorders>
            <w:shd w:val="clear" w:color="auto" w:fill="D9D9D9"/>
            <w:noWrap/>
            <w:vAlign w:val="center"/>
            <w:hideMark/>
          </w:tcPr>
          <w:p w14:paraId="4AC87765"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7992999"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19DD862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26F9EFD" w14:textId="553E4DD7" w:rsidR="00F16E72" w:rsidRPr="001A4B94" w:rsidRDefault="00F16E72" w:rsidP="00F16E72">
            <w:pPr>
              <w:jc w:val="right"/>
              <w:rPr>
                <w:sz w:val="16"/>
                <w:szCs w:val="16"/>
                <w:lang w:val="tr-TR"/>
              </w:rPr>
            </w:pPr>
            <w:r w:rsidRPr="001A4B94">
              <w:rPr>
                <w:sz w:val="16"/>
                <w:szCs w:val="16"/>
                <w:lang w:val="tr-TR"/>
              </w:rPr>
              <w:t>18</w:t>
            </w:r>
            <w:r w:rsidR="00DB7216" w:rsidRPr="001A4B94">
              <w:rPr>
                <w:sz w:val="16"/>
                <w:szCs w:val="16"/>
                <w:lang w:val="tr-TR"/>
              </w:rPr>
              <w:t>,</w:t>
            </w:r>
            <w:r w:rsidRPr="001A4B94">
              <w:rPr>
                <w:sz w:val="16"/>
                <w:szCs w:val="16"/>
                <w:lang w:val="tr-TR"/>
              </w:rPr>
              <w:t>93</w:t>
            </w:r>
          </w:p>
        </w:tc>
        <w:tc>
          <w:tcPr>
            <w:tcW w:w="1069" w:type="dxa"/>
            <w:tcBorders>
              <w:top w:val="nil"/>
              <w:left w:val="nil"/>
              <w:bottom w:val="nil"/>
              <w:right w:val="nil"/>
            </w:tcBorders>
            <w:shd w:val="clear" w:color="auto" w:fill="D9D9D9"/>
            <w:noWrap/>
            <w:vAlign w:val="center"/>
            <w:hideMark/>
          </w:tcPr>
          <w:p w14:paraId="6F334B8A"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1DE5E219"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171FA164" w14:textId="0A4FBDCC" w:rsidR="00F16E72" w:rsidRPr="001A4B94" w:rsidRDefault="00F16E72" w:rsidP="00F16E72">
            <w:pPr>
              <w:jc w:val="right"/>
              <w:rPr>
                <w:sz w:val="16"/>
                <w:szCs w:val="16"/>
                <w:lang w:val="tr-TR"/>
              </w:rPr>
            </w:pPr>
            <w:r w:rsidRPr="001A4B94">
              <w:rPr>
                <w:sz w:val="16"/>
                <w:szCs w:val="16"/>
                <w:lang w:val="tr-TR"/>
              </w:rPr>
              <w:t>3</w:t>
            </w:r>
            <w:r w:rsidR="00DB7216" w:rsidRPr="001A4B94">
              <w:rPr>
                <w:sz w:val="16"/>
                <w:szCs w:val="16"/>
                <w:lang w:val="tr-TR"/>
              </w:rPr>
              <w:t>,</w:t>
            </w:r>
            <w:r w:rsidRPr="001A4B94">
              <w:rPr>
                <w:sz w:val="16"/>
                <w:szCs w:val="16"/>
                <w:lang w:val="tr-TR"/>
              </w:rPr>
              <w:t>36</w:t>
            </w:r>
          </w:p>
        </w:tc>
        <w:tc>
          <w:tcPr>
            <w:tcW w:w="812" w:type="dxa"/>
            <w:tcBorders>
              <w:top w:val="nil"/>
              <w:left w:val="nil"/>
              <w:bottom w:val="nil"/>
              <w:right w:val="nil"/>
            </w:tcBorders>
            <w:shd w:val="clear" w:color="auto" w:fill="D9D9D9"/>
            <w:noWrap/>
            <w:vAlign w:val="center"/>
            <w:hideMark/>
          </w:tcPr>
          <w:p w14:paraId="337F37AB"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328779C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1256CAC4"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26AD7907" w14:textId="61127898" w:rsidR="00F16E72" w:rsidRPr="001A4B94" w:rsidRDefault="00F16E72" w:rsidP="00F16E72">
            <w:pPr>
              <w:jc w:val="right"/>
              <w:rPr>
                <w:sz w:val="16"/>
                <w:szCs w:val="16"/>
                <w:lang w:val="tr-TR"/>
              </w:rPr>
            </w:pPr>
            <w:r w:rsidRPr="001A4B94">
              <w:rPr>
                <w:sz w:val="16"/>
                <w:szCs w:val="16"/>
                <w:lang w:val="tr-TR"/>
              </w:rPr>
              <w:t>3</w:t>
            </w:r>
            <w:r w:rsidR="00DB7216" w:rsidRPr="001A4B94">
              <w:rPr>
                <w:sz w:val="16"/>
                <w:szCs w:val="16"/>
                <w:lang w:val="tr-TR"/>
              </w:rPr>
              <w:t>,</w:t>
            </w:r>
            <w:r w:rsidRPr="001A4B94">
              <w:rPr>
                <w:sz w:val="16"/>
                <w:szCs w:val="16"/>
                <w:lang w:val="tr-TR"/>
              </w:rPr>
              <w:t>36</w:t>
            </w:r>
          </w:p>
        </w:tc>
        <w:tc>
          <w:tcPr>
            <w:tcW w:w="990" w:type="dxa"/>
            <w:tcBorders>
              <w:top w:val="nil"/>
              <w:left w:val="nil"/>
              <w:bottom w:val="nil"/>
              <w:right w:val="nil"/>
            </w:tcBorders>
            <w:shd w:val="clear" w:color="auto" w:fill="D9D9D9"/>
            <w:noWrap/>
            <w:vAlign w:val="center"/>
            <w:hideMark/>
          </w:tcPr>
          <w:p w14:paraId="6808C161"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7C627745" w14:textId="77777777" w:rsidTr="007C4843">
        <w:trPr>
          <w:trHeight w:val="255"/>
          <w:jc w:val="center"/>
        </w:trPr>
        <w:tc>
          <w:tcPr>
            <w:tcW w:w="1900" w:type="dxa"/>
            <w:tcBorders>
              <w:top w:val="nil"/>
              <w:left w:val="nil"/>
              <w:bottom w:val="nil"/>
              <w:right w:val="nil"/>
            </w:tcBorders>
            <w:shd w:val="clear" w:color="000000" w:fill="FFFFFF"/>
            <w:vAlign w:val="center"/>
            <w:hideMark/>
          </w:tcPr>
          <w:p w14:paraId="2D6C9EC3" w14:textId="77777777" w:rsidR="00F16E72" w:rsidRPr="001A4B94" w:rsidRDefault="00F16E72" w:rsidP="00F16E72">
            <w:pPr>
              <w:rPr>
                <w:sz w:val="16"/>
                <w:szCs w:val="16"/>
                <w:lang w:val="tr-TR"/>
              </w:rPr>
            </w:pPr>
            <w:r w:rsidRPr="001A4B94">
              <w:rPr>
                <w:sz w:val="16"/>
                <w:szCs w:val="16"/>
                <w:lang w:val="tr-TR"/>
              </w:rPr>
              <w:t>2014/ 2012</w:t>
            </w:r>
          </w:p>
        </w:tc>
        <w:tc>
          <w:tcPr>
            <w:tcW w:w="1470" w:type="dxa"/>
            <w:tcBorders>
              <w:top w:val="nil"/>
              <w:left w:val="nil"/>
              <w:bottom w:val="nil"/>
              <w:right w:val="nil"/>
            </w:tcBorders>
            <w:shd w:val="clear" w:color="000000" w:fill="FFFFFF"/>
            <w:noWrap/>
            <w:vAlign w:val="center"/>
            <w:hideMark/>
          </w:tcPr>
          <w:p w14:paraId="3B135E28" w14:textId="77777777" w:rsidR="00F16E72" w:rsidRPr="001A4B94" w:rsidRDefault="00F16E72" w:rsidP="00F16E72">
            <w:pPr>
              <w:rPr>
                <w:sz w:val="16"/>
                <w:szCs w:val="16"/>
                <w:lang w:val="tr-TR"/>
              </w:rPr>
            </w:pPr>
            <w:r w:rsidRPr="001A4B94">
              <w:rPr>
                <w:sz w:val="16"/>
                <w:szCs w:val="16"/>
                <w:lang w:val="tr-TR"/>
              </w:rPr>
              <w:t>Tiryaki</w:t>
            </w:r>
          </w:p>
        </w:tc>
        <w:tc>
          <w:tcPr>
            <w:tcW w:w="776" w:type="dxa"/>
            <w:tcBorders>
              <w:top w:val="nil"/>
              <w:left w:val="nil"/>
              <w:bottom w:val="nil"/>
              <w:right w:val="nil"/>
            </w:tcBorders>
            <w:shd w:val="clear" w:color="000000" w:fill="FFFFFF"/>
            <w:noWrap/>
            <w:vAlign w:val="center"/>
            <w:hideMark/>
          </w:tcPr>
          <w:p w14:paraId="710FEAA9" w14:textId="23384389"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0AAA5633"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3B99F4B"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4320E600"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60245B19"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6DC7CAC3" w14:textId="176254F4"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000000" w:fill="FFFFFF"/>
            <w:noWrap/>
            <w:vAlign w:val="center"/>
            <w:hideMark/>
          </w:tcPr>
          <w:p w14:paraId="24BA7E46"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218AF868" w14:textId="6B1C0605"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000000" w:fill="FFFFFF"/>
            <w:noWrap/>
            <w:vAlign w:val="center"/>
            <w:hideMark/>
          </w:tcPr>
          <w:p w14:paraId="6B68715D"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0D1F6D8"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1F79243"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01B2ED5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48488DCE" w14:textId="3826FF2D"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000000" w:fill="FFFFFF"/>
            <w:noWrap/>
            <w:vAlign w:val="center"/>
            <w:hideMark/>
          </w:tcPr>
          <w:p w14:paraId="2274F833"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5FABA3FF" w14:textId="77777777" w:rsidTr="007C4843">
        <w:trPr>
          <w:trHeight w:val="390"/>
          <w:jc w:val="center"/>
        </w:trPr>
        <w:tc>
          <w:tcPr>
            <w:tcW w:w="1900" w:type="dxa"/>
            <w:tcBorders>
              <w:top w:val="nil"/>
              <w:left w:val="nil"/>
              <w:bottom w:val="nil"/>
              <w:right w:val="nil"/>
            </w:tcBorders>
            <w:shd w:val="clear" w:color="auto" w:fill="D9D9D9"/>
            <w:vAlign w:val="center"/>
            <w:hideMark/>
          </w:tcPr>
          <w:p w14:paraId="68867B7D" w14:textId="77777777" w:rsidR="00F16E72" w:rsidRPr="001A4B94" w:rsidRDefault="00F16E72" w:rsidP="00F16E72">
            <w:pPr>
              <w:rPr>
                <w:sz w:val="16"/>
                <w:szCs w:val="16"/>
                <w:lang w:val="tr-TR"/>
              </w:rPr>
            </w:pPr>
            <w:r w:rsidRPr="001A4B94">
              <w:rPr>
                <w:sz w:val="16"/>
                <w:szCs w:val="16"/>
                <w:lang w:val="tr-TR"/>
              </w:rPr>
              <w:t>2005/ 2009/ 1999/ 1983/ 1993/ 1996/ 1979/ 1990/ 1989/ 1984/ 2016/ 1991</w:t>
            </w:r>
          </w:p>
        </w:tc>
        <w:tc>
          <w:tcPr>
            <w:tcW w:w="1470" w:type="dxa"/>
            <w:tcBorders>
              <w:top w:val="nil"/>
              <w:left w:val="nil"/>
              <w:bottom w:val="nil"/>
              <w:right w:val="nil"/>
            </w:tcBorders>
            <w:shd w:val="clear" w:color="auto" w:fill="D9D9D9"/>
            <w:noWrap/>
            <w:vAlign w:val="center"/>
            <w:hideMark/>
          </w:tcPr>
          <w:p w14:paraId="0A3C5A22" w14:textId="77777777" w:rsidR="00F16E72" w:rsidRPr="001A4B94" w:rsidRDefault="00F16E72" w:rsidP="00F16E72">
            <w:pPr>
              <w:rPr>
                <w:sz w:val="16"/>
                <w:szCs w:val="16"/>
                <w:lang w:val="tr-TR"/>
              </w:rPr>
            </w:pPr>
            <w:r w:rsidRPr="001A4B94">
              <w:rPr>
                <w:sz w:val="16"/>
                <w:szCs w:val="16"/>
                <w:lang w:val="tr-TR"/>
              </w:rPr>
              <w:t>Trakya Cam</w:t>
            </w:r>
          </w:p>
        </w:tc>
        <w:tc>
          <w:tcPr>
            <w:tcW w:w="776" w:type="dxa"/>
            <w:tcBorders>
              <w:top w:val="nil"/>
              <w:left w:val="nil"/>
              <w:bottom w:val="nil"/>
              <w:right w:val="nil"/>
            </w:tcBorders>
            <w:shd w:val="clear" w:color="auto" w:fill="D9D9D9"/>
            <w:noWrap/>
            <w:vAlign w:val="center"/>
            <w:hideMark/>
          </w:tcPr>
          <w:p w14:paraId="485A7729" w14:textId="77F77C65"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09</w:t>
            </w:r>
          </w:p>
        </w:tc>
        <w:tc>
          <w:tcPr>
            <w:tcW w:w="812" w:type="dxa"/>
            <w:tcBorders>
              <w:top w:val="nil"/>
              <w:left w:val="nil"/>
              <w:bottom w:val="nil"/>
              <w:right w:val="nil"/>
            </w:tcBorders>
            <w:shd w:val="clear" w:color="auto" w:fill="D9D9D9"/>
            <w:noWrap/>
            <w:vAlign w:val="center"/>
            <w:hideMark/>
          </w:tcPr>
          <w:p w14:paraId="519A2B3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2780C0F"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72736EB1"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516A74E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7C14DFBE" w14:textId="0DF97163"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09</w:t>
            </w:r>
          </w:p>
        </w:tc>
        <w:tc>
          <w:tcPr>
            <w:tcW w:w="1069" w:type="dxa"/>
            <w:tcBorders>
              <w:top w:val="nil"/>
              <w:left w:val="nil"/>
              <w:bottom w:val="nil"/>
              <w:right w:val="nil"/>
            </w:tcBorders>
            <w:shd w:val="clear" w:color="auto" w:fill="D9D9D9"/>
            <w:noWrap/>
            <w:vAlign w:val="center"/>
            <w:hideMark/>
          </w:tcPr>
          <w:p w14:paraId="47D883F1" w14:textId="7AD23DAF" w:rsidR="00F16E72" w:rsidRPr="001A4B94" w:rsidRDefault="00F16E72" w:rsidP="00F16E72">
            <w:pPr>
              <w:jc w:val="right"/>
              <w:rPr>
                <w:sz w:val="16"/>
                <w:szCs w:val="16"/>
                <w:lang w:val="tr-TR"/>
              </w:rPr>
            </w:pPr>
            <w:r w:rsidRPr="001A4B94">
              <w:rPr>
                <w:sz w:val="16"/>
                <w:szCs w:val="16"/>
                <w:lang w:val="tr-TR"/>
              </w:rPr>
              <w:t>11</w:t>
            </w:r>
            <w:r w:rsidR="00DB7216" w:rsidRPr="001A4B94">
              <w:rPr>
                <w:sz w:val="16"/>
                <w:szCs w:val="16"/>
                <w:lang w:val="tr-TR"/>
              </w:rPr>
              <w:t>,</w:t>
            </w:r>
            <w:r w:rsidRPr="001A4B94">
              <w:rPr>
                <w:sz w:val="16"/>
                <w:szCs w:val="16"/>
                <w:lang w:val="tr-TR"/>
              </w:rPr>
              <w:t>10</w:t>
            </w:r>
          </w:p>
        </w:tc>
        <w:tc>
          <w:tcPr>
            <w:tcW w:w="776" w:type="dxa"/>
            <w:tcBorders>
              <w:top w:val="nil"/>
              <w:left w:val="nil"/>
              <w:bottom w:val="nil"/>
              <w:right w:val="nil"/>
            </w:tcBorders>
            <w:shd w:val="clear" w:color="auto" w:fill="D9D9D9"/>
            <w:noWrap/>
            <w:vAlign w:val="center"/>
            <w:hideMark/>
          </w:tcPr>
          <w:p w14:paraId="584AA192" w14:textId="74B8F580"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09</w:t>
            </w:r>
          </w:p>
        </w:tc>
        <w:tc>
          <w:tcPr>
            <w:tcW w:w="812" w:type="dxa"/>
            <w:tcBorders>
              <w:top w:val="nil"/>
              <w:left w:val="nil"/>
              <w:bottom w:val="nil"/>
              <w:right w:val="nil"/>
            </w:tcBorders>
            <w:shd w:val="clear" w:color="auto" w:fill="D9D9D9"/>
            <w:noWrap/>
            <w:vAlign w:val="center"/>
            <w:hideMark/>
          </w:tcPr>
          <w:p w14:paraId="422542E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A84116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279C5777"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33D428CD"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D2E1FA1" w14:textId="3A3E98B5" w:rsidR="00F16E72" w:rsidRPr="001A4B94" w:rsidRDefault="00F16E72" w:rsidP="00F16E72">
            <w:pPr>
              <w:jc w:val="right"/>
              <w:rPr>
                <w:sz w:val="16"/>
                <w:szCs w:val="16"/>
                <w:lang w:val="tr-TR"/>
              </w:rPr>
            </w:pPr>
            <w:r w:rsidRPr="001A4B94">
              <w:rPr>
                <w:sz w:val="16"/>
                <w:szCs w:val="16"/>
                <w:lang w:val="tr-TR"/>
              </w:rPr>
              <w:t>30</w:t>
            </w:r>
            <w:r w:rsidR="00DB7216" w:rsidRPr="001A4B94">
              <w:rPr>
                <w:sz w:val="16"/>
                <w:szCs w:val="16"/>
                <w:lang w:val="tr-TR"/>
              </w:rPr>
              <w:t>,</w:t>
            </w:r>
            <w:r w:rsidRPr="001A4B94">
              <w:rPr>
                <w:sz w:val="16"/>
                <w:szCs w:val="16"/>
                <w:lang w:val="tr-TR"/>
              </w:rPr>
              <w:t>09</w:t>
            </w:r>
          </w:p>
        </w:tc>
        <w:tc>
          <w:tcPr>
            <w:tcW w:w="990" w:type="dxa"/>
            <w:tcBorders>
              <w:top w:val="nil"/>
              <w:left w:val="nil"/>
              <w:bottom w:val="nil"/>
              <w:right w:val="nil"/>
            </w:tcBorders>
            <w:shd w:val="clear" w:color="auto" w:fill="D9D9D9"/>
            <w:noWrap/>
            <w:vAlign w:val="center"/>
            <w:hideMark/>
          </w:tcPr>
          <w:p w14:paraId="1D80578E" w14:textId="77777777" w:rsidR="00F16E72" w:rsidRPr="001A4B94" w:rsidRDefault="00F16E72" w:rsidP="00F16E72">
            <w:pPr>
              <w:jc w:val="right"/>
              <w:rPr>
                <w:sz w:val="16"/>
                <w:szCs w:val="16"/>
                <w:lang w:val="tr-TR"/>
              </w:rPr>
            </w:pPr>
            <w:r w:rsidRPr="001A4B94">
              <w:rPr>
                <w:sz w:val="16"/>
                <w:szCs w:val="16"/>
                <w:lang w:val="tr-TR"/>
              </w:rPr>
              <w:t>11.10</w:t>
            </w:r>
          </w:p>
        </w:tc>
      </w:tr>
      <w:tr w:rsidR="00F16E72" w:rsidRPr="001A4B94" w14:paraId="1EC82E2D" w14:textId="77777777" w:rsidTr="007C4843">
        <w:trPr>
          <w:trHeight w:val="255"/>
          <w:jc w:val="center"/>
        </w:trPr>
        <w:tc>
          <w:tcPr>
            <w:tcW w:w="1900" w:type="dxa"/>
            <w:tcBorders>
              <w:top w:val="nil"/>
              <w:left w:val="nil"/>
              <w:bottom w:val="nil"/>
              <w:right w:val="nil"/>
            </w:tcBorders>
            <w:shd w:val="clear" w:color="000000" w:fill="FFFFFF"/>
            <w:vAlign w:val="center"/>
            <w:hideMark/>
          </w:tcPr>
          <w:p w14:paraId="56BF5D6E" w14:textId="77777777" w:rsidR="00F16E72" w:rsidRPr="001A4B94" w:rsidRDefault="00F16E72" w:rsidP="00F16E72">
            <w:pPr>
              <w:rPr>
                <w:sz w:val="16"/>
                <w:szCs w:val="16"/>
                <w:lang w:val="tr-TR"/>
              </w:rPr>
            </w:pPr>
            <w:r w:rsidRPr="001A4B94">
              <w:rPr>
                <w:sz w:val="16"/>
                <w:szCs w:val="16"/>
                <w:lang w:val="tr-TR"/>
              </w:rPr>
              <w:t>2002</w:t>
            </w:r>
          </w:p>
        </w:tc>
        <w:tc>
          <w:tcPr>
            <w:tcW w:w="1470" w:type="dxa"/>
            <w:tcBorders>
              <w:top w:val="nil"/>
              <w:left w:val="nil"/>
              <w:bottom w:val="nil"/>
              <w:right w:val="nil"/>
            </w:tcBorders>
            <w:shd w:val="clear" w:color="000000" w:fill="FFFFFF"/>
            <w:noWrap/>
            <w:vAlign w:val="center"/>
            <w:hideMark/>
          </w:tcPr>
          <w:p w14:paraId="06701F1A" w14:textId="60F73ECA" w:rsidR="00F16E72" w:rsidRPr="001A4B94" w:rsidRDefault="007C4843" w:rsidP="00F16E72">
            <w:pPr>
              <w:rPr>
                <w:sz w:val="16"/>
                <w:szCs w:val="16"/>
                <w:lang w:val="tr-TR"/>
              </w:rPr>
            </w:pPr>
            <w:r w:rsidRPr="001A4B94">
              <w:rPr>
                <w:sz w:val="16"/>
                <w:szCs w:val="16"/>
                <w:lang w:val="tr-TR"/>
              </w:rPr>
              <w:t>Tü</w:t>
            </w:r>
            <w:r w:rsidR="00F16E72" w:rsidRPr="001A4B94">
              <w:rPr>
                <w:sz w:val="16"/>
                <w:szCs w:val="16"/>
                <w:lang w:val="tr-TR"/>
              </w:rPr>
              <w:t>rkven I</w:t>
            </w:r>
          </w:p>
        </w:tc>
        <w:tc>
          <w:tcPr>
            <w:tcW w:w="776" w:type="dxa"/>
            <w:tcBorders>
              <w:top w:val="nil"/>
              <w:left w:val="nil"/>
              <w:bottom w:val="nil"/>
              <w:right w:val="nil"/>
            </w:tcBorders>
            <w:shd w:val="clear" w:color="000000" w:fill="FFFFFF"/>
            <w:noWrap/>
            <w:vAlign w:val="center"/>
            <w:hideMark/>
          </w:tcPr>
          <w:p w14:paraId="1665EFA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FA6BC64" w14:textId="3F083C65" w:rsidR="00F16E72" w:rsidRPr="001A4B94" w:rsidRDefault="00F16E72" w:rsidP="00F16E72">
            <w:pPr>
              <w:jc w:val="right"/>
              <w:rPr>
                <w:sz w:val="16"/>
                <w:szCs w:val="16"/>
                <w:lang w:val="tr-TR"/>
              </w:rPr>
            </w:pPr>
            <w:r w:rsidRPr="001A4B94">
              <w:rPr>
                <w:sz w:val="16"/>
                <w:szCs w:val="16"/>
                <w:lang w:val="tr-TR"/>
              </w:rPr>
              <w:t>0</w:t>
            </w:r>
            <w:r w:rsidR="00DB7216" w:rsidRPr="001A4B94">
              <w:rPr>
                <w:sz w:val="16"/>
                <w:szCs w:val="16"/>
                <w:lang w:val="tr-TR"/>
              </w:rPr>
              <w:t>,</w:t>
            </w:r>
            <w:r w:rsidRPr="001A4B94">
              <w:rPr>
                <w:sz w:val="16"/>
                <w:szCs w:val="16"/>
                <w:lang w:val="tr-TR"/>
              </w:rPr>
              <w:t>06</w:t>
            </w:r>
          </w:p>
        </w:tc>
        <w:tc>
          <w:tcPr>
            <w:tcW w:w="812" w:type="dxa"/>
            <w:tcBorders>
              <w:top w:val="nil"/>
              <w:left w:val="nil"/>
              <w:bottom w:val="nil"/>
              <w:right w:val="nil"/>
            </w:tcBorders>
            <w:shd w:val="clear" w:color="000000" w:fill="FFFFFF"/>
            <w:noWrap/>
            <w:vAlign w:val="center"/>
            <w:hideMark/>
          </w:tcPr>
          <w:p w14:paraId="1A963E6B"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0E54C8A"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47B6106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EA09AE2" w14:textId="6F9F7049" w:rsidR="00F16E72" w:rsidRPr="001A4B94" w:rsidRDefault="00F16E72" w:rsidP="00F16E72">
            <w:pPr>
              <w:jc w:val="right"/>
              <w:rPr>
                <w:sz w:val="16"/>
                <w:szCs w:val="16"/>
                <w:lang w:val="tr-TR"/>
              </w:rPr>
            </w:pPr>
            <w:r w:rsidRPr="001A4B94">
              <w:rPr>
                <w:sz w:val="16"/>
                <w:szCs w:val="16"/>
                <w:lang w:val="tr-TR"/>
              </w:rPr>
              <w:t>0</w:t>
            </w:r>
            <w:r w:rsidR="00DB7216" w:rsidRPr="001A4B94">
              <w:rPr>
                <w:sz w:val="16"/>
                <w:szCs w:val="16"/>
                <w:lang w:val="tr-TR"/>
              </w:rPr>
              <w:t>,</w:t>
            </w:r>
            <w:r w:rsidRPr="001A4B94">
              <w:rPr>
                <w:sz w:val="16"/>
                <w:szCs w:val="16"/>
                <w:lang w:val="tr-TR"/>
              </w:rPr>
              <w:t>06</w:t>
            </w:r>
          </w:p>
        </w:tc>
        <w:tc>
          <w:tcPr>
            <w:tcW w:w="1069" w:type="dxa"/>
            <w:tcBorders>
              <w:top w:val="nil"/>
              <w:left w:val="nil"/>
              <w:bottom w:val="nil"/>
              <w:right w:val="nil"/>
            </w:tcBorders>
            <w:shd w:val="clear" w:color="000000" w:fill="FFFFFF"/>
            <w:noWrap/>
            <w:vAlign w:val="center"/>
            <w:hideMark/>
          </w:tcPr>
          <w:p w14:paraId="6262AAEA"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7E43B28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062548AE" w14:textId="68150513" w:rsidR="00F16E72" w:rsidRPr="001A4B94" w:rsidRDefault="00F16E72" w:rsidP="00F16E72">
            <w:pPr>
              <w:jc w:val="right"/>
              <w:rPr>
                <w:sz w:val="16"/>
                <w:szCs w:val="16"/>
                <w:lang w:val="tr-TR"/>
              </w:rPr>
            </w:pPr>
            <w:r w:rsidRPr="001A4B94">
              <w:rPr>
                <w:sz w:val="16"/>
                <w:szCs w:val="16"/>
                <w:lang w:val="tr-TR"/>
              </w:rPr>
              <w:t>0</w:t>
            </w:r>
            <w:r w:rsidR="00DB7216" w:rsidRPr="001A4B94">
              <w:rPr>
                <w:sz w:val="16"/>
                <w:szCs w:val="16"/>
                <w:lang w:val="tr-TR"/>
              </w:rPr>
              <w:t>,</w:t>
            </w:r>
            <w:r w:rsidRPr="001A4B94">
              <w:rPr>
                <w:sz w:val="16"/>
                <w:szCs w:val="16"/>
                <w:lang w:val="tr-TR"/>
              </w:rPr>
              <w:t>06</w:t>
            </w:r>
          </w:p>
        </w:tc>
        <w:tc>
          <w:tcPr>
            <w:tcW w:w="812" w:type="dxa"/>
            <w:tcBorders>
              <w:top w:val="nil"/>
              <w:left w:val="nil"/>
              <w:bottom w:val="nil"/>
              <w:right w:val="nil"/>
            </w:tcBorders>
            <w:shd w:val="clear" w:color="000000" w:fill="FFFFFF"/>
            <w:noWrap/>
            <w:vAlign w:val="center"/>
            <w:hideMark/>
          </w:tcPr>
          <w:p w14:paraId="5F61E817"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4A11B2FD"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240C7EA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0E64D333" w14:textId="417A0825" w:rsidR="00F16E72" w:rsidRPr="001A4B94" w:rsidRDefault="00F16E72" w:rsidP="00F16E72">
            <w:pPr>
              <w:jc w:val="right"/>
              <w:rPr>
                <w:sz w:val="16"/>
                <w:szCs w:val="16"/>
                <w:lang w:val="tr-TR"/>
              </w:rPr>
            </w:pPr>
            <w:r w:rsidRPr="001A4B94">
              <w:rPr>
                <w:sz w:val="16"/>
                <w:szCs w:val="16"/>
                <w:lang w:val="tr-TR"/>
              </w:rPr>
              <w:t>0</w:t>
            </w:r>
            <w:r w:rsidR="00DB7216" w:rsidRPr="001A4B94">
              <w:rPr>
                <w:sz w:val="16"/>
                <w:szCs w:val="16"/>
                <w:lang w:val="tr-TR"/>
              </w:rPr>
              <w:t>,</w:t>
            </w:r>
            <w:r w:rsidRPr="001A4B94">
              <w:rPr>
                <w:sz w:val="16"/>
                <w:szCs w:val="16"/>
                <w:lang w:val="tr-TR"/>
              </w:rPr>
              <w:t>06</w:t>
            </w:r>
          </w:p>
        </w:tc>
        <w:tc>
          <w:tcPr>
            <w:tcW w:w="990" w:type="dxa"/>
            <w:tcBorders>
              <w:top w:val="nil"/>
              <w:left w:val="nil"/>
              <w:bottom w:val="nil"/>
              <w:right w:val="nil"/>
            </w:tcBorders>
            <w:shd w:val="clear" w:color="000000" w:fill="FFFFFF"/>
            <w:noWrap/>
            <w:vAlign w:val="center"/>
            <w:hideMark/>
          </w:tcPr>
          <w:p w14:paraId="4D06F3EA"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4C3408C8" w14:textId="77777777" w:rsidTr="007C4843">
        <w:trPr>
          <w:trHeight w:val="255"/>
          <w:jc w:val="center"/>
        </w:trPr>
        <w:tc>
          <w:tcPr>
            <w:tcW w:w="1900" w:type="dxa"/>
            <w:tcBorders>
              <w:top w:val="nil"/>
              <w:left w:val="nil"/>
              <w:bottom w:val="nil"/>
              <w:right w:val="nil"/>
            </w:tcBorders>
            <w:shd w:val="clear" w:color="auto" w:fill="D9D9D9"/>
            <w:vAlign w:val="center"/>
            <w:hideMark/>
          </w:tcPr>
          <w:p w14:paraId="00A049D8" w14:textId="77777777" w:rsidR="00F16E72" w:rsidRPr="001A4B94" w:rsidRDefault="00F16E72" w:rsidP="00F16E72">
            <w:pPr>
              <w:rPr>
                <w:sz w:val="16"/>
                <w:szCs w:val="16"/>
                <w:lang w:val="tr-TR"/>
              </w:rPr>
            </w:pPr>
            <w:r w:rsidRPr="001A4B94">
              <w:rPr>
                <w:sz w:val="16"/>
                <w:szCs w:val="16"/>
                <w:lang w:val="tr-TR"/>
              </w:rPr>
              <w:t>2005/ 1999/ 2017/ 1995/ 2003/ 2016/ 2008</w:t>
            </w:r>
          </w:p>
        </w:tc>
        <w:tc>
          <w:tcPr>
            <w:tcW w:w="1470" w:type="dxa"/>
            <w:tcBorders>
              <w:top w:val="nil"/>
              <w:left w:val="nil"/>
              <w:bottom w:val="nil"/>
              <w:right w:val="nil"/>
            </w:tcBorders>
            <w:shd w:val="clear" w:color="auto" w:fill="D9D9D9"/>
            <w:noWrap/>
            <w:vAlign w:val="center"/>
            <w:hideMark/>
          </w:tcPr>
          <w:p w14:paraId="203DA09D" w14:textId="0BF07D7B" w:rsidR="00F16E72" w:rsidRPr="001A4B94" w:rsidRDefault="007C4843" w:rsidP="00F16E72">
            <w:pPr>
              <w:rPr>
                <w:sz w:val="16"/>
                <w:szCs w:val="16"/>
                <w:lang w:val="tr-TR"/>
              </w:rPr>
            </w:pPr>
            <w:r w:rsidRPr="001A4B94">
              <w:rPr>
                <w:sz w:val="16"/>
                <w:szCs w:val="16"/>
                <w:lang w:val="tr-TR"/>
              </w:rPr>
              <w:t>Tü</w:t>
            </w:r>
            <w:r w:rsidR="00F16E72" w:rsidRPr="001A4B94">
              <w:rPr>
                <w:sz w:val="16"/>
                <w:szCs w:val="16"/>
                <w:lang w:val="tr-TR"/>
              </w:rPr>
              <w:t>rk Ekon Bank</w:t>
            </w:r>
          </w:p>
        </w:tc>
        <w:tc>
          <w:tcPr>
            <w:tcW w:w="776" w:type="dxa"/>
            <w:tcBorders>
              <w:top w:val="nil"/>
              <w:left w:val="nil"/>
              <w:bottom w:val="nil"/>
              <w:right w:val="nil"/>
            </w:tcBorders>
            <w:shd w:val="clear" w:color="auto" w:fill="D9D9D9"/>
            <w:noWrap/>
            <w:vAlign w:val="center"/>
            <w:hideMark/>
          </w:tcPr>
          <w:p w14:paraId="774762E7"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8AA224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01F1E4AC" w14:textId="258DA88B" w:rsidR="00F16E72" w:rsidRPr="001A4B94" w:rsidRDefault="00F16E72" w:rsidP="00F16E72">
            <w:pPr>
              <w:jc w:val="right"/>
              <w:rPr>
                <w:sz w:val="16"/>
                <w:szCs w:val="16"/>
                <w:lang w:val="tr-TR"/>
              </w:rPr>
            </w:pPr>
            <w:r w:rsidRPr="001A4B94">
              <w:rPr>
                <w:sz w:val="16"/>
                <w:szCs w:val="16"/>
                <w:lang w:val="tr-TR"/>
              </w:rPr>
              <w:t>100</w:t>
            </w:r>
            <w:r w:rsidR="00DB7216"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auto" w:fill="D9D9D9"/>
            <w:noWrap/>
            <w:vAlign w:val="center"/>
            <w:hideMark/>
          </w:tcPr>
          <w:p w14:paraId="37DE5D06" w14:textId="5E2BCCC5" w:rsidR="00F16E72" w:rsidRPr="001A4B94" w:rsidRDefault="00F16E72" w:rsidP="00F16E72">
            <w:pPr>
              <w:jc w:val="right"/>
              <w:rPr>
                <w:sz w:val="16"/>
                <w:szCs w:val="16"/>
                <w:lang w:val="tr-TR"/>
              </w:rPr>
            </w:pPr>
            <w:r w:rsidRPr="001A4B94">
              <w:rPr>
                <w:sz w:val="16"/>
                <w:szCs w:val="16"/>
                <w:lang w:val="tr-TR"/>
              </w:rPr>
              <w:t>50</w:t>
            </w:r>
            <w:r w:rsidR="00DB7216" w:rsidRPr="001A4B94">
              <w:rPr>
                <w:sz w:val="16"/>
                <w:szCs w:val="16"/>
                <w:lang w:val="tr-TR"/>
              </w:rPr>
              <w:t>,</w:t>
            </w:r>
            <w:r w:rsidRPr="001A4B94">
              <w:rPr>
                <w:sz w:val="16"/>
                <w:szCs w:val="16"/>
                <w:lang w:val="tr-TR"/>
              </w:rPr>
              <w:t>00</w:t>
            </w:r>
          </w:p>
        </w:tc>
        <w:tc>
          <w:tcPr>
            <w:tcW w:w="710" w:type="dxa"/>
            <w:tcBorders>
              <w:top w:val="nil"/>
              <w:left w:val="nil"/>
              <w:bottom w:val="nil"/>
              <w:right w:val="nil"/>
            </w:tcBorders>
            <w:shd w:val="clear" w:color="auto" w:fill="D9D9D9"/>
            <w:noWrap/>
            <w:vAlign w:val="center"/>
            <w:hideMark/>
          </w:tcPr>
          <w:p w14:paraId="68A36E0B"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60C19C0C" w14:textId="3F4C22ED" w:rsidR="00F16E72" w:rsidRPr="001A4B94" w:rsidRDefault="00F16E72" w:rsidP="00F16E72">
            <w:pPr>
              <w:jc w:val="right"/>
              <w:rPr>
                <w:sz w:val="16"/>
                <w:szCs w:val="16"/>
                <w:lang w:val="tr-TR"/>
              </w:rPr>
            </w:pPr>
            <w:r w:rsidRPr="001A4B94">
              <w:rPr>
                <w:sz w:val="16"/>
                <w:szCs w:val="16"/>
                <w:lang w:val="tr-TR"/>
              </w:rPr>
              <w:t>150</w:t>
            </w:r>
            <w:r w:rsidR="00DB7216"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auto" w:fill="D9D9D9"/>
            <w:noWrap/>
            <w:vAlign w:val="center"/>
            <w:hideMark/>
          </w:tcPr>
          <w:p w14:paraId="7E8C6274"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6AAA042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176D804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5EDE8A77" w14:textId="6E1B333F" w:rsidR="00F16E72" w:rsidRPr="001A4B94" w:rsidRDefault="00F16E72" w:rsidP="00F16E72">
            <w:pPr>
              <w:jc w:val="right"/>
              <w:rPr>
                <w:sz w:val="16"/>
                <w:szCs w:val="16"/>
                <w:lang w:val="tr-TR"/>
              </w:rPr>
            </w:pPr>
            <w:r w:rsidRPr="001A4B94">
              <w:rPr>
                <w:sz w:val="16"/>
                <w:szCs w:val="16"/>
                <w:lang w:val="tr-TR"/>
              </w:rPr>
              <w:t>100</w:t>
            </w:r>
            <w:r w:rsidR="00DB7216"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auto" w:fill="D9D9D9"/>
            <w:noWrap/>
            <w:vAlign w:val="center"/>
            <w:hideMark/>
          </w:tcPr>
          <w:p w14:paraId="1A72E84D" w14:textId="5AAF0B4F" w:rsidR="00F16E72" w:rsidRPr="001A4B94" w:rsidRDefault="00F16E72" w:rsidP="00F16E72">
            <w:pPr>
              <w:jc w:val="right"/>
              <w:rPr>
                <w:sz w:val="16"/>
                <w:szCs w:val="16"/>
                <w:lang w:val="tr-TR"/>
              </w:rPr>
            </w:pPr>
            <w:r w:rsidRPr="001A4B94">
              <w:rPr>
                <w:sz w:val="16"/>
                <w:szCs w:val="16"/>
                <w:lang w:val="tr-TR"/>
              </w:rPr>
              <w:t>50</w:t>
            </w:r>
            <w:r w:rsidR="00DB7216" w:rsidRPr="001A4B94">
              <w:rPr>
                <w:sz w:val="16"/>
                <w:szCs w:val="16"/>
                <w:lang w:val="tr-TR"/>
              </w:rPr>
              <w:t>,</w:t>
            </w:r>
            <w:r w:rsidRPr="001A4B94">
              <w:rPr>
                <w:sz w:val="16"/>
                <w:szCs w:val="16"/>
                <w:lang w:val="tr-TR"/>
              </w:rPr>
              <w:t>00</w:t>
            </w:r>
          </w:p>
        </w:tc>
        <w:tc>
          <w:tcPr>
            <w:tcW w:w="685" w:type="dxa"/>
            <w:tcBorders>
              <w:top w:val="nil"/>
              <w:left w:val="nil"/>
              <w:bottom w:val="nil"/>
              <w:right w:val="nil"/>
            </w:tcBorders>
            <w:shd w:val="clear" w:color="auto" w:fill="D9D9D9"/>
            <w:noWrap/>
            <w:vAlign w:val="center"/>
            <w:hideMark/>
          </w:tcPr>
          <w:p w14:paraId="4546891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3E07381D" w14:textId="4052381B" w:rsidR="00F16E72" w:rsidRPr="001A4B94" w:rsidRDefault="00F16E72" w:rsidP="00F16E72">
            <w:pPr>
              <w:jc w:val="right"/>
              <w:rPr>
                <w:sz w:val="16"/>
                <w:szCs w:val="16"/>
                <w:lang w:val="tr-TR"/>
              </w:rPr>
            </w:pPr>
            <w:r w:rsidRPr="001A4B94">
              <w:rPr>
                <w:sz w:val="16"/>
                <w:szCs w:val="16"/>
                <w:lang w:val="tr-TR"/>
              </w:rPr>
              <w:t>150</w:t>
            </w:r>
            <w:r w:rsidR="00DB7216" w:rsidRPr="001A4B94">
              <w:rPr>
                <w:sz w:val="16"/>
                <w:szCs w:val="16"/>
                <w:lang w:val="tr-TR"/>
              </w:rPr>
              <w:t>,</w:t>
            </w:r>
            <w:r w:rsidRPr="001A4B94">
              <w:rPr>
                <w:sz w:val="16"/>
                <w:szCs w:val="16"/>
                <w:lang w:val="tr-TR"/>
              </w:rPr>
              <w:t>00</w:t>
            </w:r>
          </w:p>
        </w:tc>
        <w:tc>
          <w:tcPr>
            <w:tcW w:w="990" w:type="dxa"/>
            <w:tcBorders>
              <w:top w:val="nil"/>
              <w:left w:val="nil"/>
              <w:bottom w:val="nil"/>
              <w:right w:val="nil"/>
            </w:tcBorders>
            <w:shd w:val="clear" w:color="auto" w:fill="D9D9D9"/>
            <w:noWrap/>
            <w:vAlign w:val="center"/>
            <w:hideMark/>
          </w:tcPr>
          <w:p w14:paraId="36007FCF"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019592E2" w14:textId="77777777" w:rsidTr="007C4843">
        <w:trPr>
          <w:trHeight w:val="255"/>
          <w:jc w:val="center"/>
        </w:trPr>
        <w:tc>
          <w:tcPr>
            <w:tcW w:w="1900" w:type="dxa"/>
            <w:tcBorders>
              <w:top w:val="nil"/>
              <w:left w:val="nil"/>
              <w:bottom w:val="nil"/>
              <w:right w:val="nil"/>
            </w:tcBorders>
            <w:shd w:val="clear" w:color="000000" w:fill="FFFFFF"/>
            <w:vAlign w:val="center"/>
            <w:hideMark/>
          </w:tcPr>
          <w:p w14:paraId="0341BFAB" w14:textId="77777777" w:rsidR="00F16E72" w:rsidRPr="001A4B94" w:rsidRDefault="00F16E72" w:rsidP="00F16E72">
            <w:pPr>
              <w:rPr>
                <w:sz w:val="16"/>
                <w:szCs w:val="16"/>
                <w:lang w:val="tr-TR"/>
              </w:rPr>
            </w:pPr>
            <w:r w:rsidRPr="001A4B94">
              <w:rPr>
                <w:sz w:val="16"/>
                <w:szCs w:val="16"/>
                <w:lang w:val="tr-TR"/>
              </w:rPr>
              <w:t>2007</w:t>
            </w:r>
          </w:p>
        </w:tc>
        <w:tc>
          <w:tcPr>
            <w:tcW w:w="1470" w:type="dxa"/>
            <w:tcBorders>
              <w:top w:val="nil"/>
              <w:left w:val="nil"/>
              <w:bottom w:val="nil"/>
              <w:right w:val="nil"/>
            </w:tcBorders>
            <w:shd w:val="clear" w:color="000000" w:fill="FFFFFF"/>
            <w:noWrap/>
            <w:vAlign w:val="center"/>
            <w:hideMark/>
          </w:tcPr>
          <w:p w14:paraId="0C62C2E3" w14:textId="1455628A" w:rsidR="00F16E72" w:rsidRPr="001A4B94" w:rsidRDefault="00F16E72" w:rsidP="00F16E72">
            <w:pPr>
              <w:rPr>
                <w:sz w:val="16"/>
                <w:szCs w:val="16"/>
                <w:lang w:val="tr-TR"/>
              </w:rPr>
            </w:pPr>
            <w:r w:rsidRPr="001A4B94">
              <w:rPr>
                <w:sz w:val="16"/>
                <w:szCs w:val="16"/>
                <w:lang w:val="tr-TR"/>
              </w:rPr>
              <w:t>T</w:t>
            </w:r>
            <w:r w:rsidR="007C4843" w:rsidRPr="001A4B94">
              <w:rPr>
                <w:sz w:val="16"/>
                <w:szCs w:val="16"/>
                <w:lang w:val="tr-TR"/>
              </w:rPr>
              <w:t>ü</w:t>
            </w:r>
            <w:r w:rsidRPr="001A4B94">
              <w:rPr>
                <w:sz w:val="16"/>
                <w:szCs w:val="16"/>
                <w:lang w:val="tr-TR"/>
              </w:rPr>
              <w:t>rkven II</w:t>
            </w:r>
          </w:p>
        </w:tc>
        <w:tc>
          <w:tcPr>
            <w:tcW w:w="776" w:type="dxa"/>
            <w:tcBorders>
              <w:top w:val="nil"/>
              <w:left w:val="nil"/>
              <w:bottom w:val="nil"/>
              <w:right w:val="nil"/>
            </w:tcBorders>
            <w:shd w:val="clear" w:color="000000" w:fill="FFFFFF"/>
            <w:noWrap/>
            <w:vAlign w:val="center"/>
            <w:hideMark/>
          </w:tcPr>
          <w:p w14:paraId="43DB480C"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E67CD11" w14:textId="706EA0FB"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14</w:t>
            </w:r>
          </w:p>
        </w:tc>
        <w:tc>
          <w:tcPr>
            <w:tcW w:w="812" w:type="dxa"/>
            <w:tcBorders>
              <w:top w:val="nil"/>
              <w:left w:val="nil"/>
              <w:bottom w:val="nil"/>
              <w:right w:val="nil"/>
            </w:tcBorders>
            <w:shd w:val="clear" w:color="000000" w:fill="FFFFFF"/>
            <w:noWrap/>
            <w:vAlign w:val="center"/>
            <w:hideMark/>
          </w:tcPr>
          <w:p w14:paraId="7F32D220"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BB4045E"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241875F9"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5972938B" w14:textId="4F5018BF"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14</w:t>
            </w:r>
          </w:p>
        </w:tc>
        <w:tc>
          <w:tcPr>
            <w:tcW w:w="1069" w:type="dxa"/>
            <w:tcBorders>
              <w:top w:val="nil"/>
              <w:left w:val="nil"/>
              <w:bottom w:val="nil"/>
              <w:right w:val="nil"/>
            </w:tcBorders>
            <w:shd w:val="clear" w:color="000000" w:fill="FFFFFF"/>
            <w:noWrap/>
            <w:vAlign w:val="center"/>
            <w:hideMark/>
          </w:tcPr>
          <w:p w14:paraId="1B931D48"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75D70834"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5562A3CE" w14:textId="73D94BA8"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13</w:t>
            </w:r>
          </w:p>
        </w:tc>
        <w:tc>
          <w:tcPr>
            <w:tcW w:w="812" w:type="dxa"/>
            <w:tcBorders>
              <w:top w:val="nil"/>
              <w:left w:val="nil"/>
              <w:bottom w:val="nil"/>
              <w:right w:val="nil"/>
            </w:tcBorders>
            <w:shd w:val="clear" w:color="000000" w:fill="FFFFFF"/>
            <w:noWrap/>
            <w:vAlign w:val="center"/>
            <w:hideMark/>
          </w:tcPr>
          <w:p w14:paraId="44330BD9"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755A60E4"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2743FB99"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7617DE4B" w14:textId="79B6EA4D" w:rsidR="00F16E72" w:rsidRPr="001A4B94" w:rsidRDefault="00F16E72" w:rsidP="00F16E72">
            <w:pPr>
              <w:jc w:val="right"/>
              <w:rPr>
                <w:sz w:val="16"/>
                <w:szCs w:val="16"/>
                <w:lang w:val="tr-TR"/>
              </w:rPr>
            </w:pPr>
            <w:r w:rsidRPr="001A4B94">
              <w:rPr>
                <w:sz w:val="16"/>
                <w:szCs w:val="16"/>
                <w:lang w:val="tr-TR"/>
              </w:rPr>
              <w:t>24</w:t>
            </w:r>
            <w:r w:rsidR="00DB7216" w:rsidRPr="001A4B94">
              <w:rPr>
                <w:sz w:val="16"/>
                <w:szCs w:val="16"/>
                <w:lang w:val="tr-TR"/>
              </w:rPr>
              <w:t>,</w:t>
            </w:r>
            <w:r w:rsidRPr="001A4B94">
              <w:rPr>
                <w:sz w:val="16"/>
                <w:szCs w:val="16"/>
                <w:lang w:val="tr-TR"/>
              </w:rPr>
              <w:t>13</w:t>
            </w:r>
          </w:p>
        </w:tc>
        <w:tc>
          <w:tcPr>
            <w:tcW w:w="990" w:type="dxa"/>
            <w:tcBorders>
              <w:top w:val="nil"/>
              <w:left w:val="nil"/>
              <w:bottom w:val="nil"/>
              <w:right w:val="nil"/>
            </w:tcBorders>
            <w:shd w:val="clear" w:color="000000" w:fill="FFFFFF"/>
            <w:noWrap/>
            <w:vAlign w:val="center"/>
            <w:hideMark/>
          </w:tcPr>
          <w:p w14:paraId="0CB7C88D"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6B3272B1" w14:textId="77777777" w:rsidTr="007C4843">
        <w:trPr>
          <w:trHeight w:val="255"/>
          <w:jc w:val="center"/>
        </w:trPr>
        <w:tc>
          <w:tcPr>
            <w:tcW w:w="1900" w:type="dxa"/>
            <w:tcBorders>
              <w:top w:val="nil"/>
              <w:left w:val="nil"/>
              <w:bottom w:val="nil"/>
              <w:right w:val="nil"/>
            </w:tcBorders>
            <w:shd w:val="clear" w:color="auto" w:fill="D9D9D9"/>
            <w:vAlign w:val="center"/>
            <w:hideMark/>
          </w:tcPr>
          <w:p w14:paraId="62308A6B" w14:textId="77777777" w:rsidR="00F16E72" w:rsidRPr="001A4B94" w:rsidRDefault="00F16E72" w:rsidP="00F16E72">
            <w:pPr>
              <w:rPr>
                <w:sz w:val="16"/>
                <w:szCs w:val="16"/>
                <w:lang w:val="tr-TR"/>
              </w:rPr>
            </w:pPr>
            <w:r w:rsidRPr="001A4B94">
              <w:rPr>
                <w:sz w:val="16"/>
                <w:szCs w:val="16"/>
                <w:lang w:val="tr-TR"/>
              </w:rPr>
              <w:t>2007</w:t>
            </w:r>
          </w:p>
        </w:tc>
        <w:tc>
          <w:tcPr>
            <w:tcW w:w="1470" w:type="dxa"/>
            <w:tcBorders>
              <w:top w:val="nil"/>
              <w:left w:val="nil"/>
              <w:bottom w:val="nil"/>
              <w:right w:val="nil"/>
            </w:tcBorders>
            <w:shd w:val="clear" w:color="auto" w:fill="D9D9D9"/>
            <w:noWrap/>
            <w:vAlign w:val="center"/>
            <w:hideMark/>
          </w:tcPr>
          <w:p w14:paraId="7B3B0C0D" w14:textId="77777777" w:rsidR="00F16E72" w:rsidRPr="001A4B94" w:rsidRDefault="00F16E72" w:rsidP="00F16E72">
            <w:pPr>
              <w:rPr>
                <w:sz w:val="16"/>
                <w:szCs w:val="16"/>
                <w:lang w:val="tr-TR"/>
              </w:rPr>
            </w:pPr>
            <w:r w:rsidRPr="001A4B94">
              <w:rPr>
                <w:sz w:val="16"/>
                <w:szCs w:val="16"/>
                <w:lang w:val="tr-TR"/>
              </w:rPr>
              <w:t>Unitim</w:t>
            </w:r>
          </w:p>
        </w:tc>
        <w:tc>
          <w:tcPr>
            <w:tcW w:w="776" w:type="dxa"/>
            <w:tcBorders>
              <w:top w:val="nil"/>
              <w:left w:val="nil"/>
              <w:bottom w:val="nil"/>
              <w:right w:val="nil"/>
            </w:tcBorders>
            <w:shd w:val="clear" w:color="auto" w:fill="D9D9D9"/>
            <w:noWrap/>
            <w:vAlign w:val="center"/>
            <w:hideMark/>
          </w:tcPr>
          <w:p w14:paraId="234A4A95" w14:textId="48FBEA8B" w:rsidR="00F16E72" w:rsidRPr="001A4B94" w:rsidRDefault="00F16E72" w:rsidP="00F16E72">
            <w:pPr>
              <w:jc w:val="right"/>
              <w:rPr>
                <w:sz w:val="16"/>
                <w:szCs w:val="16"/>
                <w:lang w:val="tr-TR"/>
              </w:rPr>
            </w:pPr>
            <w:r w:rsidRPr="001A4B94">
              <w:rPr>
                <w:sz w:val="16"/>
                <w:szCs w:val="16"/>
                <w:lang w:val="tr-TR"/>
              </w:rPr>
              <w:t>7</w:t>
            </w:r>
            <w:r w:rsidR="00DB7216" w:rsidRPr="001A4B94">
              <w:rPr>
                <w:sz w:val="16"/>
                <w:szCs w:val="16"/>
                <w:lang w:val="tr-TR"/>
              </w:rPr>
              <w:t>,</w:t>
            </w:r>
            <w:r w:rsidRPr="001A4B94">
              <w:rPr>
                <w:sz w:val="16"/>
                <w:szCs w:val="16"/>
                <w:lang w:val="tr-TR"/>
              </w:rPr>
              <w:t>25</w:t>
            </w:r>
          </w:p>
        </w:tc>
        <w:tc>
          <w:tcPr>
            <w:tcW w:w="812" w:type="dxa"/>
            <w:tcBorders>
              <w:top w:val="nil"/>
              <w:left w:val="nil"/>
              <w:bottom w:val="nil"/>
              <w:right w:val="nil"/>
            </w:tcBorders>
            <w:shd w:val="clear" w:color="auto" w:fill="D9D9D9"/>
            <w:noWrap/>
            <w:vAlign w:val="center"/>
            <w:hideMark/>
          </w:tcPr>
          <w:p w14:paraId="741BF35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6F53602A" w14:textId="550A2CAC" w:rsidR="00F16E72" w:rsidRPr="001A4B94" w:rsidRDefault="00F16E72" w:rsidP="00F16E72">
            <w:pPr>
              <w:jc w:val="right"/>
              <w:rPr>
                <w:sz w:val="16"/>
                <w:szCs w:val="16"/>
                <w:lang w:val="tr-TR"/>
              </w:rPr>
            </w:pPr>
            <w:r w:rsidRPr="001A4B94">
              <w:rPr>
                <w:sz w:val="16"/>
                <w:szCs w:val="16"/>
                <w:lang w:val="tr-TR"/>
              </w:rPr>
              <w:t>8</w:t>
            </w:r>
            <w:r w:rsidR="00DB7216"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auto" w:fill="D9D9D9"/>
            <w:noWrap/>
            <w:vAlign w:val="center"/>
            <w:hideMark/>
          </w:tcPr>
          <w:p w14:paraId="6C9D2C5B"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64BB9E0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CABA129" w14:textId="51D8111D" w:rsidR="00F16E72" w:rsidRPr="001A4B94" w:rsidRDefault="00F16E72" w:rsidP="00F16E72">
            <w:pPr>
              <w:jc w:val="right"/>
              <w:rPr>
                <w:sz w:val="16"/>
                <w:szCs w:val="16"/>
                <w:lang w:val="tr-TR"/>
              </w:rPr>
            </w:pPr>
            <w:r w:rsidRPr="001A4B94">
              <w:rPr>
                <w:sz w:val="16"/>
                <w:szCs w:val="16"/>
                <w:lang w:val="tr-TR"/>
              </w:rPr>
              <w:t>15</w:t>
            </w:r>
            <w:r w:rsidR="00DB7216" w:rsidRPr="001A4B94">
              <w:rPr>
                <w:sz w:val="16"/>
                <w:szCs w:val="16"/>
                <w:lang w:val="tr-TR"/>
              </w:rPr>
              <w:t>,</w:t>
            </w:r>
            <w:r w:rsidRPr="001A4B94">
              <w:rPr>
                <w:sz w:val="16"/>
                <w:szCs w:val="16"/>
                <w:lang w:val="tr-TR"/>
              </w:rPr>
              <w:t>25</w:t>
            </w:r>
          </w:p>
        </w:tc>
        <w:tc>
          <w:tcPr>
            <w:tcW w:w="1069" w:type="dxa"/>
            <w:tcBorders>
              <w:top w:val="nil"/>
              <w:left w:val="nil"/>
              <w:bottom w:val="nil"/>
              <w:right w:val="nil"/>
            </w:tcBorders>
            <w:shd w:val="clear" w:color="auto" w:fill="D9D9D9"/>
            <w:noWrap/>
            <w:vAlign w:val="center"/>
            <w:hideMark/>
          </w:tcPr>
          <w:p w14:paraId="2F52511A"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03FE168F" w14:textId="74C7C53C" w:rsidR="00F16E72" w:rsidRPr="001A4B94" w:rsidRDefault="00F16E72" w:rsidP="00F16E72">
            <w:pPr>
              <w:jc w:val="right"/>
              <w:rPr>
                <w:sz w:val="16"/>
                <w:szCs w:val="16"/>
                <w:lang w:val="tr-TR"/>
              </w:rPr>
            </w:pPr>
            <w:r w:rsidRPr="001A4B94">
              <w:rPr>
                <w:sz w:val="16"/>
                <w:szCs w:val="16"/>
                <w:lang w:val="tr-TR"/>
              </w:rPr>
              <w:t>7</w:t>
            </w:r>
            <w:r w:rsidR="00DB7216" w:rsidRPr="001A4B94">
              <w:rPr>
                <w:sz w:val="16"/>
                <w:szCs w:val="16"/>
                <w:lang w:val="tr-TR"/>
              </w:rPr>
              <w:t>,</w:t>
            </w:r>
            <w:r w:rsidRPr="001A4B94">
              <w:rPr>
                <w:sz w:val="16"/>
                <w:szCs w:val="16"/>
                <w:lang w:val="tr-TR"/>
              </w:rPr>
              <w:t>25</w:t>
            </w:r>
          </w:p>
        </w:tc>
        <w:tc>
          <w:tcPr>
            <w:tcW w:w="812" w:type="dxa"/>
            <w:tcBorders>
              <w:top w:val="nil"/>
              <w:left w:val="nil"/>
              <w:bottom w:val="nil"/>
              <w:right w:val="nil"/>
            </w:tcBorders>
            <w:shd w:val="clear" w:color="auto" w:fill="D9D9D9"/>
            <w:noWrap/>
            <w:vAlign w:val="center"/>
            <w:hideMark/>
          </w:tcPr>
          <w:p w14:paraId="45B423B2"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ACA42E6" w14:textId="5E22A382" w:rsidR="00F16E72" w:rsidRPr="001A4B94" w:rsidRDefault="00F16E72" w:rsidP="00F16E72">
            <w:pPr>
              <w:jc w:val="right"/>
              <w:rPr>
                <w:sz w:val="16"/>
                <w:szCs w:val="16"/>
                <w:lang w:val="tr-TR"/>
              </w:rPr>
            </w:pPr>
            <w:r w:rsidRPr="001A4B94">
              <w:rPr>
                <w:sz w:val="16"/>
                <w:szCs w:val="16"/>
                <w:lang w:val="tr-TR"/>
              </w:rPr>
              <w:t>8</w:t>
            </w:r>
            <w:r w:rsidR="00DB7216" w:rsidRPr="001A4B94">
              <w:rPr>
                <w:sz w:val="16"/>
                <w:szCs w:val="16"/>
                <w:lang w:val="tr-TR"/>
              </w:rPr>
              <w:t>,</w:t>
            </w:r>
            <w:r w:rsidRPr="001A4B94">
              <w:rPr>
                <w:sz w:val="16"/>
                <w:szCs w:val="16"/>
                <w:lang w:val="tr-TR"/>
              </w:rPr>
              <w:t>00</w:t>
            </w:r>
          </w:p>
        </w:tc>
        <w:tc>
          <w:tcPr>
            <w:tcW w:w="706" w:type="dxa"/>
            <w:tcBorders>
              <w:top w:val="nil"/>
              <w:left w:val="nil"/>
              <w:bottom w:val="nil"/>
              <w:right w:val="nil"/>
            </w:tcBorders>
            <w:shd w:val="clear" w:color="auto" w:fill="D9D9D9"/>
            <w:noWrap/>
            <w:vAlign w:val="center"/>
            <w:hideMark/>
          </w:tcPr>
          <w:p w14:paraId="2C75463A"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2A13DC4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56F6C5B8" w14:textId="5B14D86C" w:rsidR="00F16E72" w:rsidRPr="001A4B94" w:rsidRDefault="00F16E72" w:rsidP="00F16E72">
            <w:pPr>
              <w:jc w:val="right"/>
              <w:rPr>
                <w:sz w:val="16"/>
                <w:szCs w:val="16"/>
                <w:lang w:val="tr-TR"/>
              </w:rPr>
            </w:pPr>
            <w:r w:rsidRPr="001A4B94">
              <w:rPr>
                <w:sz w:val="16"/>
                <w:szCs w:val="16"/>
                <w:lang w:val="tr-TR"/>
              </w:rPr>
              <w:t>15</w:t>
            </w:r>
            <w:r w:rsidR="00DB7216" w:rsidRPr="001A4B94">
              <w:rPr>
                <w:sz w:val="16"/>
                <w:szCs w:val="16"/>
                <w:lang w:val="tr-TR"/>
              </w:rPr>
              <w:t>,</w:t>
            </w:r>
            <w:r w:rsidRPr="001A4B94">
              <w:rPr>
                <w:sz w:val="16"/>
                <w:szCs w:val="16"/>
                <w:lang w:val="tr-TR"/>
              </w:rPr>
              <w:t>25</w:t>
            </w:r>
          </w:p>
        </w:tc>
        <w:tc>
          <w:tcPr>
            <w:tcW w:w="990" w:type="dxa"/>
            <w:tcBorders>
              <w:top w:val="nil"/>
              <w:left w:val="nil"/>
              <w:bottom w:val="nil"/>
              <w:right w:val="nil"/>
            </w:tcBorders>
            <w:shd w:val="clear" w:color="auto" w:fill="D9D9D9"/>
            <w:noWrap/>
            <w:vAlign w:val="center"/>
            <w:hideMark/>
          </w:tcPr>
          <w:p w14:paraId="540BFE95"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478BE84E" w14:textId="77777777" w:rsidTr="007C4843">
        <w:trPr>
          <w:trHeight w:val="297"/>
          <w:jc w:val="center"/>
        </w:trPr>
        <w:tc>
          <w:tcPr>
            <w:tcW w:w="1900" w:type="dxa"/>
            <w:tcBorders>
              <w:top w:val="nil"/>
              <w:left w:val="nil"/>
              <w:bottom w:val="nil"/>
              <w:right w:val="nil"/>
            </w:tcBorders>
            <w:shd w:val="clear" w:color="000000" w:fill="FFFFFF"/>
            <w:vAlign w:val="center"/>
            <w:hideMark/>
          </w:tcPr>
          <w:p w14:paraId="0966E4F8" w14:textId="77777777" w:rsidR="00F16E72" w:rsidRPr="001A4B94" w:rsidRDefault="00F16E72" w:rsidP="00F16E72">
            <w:pPr>
              <w:rPr>
                <w:sz w:val="16"/>
                <w:szCs w:val="16"/>
                <w:lang w:val="tr-TR"/>
              </w:rPr>
            </w:pPr>
            <w:r w:rsidRPr="001A4B94">
              <w:rPr>
                <w:sz w:val="16"/>
                <w:szCs w:val="16"/>
                <w:lang w:val="tr-TR"/>
              </w:rPr>
              <w:t>2016</w:t>
            </w:r>
          </w:p>
        </w:tc>
        <w:tc>
          <w:tcPr>
            <w:tcW w:w="1470" w:type="dxa"/>
            <w:tcBorders>
              <w:top w:val="nil"/>
              <w:left w:val="nil"/>
              <w:bottom w:val="nil"/>
              <w:right w:val="nil"/>
            </w:tcBorders>
            <w:shd w:val="clear" w:color="000000" w:fill="FFFFFF"/>
            <w:noWrap/>
            <w:vAlign w:val="center"/>
            <w:hideMark/>
          </w:tcPr>
          <w:p w14:paraId="4B6AAA87" w14:textId="77777777" w:rsidR="00F16E72" w:rsidRPr="001A4B94" w:rsidRDefault="00F16E72" w:rsidP="00F16E72">
            <w:pPr>
              <w:rPr>
                <w:sz w:val="16"/>
                <w:szCs w:val="16"/>
                <w:lang w:val="tr-TR"/>
              </w:rPr>
            </w:pPr>
            <w:r w:rsidRPr="001A4B94">
              <w:rPr>
                <w:sz w:val="16"/>
                <w:szCs w:val="16"/>
                <w:lang w:val="tr-TR"/>
              </w:rPr>
              <w:t>Unit Investment</w:t>
            </w:r>
          </w:p>
        </w:tc>
        <w:tc>
          <w:tcPr>
            <w:tcW w:w="776" w:type="dxa"/>
            <w:tcBorders>
              <w:top w:val="nil"/>
              <w:left w:val="nil"/>
              <w:bottom w:val="nil"/>
              <w:right w:val="nil"/>
            </w:tcBorders>
            <w:shd w:val="clear" w:color="000000" w:fill="FFFFFF"/>
            <w:noWrap/>
            <w:vAlign w:val="center"/>
            <w:hideMark/>
          </w:tcPr>
          <w:p w14:paraId="561CCBDE"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29C5E0C9" w14:textId="576D9208" w:rsidR="00F16E72" w:rsidRPr="001A4B94" w:rsidRDefault="00F16E72" w:rsidP="00F16E72">
            <w:pPr>
              <w:jc w:val="right"/>
              <w:rPr>
                <w:sz w:val="16"/>
                <w:szCs w:val="16"/>
                <w:lang w:val="tr-TR"/>
              </w:rPr>
            </w:pPr>
            <w:r w:rsidRPr="001A4B94">
              <w:rPr>
                <w:sz w:val="16"/>
                <w:szCs w:val="16"/>
                <w:lang w:val="tr-TR"/>
              </w:rPr>
              <w:t>142</w:t>
            </w:r>
            <w:r w:rsidR="00DB7216" w:rsidRPr="001A4B94">
              <w:rPr>
                <w:sz w:val="16"/>
                <w:szCs w:val="16"/>
                <w:lang w:val="tr-TR"/>
              </w:rPr>
              <w:t>,</w:t>
            </w:r>
            <w:r w:rsidRPr="001A4B94">
              <w:rPr>
                <w:sz w:val="16"/>
                <w:szCs w:val="16"/>
                <w:lang w:val="tr-TR"/>
              </w:rPr>
              <w:t>65</w:t>
            </w:r>
          </w:p>
        </w:tc>
        <w:tc>
          <w:tcPr>
            <w:tcW w:w="812" w:type="dxa"/>
            <w:tcBorders>
              <w:top w:val="nil"/>
              <w:left w:val="nil"/>
              <w:bottom w:val="nil"/>
              <w:right w:val="nil"/>
            </w:tcBorders>
            <w:shd w:val="clear" w:color="000000" w:fill="FFFFFF"/>
            <w:noWrap/>
            <w:vAlign w:val="center"/>
            <w:hideMark/>
          </w:tcPr>
          <w:p w14:paraId="274D5065"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C11F035"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000000" w:fill="FFFFFF"/>
            <w:noWrap/>
            <w:vAlign w:val="center"/>
            <w:hideMark/>
          </w:tcPr>
          <w:p w14:paraId="3738FFF7"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0C070FD" w14:textId="7FD44CEA" w:rsidR="00F16E72" w:rsidRPr="001A4B94" w:rsidRDefault="00F16E72" w:rsidP="00F16E72">
            <w:pPr>
              <w:jc w:val="right"/>
              <w:rPr>
                <w:sz w:val="16"/>
                <w:szCs w:val="16"/>
                <w:lang w:val="tr-TR"/>
              </w:rPr>
            </w:pPr>
            <w:r w:rsidRPr="001A4B94">
              <w:rPr>
                <w:sz w:val="16"/>
                <w:szCs w:val="16"/>
                <w:lang w:val="tr-TR"/>
              </w:rPr>
              <w:t>142</w:t>
            </w:r>
            <w:r w:rsidR="00DB7216" w:rsidRPr="001A4B94">
              <w:rPr>
                <w:sz w:val="16"/>
                <w:szCs w:val="16"/>
                <w:lang w:val="tr-TR"/>
              </w:rPr>
              <w:t>,</w:t>
            </w:r>
            <w:r w:rsidRPr="001A4B94">
              <w:rPr>
                <w:sz w:val="16"/>
                <w:szCs w:val="16"/>
                <w:lang w:val="tr-TR"/>
              </w:rPr>
              <w:t>65</w:t>
            </w:r>
          </w:p>
        </w:tc>
        <w:tc>
          <w:tcPr>
            <w:tcW w:w="1069" w:type="dxa"/>
            <w:tcBorders>
              <w:top w:val="nil"/>
              <w:left w:val="nil"/>
              <w:bottom w:val="nil"/>
              <w:right w:val="nil"/>
            </w:tcBorders>
            <w:shd w:val="clear" w:color="000000" w:fill="FFFFFF"/>
            <w:noWrap/>
            <w:vAlign w:val="center"/>
            <w:hideMark/>
          </w:tcPr>
          <w:p w14:paraId="11BB4D9D"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599D403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00B6A448" w14:textId="69BA9AEF" w:rsidR="00F16E72" w:rsidRPr="001A4B94" w:rsidRDefault="00F16E72" w:rsidP="00F16E72">
            <w:pPr>
              <w:jc w:val="right"/>
              <w:rPr>
                <w:sz w:val="16"/>
                <w:szCs w:val="16"/>
                <w:lang w:val="tr-TR"/>
              </w:rPr>
            </w:pPr>
            <w:r w:rsidRPr="001A4B94">
              <w:rPr>
                <w:sz w:val="16"/>
                <w:szCs w:val="16"/>
                <w:lang w:val="tr-TR"/>
              </w:rPr>
              <w:t>112</w:t>
            </w:r>
            <w:r w:rsidR="00DB7216" w:rsidRPr="001A4B94">
              <w:rPr>
                <w:sz w:val="16"/>
                <w:szCs w:val="16"/>
                <w:lang w:val="tr-TR"/>
              </w:rPr>
              <w:t>,</w:t>
            </w:r>
            <w:r w:rsidRPr="001A4B94">
              <w:rPr>
                <w:sz w:val="16"/>
                <w:szCs w:val="16"/>
                <w:lang w:val="tr-TR"/>
              </w:rPr>
              <w:t>65</w:t>
            </w:r>
          </w:p>
        </w:tc>
        <w:tc>
          <w:tcPr>
            <w:tcW w:w="812" w:type="dxa"/>
            <w:tcBorders>
              <w:top w:val="nil"/>
              <w:left w:val="nil"/>
              <w:bottom w:val="nil"/>
              <w:right w:val="nil"/>
            </w:tcBorders>
            <w:shd w:val="clear" w:color="000000" w:fill="FFFFFF"/>
            <w:noWrap/>
            <w:vAlign w:val="center"/>
            <w:hideMark/>
          </w:tcPr>
          <w:p w14:paraId="79C9072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3023D7A2"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000000" w:fill="FFFFFF"/>
            <w:noWrap/>
            <w:vAlign w:val="center"/>
            <w:hideMark/>
          </w:tcPr>
          <w:p w14:paraId="6A1421EA"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165F377" w14:textId="659AB105" w:rsidR="00F16E72" w:rsidRPr="001A4B94" w:rsidRDefault="00F16E72" w:rsidP="00F16E72">
            <w:pPr>
              <w:jc w:val="right"/>
              <w:rPr>
                <w:sz w:val="16"/>
                <w:szCs w:val="16"/>
                <w:lang w:val="tr-TR"/>
              </w:rPr>
            </w:pPr>
            <w:r w:rsidRPr="001A4B94">
              <w:rPr>
                <w:sz w:val="16"/>
                <w:szCs w:val="16"/>
                <w:lang w:val="tr-TR"/>
              </w:rPr>
              <w:t>112</w:t>
            </w:r>
            <w:r w:rsidR="00DB7216" w:rsidRPr="001A4B94">
              <w:rPr>
                <w:sz w:val="16"/>
                <w:szCs w:val="16"/>
                <w:lang w:val="tr-TR"/>
              </w:rPr>
              <w:t>,</w:t>
            </w:r>
            <w:r w:rsidRPr="001A4B94">
              <w:rPr>
                <w:sz w:val="16"/>
                <w:szCs w:val="16"/>
                <w:lang w:val="tr-TR"/>
              </w:rPr>
              <w:t>65</w:t>
            </w:r>
          </w:p>
        </w:tc>
        <w:tc>
          <w:tcPr>
            <w:tcW w:w="990" w:type="dxa"/>
            <w:tcBorders>
              <w:top w:val="nil"/>
              <w:left w:val="nil"/>
              <w:bottom w:val="nil"/>
              <w:right w:val="nil"/>
            </w:tcBorders>
            <w:shd w:val="clear" w:color="000000" w:fill="FFFFFF"/>
            <w:noWrap/>
            <w:vAlign w:val="center"/>
            <w:hideMark/>
          </w:tcPr>
          <w:p w14:paraId="5F39CD75"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3D6E9C21" w14:textId="77777777" w:rsidTr="007C4843">
        <w:trPr>
          <w:trHeight w:val="420"/>
          <w:jc w:val="center"/>
        </w:trPr>
        <w:tc>
          <w:tcPr>
            <w:tcW w:w="1900" w:type="dxa"/>
            <w:tcBorders>
              <w:top w:val="nil"/>
              <w:left w:val="nil"/>
              <w:bottom w:val="nil"/>
              <w:right w:val="nil"/>
            </w:tcBorders>
            <w:shd w:val="clear" w:color="auto" w:fill="D9D9D9"/>
            <w:vAlign w:val="center"/>
            <w:hideMark/>
          </w:tcPr>
          <w:p w14:paraId="5D5BDA44" w14:textId="77777777" w:rsidR="00F16E72" w:rsidRPr="001A4B94" w:rsidRDefault="00F16E72" w:rsidP="00F16E72">
            <w:pPr>
              <w:rPr>
                <w:sz w:val="16"/>
                <w:szCs w:val="16"/>
                <w:lang w:val="tr-TR"/>
              </w:rPr>
            </w:pPr>
            <w:r w:rsidRPr="001A4B94">
              <w:rPr>
                <w:sz w:val="16"/>
                <w:szCs w:val="16"/>
                <w:lang w:val="tr-TR"/>
              </w:rPr>
              <w:t>1997/ 2010/ 1998/ 2011/ 2015/ 2008</w:t>
            </w:r>
          </w:p>
        </w:tc>
        <w:tc>
          <w:tcPr>
            <w:tcW w:w="1470" w:type="dxa"/>
            <w:tcBorders>
              <w:top w:val="nil"/>
              <w:left w:val="nil"/>
              <w:bottom w:val="nil"/>
              <w:right w:val="nil"/>
            </w:tcBorders>
            <w:shd w:val="clear" w:color="auto" w:fill="D9D9D9"/>
            <w:noWrap/>
            <w:vAlign w:val="center"/>
            <w:hideMark/>
          </w:tcPr>
          <w:p w14:paraId="27D14C0E" w14:textId="1C814223" w:rsidR="00F16E72" w:rsidRPr="001A4B94" w:rsidRDefault="00F16E72" w:rsidP="00F16E72">
            <w:pPr>
              <w:rPr>
                <w:sz w:val="16"/>
                <w:szCs w:val="16"/>
                <w:lang w:val="tr-TR"/>
              </w:rPr>
            </w:pPr>
            <w:r w:rsidRPr="001A4B94">
              <w:rPr>
                <w:sz w:val="16"/>
                <w:szCs w:val="16"/>
                <w:lang w:val="tr-TR"/>
              </w:rPr>
              <w:t>Yap</w:t>
            </w:r>
            <w:r w:rsidR="006E658E" w:rsidRPr="001A4B94">
              <w:rPr>
                <w:sz w:val="16"/>
                <w:szCs w:val="16"/>
                <w:lang w:val="tr-TR"/>
              </w:rPr>
              <w:t>ı</w:t>
            </w:r>
            <w:r w:rsidRPr="001A4B94">
              <w:rPr>
                <w:sz w:val="16"/>
                <w:szCs w:val="16"/>
                <w:lang w:val="tr-TR"/>
              </w:rPr>
              <w:t xml:space="preserve"> Kredi Lease</w:t>
            </w:r>
          </w:p>
        </w:tc>
        <w:tc>
          <w:tcPr>
            <w:tcW w:w="776" w:type="dxa"/>
            <w:tcBorders>
              <w:top w:val="nil"/>
              <w:left w:val="nil"/>
              <w:bottom w:val="nil"/>
              <w:right w:val="nil"/>
            </w:tcBorders>
            <w:shd w:val="clear" w:color="auto" w:fill="D9D9D9"/>
            <w:noWrap/>
            <w:vAlign w:val="center"/>
            <w:hideMark/>
          </w:tcPr>
          <w:p w14:paraId="235F7766" w14:textId="7E6A2723" w:rsidR="00F16E72" w:rsidRPr="001A4B94" w:rsidRDefault="00F16E72" w:rsidP="00F16E72">
            <w:pPr>
              <w:jc w:val="right"/>
              <w:rPr>
                <w:sz w:val="16"/>
                <w:szCs w:val="16"/>
                <w:lang w:val="tr-TR"/>
              </w:rPr>
            </w:pPr>
            <w:r w:rsidRPr="001A4B94">
              <w:rPr>
                <w:sz w:val="16"/>
                <w:szCs w:val="16"/>
                <w:lang w:val="tr-TR"/>
              </w:rPr>
              <w:t>49</w:t>
            </w:r>
            <w:r w:rsidR="00DB7216" w:rsidRPr="001A4B94">
              <w:rPr>
                <w:sz w:val="16"/>
                <w:szCs w:val="16"/>
                <w:lang w:val="tr-TR"/>
              </w:rPr>
              <w:t>,</w:t>
            </w:r>
            <w:r w:rsidRPr="001A4B94">
              <w:rPr>
                <w:sz w:val="16"/>
                <w:szCs w:val="16"/>
                <w:lang w:val="tr-TR"/>
              </w:rPr>
              <w:t>78</w:t>
            </w:r>
          </w:p>
        </w:tc>
        <w:tc>
          <w:tcPr>
            <w:tcW w:w="812" w:type="dxa"/>
            <w:tcBorders>
              <w:top w:val="nil"/>
              <w:left w:val="nil"/>
              <w:bottom w:val="nil"/>
              <w:right w:val="nil"/>
            </w:tcBorders>
            <w:shd w:val="clear" w:color="auto" w:fill="D9D9D9"/>
            <w:noWrap/>
            <w:vAlign w:val="center"/>
            <w:hideMark/>
          </w:tcPr>
          <w:p w14:paraId="20745461"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29D5DC4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0C70CE90"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hideMark/>
          </w:tcPr>
          <w:p w14:paraId="5EB12F52"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4E7141CB" w14:textId="614A558B" w:rsidR="00F16E72" w:rsidRPr="001A4B94" w:rsidRDefault="00F16E72" w:rsidP="00F16E72">
            <w:pPr>
              <w:jc w:val="right"/>
              <w:rPr>
                <w:sz w:val="16"/>
                <w:szCs w:val="16"/>
                <w:lang w:val="tr-TR"/>
              </w:rPr>
            </w:pPr>
            <w:r w:rsidRPr="001A4B94">
              <w:rPr>
                <w:sz w:val="16"/>
                <w:szCs w:val="16"/>
                <w:lang w:val="tr-TR"/>
              </w:rPr>
              <w:t>49</w:t>
            </w:r>
            <w:r w:rsidR="00DB7216" w:rsidRPr="001A4B94">
              <w:rPr>
                <w:sz w:val="16"/>
                <w:szCs w:val="16"/>
                <w:lang w:val="tr-TR"/>
              </w:rPr>
              <w:t>,</w:t>
            </w:r>
            <w:r w:rsidRPr="001A4B94">
              <w:rPr>
                <w:sz w:val="16"/>
                <w:szCs w:val="16"/>
                <w:lang w:val="tr-TR"/>
              </w:rPr>
              <w:t>78</w:t>
            </w:r>
          </w:p>
        </w:tc>
        <w:tc>
          <w:tcPr>
            <w:tcW w:w="1069" w:type="dxa"/>
            <w:tcBorders>
              <w:top w:val="nil"/>
              <w:left w:val="nil"/>
              <w:bottom w:val="nil"/>
              <w:right w:val="nil"/>
            </w:tcBorders>
            <w:shd w:val="clear" w:color="auto" w:fill="D9D9D9"/>
            <w:noWrap/>
            <w:vAlign w:val="center"/>
            <w:hideMark/>
          </w:tcPr>
          <w:p w14:paraId="69F5DCE3"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hideMark/>
          </w:tcPr>
          <w:p w14:paraId="1827EFFF" w14:textId="29A5D59C" w:rsidR="00F16E72" w:rsidRPr="001A4B94" w:rsidRDefault="00F16E72" w:rsidP="00F16E72">
            <w:pPr>
              <w:jc w:val="right"/>
              <w:rPr>
                <w:sz w:val="16"/>
                <w:szCs w:val="16"/>
                <w:lang w:val="tr-TR"/>
              </w:rPr>
            </w:pPr>
            <w:r w:rsidRPr="001A4B94">
              <w:rPr>
                <w:sz w:val="16"/>
                <w:szCs w:val="16"/>
                <w:lang w:val="tr-TR"/>
              </w:rPr>
              <w:t>49</w:t>
            </w:r>
            <w:r w:rsidR="00DB7216" w:rsidRPr="001A4B94">
              <w:rPr>
                <w:sz w:val="16"/>
                <w:szCs w:val="16"/>
                <w:lang w:val="tr-TR"/>
              </w:rPr>
              <w:t>,</w:t>
            </w:r>
            <w:r w:rsidRPr="001A4B94">
              <w:rPr>
                <w:sz w:val="16"/>
                <w:szCs w:val="16"/>
                <w:lang w:val="tr-TR"/>
              </w:rPr>
              <w:t>78</w:t>
            </w:r>
          </w:p>
        </w:tc>
        <w:tc>
          <w:tcPr>
            <w:tcW w:w="812" w:type="dxa"/>
            <w:tcBorders>
              <w:top w:val="nil"/>
              <w:left w:val="nil"/>
              <w:bottom w:val="nil"/>
              <w:right w:val="nil"/>
            </w:tcBorders>
            <w:shd w:val="clear" w:color="auto" w:fill="D9D9D9"/>
            <w:noWrap/>
            <w:vAlign w:val="center"/>
            <w:hideMark/>
          </w:tcPr>
          <w:p w14:paraId="4F2EC2F5"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hideMark/>
          </w:tcPr>
          <w:p w14:paraId="4FFA091E"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hideMark/>
          </w:tcPr>
          <w:p w14:paraId="463CB51D"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hideMark/>
          </w:tcPr>
          <w:p w14:paraId="21FD04FC"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hideMark/>
          </w:tcPr>
          <w:p w14:paraId="02B4FD29" w14:textId="5FC5F706" w:rsidR="00F16E72" w:rsidRPr="001A4B94" w:rsidRDefault="00F16E72" w:rsidP="00F16E72">
            <w:pPr>
              <w:jc w:val="right"/>
              <w:rPr>
                <w:sz w:val="16"/>
                <w:szCs w:val="16"/>
                <w:lang w:val="tr-TR"/>
              </w:rPr>
            </w:pPr>
            <w:r w:rsidRPr="001A4B94">
              <w:rPr>
                <w:sz w:val="16"/>
                <w:szCs w:val="16"/>
                <w:lang w:val="tr-TR"/>
              </w:rPr>
              <w:t>49</w:t>
            </w:r>
            <w:r w:rsidR="00DB7216" w:rsidRPr="001A4B94">
              <w:rPr>
                <w:sz w:val="16"/>
                <w:szCs w:val="16"/>
                <w:lang w:val="tr-TR"/>
              </w:rPr>
              <w:t>,</w:t>
            </w:r>
            <w:r w:rsidRPr="001A4B94">
              <w:rPr>
                <w:sz w:val="16"/>
                <w:szCs w:val="16"/>
                <w:lang w:val="tr-TR"/>
              </w:rPr>
              <w:t>78</w:t>
            </w:r>
          </w:p>
        </w:tc>
        <w:tc>
          <w:tcPr>
            <w:tcW w:w="990" w:type="dxa"/>
            <w:tcBorders>
              <w:top w:val="nil"/>
              <w:left w:val="nil"/>
              <w:bottom w:val="nil"/>
              <w:right w:val="nil"/>
            </w:tcBorders>
            <w:shd w:val="clear" w:color="auto" w:fill="D9D9D9"/>
            <w:noWrap/>
            <w:vAlign w:val="center"/>
            <w:hideMark/>
          </w:tcPr>
          <w:p w14:paraId="7460B78D"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6A4C4427" w14:textId="77777777" w:rsidTr="007C4843">
        <w:trPr>
          <w:trHeight w:val="255"/>
          <w:jc w:val="center"/>
        </w:trPr>
        <w:tc>
          <w:tcPr>
            <w:tcW w:w="1900" w:type="dxa"/>
            <w:tcBorders>
              <w:top w:val="nil"/>
              <w:left w:val="nil"/>
              <w:bottom w:val="nil"/>
              <w:right w:val="nil"/>
            </w:tcBorders>
            <w:shd w:val="clear" w:color="000000" w:fill="FFFFFF"/>
            <w:vAlign w:val="center"/>
            <w:hideMark/>
          </w:tcPr>
          <w:p w14:paraId="57686ACA" w14:textId="77777777" w:rsidR="00F16E72" w:rsidRPr="001A4B94" w:rsidRDefault="00F16E72" w:rsidP="00F16E72">
            <w:pPr>
              <w:rPr>
                <w:sz w:val="16"/>
                <w:szCs w:val="16"/>
                <w:lang w:val="tr-TR"/>
              </w:rPr>
            </w:pPr>
            <w:r w:rsidRPr="001A4B94">
              <w:rPr>
                <w:sz w:val="16"/>
                <w:szCs w:val="16"/>
                <w:lang w:val="tr-TR"/>
              </w:rPr>
              <w:t>2013/ 2014/ 2017/ 2015/ 2016/ 2012</w:t>
            </w:r>
          </w:p>
        </w:tc>
        <w:tc>
          <w:tcPr>
            <w:tcW w:w="1470" w:type="dxa"/>
            <w:tcBorders>
              <w:top w:val="nil"/>
              <w:left w:val="nil"/>
              <w:bottom w:val="nil"/>
              <w:right w:val="nil"/>
            </w:tcBorders>
            <w:shd w:val="clear" w:color="000000" w:fill="FFFFFF"/>
            <w:noWrap/>
            <w:vAlign w:val="center"/>
            <w:hideMark/>
          </w:tcPr>
          <w:p w14:paraId="5BD5A830" w14:textId="283467C4" w:rsidR="00F16E72" w:rsidRPr="001A4B94" w:rsidRDefault="00F16E72" w:rsidP="00F16E72">
            <w:pPr>
              <w:rPr>
                <w:sz w:val="16"/>
                <w:szCs w:val="16"/>
                <w:lang w:val="tr-TR"/>
              </w:rPr>
            </w:pPr>
            <w:r w:rsidRPr="001A4B94">
              <w:rPr>
                <w:sz w:val="16"/>
                <w:szCs w:val="16"/>
                <w:lang w:val="tr-TR"/>
              </w:rPr>
              <w:t>Yap</w:t>
            </w:r>
            <w:r w:rsidR="006E658E" w:rsidRPr="001A4B94">
              <w:rPr>
                <w:sz w:val="16"/>
                <w:szCs w:val="16"/>
                <w:lang w:val="tr-TR"/>
              </w:rPr>
              <w:t>ı</w:t>
            </w:r>
            <w:r w:rsidRPr="001A4B94">
              <w:rPr>
                <w:sz w:val="16"/>
                <w:szCs w:val="16"/>
                <w:lang w:val="tr-TR"/>
              </w:rPr>
              <w:t xml:space="preserve"> Kredi Bank</w:t>
            </w:r>
          </w:p>
        </w:tc>
        <w:tc>
          <w:tcPr>
            <w:tcW w:w="776" w:type="dxa"/>
            <w:tcBorders>
              <w:top w:val="nil"/>
              <w:left w:val="nil"/>
              <w:bottom w:val="nil"/>
              <w:right w:val="nil"/>
            </w:tcBorders>
            <w:shd w:val="clear" w:color="000000" w:fill="FFFFFF"/>
            <w:noWrap/>
            <w:vAlign w:val="center"/>
            <w:hideMark/>
          </w:tcPr>
          <w:p w14:paraId="2EA22D5A"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1EB2AF76"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48020C92"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11A91A8D" w14:textId="2107CA6F" w:rsidR="00F16E72" w:rsidRPr="001A4B94" w:rsidRDefault="00F16E72" w:rsidP="00F16E72">
            <w:pPr>
              <w:jc w:val="right"/>
              <w:rPr>
                <w:sz w:val="16"/>
                <w:szCs w:val="16"/>
                <w:lang w:val="tr-TR"/>
              </w:rPr>
            </w:pPr>
            <w:r w:rsidRPr="001A4B94">
              <w:rPr>
                <w:sz w:val="16"/>
                <w:szCs w:val="16"/>
                <w:lang w:val="tr-TR"/>
              </w:rPr>
              <w:t>212</w:t>
            </w:r>
            <w:r w:rsidR="00DB7216" w:rsidRPr="001A4B94">
              <w:rPr>
                <w:sz w:val="16"/>
                <w:szCs w:val="16"/>
                <w:lang w:val="tr-TR"/>
              </w:rPr>
              <w:t>,</w:t>
            </w:r>
            <w:r w:rsidRPr="001A4B94">
              <w:rPr>
                <w:sz w:val="16"/>
                <w:szCs w:val="16"/>
                <w:lang w:val="tr-TR"/>
              </w:rPr>
              <w:t>72</w:t>
            </w:r>
          </w:p>
        </w:tc>
        <w:tc>
          <w:tcPr>
            <w:tcW w:w="710" w:type="dxa"/>
            <w:tcBorders>
              <w:top w:val="nil"/>
              <w:left w:val="nil"/>
              <w:bottom w:val="nil"/>
              <w:right w:val="nil"/>
            </w:tcBorders>
            <w:shd w:val="clear" w:color="000000" w:fill="FFFFFF"/>
            <w:noWrap/>
            <w:vAlign w:val="center"/>
            <w:hideMark/>
          </w:tcPr>
          <w:p w14:paraId="1F6C6113"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1BD4E52E" w14:textId="352F7F75" w:rsidR="00F16E72" w:rsidRPr="001A4B94" w:rsidRDefault="00F16E72" w:rsidP="00F16E72">
            <w:pPr>
              <w:jc w:val="right"/>
              <w:rPr>
                <w:sz w:val="16"/>
                <w:szCs w:val="16"/>
                <w:lang w:val="tr-TR"/>
              </w:rPr>
            </w:pPr>
            <w:r w:rsidRPr="001A4B94">
              <w:rPr>
                <w:sz w:val="16"/>
                <w:szCs w:val="16"/>
                <w:lang w:val="tr-TR"/>
              </w:rPr>
              <w:t>212</w:t>
            </w:r>
            <w:r w:rsidR="00DB7216" w:rsidRPr="001A4B94">
              <w:rPr>
                <w:sz w:val="16"/>
                <w:szCs w:val="16"/>
                <w:lang w:val="tr-TR"/>
              </w:rPr>
              <w:t>,</w:t>
            </w:r>
            <w:r w:rsidRPr="001A4B94">
              <w:rPr>
                <w:sz w:val="16"/>
                <w:szCs w:val="16"/>
                <w:lang w:val="tr-TR"/>
              </w:rPr>
              <w:t>72</w:t>
            </w:r>
          </w:p>
        </w:tc>
        <w:tc>
          <w:tcPr>
            <w:tcW w:w="1069" w:type="dxa"/>
            <w:tcBorders>
              <w:top w:val="nil"/>
              <w:left w:val="nil"/>
              <w:bottom w:val="nil"/>
              <w:right w:val="nil"/>
            </w:tcBorders>
            <w:shd w:val="clear" w:color="000000" w:fill="FFFFFF"/>
            <w:noWrap/>
            <w:vAlign w:val="center"/>
            <w:hideMark/>
          </w:tcPr>
          <w:p w14:paraId="5168CFEE"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000000" w:fill="FFFFFF"/>
            <w:noWrap/>
            <w:vAlign w:val="center"/>
            <w:hideMark/>
          </w:tcPr>
          <w:p w14:paraId="3CFDBC7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6D342DB8"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000000" w:fill="FFFFFF"/>
            <w:noWrap/>
            <w:vAlign w:val="center"/>
            <w:hideMark/>
          </w:tcPr>
          <w:p w14:paraId="05CADBCA"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000000" w:fill="FFFFFF"/>
            <w:noWrap/>
            <w:vAlign w:val="center"/>
            <w:hideMark/>
          </w:tcPr>
          <w:p w14:paraId="525E963E" w14:textId="077EC388" w:rsidR="00F16E72" w:rsidRPr="001A4B94" w:rsidRDefault="00F16E72" w:rsidP="00F16E72">
            <w:pPr>
              <w:jc w:val="right"/>
              <w:rPr>
                <w:sz w:val="16"/>
                <w:szCs w:val="16"/>
                <w:lang w:val="tr-TR"/>
              </w:rPr>
            </w:pPr>
            <w:r w:rsidRPr="001A4B94">
              <w:rPr>
                <w:sz w:val="16"/>
                <w:szCs w:val="16"/>
                <w:lang w:val="tr-TR"/>
              </w:rPr>
              <w:t>212</w:t>
            </w:r>
            <w:r w:rsidR="00DB7216" w:rsidRPr="001A4B94">
              <w:rPr>
                <w:sz w:val="16"/>
                <w:szCs w:val="16"/>
                <w:lang w:val="tr-TR"/>
              </w:rPr>
              <w:t>,</w:t>
            </w:r>
            <w:r w:rsidRPr="001A4B94">
              <w:rPr>
                <w:sz w:val="16"/>
                <w:szCs w:val="16"/>
                <w:lang w:val="tr-TR"/>
              </w:rPr>
              <w:t>72</w:t>
            </w:r>
          </w:p>
        </w:tc>
        <w:tc>
          <w:tcPr>
            <w:tcW w:w="685" w:type="dxa"/>
            <w:tcBorders>
              <w:top w:val="nil"/>
              <w:left w:val="nil"/>
              <w:bottom w:val="nil"/>
              <w:right w:val="nil"/>
            </w:tcBorders>
            <w:shd w:val="clear" w:color="000000" w:fill="FFFFFF"/>
            <w:noWrap/>
            <w:vAlign w:val="center"/>
            <w:hideMark/>
          </w:tcPr>
          <w:p w14:paraId="11B6BBC4"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000000" w:fill="FFFFFF"/>
            <w:noWrap/>
            <w:vAlign w:val="center"/>
            <w:hideMark/>
          </w:tcPr>
          <w:p w14:paraId="2A4E0F9E" w14:textId="525329AC" w:rsidR="00F16E72" w:rsidRPr="001A4B94" w:rsidRDefault="00F16E72" w:rsidP="00F16E72">
            <w:pPr>
              <w:jc w:val="right"/>
              <w:rPr>
                <w:sz w:val="16"/>
                <w:szCs w:val="16"/>
                <w:lang w:val="tr-TR"/>
              </w:rPr>
            </w:pPr>
            <w:r w:rsidRPr="001A4B94">
              <w:rPr>
                <w:sz w:val="16"/>
                <w:szCs w:val="16"/>
                <w:lang w:val="tr-TR"/>
              </w:rPr>
              <w:t>212</w:t>
            </w:r>
            <w:r w:rsidR="00DB7216" w:rsidRPr="001A4B94">
              <w:rPr>
                <w:sz w:val="16"/>
                <w:szCs w:val="16"/>
                <w:lang w:val="tr-TR"/>
              </w:rPr>
              <w:t>,</w:t>
            </w:r>
            <w:r w:rsidRPr="001A4B94">
              <w:rPr>
                <w:sz w:val="16"/>
                <w:szCs w:val="16"/>
                <w:lang w:val="tr-TR"/>
              </w:rPr>
              <w:t>72</w:t>
            </w:r>
          </w:p>
        </w:tc>
        <w:tc>
          <w:tcPr>
            <w:tcW w:w="990" w:type="dxa"/>
            <w:tcBorders>
              <w:top w:val="nil"/>
              <w:left w:val="nil"/>
              <w:bottom w:val="nil"/>
              <w:right w:val="nil"/>
            </w:tcBorders>
            <w:shd w:val="clear" w:color="000000" w:fill="FFFFFF"/>
            <w:noWrap/>
            <w:vAlign w:val="center"/>
            <w:hideMark/>
          </w:tcPr>
          <w:p w14:paraId="0FB9E9D5"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780EE480" w14:textId="77777777" w:rsidTr="007C4843">
        <w:trPr>
          <w:trHeight w:val="255"/>
          <w:jc w:val="center"/>
        </w:trPr>
        <w:tc>
          <w:tcPr>
            <w:tcW w:w="1900" w:type="dxa"/>
            <w:tcBorders>
              <w:top w:val="nil"/>
              <w:left w:val="nil"/>
              <w:bottom w:val="nil"/>
              <w:right w:val="nil"/>
            </w:tcBorders>
            <w:shd w:val="clear" w:color="auto" w:fill="D9D9D9"/>
            <w:vAlign w:val="center"/>
          </w:tcPr>
          <w:p w14:paraId="0ADF79B7" w14:textId="77777777" w:rsidR="00F16E72" w:rsidRPr="001A4B94" w:rsidRDefault="00F16E72" w:rsidP="00F16E72">
            <w:pPr>
              <w:rPr>
                <w:sz w:val="16"/>
                <w:szCs w:val="16"/>
                <w:lang w:val="tr-TR"/>
              </w:rPr>
            </w:pPr>
            <w:r w:rsidRPr="001A4B94">
              <w:rPr>
                <w:sz w:val="16"/>
                <w:szCs w:val="16"/>
                <w:lang w:val="tr-TR"/>
              </w:rPr>
              <w:t>2015</w:t>
            </w:r>
          </w:p>
        </w:tc>
        <w:tc>
          <w:tcPr>
            <w:tcW w:w="1470" w:type="dxa"/>
            <w:tcBorders>
              <w:top w:val="nil"/>
              <w:left w:val="nil"/>
              <w:bottom w:val="nil"/>
              <w:right w:val="nil"/>
            </w:tcBorders>
            <w:shd w:val="clear" w:color="auto" w:fill="D9D9D9"/>
            <w:noWrap/>
            <w:vAlign w:val="center"/>
          </w:tcPr>
          <w:p w14:paraId="3A4D2A63" w14:textId="77777777" w:rsidR="00F16E72" w:rsidRPr="001A4B94" w:rsidRDefault="00F16E72" w:rsidP="00F16E72">
            <w:pPr>
              <w:rPr>
                <w:sz w:val="16"/>
                <w:szCs w:val="16"/>
                <w:lang w:val="tr-TR"/>
              </w:rPr>
            </w:pPr>
            <w:r w:rsidRPr="001A4B94">
              <w:rPr>
                <w:sz w:val="16"/>
                <w:szCs w:val="16"/>
                <w:lang w:val="tr-TR"/>
              </w:rPr>
              <w:t>Zenium</w:t>
            </w:r>
          </w:p>
        </w:tc>
        <w:tc>
          <w:tcPr>
            <w:tcW w:w="776" w:type="dxa"/>
            <w:tcBorders>
              <w:top w:val="nil"/>
              <w:left w:val="nil"/>
              <w:bottom w:val="nil"/>
              <w:right w:val="nil"/>
            </w:tcBorders>
            <w:shd w:val="clear" w:color="auto" w:fill="D9D9D9"/>
            <w:noWrap/>
            <w:vAlign w:val="center"/>
          </w:tcPr>
          <w:p w14:paraId="3D5FE7B0"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tcPr>
          <w:p w14:paraId="23482EF8" w14:textId="555A3CD6" w:rsidR="00F16E72" w:rsidRPr="001A4B94" w:rsidRDefault="00F16E72" w:rsidP="00F16E72">
            <w:pPr>
              <w:jc w:val="right"/>
              <w:rPr>
                <w:sz w:val="16"/>
                <w:szCs w:val="16"/>
                <w:lang w:val="tr-TR"/>
              </w:rPr>
            </w:pPr>
            <w:r w:rsidRPr="001A4B94">
              <w:rPr>
                <w:sz w:val="16"/>
                <w:szCs w:val="16"/>
                <w:lang w:val="tr-TR"/>
              </w:rPr>
              <w:t>25</w:t>
            </w:r>
            <w:r w:rsidR="00DB7216" w:rsidRPr="001A4B94">
              <w:rPr>
                <w:sz w:val="16"/>
                <w:szCs w:val="16"/>
                <w:lang w:val="tr-TR"/>
              </w:rPr>
              <w:t>,</w:t>
            </w:r>
            <w:r w:rsidRPr="001A4B94">
              <w:rPr>
                <w:sz w:val="16"/>
                <w:szCs w:val="16"/>
                <w:lang w:val="tr-TR"/>
              </w:rPr>
              <w:t>00</w:t>
            </w:r>
          </w:p>
        </w:tc>
        <w:tc>
          <w:tcPr>
            <w:tcW w:w="812" w:type="dxa"/>
            <w:tcBorders>
              <w:top w:val="nil"/>
              <w:left w:val="nil"/>
              <w:bottom w:val="nil"/>
              <w:right w:val="nil"/>
            </w:tcBorders>
            <w:shd w:val="clear" w:color="auto" w:fill="D9D9D9"/>
            <w:noWrap/>
            <w:vAlign w:val="center"/>
          </w:tcPr>
          <w:p w14:paraId="233EA661"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tcPr>
          <w:p w14:paraId="35819940" w14:textId="77777777" w:rsidR="00F16E72" w:rsidRPr="001A4B94" w:rsidRDefault="00F16E72" w:rsidP="00F16E72">
            <w:pPr>
              <w:jc w:val="right"/>
              <w:rPr>
                <w:sz w:val="16"/>
                <w:szCs w:val="16"/>
                <w:lang w:val="tr-TR"/>
              </w:rPr>
            </w:pPr>
            <w:r w:rsidRPr="001A4B94">
              <w:rPr>
                <w:sz w:val="16"/>
                <w:szCs w:val="16"/>
                <w:lang w:val="tr-TR"/>
              </w:rPr>
              <w:t>0</w:t>
            </w:r>
          </w:p>
        </w:tc>
        <w:tc>
          <w:tcPr>
            <w:tcW w:w="710" w:type="dxa"/>
            <w:tcBorders>
              <w:top w:val="nil"/>
              <w:left w:val="nil"/>
              <w:bottom w:val="nil"/>
              <w:right w:val="nil"/>
            </w:tcBorders>
            <w:shd w:val="clear" w:color="auto" w:fill="D9D9D9"/>
            <w:noWrap/>
            <w:vAlign w:val="center"/>
          </w:tcPr>
          <w:p w14:paraId="47E10710"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tcPr>
          <w:p w14:paraId="1ED8D059" w14:textId="0FA8F0B2" w:rsidR="00F16E72" w:rsidRPr="001A4B94" w:rsidRDefault="00F16E72" w:rsidP="00F16E72">
            <w:pPr>
              <w:jc w:val="right"/>
              <w:rPr>
                <w:sz w:val="16"/>
                <w:szCs w:val="16"/>
                <w:lang w:val="tr-TR"/>
              </w:rPr>
            </w:pPr>
            <w:r w:rsidRPr="001A4B94">
              <w:rPr>
                <w:sz w:val="16"/>
                <w:szCs w:val="16"/>
                <w:lang w:val="tr-TR"/>
              </w:rPr>
              <w:t>25</w:t>
            </w:r>
            <w:r w:rsidR="00DB7216" w:rsidRPr="001A4B94">
              <w:rPr>
                <w:sz w:val="16"/>
                <w:szCs w:val="16"/>
                <w:lang w:val="tr-TR"/>
              </w:rPr>
              <w:t>,</w:t>
            </w:r>
            <w:r w:rsidRPr="001A4B94">
              <w:rPr>
                <w:sz w:val="16"/>
                <w:szCs w:val="16"/>
                <w:lang w:val="tr-TR"/>
              </w:rPr>
              <w:t>00</w:t>
            </w:r>
          </w:p>
        </w:tc>
        <w:tc>
          <w:tcPr>
            <w:tcW w:w="1069" w:type="dxa"/>
            <w:tcBorders>
              <w:top w:val="nil"/>
              <w:left w:val="nil"/>
              <w:bottom w:val="nil"/>
              <w:right w:val="nil"/>
            </w:tcBorders>
            <w:shd w:val="clear" w:color="auto" w:fill="D9D9D9"/>
            <w:noWrap/>
            <w:vAlign w:val="center"/>
          </w:tcPr>
          <w:p w14:paraId="7EBDB082" w14:textId="77777777" w:rsidR="00F16E72" w:rsidRPr="001A4B94" w:rsidRDefault="00F16E72" w:rsidP="00F16E72">
            <w:pPr>
              <w:jc w:val="right"/>
              <w:rPr>
                <w:sz w:val="16"/>
                <w:szCs w:val="16"/>
                <w:lang w:val="tr-TR"/>
              </w:rPr>
            </w:pPr>
            <w:r w:rsidRPr="001A4B94">
              <w:rPr>
                <w:sz w:val="16"/>
                <w:szCs w:val="16"/>
                <w:lang w:val="tr-TR"/>
              </w:rPr>
              <w:t>0</w:t>
            </w:r>
          </w:p>
        </w:tc>
        <w:tc>
          <w:tcPr>
            <w:tcW w:w="776" w:type="dxa"/>
            <w:tcBorders>
              <w:top w:val="nil"/>
              <w:left w:val="nil"/>
              <w:bottom w:val="nil"/>
              <w:right w:val="nil"/>
            </w:tcBorders>
            <w:shd w:val="clear" w:color="auto" w:fill="D9D9D9"/>
            <w:noWrap/>
            <w:vAlign w:val="center"/>
          </w:tcPr>
          <w:p w14:paraId="4E2964AF" w14:textId="77777777" w:rsidR="00F16E72" w:rsidRPr="001A4B94" w:rsidRDefault="00F16E72" w:rsidP="00F16E72">
            <w:pPr>
              <w:jc w:val="right"/>
              <w:rPr>
                <w:sz w:val="16"/>
                <w:szCs w:val="16"/>
                <w:lang w:val="tr-TR"/>
              </w:rPr>
            </w:pPr>
            <w:r w:rsidRPr="001A4B94">
              <w:rPr>
                <w:sz w:val="16"/>
                <w:szCs w:val="16"/>
                <w:lang w:val="tr-TR"/>
              </w:rPr>
              <w:t>0</w:t>
            </w:r>
          </w:p>
        </w:tc>
        <w:tc>
          <w:tcPr>
            <w:tcW w:w="812" w:type="dxa"/>
            <w:tcBorders>
              <w:top w:val="nil"/>
              <w:left w:val="nil"/>
              <w:bottom w:val="nil"/>
              <w:right w:val="nil"/>
            </w:tcBorders>
            <w:shd w:val="clear" w:color="auto" w:fill="D9D9D9"/>
            <w:noWrap/>
            <w:vAlign w:val="center"/>
          </w:tcPr>
          <w:p w14:paraId="25087859" w14:textId="659CDBF1" w:rsidR="00F16E72" w:rsidRPr="001A4B94" w:rsidRDefault="00F16E72" w:rsidP="00F16E72">
            <w:pPr>
              <w:jc w:val="right"/>
              <w:rPr>
                <w:sz w:val="16"/>
                <w:szCs w:val="16"/>
                <w:lang w:val="tr-TR"/>
              </w:rPr>
            </w:pPr>
            <w:r w:rsidRPr="001A4B94">
              <w:rPr>
                <w:sz w:val="16"/>
                <w:szCs w:val="16"/>
                <w:lang w:val="tr-TR"/>
              </w:rPr>
              <w:t>22</w:t>
            </w:r>
            <w:r w:rsidR="00DB7216" w:rsidRPr="001A4B94">
              <w:rPr>
                <w:sz w:val="16"/>
                <w:szCs w:val="16"/>
                <w:lang w:val="tr-TR"/>
              </w:rPr>
              <w:t>,</w:t>
            </w:r>
            <w:r w:rsidRPr="001A4B94">
              <w:rPr>
                <w:sz w:val="16"/>
                <w:szCs w:val="16"/>
                <w:lang w:val="tr-TR"/>
              </w:rPr>
              <w:t>74</w:t>
            </w:r>
          </w:p>
        </w:tc>
        <w:tc>
          <w:tcPr>
            <w:tcW w:w="812" w:type="dxa"/>
            <w:tcBorders>
              <w:top w:val="nil"/>
              <w:left w:val="nil"/>
              <w:bottom w:val="nil"/>
              <w:right w:val="nil"/>
            </w:tcBorders>
            <w:shd w:val="clear" w:color="auto" w:fill="D9D9D9"/>
            <w:noWrap/>
            <w:vAlign w:val="center"/>
          </w:tcPr>
          <w:p w14:paraId="50FDC1F4" w14:textId="77777777" w:rsidR="00F16E72" w:rsidRPr="001A4B94" w:rsidRDefault="00F16E72" w:rsidP="00F16E72">
            <w:pPr>
              <w:jc w:val="right"/>
              <w:rPr>
                <w:sz w:val="16"/>
                <w:szCs w:val="16"/>
                <w:lang w:val="tr-TR"/>
              </w:rPr>
            </w:pPr>
            <w:r w:rsidRPr="001A4B94">
              <w:rPr>
                <w:sz w:val="16"/>
                <w:szCs w:val="16"/>
                <w:lang w:val="tr-TR"/>
              </w:rPr>
              <w:t>0</w:t>
            </w:r>
          </w:p>
        </w:tc>
        <w:tc>
          <w:tcPr>
            <w:tcW w:w="706" w:type="dxa"/>
            <w:tcBorders>
              <w:top w:val="nil"/>
              <w:left w:val="nil"/>
              <w:bottom w:val="nil"/>
              <w:right w:val="nil"/>
            </w:tcBorders>
            <w:shd w:val="clear" w:color="auto" w:fill="D9D9D9"/>
            <w:noWrap/>
            <w:vAlign w:val="center"/>
          </w:tcPr>
          <w:p w14:paraId="32067C64" w14:textId="77777777" w:rsidR="00F16E72" w:rsidRPr="001A4B94" w:rsidRDefault="00F16E72" w:rsidP="00F16E72">
            <w:pPr>
              <w:jc w:val="right"/>
              <w:rPr>
                <w:sz w:val="16"/>
                <w:szCs w:val="16"/>
                <w:lang w:val="tr-TR"/>
              </w:rPr>
            </w:pPr>
            <w:r w:rsidRPr="001A4B94">
              <w:rPr>
                <w:sz w:val="16"/>
                <w:szCs w:val="16"/>
                <w:lang w:val="tr-TR"/>
              </w:rPr>
              <w:t>0</w:t>
            </w:r>
          </w:p>
        </w:tc>
        <w:tc>
          <w:tcPr>
            <w:tcW w:w="685" w:type="dxa"/>
            <w:tcBorders>
              <w:top w:val="nil"/>
              <w:left w:val="nil"/>
              <w:bottom w:val="nil"/>
              <w:right w:val="nil"/>
            </w:tcBorders>
            <w:shd w:val="clear" w:color="auto" w:fill="D9D9D9"/>
            <w:noWrap/>
            <w:vAlign w:val="center"/>
          </w:tcPr>
          <w:p w14:paraId="3DDEDE7F" w14:textId="77777777" w:rsidR="00F16E72" w:rsidRPr="001A4B94" w:rsidRDefault="00F16E72" w:rsidP="00F16E72">
            <w:pPr>
              <w:jc w:val="right"/>
              <w:rPr>
                <w:sz w:val="16"/>
                <w:szCs w:val="16"/>
                <w:lang w:val="tr-TR"/>
              </w:rPr>
            </w:pPr>
            <w:r w:rsidRPr="001A4B94">
              <w:rPr>
                <w:sz w:val="16"/>
                <w:szCs w:val="16"/>
                <w:lang w:val="tr-TR"/>
              </w:rPr>
              <w:t>0</w:t>
            </w:r>
          </w:p>
        </w:tc>
        <w:tc>
          <w:tcPr>
            <w:tcW w:w="919" w:type="dxa"/>
            <w:tcBorders>
              <w:top w:val="nil"/>
              <w:left w:val="nil"/>
              <w:bottom w:val="nil"/>
              <w:right w:val="nil"/>
            </w:tcBorders>
            <w:shd w:val="clear" w:color="auto" w:fill="D9D9D9"/>
            <w:noWrap/>
            <w:vAlign w:val="center"/>
          </w:tcPr>
          <w:p w14:paraId="2A0A83A2" w14:textId="3CD38B93" w:rsidR="00F16E72" w:rsidRPr="001A4B94" w:rsidRDefault="00F16E72" w:rsidP="00F16E72">
            <w:pPr>
              <w:jc w:val="right"/>
              <w:rPr>
                <w:sz w:val="16"/>
                <w:szCs w:val="16"/>
                <w:lang w:val="tr-TR"/>
              </w:rPr>
            </w:pPr>
            <w:r w:rsidRPr="001A4B94">
              <w:rPr>
                <w:sz w:val="16"/>
                <w:szCs w:val="16"/>
                <w:lang w:val="tr-TR"/>
              </w:rPr>
              <w:t>22</w:t>
            </w:r>
            <w:r w:rsidR="00DB7216" w:rsidRPr="001A4B94">
              <w:rPr>
                <w:sz w:val="16"/>
                <w:szCs w:val="16"/>
                <w:lang w:val="tr-TR"/>
              </w:rPr>
              <w:t>,</w:t>
            </w:r>
            <w:r w:rsidRPr="001A4B94">
              <w:rPr>
                <w:sz w:val="16"/>
                <w:szCs w:val="16"/>
                <w:lang w:val="tr-TR"/>
              </w:rPr>
              <w:t>74</w:t>
            </w:r>
          </w:p>
        </w:tc>
        <w:tc>
          <w:tcPr>
            <w:tcW w:w="990" w:type="dxa"/>
            <w:tcBorders>
              <w:top w:val="nil"/>
              <w:left w:val="nil"/>
              <w:bottom w:val="nil"/>
              <w:right w:val="nil"/>
            </w:tcBorders>
            <w:shd w:val="clear" w:color="auto" w:fill="D9D9D9"/>
            <w:noWrap/>
            <w:vAlign w:val="center"/>
          </w:tcPr>
          <w:p w14:paraId="70689AFE" w14:textId="77777777" w:rsidR="00F16E72" w:rsidRPr="001A4B94" w:rsidRDefault="00F16E72" w:rsidP="00F16E72">
            <w:pPr>
              <w:jc w:val="right"/>
              <w:rPr>
                <w:sz w:val="16"/>
                <w:szCs w:val="16"/>
                <w:lang w:val="tr-TR"/>
              </w:rPr>
            </w:pPr>
            <w:r w:rsidRPr="001A4B94">
              <w:rPr>
                <w:sz w:val="16"/>
                <w:szCs w:val="16"/>
                <w:lang w:val="tr-TR"/>
              </w:rPr>
              <w:t>0.00</w:t>
            </w:r>
          </w:p>
        </w:tc>
      </w:tr>
      <w:tr w:rsidR="00F16E72" w:rsidRPr="001A4B94" w14:paraId="78317BB0" w14:textId="77777777" w:rsidTr="007C4843">
        <w:trPr>
          <w:trHeight w:val="270"/>
          <w:jc w:val="center"/>
        </w:trPr>
        <w:tc>
          <w:tcPr>
            <w:tcW w:w="3370" w:type="dxa"/>
            <w:gridSpan w:val="2"/>
            <w:tcBorders>
              <w:top w:val="nil"/>
              <w:left w:val="nil"/>
              <w:bottom w:val="nil"/>
              <w:right w:val="nil"/>
            </w:tcBorders>
            <w:shd w:val="clear" w:color="auto" w:fill="DEEAF6"/>
            <w:noWrap/>
            <w:vAlign w:val="center"/>
            <w:hideMark/>
          </w:tcPr>
          <w:p w14:paraId="6E6107CC" w14:textId="649F1F66" w:rsidR="00F16E72" w:rsidRPr="001A4B94" w:rsidRDefault="00F16E72" w:rsidP="00F16E72">
            <w:pPr>
              <w:rPr>
                <w:b/>
                <w:bCs/>
                <w:sz w:val="16"/>
                <w:szCs w:val="16"/>
                <w:lang w:val="tr-TR"/>
              </w:rPr>
            </w:pPr>
            <w:r w:rsidRPr="001A4B94">
              <w:rPr>
                <w:b/>
                <w:bCs/>
                <w:sz w:val="16"/>
                <w:szCs w:val="16"/>
                <w:lang w:val="tr-TR"/>
              </w:rPr>
              <w:t>To</w:t>
            </w:r>
            <w:r w:rsidR="006E658E" w:rsidRPr="001A4B94">
              <w:rPr>
                <w:b/>
                <w:bCs/>
                <w:sz w:val="16"/>
                <w:szCs w:val="16"/>
                <w:lang w:val="tr-TR"/>
              </w:rPr>
              <w:t xml:space="preserve">plam Portföy </w:t>
            </w:r>
          </w:p>
        </w:tc>
        <w:tc>
          <w:tcPr>
            <w:tcW w:w="776" w:type="dxa"/>
            <w:tcBorders>
              <w:top w:val="nil"/>
              <w:left w:val="nil"/>
              <w:bottom w:val="nil"/>
              <w:right w:val="nil"/>
            </w:tcBorders>
            <w:shd w:val="clear" w:color="auto" w:fill="DEEAF6"/>
            <w:noWrap/>
            <w:vAlign w:val="center"/>
            <w:hideMark/>
          </w:tcPr>
          <w:p w14:paraId="1B74FC59" w14:textId="23DBEDB3" w:rsidR="00F16E72" w:rsidRPr="001A4B94" w:rsidRDefault="00DB7216" w:rsidP="00F16E72">
            <w:pPr>
              <w:jc w:val="right"/>
              <w:rPr>
                <w:b/>
                <w:bCs/>
                <w:sz w:val="16"/>
                <w:szCs w:val="16"/>
                <w:lang w:val="tr-TR"/>
              </w:rPr>
            </w:pPr>
            <w:r w:rsidRPr="001A4B94">
              <w:rPr>
                <w:b/>
                <w:bCs/>
                <w:sz w:val="16"/>
                <w:szCs w:val="16"/>
                <w:lang w:val="tr-TR"/>
              </w:rPr>
              <w:t>2.</w:t>
            </w:r>
            <w:r w:rsidR="00F16E72" w:rsidRPr="001A4B94">
              <w:rPr>
                <w:b/>
                <w:bCs/>
                <w:sz w:val="16"/>
                <w:szCs w:val="16"/>
                <w:lang w:val="tr-TR"/>
              </w:rPr>
              <w:t>419.21</w:t>
            </w:r>
          </w:p>
        </w:tc>
        <w:tc>
          <w:tcPr>
            <w:tcW w:w="812" w:type="dxa"/>
            <w:tcBorders>
              <w:top w:val="nil"/>
              <w:left w:val="nil"/>
              <w:bottom w:val="nil"/>
              <w:right w:val="nil"/>
            </w:tcBorders>
            <w:shd w:val="clear" w:color="auto" w:fill="DEEAF6"/>
            <w:noWrap/>
            <w:vAlign w:val="center"/>
            <w:hideMark/>
          </w:tcPr>
          <w:p w14:paraId="720190B6" w14:textId="4ADBC54E" w:rsidR="00F16E72" w:rsidRPr="001A4B94" w:rsidRDefault="00F16E72" w:rsidP="00F16E72">
            <w:pPr>
              <w:jc w:val="right"/>
              <w:rPr>
                <w:b/>
                <w:bCs/>
                <w:sz w:val="16"/>
                <w:szCs w:val="16"/>
                <w:lang w:val="tr-TR"/>
              </w:rPr>
            </w:pPr>
            <w:r w:rsidRPr="001A4B94">
              <w:rPr>
                <w:b/>
                <w:bCs/>
                <w:sz w:val="16"/>
                <w:szCs w:val="16"/>
                <w:lang w:val="tr-TR"/>
              </w:rPr>
              <w:t>960</w:t>
            </w:r>
            <w:r w:rsidR="00DB7216" w:rsidRPr="001A4B94">
              <w:rPr>
                <w:b/>
                <w:bCs/>
                <w:sz w:val="16"/>
                <w:szCs w:val="16"/>
                <w:lang w:val="tr-TR"/>
              </w:rPr>
              <w:t>,</w:t>
            </w:r>
            <w:r w:rsidRPr="001A4B94">
              <w:rPr>
                <w:b/>
                <w:bCs/>
                <w:sz w:val="16"/>
                <w:szCs w:val="16"/>
                <w:lang w:val="tr-TR"/>
              </w:rPr>
              <w:t>76</w:t>
            </w:r>
          </w:p>
        </w:tc>
        <w:tc>
          <w:tcPr>
            <w:tcW w:w="812" w:type="dxa"/>
            <w:tcBorders>
              <w:top w:val="nil"/>
              <w:left w:val="nil"/>
              <w:bottom w:val="nil"/>
              <w:right w:val="nil"/>
            </w:tcBorders>
            <w:shd w:val="clear" w:color="auto" w:fill="DEEAF6"/>
            <w:noWrap/>
            <w:vAlign w:val="center"/>
            <w:hideMark/>
          </w:tcPr>
          <w:p w14:paraId="411980AA" w14:textId="195300B4" w:rsidR="00F16E72" w:rsidRPr="001A4B94" w:rsidRDefault="00F16E72" w:rsidP="00F16E72">
            <w:pPr>
              <w:jc w:val="right"/>
              <w:rPr>
                <w:b/>
                <w:bCs/>
                <w:sz w:val="16"/>
                <w:szCs w:val="16"/>
                <w:lang w:val="tr-TR"/>
              </w:rPr>
            </w:pPr>
            <w:r w:rsidRPr="001A4B94">
              <w:rPr>
                <w:b/>
                <w:bCs/>
                <w:sz w:val="16"/>
                <w:szCs w:val="16"/>
                <w:lang w:val="tr-TR"/>
              </w:rPr>
              <w:t>238</w:t>
            </w:r>
            <w:r w:rsidR="00DB7216" w:rsidRPr="001A4B94">
              <w:rPr>
                <w:b/>
                <w:bCs/>
                <w:sz w:val="16"/>
                <w:szCs w:val="16"/>
                <w:lang w:val="tr-TR"/>
              </w:rPr>
              <w:t>,</w:t>
            </w:r>
            <w:r w:rsidRPr="001A4B94">
              <w:rPr>
                <w:b/>
                <w:bCs/>
                <w:sz w:val="16"/>
                <w:szCs w:val="16"/>
                <w:lang w:val="tr-TR"/>
              </w:rPr>
              <w:t>07</w:t>
            </w:r>
          </w:p>
        </w:tc>
        <w:tc>
          <w:tcPr>
            <w:tcW w:w="706" w:type="dxa"/>
            <w:tcBorders>
              <w:top w:val="nil"/>
              <w:left w:val="nil"/>
              <w:bottom w:val="nil"/>
              <w:right w:val="nil"/>
            </w:tcBorders>
            <w:shd w:val="clear" w:color="auto" w:fill="DEEAF6"/>
            <w:noWrap/>
            <w:vAlign w:val="center"/>
            <w:hideMark/>
          </w:tcPr>
          <w:p w14:paraId="0A69DEFD" w14:textId="0783B8B8" w:rsidR="00F16E72" w:rsidRPr="001A4B94" w:rsidRDefault="00F16E72" w:rsidP="00F16E72">
            <w:pPr>
              <w:jc w:val="right"/>
              <w:rPr>
                <w:b/>
                <w:bCs/>
                <w:sz w:val="16"/>
                <w:szCs w:val="16"/>
                <w:lang w:val="tr-TR"/>
              </w:rPr>
            </w:pPr>
            <w:r w:rsidRPr="001A4B94">
              <w:rPr>
                <w:b/>
                <w:bCs/>
                <w:sz w:val="16"/>
                <w:szCs w:val="16"/>
                <w:lang w:val="tr-TR"/>
              </w:rPr>
              <w:t>750</w:t>
            </w:r>
            <w:r w:rsidR="00DB7216" w:rsidRPr="001A4B94">
              <w:rPr>
                <w:b/>
                <w:bCs/>
                <w:sz w:val="16"/>
                <w:szCs w:val="16"/>
                <w:lang w:val="tr-TR"/>
              </w:rPr>
              <w:t>,</w:t>
            </w:r>
            <w:r w:rsidRPr="001A4B94">
              <w:rPr>
                <w:b/>
                <w:bCs/>
                <w:sz w:val="16"/>
                <w:szCs w:val="16"/>
                <w:lang w:val="tr-TR"/>
              </w:rPr>
              <w:t>34</w:t>
            </w:r>
          </w:p>
        </w:tc>
        <w:tc>
          <w:tcPr>
            <w:tcW w:w="710" w:type="dxa"/>
            <w:tcBorders>
              <w:top w:val="nil"/>
              <w:left w:val="nil"/>
              <w:bottom w:val="nil"/>
              <w:right w:val="nil"/>
            </w:tcBorders>
            <w:shd w:val="clear" w:color="auto" w:fill="DEEAF6"/>
            <w:noWrap/>
            <w:vAlign w:val="center"/>
            <w:hideMark/>
          </w:tcPr>
          <w:p w14:paraId="1A9C5299" w14:textId="5EC41415" w:rsidR="00F16E72" w:rsidRPr="001A4B94" w:rsidRDefault="00F16E72" w:rsidP="00F16E72">
            <w:pPr>
              <w:jc w:val="right"/>
              <w:rPr>
                <w:b/>
                <w:bCs/>
                <w:sz w:val="16"/>
                <w:szCs w:val="16"/>
                <w:lang w:val="tr-TR"/>
              </w:rPr>
            </w:pPr>
            <w:r w:rsidRPr="001A4B94">
              <w:rPr>
                <w:b/>
                <w:bCs/>
                <w:sz w:val="16"/>
                <w:szCs w:val="16"/>
                <w:lang w:val="tr-TR"/>
              </w:rPr>
              <w:t>23</w:t>
            </w:r>
            <w:r w:rsidR="00DB7216" w:rsidRPr="001A4B94">
              <w:rPr>
                <w:b/>
                <w:bCs/>
                <w:sz w:val="16"/>
                <w:szCs w:val="16"/>
                <w:lang w:val="tr-TR"/>
              </w:rPr>
              <w:t>,</w:t>
            </w:r>
            <w:r w:rsidRPr="001A4B94">
              <w:rPr>
                <w:b/>
                <w:bCs/>
                <w:sz w:val="16"/>
                <w:szCs w:val="16"/>
                <w:lang w:val="tr-TR"/>
              </w:rPr>
              <w:t>35</w:t>
            </w:r>
          </w:p>
        </w:tc>
        <w:tc>
          <w:tcPr>
            <w:tcW w:w="919" w:type="dxa"/>
            <w:tcBorders>
              <w:top w:val="nil"/>
              <w:left w:val="nil"/>
              <w:bottom w:val="nil"/>
              <w:right w:val="nil"/>
            </w:tcBorders>
            <w:shd w:val="clear" w:color="auto" w:fill="DEEAF6"/>
            <w:noWrap/>
            <w:vAlign w:val="center"/>
            <w:hideMark/>
          </w:tcPr>
          <w:p w14:paraId="7A198461" w14:textId="2905E8B9" w:rsidR="00F16E72" w:rsidRPr="001A4B94" w:rsidRDefault="00F16E72" w:rsidP="00F16E72">
            <w:pPr>
              <w:jc w:val="right"/>
              <w:rPr>
                <w:b/>
                <w:bCs/>
                <w:sz w:val="16"/>
                <w:szCs w:val="16"/>
                <w:lang w:val="tr-TR"/>
              </w:rPr>
            </w:pPr>
            <w:r w:rsidRPr="001A4B94">
              <w:rPr>
                <w:b/>
                <w:bCs/>
                <w:sz w:val="16"/>
                <w:szCs w:val="16"/>
                <w:lang w:val="tr-TR"/>
              </w:rPr>
              <w:t>4</w:t>
            </w:r>
            <w:r w:rsidR="00DB7216" w:rsidRPr="001A4B94">
              <w:rPr>
                <w:b/>
                <w:bCs/>
                <w:sz w:val="16"/>
                <w:szCs w:val="16"/>
                <w:lang w:val="tr-TR"/>
              </w:rPr>
              <w:t>.</w:t>
            </w:r>
            <w:r w:rsidRPr="001A4B94">
              <w:rPr>
                <w:b/>
                <w:bCs/>
                <w:sz w:val="16"/>
                <w:szCs w:val="16"/>
                <w:lang w:val="tr-TR"/>
              </w:rPr>
              <w:t>391</w:t>
            </w:r>
            <w:r w:rsidR="00DB7216" w:rsidRPr="001A4B94">
              <w:rPr>
                <w:b/>
                <w:bCs/>
                <w:sz w:val="16"/>
                <w:szCs w:val="16"/>
                <w:lang w:val="tr-TR"/>
              </w:rPr>
              <w:t>,</w:t>
            </w:r>
            <w:r w:rsidRPr="001A4B94">
              <w:rPr>
                <w:b/>
                <w:bCs/>
                <w:sz w:val="16"/>
                <w:szCs w:val="16"/>
                <w:lang w:val="tr-TR"/>
              </w:rPr>
              <w:t>73</w:t>
            </w:r>
          </w:p>
        </w:tc>
        <w:tc>
          <w:tcPr>
            <w:tcW w:w="1069" w:type="dxa"/>
            <w:tcBorders>
              <w:top w:val="nil"/>
              <w:left w:val="nil"/>
              <w:bottom w:val="nil"/>
              <w:right w:val="nil"/>
            </w:tcBorders>
            <w:shd w:val="clear" w:color="auto" w:fill="DEEAF6"/>
            <w:noWrap/>
            <w:hideMark/>
          </w:tcPr>
          <w:p w14:paraId="3FF88469" w14:textId="52DC9C64" w:rsidR="00F16E72" w:rsidRPr="001A4B94" w:rsidRDefault="00F16E72" w:rsidP="00F16E72">
            <w:pPr>
              <w:jc w:val="right"/>
              <w:rPr>
                <w:rFonts w:eastAsia="Arial Unicode MS"/>
                <w:b/>
                <w:bCs/>
                <w:sz w:val="16"/>
                <w:szCs w:val="16"/>
                <w:lang w:val="tr-TR"/>
              </w:rPr>
            </w:pPr>
            <w:r w:rsidRPr="001A4B94">
              <w:rPr>
                <w:rFonts w:eastAsia="Arial Unicode MS"/>
                <w:b/>
                <w:bCs/>
                <w:sz w:val="16"/>
                <w:szCs w:val="16"/>
                <w:lang w:val="tr-TR"/>
              </w:rPr>
              <w:t>917</w:t>
            </w:r>
            <w:r w:rsidR="00DB7216" w:rsidRPr="001A4B94">
              <w:rPr>
                <w:rFonts w:eastAsia="Arial Unicode MS"/>
                <w:b/>
                <w:bCs/>
                <w:sz w:val="16"/>
                <w:szCs w:val="16"/>
                <w:lang w:val="tr-TR"/>
              </w:rPr>
              <w:t>,</w:t>
            </w:r>
            <w:r w:rsidRPr="001A4B94">
              <w:rPr>
                <w:rFonts w:eastAsia="Arial Unicode MS"/>
                <w:b/>
                <w:bCs/>
                <w:sz w:val="16"/>
                <w:szCs w:val="16"/>
                <w:lang w:val="tr-TR"/>
              </w:rPr>
              <w:t>89</w:t>
            </w:r>
          </w:p>
        </w:tc>
        <w:tc>
          <w:tcPr>
            <w:tcW w:w="776" w:type="dxa"/>
            <w:tcBorders>
              <w:top w:val="nil"/>
              <w:left w:val="nil"/>
              <w:bottom w:val="nil"/>
              <w:right w:val="nil"/>
            </w:tcBorders>
            <w:shd w:val="clear" w:color="auto" w:fill="DEEAF6"/>
            <w:noWrap/>
            <w:vAlign w:val="center"/>
            <w:hideMark/>
          </w:tcPr>
          <w:p w14:paraId="3BFC7DB2" w14:textId="6936B334" w:rsidR="00F16E72" w:rsidRPr="001A4B94" w:rsidRDefault="00F16E72" w:rsidP="00F16E72">
            <w:pPr>
              <w:jc w:val="right"/>
              <w:rPr>
                <w:b/>
                <w:bCs/>
                <w:sz w:val="16"/>
                <w:szCs w:val="16"/>
                <w:lang w:val="tr-TR"/>
              </w:rPr>
            </w:pPr>
            <w:r w:rsidRPr="001A4B94">
              <w:rPr>
                <w:b/>
                <w:bCs/>
                <w:sz w:val="16"/>
                <w:szCs w:val="16"/>
                <w:lang w:val="tr-TR"/>
              </w:rPr>
              <w:t>2,177</w:t>
            </w:r>
            <w:r w:rsidR="00DB7216" w:rsidRPr="001A4B94">
              <w:rPr>
                <w:b/>
                <w:bCs/>
                <w:sz w:val="16"/>
                <w:szCs w:val="16"/>
                <w:lang w:val="tr-TR"/>
              </w:rPr>
              <w:t>,</w:t>
            </w:r>
            <w:r w:rsidRPr="001A4B94">
              <w:rPr>
                <w:b/>
                <w:bCs/>
                <w:sz w:val="16"/>
                <w:szCs w:val="16"/>
                <w:lang w:val="tr-TR"/>
              </w:rPr>
              <w:t>67</w:t>
            </w:r>
          </w:p>
        </w:tc>
        <w:tc>
          <w:tcPr>
            <w:tcW w:w="812" w:type="dxa"/>
            <w:tcBorders>
              <w:top w:val="nil"/>
              <w:left w:val="nil"/>
              <w:bottom w:val="nil"/>
              <w:right w:val="nil"/>
            </w:tcBorders>
            <w:shd w:val="clear" w:color="auto" w:fill="DEEAF6"/>
            <w:noWrap/>
            <w:vAlign w:val="center"/>
            <w:hideMark/>
          </w:tcPr>
          <w:p w14:paraId="606EEF6D" w14:textId="109ACE42" w:rsidR="00F16E72" w:rsidRPr="001A4B94" w:rsidRDefault="00F16E72" w:rsidP="00F16E72">
            <w:pPr>
              <w:jc w:val="right"/>
              <w:rPr>
                <w:b/>
                <w:bCs/>
                <w:sz w:val="16"/>
                <w:szCs w:val="16"/>
                <w:lang w:val="tr-TR"/>
              </w:rPr>
            </w:pPr>
            <w:r w:rsidRPr="001A4B94">
              <w:rPr>
                <w:b/>
                <w:bCs/>
                <w:sz w:val="16"/>
                <w:szCs w:val="16"/>
                <w:lang w:val="tr-TR"/>
              </w:rPr>
              <w:t>759</w:t>
            </w:r>
            <w:r w:rsidR="00DB7216" w:rsidRPr="001A4B94">
              <w:rPr>
                <w:b/>
                <w:bCs/>
                <w:sz w:val="16"/>
                <w:szCs w:val="16"/>
                <w:lang w:val="tr-TR"/>
              </w:rPr>
              <w:t>,</w:t>
            </w:r>
            <w:r w:rsidRPr="001A4B94">
              <w:rPr>
                <w:b/>
                <w:bCs/>
                <w:sz w:val="16"/>
                <w:szCs w:val="16"/>
                <w:lang w:val="tr-TR"/>
              </w:rPr>
              <w:t>29</w:t>
            </w:r>
          </w:p>
        </w:tc>
        <w:tc>
          <w:tcPr>
            <w:tcW w:w="812" w:type="dxa"/>
            <w:tcBorders>
              <w:top w:val="nil"/>
              <w:left w:val="nil"/>
              <w:bottom w:val="nil"/>
              <w:right w:val="nil"/>
            </w:tcBorders>
            <w:shd w:val="clear" w:color="auto" w:fill="DEEAF6"/>
            <w:noWrap/>
            <w:vAlign w:val="center"/>
            <w:hideMark/>
          </w:tcPr>
          <w:p w14:paraId="1AE419AB" w14:textId="551C2D42" w:rsidR="00F16E72" w:rsidRPr="001A4B94" w:rsidRDefault="00F16E72" w:rsidP="00F16E72">
            <w:pPr>
              <w:jc w:val="right"/>
              <w:rPr>
                <w:b/>
                <w:bCs/>
                <w:sz w:val="16"/>
                <w:szCs w:val="16"/>
                <w:lang w:val="tr-TR"/>
              </w:rPr>
            </w:pPr>
            <w:r w:rsidRPr="001A4B94">
              <w:rPr>
                <w:b/>
                <w:bCs/>
                <w:sz w:val="16"/>
                <w:szCs w:val="16"/>
                <w:lang w:val="tr-TR"/>
              </w:rPr>
              <w:t>238</w:t>
            </w:r>
            <w:r w:rsidR="00DB7216" w:rsidRPr="001A4B94">
              <w:rPr>
                <w:b/>
                <w:bCs/>
                <w:sz w:val="16"/>
                <w:szCs w:val="16"/>
                <w:lang w:val="tr-TR"/>
              </w:rPr>
              <w:t>,</w:t>
            </w:r>
            <w:r w:rsidRPr="001A4B94">
              <w:rPr>
                <w:b/>
                <w:bCs/>
                <w:sz w:val="16"/>
                <w:szCs w:val="16"/>
                <w:lang w:val="tr-TR"/>
              </w:rPr>
              <w:t>07</w:t>
            </w:r>
          </w:p>
        </w:tc>
        <w:tc>
          <w:tcPr>
            <w:tcW w:w="706" w:type="dxa"/>
            <w:tcBorders>
              <w:top w:val="nil"/>
              <w:left w:val="nil"/>
              <w:bottom w:val="nil"/>
              <w:right w:val="nil"/>
            </w:tcBorders>
            <w:shd w:val="clear" w:color="auto" w:fill="DEEAF6"/>
            <w:noWrap/>
            <w:vAlign w:val="center"/>
            <w:hideMark/>
          </w:tcPr>
          <w:p w14:paraId="3BB96C45" w14:textId="048D7058" w:rsidR="00F16E72" w:rsidRPr="001A4B94" w:rsidRDefault="00F16E72" w:rsidP="00F16E72">
            <w:pPr>
              <w:jc w:val="right"/>
              <w:rPr>
                <w:b/>
                <w:bCs/>
                <w:sz w:val="16"/>
                <w:szCs w:val="16"/>
                <w:lang w:val="tr-TR"/>
              </w:rPr>
            </w:pPr>
            <w:r w:rsidRPr="001A4B94">
              <w:rPr>
                <w:b/>
                <w:bCs/>
                <w:sz w:val="16"/>
                <w:szCs w:val="16"/>
                <w:lang w:val="tr-TR"/>
              </w:rPr>
              <w:t>750</w:t>
            </w:r>
            <w:r w:rsidR="00DB7216" w:rsidRPr="001A4B94">
              <w:rPr>
                <w:b/>
                <w:bCs/>
                <w:sz w:val="16"/>
                <w:szCs w:val="16"/>
                <w:lang w:val="tr-TR"/>
              </w:rPr>
              <w:t>,</w:t>
            </w:r>
            <w:r w:rsidRPr="001A4B94">
              <w:rPr>
                <w:b/>
                <w:bCs/>
                <w:sz w:val="16"/>
                <w:szCs w:val="16"/>
                <w:lang w:val="tr-TR"/>
              </w:rPr>
              <w:t>34</w:t>
            </w:r>
          </w:p>
        </w:tc>
        <w:tc>
          <w:tcPr>
            <w:tcW w:w="685" w:type="dxa"/>
            <w:tcBorders>
              <w:top w:val="nil"/>
              <w:left w:val="nil"/>
              <w:bottom w:val="nil"/>
              <w:right w:val="nil"/>
            </w:tcBorders>
            <w:shd w:val="clear" w:color="auto" w:fill="DEEAF6"/>
            <w:noWrap/>
            <w:vAlign w:val="center"/>
            <w:hideMark/>
          </w:tcPr>
          <w:p w14:paraId="537B60EB" w14:textId="5B4D3E91" w:rsidR="00F16E72" w:rsidRPr="001A4B94" w:rsidRDefault="00F16E72" w:rsidP="00F16E72">
            <w:pPr>
              <w:jc w:val="right"/>
              <w:rPr>
                <w:b/>
                <w:bCs/>
                <w:sz w:val="16"/>
                <w:szCs w:val="16"/>
                <w:lang w:val="tr-TR"/>
              </w:rPr>
            </w:pPr>
            <w:r w:rsidRPr="001A4B94">
              <w:rPr>
                <w:b/>
                <w:bCs/>
                <w:sz w:val="16"/>
                <w:szCs w:val="16"/>
                <w:lang w:val="tr-TR"/>
              </w:rPr>
              <w:t>14</w:t>
            </w:r>
            <w:r w:rsidR="00DB7216" w:rsidRPr="001A4B94">
              <w:rPr>
                <w:b/>
                <w:bCs/>
                <w:sz w:val="16"/>
                <w:szCs w:val="16"/>
                <w:lang w:val="tr-TR"/>
              </w:rPr>
              <w:t>,</w:t>
            </w:r>
            <w:r w:rsidRPr="001A4B94">
              <w:rPr>
                <w:b/>
                <w:bCs/>
                <w:sz w:val="16"/>
                <w:szCs w:val="16"/>
                <w:lang w:val="tr-TR"/>
              </w:rPr>
              <w:t>23</w:t>
            </w:r>
          </w:p>
        </w:tc>
        <w:tc>
          <w:tcPr>
            <w:tcW w:w="919" w:type="dxa"/>
            <w:tcBorders>
              <w:top w:val="nil"/>
              <w:left w:val="nil"/>
              <w:bottom w:val="nil"/>
              <w:right w:val="nil"/>
            </w:tcBorders>
            <w:shd w:val="clear" w:color="auto" w:fill="DEEAF6"/>
            <w:noWrap/>
            <w:vAlign w:val="center"/>
            <w:hideMark/>
          </w:tcPr>
          <w:p w14:paraId="3F41E6A5" w14:textId="65CDAC90" w:rsidR="00F16E72" w:rsidRPr="001A4B94" w:rsidRDefault="00F16E72" w:rsidP="00F16E72">
            <w:pPr>
              <w:jc w:val="right"/>
              <w:rPr>
                <w:b/>
                <w:bCs/>
                <w:sz w:val="16"/>
                <w:szCs w:val="16"/>
                <w:lang w:val="tr-TR"/>
              </w:rPr>
            </w:pPr>
            <w:r w:rsidRPr="001A4B94">
              <w:rPr>
                <w:b/>
                <w:bCs/>
                <w:sz w:val="16"/>
                <w:szCs w:val="16"/>
                <w:lang w:val="tr-TR"/>
              </w:rPr>
              <w:t>3</w:t>
            </w:r>
            <w:r w:rsidR="00DB7216" w:rsidRPr="001A4B94">
              <w:rPr>
                <w:b/>
                <w:bCs/>
                <w:sz w:val="16"/>
                <w:szCs w:val="16"/>
                <w:lang w:val="tr-TR"/>
              </w:rPr>
              <w:t>.</w:t>
            </w:r>
            <w:r w:rsidRPr="001A4B94">
              <w:rPr>
                <w:b/>
                <w:bCs/>
                <w:sz w:val="16"/>
                <w:szCs w:val="16"/>
                <w:lang w:val="tr-TR"/>
              </w:rPr>
              <w:t>939</w:t>
            </w:r>
            <w:r w:rsidR="00DB7216" w:rsidRPr="001A4B94">
              <w:rPr>
                <w:b/>
                <w:bCs/>
                <w:sz w:val="16"/>
                <w:szCs w:val="16"/>
                <w:lang w:val="tr-TR"/>
              </w:rPr>
              <w:t>,</w:t>
            </w:r>
            <w:r w:rsidRPr="001A4B94">
              <w:rPr>
                <w:b/>
                <w:bCs/>
                <w:sz w:val="16"/>
                <w:szCs w:val="16"/>
                <w:lang w:val="tr-TR"/>
              </w:rPr>
              <w:t>60</w:t>
            </w:r>
          </w:p>
        </w:tc>
        <w:tc>
          <w:tcPr>
            <w:tcW w:w="990" w:type="dxa"/>
            <w:tcBorders>
              <w:top w:val="nil"/>
              <w:left w:val="nil"/>
              <w:bottom w:val="nil"/>
              <w:right w:val="nil"/>
            </w:tcBorders>
            <w:shd w:val="clear" w:color="auto" w:fill="DEEAF6"/>
            <w:noWrap/>
            <w:vAlign w:val="center"/>
            <w:hideMark/>
          </w:tcPr>
          <w:p w14:paraId="5E3A2886" w14:textId="7D968A50" w:rsidR="00F16E72" w:rsidRPr="001A4B94" w:rsidRDefault="00F16E72" w:rsidP="00F16E72">
            <w:pPr>
              <w:jc w:val="right"/>
              <w:rPr>
                <w:b/>
                <w:bCs/>
                <w:sz w:val="16"/>
                <w:szCs w:val="16"/>
                <w:lang w:val="tr-TR"/>
              </w:rPr>
            </w:pPr>
            <w:r w:rsidRPr="001A4B94">
              <w:rPr>
                <w:b/>
                <w:bCs/>
                <w:sz w:val="16"/>
                <w:szCs w:val="16"/>
                <w:lang w:val="tr-TR"/>
              </w:rPr>
              <w:t>823</w:t>
            </w:r>
            <w:r w:rsidR="00DB7216" w:rsidRPr="001A4B94">
              <w:rPr>
                <w:b/>
                <w:bCs/>
                <w:sz w:val="16"/>
                <w:szCs w:val="16"/>
                <w:lang w:val="tr-TR"/>
              </w:rPr>
              <w:t>,</w:t>
            </w:r>
            <w:r w:rsidRPr="001A4B94">
              <w:rPr>
                <w:b/>
                <w:bCs/>
                <w:sz w:val="16"/>
                <w:szCs w:val="16"/>
                <w:lang w:val="tr-TR"/>
              </w:rPr>
              <w:t>77</w:t>
            </w:r>
          </w:p>
        </w:tc>
      </w:tr>
    </w:tbl>
    <w:p w14:paraId="1D62F511" w14:textId="77777777" w:rsidR="00F16E72" w:rsidRPr="001A4B94" w:rsidRDefault="00F16E72" w:rsidP="00F16E72">
      <w:pPr>
        <w:autoSpaceDE w:val="0"/>
        <w:autoSpaceDN w:val="0"/>
        <w:adjustRightInd w:val="0"/>
        <w:rPr>
          <w:lang w:val="tr-TR"/>
        </w:rPr>
      </w:pPr>
    </w:p>
    <w:p w14:paraId="48EC66AF" w14:textId="77777777" w:rsidR="00747261" w:rsidRPr="001A4B94" w:rsidRDefault="00747261" w:rsidP="00747261">
      <w:pPr>
        <w:autoSpaceDE w:val="0"/>
        <w:autoSpaceDN w:val="0"/>
        <w:adjustRightInd w:val="0"/>
        <w:rPr>
          <w:rFonts w:ascii="Arial" w:hAnsi="Arial" w:cs="Arial"/>
          <w:b/>
          <w:bCs/>
          <w:color w:val="000000"/>
          <w:lang w:val="tr-TR"/>
        </w:rPr>
      </w:pPr>
    </w:p>
    <w:p w14:paraId="302C24B6" w14:textId="77777777" w:rsidR="00747261" w:rsidRPr="001A4B94" w:rsidRDefault="00747261" w:rsidP="00747261">
      <w:pPr>
        <w:autoSpaceDE w:val="0"/>
        <w:autoSpaceDN w:val="0"/>
        <w:adjustRightInd w:val="0"/>
        <w:rPr>
          <w:rFonts w:ascii="Arial" w:hAnsi="Arial" w:cs="Arial"/>
          <w:b/>
          <w:bCs/>
          <w:color w:val="000000"/>
          <w:sz w:val="22"/>
          <w:szCs w:val="22"/>
          <w:lang w:val="tr-TR"/>
        </w:rPr>
        <w:sectPr w:rsidR="00747261" w:rsidRPr="001A4B94" w:rsidSect="00747261">
          <w:pgSz w:w="15840" w:h="12240" w:orient="landscape"/>
          <w:pgMar w:top="1440" w:right="1440" w:bottom="1440" w:left="1440" w:header="720" w:footer="720" w:gutter="0"/>
          <w:cols w:space="720"/>
          <w:docGrid w:linePitch="360"/>
        </w:sectPr>
      </w:pPr>
      <w:r w:rsidRPr="001A4B94">
        <w:rPr>
          <w:rFonts w:ascii="Arial" w:hAnsi="Arial" w:cs="Arial"/>
          <w:b/>
          <w:bCs/>
          <w:color w:val="000000"/>
          <w:sz w:val="22"/>
          <w:szCs w:val="22"/>
          <w:lang w:val="tr-TR"/>
        </w:rPr>
        <w:t xml:space="preserve"> </w:t>
      </w:r>
    </w:p>
    <w:p w14:paraId="34F9E4E3" w14:textId="4920C842" w:rsidR="007E27D8" w:rsidRPr="001A4B94" w:rsidRDefault="002A1771" w:rsidP="007E27D8">
      <w:pPr>
        <w:pStyle w:val="Balk1"/>
        <w:jc w:val="center"/>
        <w:rPr>
          <w:rFonts w:ascii="Times New Roman" w:hAnsi="Times New Roman" w:cs="Times New Roman"/>
          <w:b/>
          <w:color w:val="000000" w:themeColor="text1"/>
          <w:sz w:val="24"/>
          <w:szCs w:val="24"/>
          <w:lang w:val="tr-TR"/>
        </w:rPr>
      </w:pPr>
      <w:bookmarkStart w:id="28" w:name="_Toc494977336"/>
      <w:r w:rsidRPr="001A4B94">
        <w:rPr>
          <w:rFonts w:ascii="Times New Roman" w:hAnsi="Times New Roman" w:cs="Times New Roman"/>
          <w:b/>
          <w:color w:val="000000" w:themeColor="text1"/>
          <w:sz w:val="24"/>
          <w:szCs w:val="24"/>
          <w:lang w:val="tr-TR"/>
        </w:rPr>
        <w:lastRenderedPageBreak/>
        <w:t>Ek</w:t>
      </w:r>
      <w:r w:rsidR="007E27D8" w:rsidRPr="001A4B94">
        <w:rPr>
          <w:rFonts w:ascii="Times New Roman" w:hAnsi="Times New Roman" w:cs="Times New Roman"/>
          <w:b/>
          <w:color w:val="000000" w:themeColor="text1"/>
          <w:sz w:val="24"/>
          <w:szCs w:val="24"/>
          <w:lang w:val="tr-TR"/>
        </w:rPr>
        <w:t xml:space="preserve"> 6. MIGA </w:t>
      </w:r>
      <w:r w:rsidR="00010D71" w:rsidRPr="001A4B94">
        <w:rPr>
          <w:rFonts w:ascii="Times New Roman" w:hAnsi="Times New Roman" w:cs="Times New Roman"/>
          <w:b/>
          <w:color w:val="000000" w:themeColor="text1"/>
          <w:sz w:val="24"/>
          <w:szCs w:val="24"/>
          <w:lang w:val="tr-TR"/>
        </w:rPr>
        <w:t>Aktif Garantiler</w:t>
      </w:r>
      <w:bookmarkEnd w:id="28"/>
      <w:r w:rsidR="00010D71" w:rsidRPr="001A4B94">
        <w:rPr>
          <w:rFonts w:ascii="Times New Roman" w:hAnsi="Times New Roman" w:cs="Times New Roman"/>
          <w:b/>
          <w:color w:val="000000" w:themeColor="text1"/>
          <w:sz w:val="24"/>
          <w:szCs w:val="24"/>
          <w:lang w:val="tr-TR"/>
        </w:rPr>
        <w:t xml:space="preserve"> </w:t>
      </w:r>
    </w:p>
    <w:p w14:paraId="5511171C" w14:textId="3362DA2F" w:rsidR="007E27D8" w:rsidRPr="001A4B94" w:rsidRDefault="007E27D8" w:rsidP="007E27D8">
      <w:pPr>
        <w:spacing w:after="160" w:line="259" w:lineRule="auto"/>
        <w:contextualSpacing/>
        <w:jc w:val="center"/>
        <w:rPr>
          <w:rFonts w:eastAsiaTheme="minorHAnsi"/>
          <w:sz w:val="22"/>
          <w:szCs w:val="22"/>
          <w:lang w:val="tr-TR"/>
        </w:rPr>
      </w:pPr>
      <w:r w:rsidRPr="001A4B94">
        <w:rPr>
          <w:rFonts w:eastAsiaTheme="minorHAnsi"/>
          <w:sz w:val="22"/>
          <w:szCs w:val="22"/>
          <w:lang w:val="tr-TR"/>
        </w:rPr>
        <w:t>(</w:t>
      </w:r>
      <w:r w:rsidR="00010D71" w:rsidRPr="001A4B94">
        <w:rPr>
          <w:rFonts w:eastAsiaTheme="minorHAnsi"/>
          <w:sz w:val="22"/>
          <w:szCs w:val="22"/>
          <w:lang w:val="tr-TR"/>
        </w:rPr>
        <w:t xml:space="preserve">29 Temmuz </w:t>
      </w:r>
      <w:r w:rsidR="008D4514" w:rsidRPr="001A4B94">
        <w:rPr>
          <w:rFonts w:eastAsiaTheme="minorHAnsi"/>
          <w:sz w:val="22"/>
          <w:szCs w:val="22"/>
          <w:lang w:val="tr-TR"/>
        </w:rPr>
        <w:t>2017</w:t>
      </w:r>
      <w:r w:rsidR="00010D71" w:rsidRPr="001A4B94">
        <w:rPr>
          <w:rFonts w:eastAsiaTheme="minorHAnsi"/>
          <w:sz w:val="22"/>
          <w:szCs w:val="22"/>
          <w:lang w:val="tr-TR"/>
        </w:rPr>
        <w:t xml:space="preserve"> itibariyle</w:t>
      </w:r>
      <w:r w:rsidR="008D4514" w:rsidRPr="001A4B94">
        <w:rPr>
          <w:rFonts w:eastAsiaTheme="minorHAnsi"/>
          <w:sz w:val="22"/>
          <w:szCs w:val="22"/>
          <w:lang w:val="tr-TR"/>
        </w:rPr>
        <w:t>)</w:t>
      </w:r>
    </w:p>
    <w:p w14:paraId="4CC12FCD" w14:textId="3B85FEA8" w:rsidR="007E27D8" w:rsidRPr="001A4B94" w:rsidRDefault="007E27D8" w:rsidP="007E27D8">
      <w:pPr>
        <w:rPr>
          <w:lang w:val="tr-TR"/>
        </w:rPr>
      </w:pPr>
    </w:p>
    <w:tbl>
      <w:tblPr>
        <w:tblW w:w="10306" w:type="dxa"/>
        <w:tblInd w:w="-270" w:type="dxa"/>
        <w:tblLook w:val="04A0" w:firstRow="1" w:lastRow="0" w:firstColumn="1" w:lastColumn="0" w:noHBand="0" w:noVBand="1"/>
      </w:tblPr>
      <w:tblGrid>
        <w:gridCol w:w="1825"/>
        <w:gridCol w:w="2495"/>
        <w:gridCol w:w="981"/>
        <w:gridCol w:w="982"/>
        <w:gridCol w:w="1041"/>
        <w:gridCol w:w="1259"/>
        <w:gridCol w:w="1723"/>
      </w:tblGrid>
      <w:tr w:rsidR="00586699" w:rsidRPr="001A4B94" w14:paraId="7E77CB0F" w14:textId="77777777" w:rsidTr="00987009">
        <w:trPr>
          <w:trHeight w:val="575"/>
        </w:trPr>
        <w:tc>
          <w:tcPr>
            <w:tcW w:w="1825" w:type="dxa"/>
            <w:tcBorders>
              <w:top w:val="nil"/>
              <w:left w:val="nil"/>
              <w:bottom w:val="nil"/>
              <w:right w:val="nil"/>
            </w:tcBorders>
            <w:shd w:val="clear" w:color="FFFFFF" w:fill="3B5773"/>
            <w:vAlign w:val="center"/>
            <w:hideMark/>
          </w:tcPr>
          <w:p w14:paraId="7238B49A" w14:textId="3BBBEC44" w:rsidR="00586699" w:rsidRPr="001A4B94" w:rsidRDefault="00586699"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Proje </w:t>
            </w:r>
            <w:r w:rsidRPr="001A4B94">
              <w:rPr>
                <w:rFonts w:ascii="Arial" w:hAnsi="Arial" w:cs="Arial"/>
                <w:b/>
                <w:bCs/>
                <w:color w:val="FFFFFF"/>
                <w:sz w:val="14"/>
                <w:szCs w:val="14"/>
                <w:lang w:val="tr-TR"/>
              </w:rPr>
              <w:br/>
            </w:r>
            <w:r w:rsidRPr="001A4B94">
              <w:rPr>
                <w:rFonts w:ascii="Arial" w:hAnsi="Arial" w:cs="Arial"/>
                <w:b/>
                <w:bCs/>
                <w:color w:val="FFFFFF"/>
                <w:sz w:val="14"/>
                <w:szCs w:val="14"/>
                <w:lang w:val="tr-TR"/>
              </w:rPr>
              <w:br/>
            </w:r>
            <w:r w:rsidR="00DF39B2" w:rsidRPr="001A4B94">
              <w:rPr>
                <w:rFonts w:ascii="Arial" w:hAnsi="Arial" w:cs="Arial"/>
                <w:b/>
                <w:bCs/>
                <w:color w:val="FFFFFF"/>
                <w:sz w:val="14"/>
                <w:szCs w:val="14"/>
                <w:lang w:val="tr-TR"/>
              </w:rPr>
              <w:t>Adı</w:t>
            </w:r>
          </w:p>
        </w:tc>
        <w:tc>
          <w:tcPr>
            <w:tcW w:w="2495" w:type="dxa"/>
            <w:tcBorders>
              <w:top w:val="nil"/>
              <w:left w:val="nil"/>
              <w:bottom w:val="nil"/>
              <w:right w:val="nil"/>
            </w:tcBorders>
            <w:shd w:val="clear" w:color="FFFFFF" w:fill="3B5773"/>
            <w:vAlign w:val="center"/>
            <w:hideMark/>
          </w:tcPr>
          <w:p w14:paraId="04756AAA" w14:textId="65B7A535" w:rsidR="00586699" w:rsidRPr="001A4B94" w:rsidRDefault="00DF39B2"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Yatırımcı </w:t>
            </w:r>
            <w:r w:rsidR="00586699" w:rsidRPr="001A4B94">
              <w:rPr>
                <w:rFonts w:ascii="Arial" w:hAnsi="Arial" w:cs="Arial"/>
                <w:b/>
                <w:bCs/>
                <w:color w:val="FFFFFF"/>
                <w:sz w:val="14"/>
                <w:szCs w:val="14"/>
                <w:lang w:val="tr-TR"/>
              </w:rPr>
              <w:t xml:space="preserve"> </w:t>
            </w:r>
            <w:r w:rsidR="00586699" w:rsidRPr="001A4B94">
              <w:rPr>
                <w:rFonts w:ascii="Arial" w:hAnsi="Arial" w:cs="Arial"/>
                <w:b/>
                <w:bCs/>
                <w:color w:val="FFFFFF"/>
                <w:sz w:val="14"/>
                <w:szCs w:val="14"/>
                <w:lang w:val="tr-TR"/>
              </w:rPr>
              <w:br/>
            </w:r>
            <w:r w:rsidR="00586699" w:rsidRPr="001A4B94">
              <w:rPr>
                <w:rFonts w:ascii="Arial" w:hAnsi="Arial" w:cs="Arial"/>
                <w:b/>
                <w:bCs/>
                <w:color w:val="FFFFFF"/>
                <w:sz w:val="14"/>
                <w:szCs w:val="14"/>
                <w:lang w:val="tr-TR"/>
              </w:rPr>
              <w:br/>
            </w:r>
            <w:r w:rsidRPr="001A4B94">
              <w:rPr>
                <w:rFonts w:ascii="Arial" w:hAnsi="Arial" w:cs="Arial"/>
                <w:b/>
                <w:bCs/>
                <w:color w:val="FFFFFF"/>
                <w:sz w:val="14"/>
                <w:szCs w:val="14"/>
                <w:lang w:val="tr-TR"/>
              </w:rPr>
              <w:t>Adı</w:t>
            </w:r>
          </w:p>
        </w:tc>
        <w:tc>
          <w:tcPr>
            <w:tcW w:w="981" w:type="dxa"/>
            <w:tcBorders>
              <w:top w:val="nil"/>
              <w:left w:val="nil"/>
              <w:bottom w:val="nil"/>
              <w:right w:val="nil"/>
            </w:tcBorders>
            <w:shd w:val="clear" w:color="FFFFFF" w:fill="3B5773"/>
            <w:vAlign w:val="center"/>
            <w:hideMark/>
          </w:tcPr>
          <w:p w14:paraId="2789B2D5" w14:textId="2BA3ACBA" w:rsidR="00586699" w:rsidRPr="001A4B94" w:rsidRDefault="00DF39B2"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Yürürlük </w:t>
            </w:r>
            <w:r w:rsidR="00586699" w:rsidRPr="001A4B94">
              <w:rPr>
                <w:rFonts w:ascii="Arial" w:hAnsi="Arial" w:cs="Arial"/>
                <w:b/>
                <w:bCs/>
                <w:color w:val="FFFFFF"/>
                <w:sz w:val="14"/>
                <w:szCs w:val="14"/>
                <w:lang w:val="tr-TR"/>
              </w:rPr>
              <w:br/>
            </w:r>
            <w:r w:rsidR="00586699" w:rsidRPr="001A4B94">
              <w:rPr>
                <w:rFonts w:ascii="Arial" w:hAnsi="Arial" w:cs="Arial"/>
                <w:b/>
                <w:bCs/>
                <w:color w:val="FFFFFF"/>
                <w:sz w:val="14"/>
                <w:szCs w:val="14"/>
                <w:lang w:val="tr-TR"/>
              </w:rPr>
              <w:br/>
            </w:r>
            <w:r w:rsidRPr="001A4B94">
              <w:rPr>
                <w:rFonts w:ascii="Arial" w:hAnsi="Arial" w:cs="Arial"/>
                <w:b/>
                <w:bCs/>
                <w:color w:val="FFFFFF"/>
                <w:sz w:val="14"/>
                <w:szCs w:val="14"/>
                <w:lang w:val="tr-TR"/>
              </w:rPr>
              <w:t>Tarihi</w:t>
            </w:r>
          </w:p>
        </w:tc>
        <w:tc>
          <w:tcPr>
            <w:tcW w:w="982" w:type="dxa"/>
            <w:tcBorders>
              <w:top w:val="nil"/>
              <w:left w:val="nil"/>
              <w:bottom w:val="nil"/>
              <w:right w:val="nil"/>
            </w:tcBorders>
            <w:shd w:val="clear" w:color="FFFFFF" w:fill="3B5773"/>
            <w:vAlign w:val="center"/>
            <w:hideMark/>
          </w:tcPr>
          <w:p w14:paraId="689E5C42" w14:textId="6A8D39E7" w:rsidR="00586699" w:rsidRPr="001A4B94" w:rsidRDefault="00DF39B2"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Sona Erme </w:t>
            </w:r>
            <w:r w:rsidR="00586699" w:rsidRPr="001A4B94">
              <w:rPr>
                <w:rFonts w:ascii="Arial" w:hAnsi="Arial" w:cs="Arial"/>
                <w:b/>
                <w:bCs/>
                <w:color w:val="FFFFFF"/>
                <w:sz w:val="14"/>
                <w:szCs w:val="14"/>
                <w:lang w:val="tr-TR"/>
              </w:rPr>
              <w:br/>
            </w:r>
            <w:r w:rsidR="00586699" w:rsidRPr="001A4B94">
              <w:rPr>
                <w:rFonts w:ascii="Arial" w:hAnsi="Arial" w:cs="Arial"/>
                <w:b/>
                <w:bCs/>
                <w:color w:val="FFFFFF"/>
                <w:sz w:val="14"/>
                <w:szCs w:val="14"/>
                <w:lang w:val="tr-TR"/>
              </w:rPr>
              <w:br/>
            </w:r>
            <w:r w:rsidRPr="001A4B94">
              <w:rPr>
                <w:rFonts w:ascii="Arial" w:hAnsi="Arial" w:cs="Arial"/>
                <w:b/>
                <w:bCs/>
                <w:color w:val="FFFFFF"/>
                <w:sz w:val="14"/>
                <w:szCs w:val="14"/>
                <w:lang w:val="tr-TR"/>
              </w:rPr>
              <w:t>Tarihi</w:t>
            </w:r>
          </w:p>
        </w:tc>
        <w:tc>
          <w:tcPr>
            <w:tcW w:w="1041" w:type="dxa"/>
            <w:tcBorders>
              <w:top w:val="nil"/>
              <w:left w:val="nil"/>
              <w:bottom w:val="nil"/>
              <w:right w:val="nil"/>
            </w:tcBorders>
            <w:shd w:val="clear" w:color="FFFFFF" w:fill="3B5773"/>
            <w:vAlign w:val="center"/>
            <w:hideMark/>
          </w:tcPr>
          <w:p w14:paraId="1E4649BD" w14:textId="56392D67" w:rsidR="00586699" w:rsidRPr="001A4B94" w:rsidRDefault="00DF39B2"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İş </w:t>
            </w:r>
            <w:r w:rsidR="00586699" w:rsidRPr="001A4B94">
              <w:rPr>
                <w:rFonts w:ascii="Arial" w:hAnsi="Arial" w:cs="Arial"/>
                <w:b/>
                <w:bCs/>
                <w:color w:val="FFFFFF"/>
                <w:sz w:val="14"/>
                <w:szCs w:val="14"/>
                <w:lang w:val="tr-TR"/>
              </w:rPr>
              <w:br/>
            </w:r>
            <w:r w:rsidR="00586699" w:rsidRPr="001A4B94">
              <w:rPr>
                <w:rFonts w:ascii="Arial" w:hAnsi="Arial" w:cs="Arial"/>
                <w:b/>
                <w:bCs/>
                <w:color w:val="FFFFFF"/>
                <w:sz w:val="14"/>
                <w:szCs w:val="14"/>
                <w:lang w:val="tr-TR"/>
              </w:rPr>
              <w:br/>
            </w:r>
            <w:r w:rsidRPr="001A4B94">
              <w:rPr>
                <w:rFonts w:ascii="Arial" w:hAnsi="Arial" w:cs="Arial"/>
                <w:b/>
                <w:bCs/>
                <w:color w:val="FFFFFF"/>
                <w:sz w:val="14"/>
                <w:szCs w:val="14"/>
                <w:lang w:val="tr-TR"/>
              </w:rPr>
              <w:t xml:space="preserve">Sektörü </w:t>
            </w:r>
          </w:p>
        </w:tc>
        <w:tc>
          <w:tcPr>
            <w:tcW w:w="1259" w:type="dxa"/>
            <w:tcBorders>
              <w:top w:val="nil"/>
              <w:left w:val="nil"/>
              <w:bottom w:val="nil"/>
              <w:right w:val="nil"/>
            </w:tcBorders>
            <w:shd w:val="clear" w:color="FFFFFF" w:fill="3B5773"/>
            <w:vAlign w:val="center"/>
            <w:hideMark/>
          </w:tcPr>
          <w:p w14:paraId="43FCC816" w14:textId="77777777" w:rsidR="00DF39B2" w:rsidRPr="001A4B94" w:rsidRDefault="00DF39B2"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Yatırımcı </w:t>
            </w:r>
          </w:p>
          <w:p w14:paraId="09879182" w14:textId="4106FBF5" w:rsidR="00586699" w:rsidRPr="001A4B94" w:rsidRDefault="00DF39B2"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Ülkesi </w:t>
            </w:r>
          </w:p>
        </w:tc>
        <w:tc>
          <w:tcPr>
            <w:tcW w:w="1723" w:type="dxa"/>
            <w:tcBorders>
              <w:top w:val="nil"/>
              <w:left w:val="nil"/>
              <w:bottom w:val="nil"/>
              <w:right w:val="nil"/>
            </w:tcBorders>
            <w:shd w:val="clear" w:color="FFFFFF" w:fill="3B5773"/>
            <w:vAlign w:val="center"/>
            <w:hideMark/>
          </w:tcPr>
          <w:p w14:paraId="30E5E465" w14:textId="0770BC7B" w:rsidR="00586699" w:rsidRPr="001A4B94" w:rsidRDefault="00DF39B2" w:rsidP="00586699">
            <w:pPr>
              <w:jc w:val="center"/>
              <w:rPr>
                <w:rFonts w:ascii="Arial" w:hAnsi="Arial" w:cs="Arial"/>
                <w:b/>
                <w:bCs/>
                <w:color w:val="FFFFFF"/>
                <w:sz w:val="14"/>
                <w:szCs w:val="14"/>
                <w:lang w:val="tr-TR"/>
              </w:rPr>
            </w:pPr>
            <w:r w:rsidRPr="001A4B94">
              <w:rPr>
                <w:rFonts w:ascii="Arial" w:hAnsi="Arial" w:cs="Arial"/>
                <w:b/>
                <w:bCs/>
                <w:color w:val="FFFFFF"/>
                <w:sz w:val="14"/>
                <w:szCs w:val="14"/>
                <w:lang w:val="tr-TR"/>
              </w:rPr>
              <w:t xml:space="preserve">Risk Toplamı </w:t>
            </w:r>
            <w:r w:rsidR="00586699" w:rsidRPr="001A4B94">
              <w:rPr>
                <w:rFonts w:ascii="Arial" w:hAnsi="Arial" w:cs="Arial"/>
                <w:b/>
                <w:bCs/>
                <w:color w:val="FFFFFF"/>
                <w:sz w:val="14"/>
                <w:szCs w:val="14"/>
                <w:lang w:val="tr-TR"/>
              </w:rPr>
              <w:br/>
            </w:r>
            <w:r w:rsidR="00586699" w:rsidRPr="001A4B94">
              <w:rPr>
                <w:rFonts w:ascii="Arial" w:hAnsi="Arial" w:cs="Arial"/>
                <w:b/>
                <w:bCs/>
                <w:color w:val="FFFFFF"/>
                <w:sz w:val="14"/>
                <w:szCs w:val="14"/>
                <w:lang w:val="tr-TR"/>
              </w:rPr>
              <w:br/>
              <w:t>(</w:t>
            </w:r>
            <w:r w:rsidRPr="001A4B94">
              <w:rPr>
                <w:rFonts w:ascii="Arial" w:hAnsi="Arial" w:cs="Arial"/>
                <w:b/>
                <w:bCs/>
                <w:color w:val="FFFFFF"/>
                <w:sz w:val="14"/>
                <w:szCs w:val="14"/>
                <w:lang w:val="tr-TR"/>
              </w:rPr>
              <w:t>ABD</w:t>
            </w:r>
            <w:r w:rsidR="00586699" w:rsidRPr="001A4B94">
              <w:rPr>
                <w:rFonts w:ascii="Arial" w:hAnsi="Arial" w:cs="Arial"/>
                <w:b/>
                <w:bCs/>
                <w:color w:val="FFFFFF"/>
                <w:sz w:val="14"/>
                <w:szCs w:val="14"/>
                <w:lang w:val="tr-TR"/>
              </w:rPr>
              <w:t>$)</w:t>
            </w:r>
          </w:p>
        </w:tc>
      </w:tr>
      <w:tr w:rsidR="00586699" w:rsidRPr="001A4B94" w14:paraId="0F36E2E0" w14:textId="77777777" w:rsidTr="00987009">
        <w:trPr>
          <w:trHeight w:val="432"/>
        </w:trPr>
        <w:tc>
          <w:tcPr>
            <w:tcW w:w="1825" w:type="dxa"/>
            <w:tcBorders>
              <w:top w:val="nil"/>
              <w:left w:val="nil"/>
              <w:bottom w:val="nil"/>
              <w:right w:val="nil"/>
            </w:tcBorders>
            <w:shd w:val="clear" w:color="FFFFFF" w:fill="FFFFFF"/>
            <w:vAlign w:val="center"/>
            <w:hideMark/>
          </w:tcPr>
          <w:p w14:paraId="54B5EC85"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Orfin Finansman A.S.</w:t>
            </w:r>
          </w:p>
        </w:tc>
        <w:tc>
          <w:tcPr>
            <w:tcW w:w="2495" w:type="dxa"/>
            <w:tcBorders>
              <w:top w:val="nil"/>
              <w:left w:val="nil"/>
              <w:bottom w:val="nil"/>
              <w:right w:val="nil"/>
            </w:tcBorders>
            <w:shd w:val="clear" w:color="FFFFFF" w:fill="FFFFFF"/>
            <w:vAlign w:val="center"/>
            <w:hideMark/>
          </w:tcPr>
          <w:p w14:paraId="623F7DB6"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RCI Banque S.A.</w:t>
            </w:r>
          </w:p>
        </w:tc>
        <w:tc>
          <w:tcPr>
            <w:tcW w:w="981" w:type="dxa"/>
            <w:tcBorders>
              <w:top w:val="nil"/>
              <w:left w:val="nil"/>
              <w:bottom w:val="nil"/>
              <w:right w:val="nil"/>
            </w:tcBorders>
            <w:shd w:val="clear" w:color="FFFFFF" w:fill="FFFFFF"/>
            <w:vAlign w:val="center"/>
            <w:hideMark/>
          </w:tcPr>
          <w:p w14:paraId="38C68F53"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12/31/2014</w:t>
            </w:r>
          </w:p>
        </w:tc>
        <w:tc>
          <w:tcPr>
            <w:tcW w:w="982" w:type="dxa"/>
            <w:tcBorders>
              <w:top w:val="nil"/>
              <w:left w:val="nil"/>
              <w:bottom w:val="nil"/>
              <w:right w:val="nil"/>
            </w:tcBorders>
            <w:shd w:val="clear" w:color="FFFFFF" w:fill="FFFFFF"/>
            <w:vAlign w:val="center"/>
            <w:hideMark/>
          </w:tcPr>
          <w:p w14:paraId="347545AF"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12/30/2021</w:t>
            </w:r>
          </w:p>
        </w:tc>
        <w:tc>
          <w:tcPr>
            <w:tcW w:w="1041" w:type="dxa"/>
            <w:tcBorders>
              <w:top w:val="nil"/>
              <w:left w:val="nil"/>
              <w:bottom w:val="nil"/>
              <w:right w:val="nil"/>
            </w:tcBorders>
            <w:shd w:val="clear" w:color="FFFFFF" w:fill="FFFFFF"/>
            <w:vAlign w:val="center"/>
            <w:hideMark/>
          </w:tcPr>
          <w:p w14:paraId="11FF1EF2" w14:textId="6FBADB7B"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Finansal</w:t>
            </w:r>
          </w:p>
        </w:tc>
        <w:tc>
          <w:tcPr>
            <w:tcW w:w="1259" w:type="dxa"/>
            <w:tcBorders>
              <w:top w:val="nil"/>
              <w:left w:val="nil"/>
              <w:bottom w:val="nil"/>
              <w:right w:val="nil"/>
            </w:tcBorders>
            <w:shd w:val="clear" w:color="FFFFFF" w:fill="FFFFFF"/>
            <w:vAlign w:val="center"/>
            <w:hideMark/>
          </w:tcPr>
          <w:p w14:paraId="0352F1A0" w14:textId="60FBA55C"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Fransa</w:t>
            </w:r>
          </w:p>
        </w:tc>
        <w:tc>
          <w:tcPr>
            <w:tcW w:w="1723" w:type="dxa"/>
            <w:tcBorders>
              <w:top w:val="nil"/>
              <w:left w:val="nil"/>
              <w:bottom w:val="nil"/>
              <w:right w:val="nil"/>
            </w:tcBorders>
            <w:shd w:val="clear" w:color="FFFFFF" w:fill="FFFFFF"/>
            <w:vAlign w:val="center"/>
            <w:hideMark/>
          </w:tcPr>
          <w:p w14:paraId="200C3416" w14:textId="36DAAC39"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53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496</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875</w:t>
            </w:r>
          </w:p>
        </w:tc>
      </w:tr>
      <w:tr w:rsidR="005B3CDA" w:rsidRPr="001A4B94" w14:paraId="33BB1B46" w14:textId="77777777" w:rsidTr="009A64F4">
        <w:trPr>
          <w:trHeight w:val="360"/>
        </w:trPr>
        <w:tc>
          <w:tcPr>
            <w:tcW w:w="1825" w:type="dxa"/>
            <w:tcBorders>
              <w:top w:val="nil"/>
              <w:left w:val="nil"/>
              <w:bottom w:val="nil"/>
              <w:right w:val="nil"/>
            </w:tcBorders>
            <w:shd w:val="clear" w:color="FFFFFF" w:fill="FFFFFF"/>
            <w:vAlign w:val="center"/>
            <w:hideMark/>
          </w:tcPr>
          <w:p w14:paraId="47AA5C4E" w14:textId="4033AAD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Türk Eximbank</w:t>
            </w:r>
          </w:p>
        </w:tc>
        <w:tc>
          <w:tcPr>
            <w:tcW w:w="2495" w:type="dxa"/>
            <w:tcBorders>
              <w:top w:val="nil"/>
              <w:left w:val="nil"/>
              <w:bottom w:val="nil"/>
              <w:right w:val="nil"/>
            </w:tcBorders>
            <w:shd w:val="clear" w:color="FFFFFF" w:fill="FFFFFF"/>
            <w:vAlign w:val="center"/>
            <w:hideMark/>
          </w:tcPr>
          <w:p w14:paraId="6DA3E743"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Norddeutsche Landesbank Girozentrale</w:t>
            </w:r>
          </w:p>
        </w:tc>
        <w:tc>
          <w:tcPr>
            <w:tcW w:w="981" w:type="dxa"/>
            <w:tcBorders>
              <w:top w:val="nil"/>
              <w:left w:val="nil"/>
              <w:bottom w:val="nil"/>
              <w:right w:val="nil"/>
            </w:tcBorders>
            <w:shd w:val="clear" w:color="FFFFFF" w:fill="FFFFFF"/>
            <w:vAlign w:val="center"/>
            <w:hideMark/>
          </w:tcPr>
          <w:p w14:paraId="43EBE7C1"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03/31/2015</w:t>
            </w:r>
          </w:p>
        </w:tc>
        <w:tc>
          <w:tcPr>
            <w:tcW w:w="982" w:type="dxa"/>
            <w:tcBorders>
              <w:top w:val="nil"/>
              <w:left w:val="nil"/>
              <w:bottom w:val="nil"/>
              <w:right w:val="nil"/>
            </w:tcBorders>
            <w:shd w:val="clear" w:color="FFFFFF" w:fill="FFFFFF"/>
            <w:vAlign w:val="center"/>
            <w:hideMark/>
          </w:tcPr>
          <w:p w14:paraId="4C26BF0A"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03/28/2025</w:t>
            </w:r>
          </w:p>
        </w:tc>
        <w:tc>
          <w:tcPr>
            <w:tcW w:w="1041" w:type="dxa"/>
            <w:tcBorders>
              <w:top w:val="nil"/>
              <w:left w:val="nil"/>
              <w:bottom w:val="nil"/>
              <w:right w:val="nil"/>
            </w:tcBorders>
            <w:shd w:val="clear" w:color="FFFFFF" w:fill="FFFFFF"/>
            <w:hideMark/>
          </w:tcPr>
          <w:p w14:paraId="057BBA01" w14:textId="74FCAA1A"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Finansal</w:t>
            </w:r>
          </w:p>
        </w:tc>
        <w:tc>
          <w:tcPr>
            <w:tcW w:w="1259" w:type="dxa"/>
            <w:tcBorders>
              <w:top w:val="nil"/>
              <w:left w:val="nil"/>
              <w:bottom w:val="nil"/>
              <w:right w:val="nil"/>
            </w:tcBorders>
            <w:shd w:val="clear" w:color="FFFFFF" w:fill="FFFFFF"/>
            <w:vAlign w:val="center"/>
            <w:hideMark/>
          </w:tcPr>
          <w:p w14:paraId="769B63E5" w14:textId="00C6A73D"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İngiltere</w:t>
            </w:r>
          </w:p>
        </w:tc>
        <w:tc>
          <w:tcPr>
            <w:tcW w:w="1723" w:type="dxa"/>
            <w:tcBorders>
              <w:top w:val="nil"/>
              <w:left w:val="nil"/>
              <w:bottom w:val="nil"/>
              <w:right w:val="nil"/>
            </w:tcBorders>
            <w:shd w:val="clear" w:color="FFFFFF" w:fill="FFFFFF"/>
            <w:vAlign w:val="center"/>
            <w:hideMark/>
          </w:tcPr>
          <w:p w14:paraId="4254367C" w14:textId="06BF2294" w:rsidR="005B3CDA" w:rsidRPr="001A4B94" w:rsidRDefault="005B3CDA" w:rsidP="005B3CDA">
            <w:pPr>
              <w:jc w:val="right"/>
              <w:rPr>
                <w:rFonts w:ascii="Arial" w:hAnsi="Arial" w:cs="Arial"/>
                <w:color w:val="000000"/>
                <w:sz w:val="14"/>
                <w:szCs w:val="14"/>
                <w:lang w:val="tr-TR"/>
              </w:rPr>
            </w:pPr>
            <w:r w:rsidRPr="001A4B94">
              <w:rPr>
                <w:rFonts w:ascii="Arial" w:hAnsi="Arial" w:cs="Arial"/>
                <w:color w:val="000000"/>
                <w:sz w:val="14"/>
                <w:szCs w:val="14"/>
                <w:lang w:val="tr-TR"/>
              </w:rPr>
              <w:t>103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868</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399</w:t>
            </w:r>
          </w:p>
        </w:tc>
      </w:tr>
      <w:tr w:rsidR="005B3CDA" w:rsidRPr="001A4B94" w14:paraId="63B19426" w14:textId="77777777" w:rsidTr="009A64F4">
        <w:trPr>
          <w:trHeight w:val="450"/>
        </w:trPr>
        <w:tc>
          <w:tcPr>
            <w:tcW w:w="1825" w:type="dxa"/>
            <w:tcBorders>
              <w:top w:val="nil"/>
              <w:left w:val="nil"/>
              <w:bottom w:val="nil"/>
              <w:right w:val="nil"/>
            </w:tcBorders>
            <w:shd w:val="clear" w:color="FFFFFF" w:fill="FFFFFF"/>
            <w:vAlign w:val="center"/>
            <w:hideMark/>
          </w:tcPr>
          <w:p w14:paraId="2C12194F" w14:textId="3AC29831"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Türk Eximbank</w:t>
            </w:r>
          </w:p>
        </w:tc>
        <w:tc>
          <w:tcPr>
            <w:tcW w:w="2495" w:type="dxa"/>
            <w:tcBorders>
              <w:top w:val="nil"/>
              <w:left w:val="nil"/>
              <w:bottom w:val="nil"/>
              <w:right w:val="nil"/>
            </w:tcBorders>
            <w:shd w:val="clear" w:color="FFFFFF" w:fill="FFFFFF"/>
            <w:vAlign w:val="center"/>
            <w:hideMark/>
          </w:tcPr>
          <w:p w14:paraId="4D61AD1C"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Citibank Europe plc, UK Branch</w:t>
            </w:r>
          </w:p>
        </w:tc>
        <w:tc>
          <w:tcPr>
            <w:tcW w:w="981" w:type="dxa"/>
            <w:tcBorders>
              <w:top w:val="nil"/>
              <w:left w:val="nil"/>
              <w:bottom w:val="nil"/>
              <w:right w:val="nil"/>
            </w:tcBorders>
            <w:shd w:val="clear" w:color="FFFFFF" w:fill="FFFFFF"/>
            <w:vAlign w:val="center"/>
            <w:hideMark/>
          </w:tcPr>
          <w:p w14:paraId="373AFAF7"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03/31/2015</w:t>
            </w:r>
          </w:p>
        </w:tc>
        <w:tc>
          <w:tcPr>
            <w:tcW w:w="982" w:type="dxa"/>
            <w:tcBorders>
              <w:top w:val="nil"/>
              <w:left w:val="nil"/>
              <w:bottom w:val="nil"/>
              <w:right w:val="nil"/>
            </w:tcBorders>
            <w:shd w:val="clear" w:color="FFFFFF" w:fill="FFFFFF"/>
            <w:vAlign w:val="center"/>
            <w:hideMark/>
          </w:tcPr>
          <w:p w14:paraId="6CBAAFDE"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03/28/2025</w:t>
            </w:r>
          </w:p>
        </w:tc>
        <w:tc>
          <w:tcPr>
            <w:tcW w:w="1041" w:type="dxa"/>
            <w:tcBorders>
              <w:top w:val="nil"/>
              <w:left w:val="nil"/>
              <w:bottom w:val="nil"/>
              <w:right w:val="nil"/>
            </w:tcBorders>
            <w:shd w:val="clear" w:color="FFFFFF" w:fill="FFFFFF"/>
            <w:hideMark/>
          </w:tcPr>
          <w:p w14:paraId="50F9C531" w14:textId="2B6F8589"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Finansal</w:t>
            </w:r>
          </w:p>
        </w:tc>
        <w:tc>
          <w:tcPr>
            <w:tcW w:w="1259" w:type="dxa"/>
            <w:tcBorders>
              <w:top w:val="nil"/>
              <w:left w:val="nil"/>
              <w:bottom w:val="nil"/>
              <w:right w:val="nil"/>
            </w:tcBorders>
            <w:shd w:val="clear" w:color="FFFFFF" w:fill="FFFFFF"/>
            <w:vAlign w:val="center"/>
            <w:hideMark/>
          </w:tcPr>
          <w:p w14:paraId="190ED839" w14:textId="2BDC1003"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İngiltere</w:t>
            </w:r>
          </w:p>
        </w:tc>
        <w:tc>
          <w:tcPr>
            <w:tcW w:w="1723" w:type="dxa"/>
            <w:tcBorders>
              <w:top w:val="nil"/>
              <w:left w:val="nil"/>
              <w:bottom w:val="nil"/>
              <w:right w:val="nil"/>
            </w:tcBorders>
            <w:shd w:val="clear" w:color="FFFFFF" w:fill="FFFFFF"/>
            <w:vAlign w:val="center"/>
            <w:hideMark/>
          </w:tcPr>
          <w:p w14:paraId="6989BA00" w14:textId="627B2C79" w:rsidR="005B3CDA" w:rsidRPr="001A4B94" w:rsidRDefault="005B3CDA" w:rsidP="005B3CDA">
            <w:pPr>
              <w:jc w:val="right"/>
              <w:rPr>
                <w:rFonts w:ascii="Arial" w:hAnsi="Arial" w:cs="Arial"/>
                <w:color w:val="000000"/>
                <w:sz w:val="14"/>
                <w:szCs w:val="14"/>
                <w:lang w:val="tr-TR"/>
              </w:rPr>
            </w:pPr>
            <w:r w:rsidRPr="001A4B94">
              <w:rPr>
                <w:rFonts w:ascii="Arial" w:hAnsi="Arial" w:cs="Arial"/>
                <w:color w:val="000000"/>
                <w:sz w:val="14"/>
                <w:szCs w:val="14"/>
                <w:lang w:val="tr-TR"/>
              </w:rPr>
              <w:t>193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150</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363</w:t>
            </w:r>
          </w:p>
        </w:tc>
      </w:tr>
      <w:tr w:rsidR="005B3CDA" w:rsidRPr="001A4B94" w14:paraId="0632DCE6" w14:textId="77777777" w:rsidTr="009A64F4">
        <w:trPr>
          <w:trHeight w:val="360"/>
        </w:trPr>
        <w:tc>
          <w:tcPr>
            <w:tcW w:w="1825" w:type="dxa"/>
            <w:tcBorders>
              <w:top w:val="nil"/>
              <w:left w:val="nil"/>
              <w:bottom w:val="nil"/>
              <w:right w:val="nil"/>
            </w:tcBorders>
            <w:shd w:val="clear" w:color="FFFFFF" w:fill="FFFFFF"/>
            <w:vAlign w:val="center"/>
            <w:hideMark/>
          </w:tcPr>
          <w:p w14:paraId="2E8D6334" w14:textId="37310DDA"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 xml:space="preserve">Türk </w:t>
            </w:r>
            <w:r w:rsidR="003767E7" w:rsidRPr="001A4B94">
              <w:rPr>
                <w:rFonts w:ascii="Arial" w:hAnsi="Arial" w:cs="Arial"/>
                <w:color w:val="000000"/>
                <w:sz w:val="14"/>
                <w:szCs w:val="14"/>
                <w:lang w:val="tr-TR"/>
              </w:rPr>
              <w:t>Eximbank</w:t>
            </w:r>
            <w:r w:rsidRPr="001A4B94">
              <w:rPr>
                <w:rFonts w:ascii="Arial" w:hAnsi="Arial" w:cs="Arial"/>
                <w:color w:val="000000"/>
                <w:sz w:val="14"/>
                <w:szCs w:val="14"/>
                <w:lang w:val="tr-TR"/>
              </w:rPr>
              <w:t xml:space="preserve"> II</w:t>
            </w:r>
          </w:p>
        </w:tc>
        <w:tc>
          <w:tcPr>
            <w:tcW w:w="2495" w:type="dxa"/>
            <w:tcBorders>
              <w:top w:val="nil"/>
              <w:left w:val="nil"/>
              <w:bottom w:val="nil"/>
              <w:right w:val="nil"/>
            </w:tcBorders>
            <w:shd w:val="clear" w:color="FFFFFF" w:fill="FFFFFF"/>
            <w:vAlign w:val="center"/>
            <w:hideMark/>
          </w:tcPr>
          <w:p w14:paraId="01237CDD"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Citibank N.A.</w:t>
            </w:r>
          </w:p>
        </w:tc>
        <w:tc>
          <w:tcPr>
            <w:tcW w:w="981" w:type="dxa"/>
            <w:tcBorders>
              <w:top w:val="nil"/>
              <w:left w:val="nil"/>
              <w:bottom w:val="nil"/>
              <w:right w:val="nil"/>
            </w:tcBorders>
            <w:shd w:val="clear" w:color="FFFFFF" w:fill="FFFFFF"/>
            <w:vAlign w:val="center"/>
            <w:hideMark/>
          </w:tcPr>
          <w:p w14:paraId="4979DBE3"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06/30/2016</w:t>
            </w:r>
          </w:p>
        </w:tc>
        <w:tc>
          <w:tcPr>
            <w:tcW w:w="982" w:type="dxa"/>
            <w:tcBorders>
              <w:top w:val="nil"/>
              <w:left w:val="nil"/>
              <w:bottom w:val="nil"/>
              <w:right w:val="nil"/>
            </w:tcBorders>
            <w:shd w:val="clear" w:color="FFFFFF" w:fill="FFFFFF"/>
            <w:vAlign w:val="center"/>
            <w:hideMark/>
          </w:tcPr>
          <w:p w14:paraId="62F576BF"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06/29/2026</w:t>
            </w:r>
          </w:p>
        </w:tc>
        <w:tc>
          <w:tcPr>
            <w:tcW w:w="1041" w:type="dxa"/>
            <w:tcBorders>
              <w:top w:val="nil"/>
              <w:left w:val="nil"/>
              <w:bottom w:val="nil"/>
              <w:right w:val="nil"/>
            </w:tcBorders>
            <w:shd w:val="clear" w:color="FFFFFF" w:fill="FFFFFF"/>
            <w:hideMark/>
          </w:tcPr>
          <w:p w14:paraId="7DD9562C" w14:textId="1196A872"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Finansal</w:t>
            </w:r>
          </w:p>
        </w:tc>
        <w:tc>
          <w:tcPr>
            <w:tcW w:w="1259" w:type="dxa"/>
            <w:tcBorders>
              <w:top w:val="nil"/>
              <w:left w:val="nil"/>
              <w:bottom w:val="nil"/>
              <w:right w:val="nil"/>
            </w:tcBorders>
            <w:shd w:val="clear" w:color="FFFFFF" w:fill="FFFFFF"/>
            <w:vAlign w:val="center"/>
            <w:hideMark/>
          </w:tcPr>
          <w:p w14:paraId="15CBDF8E" w14:textId="6D3CE1B8"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ABD</w:t>
            </w:r>
          </w:p>
        </w:tc>
        <w:tc>
          <w:tcPr>
            <w:tcW w:w="1723" w:type="dxa"/>
            <w:tcBorders>
              <w:top w:val="nil"/>
              <w:left w:val="nil"/>
              <w:bottom w:val="nil"/>
              <w:right w:val="nil"/>
            </w:tcBorders>
            <w:shd w:val="clear" w:color="FFFFFF" w:fill="FFFFFF"/>
            <w:vAlign w:val="center"/>
            <w:hideMark/>
          </w:tcPr>
          <w:p w14:paraId="494C10F2" w14:textId="23DC5176" w:rsidR="005B3CDA" w:rsidRPr="001A4B94" w:rsidRDefault="005B3CDA" w:rsidP="005B3CDA">
            <w:pPr>
              <w:jc w:val="right"/>
              <w:rPr>
                <w:rFonts w:ascii="Arial" w:hAnsi="Arial" w:cs="Arial"/>
                <w:color w:val="000000"/>
                <w:sz w:val="14"/>
                <w:szCs w:val="14"/>
                <w:lang w:val="tr-TR"/>
              </w:rPr>
            </w:pPr>
            <w:r w:rsidRPr="001A4B94">
              <w:rPr>
                <w:rFonts w:ascii="Arial" w:hAnsi="Arial" w:cs="Arial"/>
                <w:color w:val="000000"/>
                <w:sz w:val="14"/>
                <w:szCs w:val="14"/>
                <w:lang w:val="tr-TR"/>
              </w:rPr>
              <w:t>609</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645</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368</w:t>
            </w:r>
          </w:p>
        </w:tc>
      </w:tr>
      <w:tr w:rsidR="005B3CDA" w:rsidRPr="001A4B94" w14:paraId="6A202A4A" w14:textId="77777777" w:rsidTr="009A64F4">
        <w:trPr>
          <w:trHeight w:val="360"/>
        </w:trPr>
        <w:tc>
          <w:tcPr>
            <w:tcW w:w="1825" w:type="dxa"/>
            <w:tcBorders>
              <w:top w:val="nil"/>
              <w:left w:val="nil"/>
              <w:bottom w:val="nil"/>
              <w:right w:val="nil"/>
            </w:tcBorders>
            <w:shd w:val="clear" w:color="FFFFFF" w:fill="FFFFFF"/>
            <w:vAlign w:val="center"/>
            <w:hideMark/>
          </w:tcPr>
          <w:p w14:paraId="685113E2" w14:textId="05D41574"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 xml:space="preserve">Türk </w:t>
            </w:r>
            <w:r w:rsidR="003767E7" w:rsidRPr="001A4B94">
              <w:rPr>
                <w:rFonts w:ascii="Arial" w:hAnsi="Arial" w:cs="Arial"/>
                <w:color w:val="000000"/>
                <w:sz w:val="14"/>
                <w:szCs w:val="14"/>
                <w:lang w:val="tr-TR"/>
              </w:rPr>
              <w:t>Eximbank</w:t>
            </w:r>
            <w:r w:rsidRPr="001A4B94">
              <w:rPr>
                <w:rFonts w:ascii="Arial" w:hAnsi="Arial" w:cs="Arial"/>
                <w:color w:val="000000"/>
                <w:sz w:val="14"/>
                <w:szCs w:val="14"/>
                <w:lang w:val="tr-TR"/>
              </w:rPr>
              <w:t xml:space="preserve"> II</w:t>
            </w:r>
          </w:p>
        </w:tc>
        <w:tc>
          <w:tcPr>
            <w:tcW w:w="2495" w:type="dxa"/>
            <w:tcBorders>
              <w:top w:val="nil"/>
              <w:left w:val="nil"/>
              <w:bottom w:val="nil"/>
              <w:right w:val="nil"/>
            </w:tcBorders>
            <w:shd w:val="clear" w:color="FFFFFF" w:fill="FFFFFF"/>
            <w:vAlign w:val="center"/>
            <w:hideMark/>
          </w:tcPr>
          <w:p w14:paraId="0974A503"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Citibank N.A.</w:t>
            </w:r>
          </w:p>
        </w:tc>
        <w:tc>
          <w:tcPr>
            <w:tcW w:w="981" w:type="dxa"/>
            <w:tcBorders>
              <w:top w:val="nil"/>
              <w:left w:val="nil"/>
              <w:bottom w:val="nil"/>
              <w:right w:val="nil"/>
            </w:tcBorders>
            <w:shd w:val="clear" w:color="FFFFFF" w:fill="FFFFFF"/>
            <w:vAlign w:val="center"/>
            <w:hideMark/>
          </w:tcPr>
          <w:p w14:paraId="5AEB2ABF"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07/01/2016</w:t>
            </w:r>
          </w:p>
        </w:tc>
        <w:tc>
          <w:tcPr>
            <w:tcW w:w="982" w:type="dxa"/>
            <w:tcBorders>
              <w:top w:val="nil"/>
              <w:left w:val="nil"/>
              <w:bottom w:val="nil"/>
              <w:right w:val="nil"/>
            </w:tcBorders>
            <w:shd w:val="clear" w:color="FFFFFF" w:fill="FFFFFF"/>
            <w:vAlign w:val="center"/>
            <w:hideMark/>
          </w:tcPr>
          <w:p w14:paraId="0AD3C63E"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06/29/2026</w:t>
            </w:r>
          </w:p>
        </w:tc>
        <w:tc>
          <w:tcPr>
            <w:tcW w:w="1041" w:type="dxa"/>
            <w:tcBorders>
              <w:top w:val="nil"/>
              <w:left w:val="nil"/>
              <w:bottom w:val="nil"/>
              <w:right w:val="nil"/>
            </w:tcBorders>
            <w:shd w:val="clear" w:color="FFFFFF" w:fill="FFFFFF"/>
            <w:hideMark/>
          </w:tcPr>
          <w:p w14:paraId="7968FEBA" w14:textId="4594A360"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Finansal</w:t>
            </w:r>
          </w:p>
        </w:tc>
        <w:tc>
          <w:tcPr>
            <w:tcW w:w="1259" w:type="dxa"/>
            <w:tcBorders>
              <w:top w:val="nil"/>
              <w:left w:val="nil"/>
              <w:bottom w:val="nil"/>
              <w:right w:val="nil"/>
            </w:tcBorders>
            <w:shd w:val="clear" w:color="FFFFFF" w:fill="FFFFFF"/>
            <w:vAlign w:val="center"/>
            <w:hideMark/>
          </w:tcPr>
          <w:p w14:paraId="4C012D57" w14:textId="73E40830"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ABD</w:t>
            </w:r>
          </w:p>
        </w:tc>
        <w:tc>
          <w:tcPr>
            <w:tcW w:w="1723" w:type="dxa"/>
            <w:tcBorders>
              <w:top w:val="nil"/>
              <w:left w:val="nil"/>
              <w:bottom w:val="nil"/>
              <w:right w:val="nil"/>
            </w:tcBorders>
            <w:shd w:val="clear" w:color="FFFFFF" w:fill="FFFFFF"/>
            <w:vAlign w:val="center"/>
            <w:hideMark/>
          </w:tcPr>
          <w:p w14:paraId="6435418A" w14:textId="6C97383A" w:rsidR="005B3CDA" w:rsidRPr="001A4B94" w:rsidRDefault="005B3CDA" w:rsidP="005B3CDA">
            <w:pPr>
              <w:jc w:val="right"/>
              <w:rPr>
                <w:rFonts w:ascii="Arial" w:hAnsi="Arial" w:cs="Arial"/>
                <w:color w:val="000000"/>
                <w:sz w:val="14"/>
                <w:szCs w:val="14"/>
                <w:lang w:val="tr-TR"/>
              </w:rPr>
            </w:pPr>
            <w:r w:rsidRPr="001A4B94">
              <w:rPr>
                <w:rFonts w:ascii="Arial" w:hAnsi="Arial" w:cs="Arial"/>
                <w:color w:val="000000"/>
                <w:sz w:val="14"/>
                <w:szCs w:val="14"/>
                <w:lang w:val="tr-TR"/>
              </w:rPr>
              <w:t>233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088</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047</w:t>
            </w:r>
          </w:p>
        </w:tc>
      </w:tr>
      <w:tr w:rsidR="005B3CDA" w:rsidRPr="001A4B94" w14:paraId="71F683D1" w14:textId="77777777" w:rsidTr="009A64F4">
        <w:trPr>
          <w:trHeight w:val="450"/>
        </w:trPr>
        <w:tc>
          <w:tcPr>
            <w:tcW w:w="1825" w:type="dxa"/>
            <w:tcBorders>
              <w:top w:val="nil"/>
              <w:left w:val="nil"/>
              <w:bottom w:val="nil"/>
              <w:right w:val="nil"/>
            </w:tcBorders>
            <w:shd w:val="clear" w:color="FFFFFF" w:fill="FFFFFF"/>
            <w:vAlign w:val="center"/>
            <w:hideMark/>
          </w:tcPr>
          <w:p w14:paraId="6F034CF2" w14:textId="1C687FFB"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 xml:space="preserve">Türk </w:t>
            </w:r>
            <w:r w:rsidR="003767E7" w:rsidRPr="001A4B94">
              <w:rPr>
                <w:rFonts w:ascii="Arial" w:hAnsi="Arial" w:cs="Arial"/>
                <w:color w:val="000000"/>
                <w:sz w:val="14"/>
                <w:szCs w:val="14"/>
                <w:lang w:val="tr-TR"/>
              </w:rPr>
              <w:t>Eximbank</w:t>
            </w:r>
            <w:r w:rsidRPr="001A4B94">
              <w:rPr>
                <w:rFonts w:ascii="Arial" w:hAnsi="Arial" w:cs="Arial"/>
                <w:color w:val="000000"/>
                <w:sz w:val="14"/>
                <w:szCs w:val="14"/>
                <w:lang w:val="tr-TR"/>
              </w:rPr>
              <w:t xml:space="preserve"> II</w:t>
            </w:r>
          </w:p>
        </w:tc>
        <w:tc>
          <w:tcPr>
            <w:tcW w:w="2495" w:type="dxa"/>
            <w:tcBorders>
              <w:top w:val="nil"/>
              <w:left w:val="nil"/>
              <w:bottom w:val="nil"/>
              <w:right w:val="nil"/>
            </w:tcBorders>
            <w:shd w:val="clear" w:color="FFFFFF" w:fill="FFFFFF"/>
            <w:vAlign w:val="center"/>
            <w:hideMark/>
          </w:tcPr>
          <w:p w14:paraId="6CABC79D"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Citibank N.A.</w:t>
            </w:r>
          </w:p>
        </w:tc>
        <w:tc>
          <w:tcPr>
            <w:tcW w:w="981" w:type="dxa"/>
            <w:tcBorders>
              <w:top w:val="nil"/>
              <w:left w:val="nil"/>
              <w:bottom w:val="nil"/>
              <w:right w:val="nil"/>
            </w:tcBorders>
            <w:shd w:val="clear" w:color="FFFFFF" w:fill="FFFFFF"/>
            <w:vAlign w:val="center"/>
            <w:hideMark/>
          </w:tcPr>
          <w:p w14:paraId="1515BADD"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11/09/2016</w:t>
            </w:r>
          </w:p>
        </w:tc>
        <w:tc>
          <w:tcPr>
            <w:tcW w:w="982" w:type="dxa"/>
            <w:tcBorders>
              <w:top w:val="nil"/>
              <w:left w:val="nil"/>
              <w:bottom w:val="nil"/>
              <w:right w:val="nil"/>
            </w:tcBorders>
            <w:shd w:val="clear" w:color="FFFFFF" w:fill="FFFFFF"/>
            <w:vAlign w:val="center"/>
            <w:hideMark/>
          </w:tcPr>
          <w:p w14:paraId="7DAE6841"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11/07/2026</w:t>
            </w:r>
          </w:p>
        </w:tc>
        <w:tc>
          <w:tcPr>
            <w:tcW w:w="1041" w:type="dxa"/>
            <w:tcBorders>
              <w:top w:val="nil"/>
              <w:left w:val="nil"/>
              <w:bottom w:val="nil"/>
              <w:right w:val="nil"/>
            </w:tcBorders>
            <w:shd w:val="clear" w:color="FFFFFF" w:fill="FFFFFF"/>
            <w:hideMark/>
          </w:tcPr>
          <w:p w14:paraId="26E279C1" w14:textId="79031088"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Finansal</w:t>
            </w:r>
          </w:p>
        </w:tc>
        <w:tc>
          <w:tcPr>
            <w:tcW w:w="1259" w:type="dxa"/>
            <w:tcBorders>
              <w:top w:val="nil"/>
              <w:left w:val="nil"/>
              <w:bottom w:val="nil"/>
              <w:right w:val="nil"/>
            </w:tcBorders>
            <w:shd w:val="clear" w:color="FFFFFF" w:fill="FFFFFF"/>
            <w:vAlign w:val="center"/>
            <w:hideMark/>
          </w:tcPr>
          <w:p w14:paraId="5965A991" w14:textId="75B562EA"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ABD</w:t>
            </w:r>
          </w:p>
        </w:tc>
        <w:tc>
          <w:tcPr>
            <w:tcW w:w="1723" w:type="dxa"/>
            <w:tcBorders>
              <w:top w:val="nil"/>
              <w:left w:val="nil"/>
              <w:bottom w:val="nil"/>
              <w:right w:val="nil"/>
            </w:tcBorders>
            <w:shd w:val="clear" w:color="FFFFFF" w:fill="FFFFFF"/>
            <w:vAlign w:val="center"/>
            <w:hideMark/>
          </w:tcPr>
          <w:p w14:paraId="2C271251" w14:textId="7437A0BB" w:rsidR="005B3CDA" w:rsidRPr="001A4B94" w:rsidRDefault="005B3CDA" w:rsidP="005B3CDA">
            <w:pPr>
              <w:jc w:val="right"/>
              <w:rPr>
                <w:rFonts w:ascii="Arial" w:hAnsi="Arial" w:cs="Arial"/>
                <w:color w:val="000000"/>
                <w:sz w:val="14"/>
                <w:szCs w:val="14"/>
                <w:lang w:val="tr-TR"/>
              </w:rPr>
            </w:pPr>
            <w:r w:rsidRPr="001A4B94">
              <w:rPr>
                <w:rFonts w:ascii="Arial" w:hAnsi="Arial" w:cs="Arial"/>
                <w:color w:val="000000"/>
                <w:sz w:val="14"/>
                <w:szCs w:val="14"/>
                <w:lang w:val="tr-TR"/>
              </w:rPr>
              <w:t>35</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811</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552</w:t>
            </w:r>
          </w:p>
        </w:tc>
      </w:tr>
      <w:tr w:rsidR="005B3CDA" w:rsidRPr="001A4B94" w14:paraId="7E29EBA3" w14:textId="77777777" w:rsidTr="009A64F4">
        <w:trPr>
          <w:trHeight w:val="270"/>
        </w:trPr>
        <w:tc>
          <w:tcPr>
            <w:tcW w:w="1825" w:type="dxa"/>
            <w:tcBorders>
              <w:top w:val="nil"/>
              <w:left w:val="nil"/>
              <w:bottom w:val="nil"/>
              <w:right w:val="nil"/>
            </w:tcBorders>
            <w:shd w:val="clear" w:color="FFFFFF" w:fill="FFFFFF"/>
            <w:vAlign w:val="center"/>
            <w:hideMark/>
          </w:tcPr>
          <w:p w14:paraId="192BD354" w14:textId="3C16C561"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 xml:space="preserve">Türk </w:t>
            </w:r>
            <w:r w:rsidR="003767E7" w:rsidRPr="001A4B94">
              <w:rPr>
                <w:rFonts w:ascii="Arial" w:hAnsi="Arial" w:cs="Arial"/>
                <w:color w:val="000000"/>
                <w:sz w:val="14"/>
                <w:szCs w:val="14"/>
                <w:lang w:val="tr-TR"/>
              </w:rPr>
              <w:t>Eximbank</w:t>
            </w:r>
            <w:r w:rsidRPr="001A4B94">
              <w:rPr>
                <w:rFonts w:ascii="Arial" w:hAnsi="Arial" w:cs="Arial"/>
                <w:color w:val="000000"/>
                <w:sz w:val="14"/>
                <w:szCs w:val="14"/>
                <w:lang w:val="tr-TR"/>
              </w:rPr>
              <w:t xml:space="preserve"> II</w:t>
            </w:r>
          </w:p>
        </w:tc>
        <w:tc>
          <w:tcPr>
            <w:tcW w:w="2495" w:type="dxa"/>
            <w:tcBorders>
              <w:top w:val="nil"/>
              <w:left w:val="nil"/>
              <w:bottom w:val="nil"/>
              <w:right w:val="nil"/>
            </w:tcBorders>
            <w:shd w:val="clear" w:color="FFFFFF" w:fill="FFFFFF"/>
            <w:vAlign w:val="center"/>
            <w:hideMark/>
          </w:tcPr>
          <w:p w14:paraId="4156EE4B"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Citibank N.A.</w:t>
            </w:r>
          </w:p>
        </w:tc>
        <w:tc>
          <w:tcPr>
            <w:tcW w:w="981" w:type="dxa"/>
            <w:tcBorders>
              <w:top w:val="nil"/>
              <w:left w:val="nil"/>
              <w:bottom w:val="nil"/>
              <w:right w:val="nil"/>
            </w:tcBorders>
            <w:shd w:val="clear" w:color="FFFFFF" w:fill="FFFFFF"/>
            <w:vAlign w:val="center"/>
            <w:hideMark/>
          </w:tcPr>
          <w:p w14:paraId="3F00969A"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11/09/2016</w:t>
            </w:r>
          </w:p>
        </w:tc>
        <w:tc>
          <w:tcPr>
            <w:tcW w:w="982" w:type="dxa"/>
            <w:tcBorders>
              <w:top w:val="nil"/>
              <w:left w:val="nil"/>
              <w:bottom w:val="nil"/>
              <w:right w:val="nil"/>
            </w:tcBorders>
            <w:shd w:val="clear" w:color="FFFFFF" w:fill="FFFFFF"/>
            <w:vAlign w:val="center"/>
            <w:hideMark/>
          </w:tcPr>
          <w:p w14:paraId="149E663E" w14:textId="77777777"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11/07/2026</w:t>
            </w:r>
          </w:p>
        </w:tc>
        <w:tc>
          <w:tcPr>
            <w:tcW w:w="1041" w:type="dxa"/>
            <w:tcBorders>
              <w:top w:val="nil"/>
              <w:left w:val="nil"/>
              <w:bottom w:val="nil"/>
              <w:right w:val="nil"/>
            </w:tcBorders>
            <w:shd w:val="clear" w:color="FFFFFF" w:fill="FFFFFF"/>
            <w:hideMark/>
          </w:tcPr>
          <w:p w14:paraId="1BC51944" w14:textId="1DB1A426"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Finansal</w:t>
            </w:r>
          </w:p>
        </w:tc>
        <w:tc>
          <w:tcPr>
            <w:tcW w:w="1259" w:type="dxa"/>
            <w:tcBorders>
              <w:top w:val="nil"/>
              <w:left w:val="nil"/>
              <w:bottom w:val="nil"/>
              <w:right w:val="nil"/>
            </w:tcBorders>
            <w:shd w:val="clear" w:color="FFFFFF" w:fill="FFFFFF"/>
            <w:vAlign w:val="center"/>
            <w:hideMark/>
          </w:tcPr>
          <w:p w14:paraId="7366F6C7" w14:textId="36A509D9" w:rsidR="005B3CDA" w:rsidRPr="001A4B94" w:rsidRDefault="005B3CDA" w:rsidP="005B3CDA">
            <w:pPr>
              <w:rPr>
                <w:rFonts w:ascii="Arial" w:hAnsi="Arial" w:cs="Arial"/>
                <w:color w:val="000000"/>
                <w:sz w:val="14"/>
                <w:szCs w:val="14"/>
                <w:lang w:val="tr-TR"/>
              </w:rPr>
            </w:pPr>
            <w:r w:rsidRPr="001A4B94">
              <w:rPr>
                <w:rFonts w:ascii="Arial" w:hAnsi="Arial" w:cs="Arial"/>
                <w:color w:val="000000"/>
                <w:sz w:val="14"/>
                <w:szCs w:val="14"/>
                <w:lang w:val="tr-TR"/>
              </w:rPr>
              <w:t>ABD</w:t>
            </w:r>
          </w:p>
        </w:tc>
        <w:tc>
          <w:tcPr>
            <w:tcW w:w="1723" w:type="dxa"/>
            <w:tcBorders>
              <w:top w:val="nil"/>
              <w:left w:val="nil"/>
              <w:bottom w:val="nil"/>
              <w:right w:val="nil"/>
            </w:tcBorders>
            <w:shd w:val="clear" w:color="FFFFFF" w:fill="FFFFFF"/>
            <w:vAlign w:val="center"/>
            <w:hideMark/>
          </w:tcPr>
          <w:p w14:paraId="50162F85" w14:textId="7E720027" w:rsidR="005B3CDA" w:rsidRPr="001A4B94" w:rsidRDefault="005B3CDA" w:rsidP="005B3CDA">
            <w:pPr>
              <w:jc w:val="right"/>
              <w:rPr>
                <w:rFonts w:ascii="Arial" w:hAnsi="Arial" w:cs="Arial"/>
                <w:color w:val="000000"/>
                <w:sz w:val="14"/>
                <w:szCs w:val="14"/>
                <w:lang w:val="tr-TR"/>
              </w:rPr>
            </w:pPr>
            <w:r w:rsidRPr="001A4B94">
              <w:rPr>
                <w:rFonts w:ascii="Arial" w:hAnsi="Arial" w:cs="Arial"/>
                <w:color w:val="000000"/>
                <w:sz w:val="14"/>
                <w:szCs w:val="14"/>
                <w:lang w:val="tr-TR"/>
              </w:rPr>
              <w:t>116</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015</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663</w:t>
            </w:r>
          </w:p>
        </w:tc>
      </w:tr>
      <w:tr w:rsidR="00586699" w:rsidRPr="001A4B94" w14:paraId="062E546A" w14:textId="77777777" w:rsidTr="00987009">
        <w:trPr>
          <w:trHeight w:val="270"/>
        </w:trPr>
        <w:tc>
          <w:tcPr>
            <w:tcW w:w="1825" w:type="dxa"/>
            <w:tcBorders>
              <w:top w:val="nil"/>
              <w:left w:val="nil"/>
              <w:bottom w:val="nil"/>
              <w:right w:val="nil"/>
            </w:tcBorders>
            <w:shd w:val="clear" w:color="FFFFFF" w:fill="FFFFFF"/>
            <w:vAlign w:val="center"/>
            <w:hideMark/>
          </w:tcPr>
          <w:p w14:paraId="2941C2C1" w14:textId="574F85CB" w:rsidR="00586699" w:rsidRPr="001A4B94" w:rsidRDefault="00E055BF" w:rsidP="00586699">
            <w:pPr>
              <w:rPr>
                <w:rFonts w:ascii="Arial" w:hAnsi="Arial" w:cs="Arial"/>
                <w:color w:val="000000"/>
                <w:sz w:val="14"/>
                <w:szCs w:val="14"/>
                <w:lang w:val="tr-TR"/>
              </w:rPr>
            </w:pPr>
            <w:r w:rsidRPr="001A4B94">
              <w:rPr>
                <w:rFonts w:ascii="Arial" w:hAnsi="Arial" w:cs="Arial"/>
                <w:color w:val="000000"/>
                <w:sz w:val="14"/>
                <w:szCs w:val="14"/>
                <w:lang w:val="tr-TR"/>
              </w:rPr>
              <w:t>İ</w:t>
            </w:r>
            <w:r w:rsidR="00586699" w:rsidRPr="001A4B94">
              <w:rPr>
                <w:rFonts w:ascii="Arial" w:hAnsi="Arial" w:cs="Arial"/>
                <w:color w:val="000000"/>
                <w:sz w:val="14"/>
                <w:szCs w:val="14"/>
                <w:lang w:val="tr-TR"/>
              </w:rPr>
              <w:t xml:space="preserve">zmir </w:t>
            </w:r>
            <w:r w:rsidRPr="001A4B94">
              <w:rPr>
                <w:rFonts w:ascii="Arial" w:hAnsi="Arial" w:cs="Arial"/>
                <w:color w:val="000000"/>
                <w:sz w:val="14"/>
                <w:szCs w:val="14"/>
                <w:lang w:val="tr-TR"/>
              </w:rPr>
              <w:t xml:space="preserve">Hafif Raylı </w:t>
            </w:r>
          </w:p>
        </w:tc>
        <w:tc>
          <w:tcPr>
            <w:tcW w:w="2495" w:type="dxa"/>
            <w:tcBorders>
              <w:top w:val="nil"/>
              <w:left w:val="nil"/>
              <w:bottom w:val="nil"/>
              <w:right w:val="nil"/>
            </w:tcBorders>
            <w:shd w:val="clear" w:color="FFFFFF" w:fill="FFFFFF"/>
            <w:vAlign w:val="center"/>
            <w:hideMark/>
          </w:tcPr>
          <w:p w14:paraId="5AD92760"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ING Bank, a branch of ING-DiBa AG</w:t>
            </w:r>
          </w:p>
        </w:tc>
        <w:tc>
          <w:tcPr>
            <w:tcW w:w="981" w:type="dxa"/>
            <w:tcBorders>
              <w:top w:val="nil"/>
              <w:left w:val="nil"/>
              <w:bottom w:val="nil"/>
              <w:right w:val="nil"/>
            </w:tcBorders>
            <w:shd w:val="clear" w:color="FFFFFF" w:fill="FFFFFF"/>
            <w:vAlign w:val="center"/>
            <w:hideMark/>
          </w:tcPr>
          <w:p w14:paraId="57C86FBB"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06/30/2015</w:t>
            </w:r>
          </w:p>
        </w:tc>
        <w:tc>
          <w:tcPr>
            <w:tcW w:w="982" w:type="dxa"/>
            <w:tcBorders>
              <w:top w:val="nil"/>
              <w:left w:val="nil"/>
              <w:bottom w:val="nil"/>
              <w:right w:val="nil"/>
            </w:tcBorders>
            <w:shd w:val="clear" w:color="FFFFFF" w:fill="FFFFFF"/>
            <w:vAlign w:val="center"/>
            <w:hideMark/>
          </w:tcPr>
          <w:p w14:paraId="3F733B51"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05/31/2030</w:t>
            </w:r>
          </w:p>
        </w:tc>
        <w:tc>
          <w:tcPr>
            <w:tcW w:w="1041" w:type="dxa"/>
            <w:tcBorders>
              <w:top w:val="nil"/>
              <w:left w:val="nil"/>
              <w:bottom w:val="nil"/>
              <w:right w:val="nil"/>
            </w:tcBorders>
            <w:shd w:val="clear" w:color="FFFFFF" w:fill="FFFFFF"/>
            <w:vAlign w:val="center"/>
            <w:hideMark/>
          </w:tcPr>
          <w:p w14:paraId="42B758DC" w14:textId="77383DC4"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Altyapı</w:t>
            </w:r>
          </w:p>
        </w:tc>
        <w:tc>
          <w:tcPr>
            <w:tcW w:w="1259" w:type="dxa"/>
            <w:tcBorders>
              <w:top w:val="nil"/>
              <w:left w:val="nil"/>
              <w:bottom w:val="nil"/>
              <w:right w:val="nil"/>
            </w:tcBorders>
            <w:shd w:val="clear" w:color="FFFFFF" w:fill="FFFFFF"/>
            <w:vAlign w:val="center"/>
            <w:hideMark/>
          </w:tcPr>
          <w:p w14:paraId="0ED8BFE0" w14:textId="171BDB5C"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Almanya</w:t>
            </w:r>
          </w:p>
        </w:tc>
        <w:tc>
          <w:tcPr>
            <w:tcW w:w="1723" w:type="dxa"/>
            <w:tcBorders>
              <w:top w:val="nil"/>
              <w:left w:val="nil"/>
              <w:bottom w:val="nil"/>
              <w:right w:val="nil"/>
            </w:tcBorders>
            <w:shd w:val="clear" w:color="FFFFFF" w:fill="FFFFFF"/>
            <w:vAlign w:val="center"/>
            <w:hideMark/>
          </w:tcPr>
          <w:p w14:paraId="2C45A096" w14:textId="40A5CA10"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32</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624</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534</w:t>
            </w:r>
          </w:p>
        </w:tc>
      </w:tr>
      <w:tr w:rsidR="00586699" w:rsidRPr="001A4B94" w14:paraId="4614670B" w14:textId="77777777" w:rsidTr="00987009">
        <w:trPr>
          <w:trHeight w:val="594"/>
        </w:trPr>
        <w:tc>
          <w:tcPr>
            <w:tcW w:w="1825" w:type="dxa"/>
            <w:tcBorders>
              <w:top w:val="nil"/>
              <w:left w:val="nil"/>
              <w:bottom w:val="nil"/>
              <w:right w:val="nil"/>
            </w:tcBorders>
            <w:shd w:val="clear" w:color="FFFFFF" w:fill="FFFFFF"/>
            <w:vAlign w:val="center"/>
            <w:hideMark/>
          </w:tcPr>
          <w:p w14:paraId="3A6929A5" w14:textId="77498559" w:rsidR="00586699" w:rsidRPr="001A4B94" w:rsidRDefault="00E055BF" w:rsidP="00586699">
            <w:pPr>
              <w:rPr>
                <w:rFonts w:ascii="Arial" w:hAnsi="Arial" w:cs="Arial"/>
                <w:color w:val="000000"/>
                <w:sz w:val="14"/>
                <w:szCs w:val="14"/>
                <w:lang w:val="tr-TR"/>
              </w:rPr>
            </w:pPr>
            <w:r w:rsidRPr="001A4B94">
              <w:rPr>
                <w:rFonts w:ascii="Arial" w:hAnsi="Arial" w:cs="Arial"/>
                <w:color w:val="000000"/>
                <w:sz w:val="14"/>
                <w:szCs w:val="14"/>
                <w:lang w:val="tr-TR"/>
              </w:rPr>
              <w:t>İ</w:t>
            </w:r>
            <w:r w:rsidR="00586699" w:rsidRPr="001A4B94">
              <w:rPr>
                <w:rFonts w:ascii="Arial" w:hAnsi="Arial" w:cs="Arial"/>
                <w:color w:val="000000"/>
                <w:sz w:val="14"/>
                <w:szCs w:val="14"/>
                <w:lang w:val="tr-TR"/>
              </w:rPr>
              <w:t xml:space="preserve">zmir </w:t>
            </w:r>
            <w:r w:rsidRPr="001A4B94">
              <w:rPr>
                <w:rFonts w:ascii="Arial" w:hAnsi="Arial" w:cs="Arial"/>
                <w:color w:val="000000"/>
                <w:sz w:val="14"/>
                <w:szCs w:val="14"/>
                <w:lang w:val="tr-TR"/>
              </w:rPr>
              <w:t>BB</w:t>
            </w:r>
          </w:p>
        </w:tc>
        <w:tc>
          <w:tcPr>
            <w:tcW w:w="2495" w:type="dxa"/>
            <w:tcBorders>
              <w:top w:val="nil"/>
              <w:left w:val="nil"/>
              <w:bottom w:val="nil"/>
              <w:right w:val="nil"/>
            </w:tcBorders>
            <w:shd w:val="clear" w:color="FFFFFF" w:fill="FFFFFF"/>
            <w:vAlign w:val="center"/>
            <w:hideMark/>
          </w:tcPr>
          <w:p w14:paraId="6F6F6F30"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ING Bank, a branch of ING-DiBa AG</w:t>
            </w:r>
          </w:p>
        </w:tc>
        <w:tc>
          <w:tcPr>
            <w:tcW w:w="981" w:type="dxa"/>
            <w:tcBorders>
              <w:top w:val="nil"/>
              <w:left w:val="nil"/>
              <w:bottom w:val="nil"/>
              <w:right w:val="nil"/>
            </w:tcBorders>
            <w:shd w:val="clear" w:color="FFFFFF" w:fill="FFFFFF"/>
            <w:vAlign w:val="center"/>
            <w:hideMark/>
          </w:tcPr>
          <w:p w14:paraId="210972E2"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06/27/2013</w:t>
            </w:r>
          </w:p>
        </w:tc>
        <w:tc>
          <w:tcPr>
            <w:tcW w:w="982" w:type="dxa"/>
            <w:tcBorders>
              <w:top w:val="nil"/>
              <w:left w:val="nil"/>
              <w:bottom w:val="nil"/>
              <w:right w:val="nil"/>
            </w:tcBorders>
            <w:shd w:val="clear" w:color="FFFFFF" w:fill="FFFFFF"/>
            <w:vAlign w:val="center"/>
            <w:hideMark/>
          </w:tcPr>
          <w:p w14:paraId="0289180E"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05/12/2023</w:t>
            </w:r>
          </w:p>
        </w:tc>
        <w:tc>
          <w:tcPr>
            <w:tcW w:w="1041" w:type="dxa"/>
            <w:tcBorders>
              <w:top w:val="nil"/>
              <w:left w:val="nil"/>
              <w:bottom w:val="nil"/>
              <w:right w:val="nil"/>
            </w:tcBorders>
            <w:shd w:val="clear" w:color="FFFFFF" w:fill="FFFFFF"/>
            <w:vAlign w:val="center"/>
            <w:hideMark/>
          </w:tcPr>
          <w:p w14:paraId="606C7D4B" w14:textId="163F13AD"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Altyapı</w:t>
            </w:r>
          </w:p>
        </w:tc>
        <w:tc>
          <w:tcPr>
            <w:tcW w:w="1259" w:type="dxa"/>
            <w:tcBorders>
              <w:top w:val="nil"/>
              <w:left w:val="nil"/>
              <w:bottom w:val="nil"/>
              <w:right w:val="nil"/>
            </w:tcBorders>
            <w:shd w:val="clear" w:color="FFFFFF" w:fill="FFFFFF"/>
            <w:vAlign w:val="center"/>
            <w:hideMark/>
          </w:tcPr>
          <w:p w14:paraId="3D0F8688" w14:textId="3EA5B03B"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Almanya</w:t>
            </w:r>
          </w:p>
        </w:tc>
        <w:tc>
          <w:tcPr>
            <w:tcW w:w="1723" w:type="dxa"/>
            <w:tcBorders>
              <w:top w:val="nil"/>
              <w:left w:val="nil"/>
              <w:bottom w:val="nil"/>
              <w:right w:val="nil"/>
            </w:tcBorders>
            <w:shd w:val="clear" w:color="FFFFFF" w:fill="FFFFFF"/>
            <w:vAlign w:val="center"/>
            <w:hideMark/>
          </w:tcPr>
          <w:p w14:paraId="17A8E98C" w14:textId="6D085568"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34</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353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167</w:t>
            </w:r>
          </w:p>
        </w:tc>
      </w:tr>
      <w:tr w:rsidR="00586699" w:rsidRPr="001A4B94" w14:paraId="05FE0098" w14:textId="77777777" w:rsidTr="00987009">
        <w:trPr>
          <w:trHeight w:val="756"/>
        </w:trPr>
        <w:tc>
          <w:tcPr>
            <w:tcW w:w="1825" w:type="dxa"/>
            <w:tcBorders>
              <w:top w:val="nil"/>
              <w:left w:val="nil"/>
              <w:bottom w:val="nil"/>
              <w:right w:val="nil"/>
            </w:tcBorders>
            <w:shd w:val="clear" w:color="FFFFFF" w:fill="FFFFFF"/>
            <w:vAlign w:val="center"/>
            <w:hideMark/>
          </w:tcPr>
          <w:p w14:paraId="17C1D9E7" w14:textId="68D78BE9"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 xml:space="preserve">Izmir </w:t>
            </w:r>
            <w:r w:rsidR="00E055BF" w:rsidRPr="001A4B94">
              <w:rPr>
                <w:rFonts w:ascii="Arial" w:hAnsi="Arial" w:cs="Arial"/>
                <w:color w:val="000000"/>
                <w:sz w:val="14"/>
                <w:szCs w:val="14"/>
                <w:lang w:val="tr-TR"/>
              </w:rPr>
              <w:t>BB</w:t>
            </w:r>
          </w:p>
        </w:tc>
        <w:tc>
          <w:tcPr>
            <w:tcW w:w="2495" w:type="dxa"/>
            <w:tcBorders>
              <w:top w:val="nil"/>
              <w:left w:val="nil"/>
              <w:bottom w:val="nil"/>
              <w:right w:val="nil"/>
            </w:tcBorders>
            <w:shd w:val="clear" w:color="FFFFFF" w:fill="FFFFFF"/>
            <w:vAlign w:val="center"/>
            <w:hideMark/>
          </w:tcPr>
          <w:p w14:paraId="02D142A5"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ING Bank, a branch of ING-DiBa AG</w:t>
            </w:r>
          </w:p>
        </w:tc>
        <w:tc>
          <w:tcPr>
            <w:tcW w:w="981" w:type="dxa"/>
            <w:tcBorders>
              <w:top w:val="nil"/>
              <w:left w:val="nil"/>
              <w:bottom w:val="nil"/>
              <w:right w:val="nil"/>
            </w:tcBorders>
            <w:shd w:val="clear" w:color="FFFFFF" w:fill="FFFFFF"/>
            <w:vAlign w:val="center"/>
            <w:hideMark/>
          </w:tcPr>
          <w:p w14:paraId="30F6719C"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06/27/2013</w:t>
            </w:r>
          </w:p>
        </w:tc>
        <w:tc>
          <w:tcPr>
            <w:tcW w:w="982" w:type="dxa"/>
            <w:tcBorders>
              <w:top w:val="nil"/>
              <w:left w:val="nil"/>
              <w:bottom w:val="nil"/>
              <w:right w:val="nil"/>
            </w:tcBorders>
            <w:shd w:val="clear" w:color="FFFFFF" w:fill="FFFFFF"/>
            <w:vAlign w:val="center"/>
            <w:hideMark/>
          </w:tcPr>
          <w:p w14:paraId="797133F4"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05/12/2023</w:t>
            </w:r>
          </w:p>
        </w:tc>
        <w:tc>
          <w:tcPr>
            <w:tcW w:w="1041" w:type="dxa"/>
            <w:tcBorders>
              <w:top w:val="nil"/>
              <w:left w:val="nil"/>
              <w:bottom w:val="nil"/>
              <w:right w:val="nil"/>
            </w:tcBorders>
            <w:shd w:val="clear" w:color="FFFFFF" w:fill="FFFFFF"/>
            <w:vAlign w:val="center"/>
            <w:hideMark/>
          </w:tcPr>
          <w:p w14:paraId="06E31706" w14:textId="5D9E0112"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Altyapı</w:t>
            </w:r>
          </w:p>
        </w:tc>
        <w:tc>
          <w:tcPr>
            <w:tcW w:w="1259" w:type="dxa"/>
            <w:tcBorders>
              <w:top w:val="nil"/>
              <w:left w:val="nil"/>
              <w:bottom w:val="nil"/>
              <w:right w:val="nil"/>
            </w:tcBorders>
            <w:shd w:val="clear" w:color="FFFFFF" w:fill="FFFFFF"/>
            <w:vAlign w:val="center"/>
            <w:hideMark/>
          </w:tcPr>
          <w:p w14:paraId="50F6EC90" w14:textId="01AB2EE4"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Almanya</w:t>
            </w:r>
          </w:p>
        </w:tc>
        <w:tc>
          <w:tcPr>
            <w:tcW w:w="1723" w:type="dxa"/>
            <w:tcBorders>
              <w:top w:val="nil"/>
              <w:left w:val="nil"/>
              <w:bottom w:val="nil"/>
              <w:right w:val="nil"/>
            </w:tcBorders>
            <w:shd w:val="clear" w:color="FFFFFF" w:fill="FFFFFF"/>
            <w:vAlign w:val="center"/>
            <w:hideMark/>
          </w:tcPr>
          <w:p w14:paraId="2BDE30AC" w14:textId="7E095F2D"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11</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797</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894</w:t>
            </w:r>
          </w:p>
        </w:tc>
      </w:tr>
      <w:tr w:rsidR="00586699" w:rsidRPr="001A4B94" w14:paraId="1D46A95B" w14:textId="77777777" w:rsidTr="00987009">
        <w:trPr>
          <w:trHeight w:val="261"/>
        </w:trPr>
        <w:tc>
          <w:tcPr>
            <w:tcW w:w="1825" w:type="dxa"/>
            <w:tcBorders>
              <w:top w:val="nil"/>
              <w:left w:val="nil"/>
              <w:bottom w:val="nil"/>
              <w:right w:val="nil"/>
            </w:tcBorders>
            <w:shd w:val="clear" w:color="FFFFFF" w:fill="FFFFFF"/>
            <w:vAlign w:val="center"/>
            <w:hideMark/>
          </w:tcPr>
          <w:p w14:paraId="7C696CFB" w14:textId="51B077B0" w:rsidR="00586699" w:rsidRPr="001A4B94" w:rsidRDefault="00E055BF" w:rsidP="00586699">
            <w:pPr>
              <w:rPr>
                <w:rFonts w:ascii="Arial" w:hAnsi="Arial" w:cs="Arial"/>
                <w:color w:val="000000"/>
                <w:sz w:val="14"/>
                <w:szCs w:val="14"/>
                <w:lang w:val="tr-TR"/>
              </w:rPr>
            </w:pPr>
            <w:r w:rsidRPr="001A4B94">
              <w:rPr>
                <w:rFonts w:ascii="Arial" w:hAnsi="Arial" w:cs="Arial"/>
                <w:color w:val="000000"/>
                <w:sz w:val="14"/>
                <w:szCs w:val="14"/>
                <w:lang w:val="tr-TR"/>
              </w:rPr>
              <w:t>İ</w:t>
            </w:r>
            <w:r w:rsidR="00586699" w:rsidRPr="001A4B94">
              <w:rPr>
                <w:rFonts w:ascii="Arial" w:hAnsi="Arial" w:cs="Arial"/>
                <w:color w:val="000000"/>
                <w:sz w:val="14"/>
                <w:szCs w:val="14"/>
                <w:lang w:val="tr-TR"/>
              </w:rPr>
              <w:t>zmir Tram</w:t>
            </w:r>
            <w:r w:rsidRPr="001A4B94">
              <w:rPr>
                <w:rFonts w:ascii="Arial" w:hAnsi="Arial" w:cs="Arial"/>
                <w:color w:val="000000"/>
                <w:sz w:val="14"/>
                <w:szCs w:val="14"/>
                <w:lang w:val="tr-TR"/>
              </w:rPr>
              <w:t>v</w:t>
            </w:r>
            <w:r w:rsidR="00586699" w:rsidRPr="001A4B94">
              <w:rPr>
                <w:rFonts w:ascii="Arial" w:hAnsi="Arial" w:cs="Arial"/>
                <w:color w:val="000000"/>
                <w:sz w:val="14"/>
                <w:szCs w:val="14"/>
                <w:lang w:val="tr-TR"/>
              </w:rPr>
              <w:t>ay</w:t>
            </w:r>
          </w:p>
        </w:tc>
        <w:tc>
          <w:tcPr>
            <w:tcW w:w="2495" w:type="dxa"/>
            <w:tcBorders>
              <w:top w:val="nil"/>
              <w:left w:val="nil"/>
              <w:bottom w:val="nil"/>
              <w:right w:val="nil"/>
            </w:tcBorders>
            <w:shd w:val="clear" w:color="FFFFFF" w:fill="FFFFFF"/>
            <w:vAlign w:val="center"/>
            <w:hideMark/>
          </w:tcPr>
          <w:p w14:paraId="7386C800"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ING Bank, a branch of ING-DiBa AG</w:t>
            </w:r>
          </w:p>
        </w:tc>
        <w:tc>
          <w:tcPr>
            <w:tcW w:w="981" w:type="dxa"/>
            <w:tcBorders>
              <w:top w:val="nil"/>
              <w:left w:val="nil"/>
              <w:bottom w:val="nil"/>
              <w:right w:val="nil"/>
            </w:tcBorders>
            <w:shd w:val="clear" w:color="FFFFFF" w:fill="FFFFFF"/>
            <w:vAlign w:val="center"/>
            <w:hideMark/>
          </w:tcPr>
          <w:p w14:paraId="14B39AB8"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06/05/2014</w:t>
            </w:r>
          </w:p>
        </w:tc>
        <w:tc>
          <w:tcPr>
            <w:tcW w:w="982" w:type="dxa"/>
            <w:tcBorders>
              <w:top w:val="nil"/>
              <w:left w:val="nil"/>
              <w:bottom w:val="nil"/>
              <w:right w:val="nil"/>
            </w:tcBorders>
            <w:shd w:val="clear" w:color="FFFFFF" w:fill="FFFFFF"/>
            <w:vAlign w:val="center"/>
            <w:hideMark/>
          </w:tcPr>
          <w:p w14:paraId="49433BEA"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02/26/2027</w:t>
            </w:r>
          </w:p>
        </w:tc>
        <w:tc>
          <w:tcPr>
            <w:tcW w:w="1041" w:type="dxa"/>
            <w:tcBorders>
              <w:top w:val="nil"/>
              <w:left w:val="nil"/>
              <w:bottom w:val="nil"/>
              <w:right w:val="nil"/>
            </w:tcBorders>
            <w:shd w:val="clear" w:color="FFFFFF" w:fill="FFFFFF"/>
            <w:vAlign w:val="center"/>
            <w:hideMark/>
          </w:tcPr>
          <w:p w14:paraId="335E6D41" w14:textId="233B9AD2"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Altyapı</w:t>
            </w:r>
          </w:p>
        </w:tc>
        <w:tc>
          <w:tcPr>
            <w:tcW w:w="1259" w:type="dxa"/>
            <w:tcBorders>
              <w:top w:val="nil"/>
              <w:left w:val="nil"/>
              <w:bottom w:val="nil"/>
              <w:right w:val="nil"/>
            </w:tcBorders>
            <w:shd w:val="clear" w:color="FFFFFF" w:fill="FFFFFF"/>
            <w:vAlign w:val="center"/>
            <w:hideMark/>
          </w:tcPr>
          <w:p w14:paraId="48922A02" w14:textId="4441C551"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Almanya</w:t>
            </w:r>
          </w:p>
        </w:tc>
        <w:tc>
          <w:tcPr>
            <w:tcW w:w="1723" w:type="dxa"/>
            <w:tcBorders>
              <w:top w:val="nil"/>
              <w:left w:val="nil"/>
              <w:bottom w:val="nil"/>
              <w:right w:val="nil"/>
            </w:tcBorders>
            <w:shd w:val="clear" w:color="FFFFFF" w:fill="FFFFFF"/>
            <w:vAlign w:val="center"/>
            <w:hideMark/>
          </w:tcPr>
          <w:p w14:paraId="2A626EF0" w14:textId="105D186B"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70</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897</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937</w:t>
            </w:r>
          </w:p>
        </w:tc>
      </w:tr>
      <w:tr w:rsidR="00586699" w:rsidRPr="001A4B94" w14:paraId="6D83BB97" w14:textId="77777777" w:rsidTr="00987009">
        <w:trPr>
          <w:trHeight w:val="711"/>
        </w:trPr>
        <w:tc>
          <w:tcPr>
            <w:tcW w:w="1825" w:type="dxa"/>
            <w:tcBorders>
              <w:top w:val="nil"/>
              <w:left w:val="nil"/>
              <w:bottom w:val="nil"/>
              <w:right w:val="nil"/>
            </w:tcBorders>
            <w:shd w:val="clear" w:color="FFFFFF" w:fill="FFFFFF"/>
            <w:vAlign w:val="center"/>
            <w:hideMark/>
          </w:tcPr>
          <w:p w14:paraId="3ADBDC6E" w14:textId="469C5246"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Kad</w:t>
            </w:r>
            <w:r w:rsidR="00E055BF" w:rsidRPr="001A4B94">
              <w:rPr>
                <w:rFonts w:ascii="Arial" w:hAnsi="Arial" w:cs="Arial"/>
                <w:color w:val="000000"/>
                <w:sz w:val="14"/>
                <w:szCs w:val="14"/>
                <w:lang w:val="tr-TR"/>
              </w:rPr>
              <w:t>ıkö</w:t>
            </w:r>
            <w:r w:rsidRPr="001A4B94">
              <w:rPr>
                <w:rFonts w:ascii="Arial" w:hAnsi="Arial" w:cs="Arial"/>
                <w:color w:val="000000"/>
                <w:sz w:val="14"/>
                <w:szCs w:val="14"/>
                <w:lang w:val="tr-TR"/>
              </w:rPr>
              <w:t>y-Kartal-Kaynarca Metro Proje</w:t>
            </w:r>
            <w:r w:rsidR="00E055BF" w:rsidRPr="001A4B94">
              <w:rPr>
                <w:rFonts w:ascii="Arial" w:hAnsi="Arial" w:cs="Arial"/>
                <w:color w:val="000000"/>
                <w:sz w:val="14"/>
                <w:szCs w:val="14"/>
                <w:lang w:val="tr-TR"/>
              </w:rPr>
              <w:t xml:space="preserve">si </w:t>
            </w:r>
          </w:p>
        </w:tc>
        <w:tc>
          <w:tcPr>
            <w:tcW w:w="2495" w:type="dxa"/>
            <w:tcBorders>
              <w:top w:val="nil"/>
              <w:left w:val="nil"/>
              <w:bottom w:val="nil"/>
              <w:right w:val="nil"/>
            </w:tcBorders>
            <w:shd w:val="clear" w:color="FFFFFF" w:fill="FFFFFF"/>
            <w:vAlign w:val="center"/>
            <w:hideMark/>
          </w:tcPr>
          <w:p w14:paraId="1FA42FAB"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Wilmington Trust (London) Limited</w:t>
            </w:r>
          </w:p>
        </w:tc>
        <w:tc>
          <w:tcPr>
            <w:tcW w:w="981" w:type="dxa"/>
            <w:tcBorders>
              <w:top w:val="nil"/>
              <w:left w:val="nil"/>
              <w:bottom w:val="nil"/>
              <w:right w:val="nil"/>
            </w:tcBorders>
            <w:shd w:val="clear" w:color="FFFFFF" w:fill="FFFFFF"/>
            <w:vAlign w:val="center"/>
            <w:hideMark/>
          </w:tcPr>
          <w:p w14:paraId="78C58670"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04/21/2011</w:t>
            </w:r>
          </w:p>
        </w:tc>
        <w:tc>
          <w:tcPr>
            <w:tcW w:w="982" w:type="dxa"/>
            <w:tcBorders>
              <w:top w:val="nil"/>
              <w:left w:val="nil"/>
              <w:bottom w:val="nil"/>
              <w:right w:val="nil"/>
            </w:tcBorders>
            <w:shd w:val="clear" w:color="FFFFFF" w:fill="FFFFFF"/>
            <w:vAlign w:val="center"/>
            <w:hideMark/>
          </w:tcPr>
          <w:p w14:paraId="4CC3764A"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10/14/2020</w:t>
            </w:r>
          </w:p>
        </w:tc>
        <w:tc>
          <w:tcPr>
            <w:tcW w:w="1041" w:type="dxa"/>
            <w:tcBorders>
              <w:top w:val="nil"/>
              <w:left w:val="nil"/>
              <w:bottom w:val="nil"/>
              <w:right w:val="nil"/>
            </w:tcBorders>
            <w:shd w:val="clear" w:color="FFFFFF" w:fill="FFFFFF"/>
            <w:vAlign w:val="center"/>
            <w:hideMark/>
          </w:tcPr>
          <w:p w14:paraId="019DDB9D" w14:textId="35BBCF7F"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Altyapı</w:t>
            </w:r>
          </w:p>
        </w:tc>
        <w:tc>
          <w:tcPr>
            <w:tcW w:w="1259" w:type="dxa"/>
            <w:tcBorders>
              <w:top w:val="nil"/>
              <w:left w:val="nil"/>
              <w:bottom w:val="nil"/>
              <w:right w:val="nil"/>
            </w:tcBorders>
            <w:shd w:val="clear" w:color="FFFFFF" w:fill="FFFFFF"/>
            <w:vAlign w:val="center"/>
            <w:hideMark/>
          </w:tcPr>
          <w:p w14:paraId="1FFECAA3" w14:textId="146B6A47"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 xml:space="preserve">İngiltere </w:t>
            </w:r>
          </w:p>
        </w:tc>
        <w:tc>
          <w:tcPr>
            <w:tcW w:w="1723" w:type="dxa"/>
            <w:tcBorders>
              <w:top w:val="nil"/>
              <w:left w:val="nil"/>
              <w:bottom w:val="nil"/>
              <w:right w:val="nil"/>
            </w:tcBorders>
            <w:shd w:val="clear" w:color="FFFFFF" w:fill="FFFFFF"/>
            <w:vAlign w:val="center"/>
            <w:hideMark/>
          </w:tcPr>
          <w:p w14:paraId="0CB09654" w14:textId="40EB7C66"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115</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862</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853</w:t>
            </w:r>
          </w:p>
        </w:tc>
      </w:tr>
      <w:tr w:rsidR="00586699" w:rsidRPr="001A4B94" w14:paraId="0F8F8623" w14:textId="77777777" w:rsidTr="00987009">
        <w:trPr>
          <w:trHeight w:val="369"/>
        </w:trPr>
        <w:tc>
          <w:tcPr>
            <w:tcW w:w="1825" w:type="dxa"/>
            <w:tcBorders>
              <w:top w:val="nil"/>
              <w:left w:val="nil"/>
              <w:bottom w:val="nil"/>
              <w:right w:val="nil"/>
            </w:tcBorders>
            <w:shd w:val="clear" w:color="FFFFFF" w:fill="FFFFFF"/>
            <w:vAlign w:val="center"/>
            <w:hideMark/>
          </w:tcPr>
          <w:p w14:paraId="71C07259" w14:textId="7278A4DF" w:rsidR="00586699" w:rsidRPr="001A4B94" w:rsidRDefault="00E055BF" w:rsidP="00586699">
            <w:pPr>
              <w:rPr>
                <w:rFonts w:ascii="Arial" w:hAnsi="Arial" w:cs="Arial"/>
                <w:color w:val="000000"/>
                <w:sz w:val="14"/>
                <w:szCs w:val="14"/>
                <w:lang w:val="tr-TR"/>
              </w:rPr>
            </w:pPr>
            <w:r w:rsidRPr="001A4B94">
              <w:rPr>
                <w:rFonts w:ascii="Arial" w:hAnsi="Arial" w:cs="Arial"/>
                <w:color w:val="000000"/>
                <w:sz w:val="14"/>
                <w:szCs w:val="14"/>
                <w:lang w:val="tr-TR"/>
              </w:rPr>
              <w:t>Ü</w:t>
            </w:r>
            <w:r w:rsidR="00586699" w:rsidRPr="001A4B94">
              <w:rPr>
                <w:rFonts w:ascii="Arial" w:hAnsi="Arial" w:cs="Arial"/>
                <w:color w:val="000000"/>
                <w:sz w:val="14"/>
                <w:szCs w:val="14"/>
                <w:lang w:val="tr-TR"/>
              </w:rPr>
              <w:t>sk</w:t>
            </w:r>
            <w:r w:rsidRPr="001A4B94">
              <w:rPr>
                <w:rFonts w:ascii="Arial" w:hAnsi="Arial" w:cs="Arial"/>
                <w:color w:val="000000"/>
                <w:sz w:val="14"/>
                <w:szCs w:val="14"/>
                <w:lang w:val="tr-TR"/>
              </w:rPr>
              <w:t>ü</w:t>
            </w:r>
            <w:r w:rsidR="00586699" w:rsidRPr="001A4B94">
              <w:rPr>
                <w:rFonts w:ascii="Arial" w:hAnsi="Arial" w:cs="Arial"/>
                <w:color w:val="000000"/>
                <w:sz w:val="14"/>
                <w:szCs w:val="14"/>
                <w:lang w:val="tr-TR"/>
              </w:rPr>
              <w:t>dar Metro</w:t>
            </w:r>
          </w:p>
        </w:tc>
        <w:tc>
          <w:tcPr>
            <w:tcW w:w="2495" w:type="dxa"/>
            <w:tcBorders>
              <w:top w:val="nil"/>
              <w:left w:val="nil"/>
              <w:bottom w:val="nil"/>
              <w:right w:val="nil"/>
            </w:tcBorders>
            <w:shd w:val="clear" w:color="FFFFFF" w:fill="FFFFFF"/>
            <w:vAlign w:val="center"/>
            <w:hideMark/>
          </w:tcPr>
          <w:p w14:paraId="7EEFA482"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BNP Paribas</w:t>
            </w:r>
          </w:p>
        </w:tc>
        <w:tc>
          <w:tcPr>
            <w:tcW w:w="981" w:type="dxa"/>
            <w:tcBorders>
              <w:top w:val="nil"/>
              <w:left w:val="nil"/>
              <w:bottom w:val="nil"/>
              <w:right w:val="nil"/>
            </w:tcBorders>
            <w:shd w:val="clear" w:color="FFFFFF" w:fill="FFFFFF"/>
            <w:vAlign w:val="center"/>
            <w:hideMark/>
          </w:tcPr>
          <w:p w14:paraId="4A8709E2"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02/12/2015</w:t>
            </w:r>
          </w:p>
        </w:tc>
        <w:tc>
          <w:tcPr>
            <w:tcW w:w="982" w:type="dxa"/>
            <w:tcBorders>
              <w:top w:val="nil"/>
              <w:left w:val="nil"/>
              <w:bottom w:val="nil"/>
              <w:right w:val="nil"/>
            </w:tcBorders>
            <w:shd w:val="clear" w:color="FFFFFF" w:fill="FFFFFF"/>
            <w:vAlign w:val="center"/>
            <w:hideMark/>
          </w:tcPr>
          <w:p w14:paraId="39930A47"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02/05/2028</w:t>
            </w:r>
          </w:p>
        </w:tc>
        <w:tc>
          <w:tcPr>
            <w:tcW w:w="1041" w:type="dxa"/>
            <w:tcBorders>
              <w:top w:val="nil"/>
              <w:left w:val="nil"/>
              <w:bottom w:val="nil"/>
              <w:right w:val="nil"/>
            </w:tcBorders>
            <w:shd w:val="clear" w:color="FFFFFF" w:fill="FFFFFF"/>
            <w:vAlign w:val="center"/>
            <w:hideMark/>
          </w:tcPr>
          <w:p w14:paraId="58FE2434" w14:textId="4B2C2FA2"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Altyapı</w:t>
            </w:r>
          </w:p>
        </w:tc>
        <w:tc>
          <w:tcPr>
            <w:tcW w:w="1259" w:type="dxa"/>
            <w:tcBorders>
              <w:top w:val="nil"/>
              <w:left w:val="nil"/>
              <w:bottom w:val="nil"/>
              <w:right w:val="nil"/>
            </w:tcBorders>
            <w:shd w:val="clear" w:color="FFFFFF" w:fill="FFFFFF"/>
            <w:vAlign w:val="center"/>
            <w:hideMark/>
          </w:tcPr>
          <w:p w14:paraId="28BFB3A3" w14:textId="1579E7BC"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Fransa</w:t>
            </w:r>
          </w:p>
        </w:tc>
        <w:tc>
          <w:tcPr>
            <w:tcW w:w="1723" w:type="dxa"/>
            <w:tcBorders>
              <w:top w:val="nil"/>
              <w:left w:val="nil"/>
              <w:bottom w:val="nil"/>
              <w:right w:val="nil"/>
            </w:tcBorders>
            <w:shd w:val="clear" w:color="FFFFFF" w:fill="FFFFFF"/>
            <w:vAlign w:val="center"/>
            <w:hideMark/>
          </w:tcPr>
          <w:p w14:paraId="5D5B3866" w14:textId="24114EF6"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185</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508</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624</w:t>
            </w:r>
          </w:p>
        </w:tc>
      </w:tr>
      <w:tr w:rsidR="00586699" w:rsidRPr="001A4B94" w14:paraId="0203EC1F" w14:textId="77777777" w:rsidTr="00987009">
        <w:trPr>
          <w:trHeight w:val="711"/>
        </w:trPr>
        <w:tc>
          <w:tcPr>
            <w:tcW w:w="1825" w:type="dxa"/>
            <w:tcBorders>
              <w:top w:val="nil"/>
              <w:left w:val="nil"/>
              <w:bottom w:val="nil"/>
              <w:right w:val="nil"/>
            </w:tcBorders>
            <w:shd w:val="clear" w:color="FFFFFF" w:fill="FFFFFF"/>
            <w:vAlign w:val="center"/>
            <w:hideMark/>
          </w:tcPr>
          <w:p w14:paraId="1019A178" w14:textId="371D79E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 xml:space="preserve">Adana </w:t>
            </w:r>
            <w:r w:rsidR="00E055BF" w:rsidRPr="001A4B94">
              <w:rPr>
                <w:rFonts w:ascii="Arial" w:hAnsi="Arial" w:cs="Arial"/>
                <w:color w:val="000000"/>
                <w:sz w:val="14"/>
                <w:szCs w:val="14"/>
                <w:lang w:val="tr-TR"/>
              </w:rPr>
              <w:t xml:space="preserve">Entegre Sağlık Kampüsü </w:t>
            </w:r>
          </w:p>
        </w:tc>
        <w:tc>
          <w:tcPr>
            <w:tcW w:w="2495" w:type="dxa"/>
            <w:tcBorders>
              <w:top w:val="nil"/>
              <w:left w:val="nil"/>
              <w:bottom w:val="nil"/>
              <w:right w:val="nil"/>
            </w:tcBorders>
            <w:shd w:val="clear" w:color="FFFFFF" w:fill="FFFFFF"/>
            <w:vAlign w:val="center"/>
            <w:hideMark/>
          </w:tcPr>
          <w:p w14:paraId="42542746"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Meridiam Eastern Europe S.a.r.l.</w:t>
            </w:r>
          </w:p>
        </w:tc>
        <w:tc>
          <w:tcPr>
            <w:tcW w:w="981" w:type="dxa"/>
            <w:tcBorders>
              <w:top w:val="nil"/>
              <w:left w:val="nil"/>
              <w:bottom w:val="nil"/>
              <w:right w:val="nil"/>
            </w:tcBorders>
            <w:shd w:val="clear" w:color="FFFFFF" w:fill="FFFFFF"/>
            <w:vAlign w:val="center"/>
            <w:hideMark/>
          </w:tcPr>
          <w:p w14:paraId="3173887D"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12/18/2014</w:t>
            </w:r>
          </w:p>
        </w:tc>
        <w:tc>
          <w:tcPr>
            <w:tcW w:w="982" w:type="dxa"/>
            <w:tcBorders>
              <w:top w:val="nil"/>
              <w:left w:val="nil"/>
              <w:bottom w:val="nil"/>
              <w:right w:val="nil"/>
            </w:tcBorders>
            <w:shd w:val="clear" w:color="FFFFFF" w:fill="FFFFFF"/>
            <w:vAlign w:val="center"/>
            <w:hideMark/>
          </w:tcPr>
          <w:p w14:paraId="3847F801"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12/17/2034</w:t>
            </w:r>
          </w:p>
        </w:tc>
        <w:tc>
          <w:tcPr>
            <w:tcW w:w="1041" w:type="dxa"/>
            <w:tcBorders>
              <w:top w:val="nil"/>
              <w:left w:val="nil"/>
              <w:bottom w:val="nil"/>
              <w:right w:val="nil"/>
            </w:tcBorders>
            <w:shd w:val="clear" w:color="FFFFFF" w:fill="FFFFFF"/>
            <w:vAlign w:val="center"/>
            <w:hideMark/>
          </w:tcPr>
          <w:p w14:paraId="3C021AFA" w14:textId="2ABEFCE8"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Hizmetler</w:t>
            </w:r>
          </w:p>
        </w:tc>
        <w:tc>
          <w:tcPr>
            <w:tcW w:w="1259" w:type="dxa"/>
            <w:tcBorders>
              <w:top w:val="nil"/>
              <w:left w:val="nil"/>
              <w:bottom w:val="nil"/>
              <w:right w:val="nil"/>
            </w:tcBorders>
            <w:shd w:val="clear" w:color="FFFFFF" w:fill="FFFFFF"/>
            <w:vAlign w:val="center"/>
            <w:hideMark/>
          </w:tcPr>
          <w:p w14:paraId="37D1AFC7" w14:textId="5DBEC06C"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Lüksemburg</w:t>
            </w:r>
          </w:p>
        </w:tc>
        <w:tc>
          <w:tcPr>
            <w:tcW w:w="1723" w:type="dxa"/>
            <w:tcBorders>
              <w:top w:val="nil"/>
              <w:left w:val="nil"/>
              <w:bottom w:val="nil"/>
              <w:right w:val="nil"/>
            </w:tcBorders>
            <w:shd w:val="clear" w:color="FFFFFF" w:fill="FFFFFF"/>
            <w:vAlign w:val="center"/>
            <w:hideMark/>
          </w:tcPr>
          <w:p w14:paraId="02513FA9" w14:textId="351C3C41"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143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998</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105</w:t>
            </w:r>
          </w:p>
        </w:tc>
      </w:tr>
      <w:tr w:rsidR="00586699" w:rsidRPr="001A4B94" w14:paraId="2FAF2C06" w14:textId="77777777" w:rsidTr="00987009">
        <w:trPr>
          <w:trHeight w:val="486"/>
        </w:trPr>
        <w:tc>
          <w:tcPr>
            <w:tcW w:w="1825" w:type="dxa"/>
            <w:tcBorders>
              <w:top w:val="nil"/>
              <w:left w:val="nil"/>
              <w:bottom w:val="nil"/>
              <w:right w:val="nil"/>
            </w:tcBorders>
            <w:shd w:val="clear" w:color="FFFFFF" w:fill="FFFFFF"/>
            <w:vAlign w:val="center"/>
            <w:hideMark/>
          </w:tcPr>
          <w:p w14:paraId="6B861DCE" w14:textId="0864F752"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 xml:space="preserve">Bursa </w:t>
            </w:r>
            <w:r w:rsidR="00E055BF" w:rsidRPr="001A4B94">
              <w:rPr>
                <w:rFonts w:ascii="Arial" w:hAnsi="Arial" w:cs="Arial"/>
                <w:color w:val="000000"/>
                <w:sz w:val="14"/>
                <w:szCs w:val="14"/>
                <w:lang w:val="tr-TR"/>
              </w:rPr>
              <w:t xml:space="preserve">Entegre Sağlık Merkezi </w:t>
            </w:r>
          </w:p>
        </w:tc>
        <w:tc>
          <w:tcPr>
            <w:tcW w:w="2495" w:type="dxa"/>
            <w:tcBorders>
              <w:top w:val="nil"/>
              <w:left w:val="nil"/>
              <w:bottom w:val="nil"/>
              <w:right w:val="nil"/>
            </w:tcBorders>
            <w:shd w:val="clear" w:color="FFFFFF" w:fill="FFFFFF"/>
            <w:vAlign w:val="center"/>
            <w:hideMark/>
          </w:tcPr>
          <w:p w14:paraId="13324FAF"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Meridiam Eastern Europe S.a.r.l.</w:t>
            </w:r>
          </w:p>
        </w:tc>
        <w:tc>
          <w:tcPr>
            <w:tcW w:w="981" w:type="dxa"/>
            <w:tcBorders>
              <w:top w:val="nil"/>
              <w:left w:val="nil"/>
              <w:bottom w:val="nil"/>
              <w:right w:val="nil"/>
            </w:tcBorders>
            <w:shd w:val="clear" w:color="FFFFFF" w:fill="FFFFFF"/>
            <w:vAlign w:val="center"/>
            <w:hideMark/>
          </w:tcPr>
          <w:p w14:paraId="0C27B57C"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05/11/2017</w:t>
            </w:r>
          </w:p>
        </w:tc>
        <w:tc>
          <w:tcPr>
            <w:tcW w:w="982" w:type="dxa"/>
            <w:tcBorders>
              <w:top w:val="nil"/>
              <w:left w:val="nil"/>
              <w:bottom w:val="nil"/>
              <w:right w:val="nil"/>
            </w:tcBorders>
            <w:shd w:val="clear" w:color="FFFFFF" w:fill="FFFFFF"/>
            <w:vAlign w:val="center"/>
            <w:hideMark/>
          </w:tcPr>
          <w:p w14:paraId="6A69FF68"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05/10/2032</w:t>
            </w:r>
          </w:p>
        </w:tc>
        <w:tc>
          <w:tcPr>
            <w:tcW w:w="1041" w:type="dxa"/>
            <w:tcBorders>
              <w:top w:val="nil"/>
              <w:left w:val="nil"/>
              <w:bottom w:val="nil"/>
              <w:right w:val="nil"/>
            </w:tcBorders>
            <w:shd w:val="clear" w:color="FFFFFF" w:fill="FFFFFF"/>
            <w:vAlign w:val="center"/>
            <w:hideMark/>
          </w:tcPr>
          <w:p w14:paraId="7F781CCF" w14:textId="6E649364"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Hizmetler</w:t>
            </w:r>
          </w:p>
        </w:tc>
        <w:tc>
          <w:tcPr>
            <w:tcW w:w="1259" w:type="dxa"/>
            <w:tcBorders>
              <w:top w:val="nil"/>
              <w:left w:val="nil"/>
              <w:bottom w:val="nil"/>
              <w:right w:val="nil"/>
            </w:tcBorders>
            <w:shd w:val="clear" w:color="FFFFFF" w:fill="FFFFFF"/>
            <w:vAlign w:val="center"/>
            <w:hideMark/>
          </w:tcPr>
          <w:p w14:paraId="3DF61DD9" w14:textId="1597A5B9"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Lüksemburg</w:t>
            </w:r>
          </w:p>
        </w:tc>
        <w:tc>
          <w:tcPr>
            <w:tcW w:w="1723" w:type="dxa"/>
            <w:tcBorders>
              <w:top w:val="nil"/>
              <w:left w:val="nil"/>
              <w:bottom w:val="nil"/>
              <w:right w:val="nil"/>
            </w:tcBorders>
            <w:shd w:val="clear" w:color="FFFFFF" w:fill="FFFFFF"/>
            <w:vAlign w:val="center"/>
            <w:hideMark/>
          </w:tcPr>
          <w:p w14:paraId="25E3CFFF" w14:textId="706B7483"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107</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941</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451</w:t>
            </w:r>
          </w:p>
        </w:tc>
      </w:tr>
      <w:tr w:rsidR="00586699" w:rsidRPr="001A4B94" w14:paraId="44A0CDD6" w14:textId="77777777" w:rsidTr="00987009">
        <w:trPr>
          <w:trHeight w:val="504"/>
        </w:trPr>
        <w:tc>
          <w:tcPr>
            <w:tcW w:w="1825" w:type="dxa"/>
            <w:tcBorders>
              <w:top w:val="nil"/>
              <w:left w:val="nil"/>
              <w:bottom w:val="nil"/>
              <w:right w:val="nil"/>
            </w:tcBorders>
            <w:shd w:val="clear" w:color="FFFFFF" w:fill="FFFFFF"/>
            <w:vAlign w:val="center"/>
            <w:hideMark/>
          </w:tcPr>
          <w:p w14:paraId="6E38B978" w14:textId="3D938CA8"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Elaz</w:t>
            </w:r>
            <w:r w:rsidR="00E055BF" w:rsidRPr="001A4B94">
              <w:rPr>
                <w:rFonts w:ascii="Arial" w:hAnsi="Arial" w:cs="Arial"/>
                <w:color w:val="000000"/>
                <w:sz w:val="14"/>
                <w:szCs w:val="14"/>
                <w:lang w:val="tr-TR"/>
              </w:rPr>
              <w:t>ığ Entegre Sağlık Kampüsü</w:t>
            </w:r>
          </w:p>
        </w:tc>
        <w:tc>
          <w:tcPr>
            <w:tcW w:w="2495" w:type="dxa"/>
            <w:tcBorders>
              <w:top w:val="nil"/>
              <w:left w:val="nil"/>
              <w:bottom w:val="nil"/>
              <w:right w:val="nil"/>
            </w:tcBorders>
            <w:shd w:val="clear" w:color="FFFFFF" w:fill="FFFFFF"/>
            <w:vAlign w:val="center"/>
            <w:hideMark/>
          </w:tcPr>
          <w:p w14:paraId="113021E3"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Meridiam Eastern Europe S.a.r.l.</w:t>
            </w:r>
          </w:p>
        </w:tc>
        <w:tc>
          <w:tcPr>
            <w:tcW w:w="981" w:type="dxa"/>
            <w:tcBorders>
              <w:top w:val="nil"/>
              <w:left w:val="nil"/>
              <w:bottom w:val="nil"/>
              <w:right w:val="nil"/>
            </w:tcBorders>
            <w:shd w:val="clear" w:color="FFFFFF" w:fill="FFFFFF"/>
            <w:vAlign w:val="center"/>
            <w:hideMark/>
          </w:tcPr>
          <w:p w14:paraId="7E90CD83"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11/17/2016</w:t>
            </w:r>
          </w:p>
        </w:tc>
        <w:tc>
          <w:tcPr>
            <w:tcW w:w="982" w:type="dxa"/>
            <w:tcBorders>
              <w:top w:val="nil"/>
              <w:left w:val="nil"/>
              <w:bottom w:val="nil"/>
              <w:right w:val="nil"/>
            </w:tcBorders>
            <w:shd w:val="clear" w:color="FFFFFF" w:fill="FFFFFF"/>
            <w:vAlign w:val="center"/>
            <w:hideMark/>
          </w:tcPr>
          <w:p w14:paraId="142928CF"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11/16/2036</w:t>
            </w:r>
          </w:p>
        </w:tc>
        <w:tc>
          <w:tcPr>
            <w:tcW w:w="1041" w:type="dxa"/>
            <w:tcBorders>
              <w:top w:val="nil"/>
              <w:left w:val="nil"/>
              <w:bottom w:val="nil"/>
              <w:right w:val="nil"/>
            </w:tcBorders>
            <w:shd w:val="clear" w:color="FFFFFF" w:fill="FFFFFF"/>
            <w:vAlign w:val="center"/>
            <w:hideMark/>
          </w:tcPr>
          <w:p w14:paraId="0A0F3763" w14:textId="7034453A"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Hizmetler</w:t>
            </w:r>
          </w:p>
        </w:tc>
        <w:tc>
          <w:tcPr>
            <w:tcW w:w="1259" w:type="dxa"/>
            <w:tcBorders>
              <w:top w:val="nil"/>
              <w:left w:val="nil"/>
              <w:bottom w:val="nil"/>
              <w:right w:val="nil"/>
            </w:tcBorders>
            <w:shd w:val="clear" w:color="FFFFFF" w:fill="FFFFFF"/>
            <w:vAlign w:val="center"/>
            <w:hideMark/>
          </w:tcPr>
          <w:p w14:paraId="04CC8E8F" w14:textId="448E521D"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Lüksemburg</w:t>
            </w:r>
          </w:p>
        </w:tc>
        <w:tc>
          <w:tcPr>
            <w:tcW w:w="1723" w:type="dxa"/>
            <w:tcBorders>
              <w:top w:val="nil"/>
              <w:left w:val="nil"/>
              <w:bottom w:val="nil"/>
              <w:right w:val="nil"/>
            </w:tcBorders>
            <w:shd w:val="clear" w:color="FFFFFF" w:fill="FFFFFF"/>
            <w:vAlign w:val="center"/>
            <w:hideMark/>
          </w:tcPr>
          <w:p w14:paraId="3685C344" w14:textId="15B9B660"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74</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325</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307</w:t>
            </w:r>
          </w:p>
        </w:tc>
      </w:tr>
      <w:tr w:rsidR="00586699" w:rsidRPr="001A4B94" w14:paraId="0C68D004" w14:textId="77777777" w:rsidTr="00987009">
        <w:trPr>
          <w:trHeight w:val="513"/>
        </w:trPr>
        <w:tc>
          <w:tcPr>
            <w:tcW w:w="1825" w:type="dxa"/>
            <w:tcBorders>
              <w:top w:val="nil"/>
              <w:left w:val="nil"/>
              <w:bottom w:val="nil"/>
              <w:right w:val="nil"/>
            </w:tcBorders>
            <w:shd w:val="clear" w:color="FFFFFF" w:fill="FFFFFF"/>
            <w:vAlign w:val="center"/>
            <w:hideMark/>
          </w:tcPr>
          <w:p w14:paraId="6805652E" w14:textId="4FA67B6F" w:rsidR="00586699" w:rsidRPr="001A4B94" w:rsidRDefault="00E055BF" w:rsidP="00586699">
            <w:pPr>
              <w:rPr>
                <w:rFonts w:ascii="Arial" w:hAnsi="Arial" w:cs="Arial"/>
                <w:color w:val="000000"/>
                <w:sz w:val="14"/>
                <w:szCs w:val="14"/>
                <w:lang w:val="tr-TR"/>
              </w:rPr>
            </w:pPr>
            <w:r w:rsidRPr="001A4B94">
              <w:rPr>
                <w:rFonts w:ascii="Arial" w:hAnsi="Arial" w:cs="Arial"/>
                <w:color w:val="000000"/>
                <w:sz w:val="14"/>
                <w:szCs w:val="14"/>
                <w:lang w:val="tr-TR"/>
              </w:rPr>
              <w:t>Elazığ Entegre Sağlık Kampüsü</w:t>
            </w:r>
          </w:p>
        </w:tc>
        <w:tc>
          <w:tcPr>
            <w:tcW w:w="2495" w:type="dxa"/>
            <w:tcBorders>
              <w:top w:val="nil"/>
              <w:left w:val="nil"/>
              <w:bottom w:val="nil"/>
              <w:right w:val="nil"/>
            </w:tcBorders>
            <w:shd w:val="clear" w:color="FFFFFF" w:fill="FFFFFF"/>
            <w:vAlign w:val="center"/>
            <w:hideMark/>
          </w:tcPr>
          <w:p w14:paraId="320778C4"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ELZ Finance S.A.</w:t>
            </w:r>
          </w:p>
        </w:tc>
        <w:tc>
          <w:tcPr>
            <w:tcW w:w="981" w:type="dxa"/>
            <w:tcBorders>
              <w:top w:val="nil"/>
              <w:left w:val="nil"/>
              <w:bottom w:val="nil"/>
              <w:right w:val="nil"/>
            </w:tcBorders>
            <w:shd w:val="clear" w:color="FFFFFF" w:fill="FFFFFF"/>
            <w:vAlign w:val="center"/>
            <w:hideMark/>
          </w:tcPr>
          <w:p w14:paraId="63B0D5FC"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12/13/2016</w:t>
            </w:r>
          </w:p>
        </w:tc>
        <w:tc>
          <w:tcPr>
            <w:tcW w:w="982" w:type="dxa"/>
            <w:tcBorders>
              <w:top w:val="nil"/>
              <w:left w:val="nil"/>
              <w:bottom w:val="nil"/>
              <w:right w:val="nil"/>
            </w:tcBorders>
            <w:shd w:val="clear" w:color="FFFFFF" w:fill="FFFFFF"/>
            <w:vAlign w:val="center"/>
            <w:hideMark/>
          </w:tcPr>
          <w:p w14:paraId="120E1C23"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12/12/2036</w:t>
            </w:r>
          </w:p>
        </w:tc>
        <w:tc>
          <w:tcPr>
            <w:tcW w:w="1041" w:type="dxa"/>
            <w:tcBorders>
              <w:top w:val="nil"/>
              <w:left w:val="nil"/>
              <w:bottom w:val="nil"/>
              <w:right w:val="nil"/>
            </w:tcBorders>
            <w:shd w:val="clear" w:color="FFFFFF" w:fill="FFFFFF"/>
            <w:vAlign w:val="center"/>
            <w:hideMark/>
          </w:tcPr>
          <w:p w14:paraId="425A1A4B" w14:textId="18D8E3D1"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Hizmetler</w:t>
            </w:r>
          </w:p>
        </w:tc>
        <w:tc>
          <w:tcPr>
            <w:tcW w:w="1259" w:type="dxa"/>
            <w:tcBorders>
              <w:top w:val="nil"/>
              <w:left w:val="nil"/>
              <w:bottom w:val="nil"/>
              <w:right w:val="nil"/>
            </w:tcBorders>
            <w:shd w:val="clear" w:color="FFFFFF" w:fill="FFFFFF"/>
            <w:vAlign w:val="center"/>
            <w:hideMark/>
          </w:tcPr>
          <w:p w14:paraId="15AF9633" w14:textId="2B6696E1"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Lüksemburg</w:t>
            </w:r>
          </w:p>
        </w:tc>
        <w:tc>
          <w:tcPr>
            <w:tcW w:w="1723" w:type="dxa"/>
            <w:tcBorders>
              <w:top w:val="nil"/>
              <w:left w:val="nil"/>
              <w:bottom w:val="nil"/>
              <w:right w:val="nil"/>
            </w:tcBorders>
            <w:shd w:val="clear" w:color="FFFFFF" w:fill="FFFFFF"/>
            <w:vAlign w:val="center"/>
            <w:hideMark/>
          </w:tcPr>
          <w:p w14:paraId="0C21EC09" w14:textId="58A147B7"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263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846</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337</w:t>
            </w:r>
          </w:p>
        </w:tc>
      </w:tr>
      <w:tr w:rsidR="00586699" w:rsidRPr="001A4B94" w14:paraId="4BEC3EEF" w14:textId="77777777" w:rsidTr="00987009">
        <w:trPr>
          <w:trHeight w:val="657"/>
        </w:trPr>
        <w:tc>
          <w:tcPr>
            <w:tcW w:w="1825" w:type="dxa"/>
            <w:tcBorders>
              <w:top w:val="nil"/>
              <w:left w:val="nil"/>
              <w:bottom w:val="nil"/>
              <w:right w:val="nil"/>
            </w:tcBorders>
            <w:shd w:val="clear" w:color="FFFFFF" w:fill="FFFFFF"/>
            <w:vAlign w:val="center"/>
            <w:hideMark/>
          </w:tcPr>
          <w:p w14:paraId="2C00EC84" w14:textId="2D36DCFE"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T</w:t>
            </w:r>
            <w:r w:rsidR="00E055BF" w:rsidRPr="001A4B94">
              <w:rPr>
                <w:rFonts w:ascii="Arial" w:hAnsi="Arial" w:cs="Arial"/>
                <w:color w:val="000000"/>
                <w:sz w:val="14"/>
                <w:szCs w:val="14"/>
                <w:lang w:val="tr-TR"/>
              </w:rPr>
              <w:t xml:space="preserve">ürkiye </w:t>
            </w:r>
            <w:r w:rsidRPr="001A4B94">
              <w:rPr>
                <w:rFonts w:ascii="Arial" w:hAnsi="Arial" w:cs="Arial"/>
                <w:color w:val="000000"/>
                <w:sz w:val="14"/>
                <w:szCs w:val="14"/>
                <w:lang w:val="tr-TR"/>
              </w:rPr>
              <w:t xml:space="preserve">Gaziantep </w:t>
            </w:r>
            <w:r w:rsidR="00E055BF" w:rsidRPr="001A4B94">
              <w:rPr>
                <w:rFonts w:ascii="Arial" w:hAnsi="Arial" w:cs="Arial"/>
                <w:color w:val="000000"/>
                <w:sz w:val="14"/>
                <w:szCs w:val="14"/>
                <w:lang w:val="tr-TR"/>
              </w:rPr>
              <w:t>Hastanesi BLT Projesi</w:t>
            </w:r>
          </w:p>
        </w:tc>
        <w:tc>
          <w:tcPr>
            <w:tcW w:w="2495" w:type="dxa"/>
            <w:tcBorders>
              <w:top w:val="nil"/>
              <w:left w:val="nil"/>
              <w:bottom w:val="nil"/>
              <w:right w:val="nil"/>
            </w:tcBorders>
            <w:shd w:val="clear" w:color="FFFFFF" w:fill="FFFFFF"/>
            <w:vAlign w:val="center"/>
            <w:hideMark/>
          </w:tcPr>
          <w:p w14:paraId="3A7E4D3C"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KDB Infrastructure Investments Asset Management Co., Ltd.</w:t>
            </w:r>
          </w:p>
        </w:tc>
        <w:tc>
          <w:tcPr>
            <w:tcW w:w="981" w:type="dxa"/>
            <w:tcBorders>
              <w:top w:val="nil"/>
              <w:left w:val="nil"/>
              <w:bottom w:val="nil"/>
              <w:right w:val="nil"/>
            </w:tcBorders>
            <w:shd w:val="clear" w:color="FFFFFF" w:fill="FFFFFF"/>
            <w:vAlign w:val="center"/>
            <w:hideMark/>
          </w:tcPr>
          <w:p w14:paraId="1A65C300"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04/21/2017</w:t>
            </w:r>
          </w:p>
        </w:tc>
        <w:tc>
          <w:tcPr>
            <w:tcW w:w="982" w:type="dxa"/>
            <w:tcBorders>
              <w:top w:val="nil"/>
              <w:left w:val="nil"/>
              <w:bottom w:val="nil"/>
              <w:right w:val="nil"/>
            </w:tcBorders>
            <w:shd w:val="clear" w:color="FFFFFF" w:fill="FFFFFF"/>
            <w:vAlign w:val="center"/>
            <w:hideMark/>
          </w:tcPr>
          <w:p w14:paraId="4CF6A66C"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04/20/2037</w:t>
            </w:r>
          </w:p>
        </w:tc>
        <w:tc>
          <w:tcPr>
            <w:tcW w:w="1041" w:type="dxa"/>
            <w:tcBorders>
              <w:top w:val="nil"/>
              <w:left w:val="nil"/>
              <w:bottom w:val="nil"/>
              <w:right w:val="nil"/>
            </w:tcBorders>
            <w:shd w:val="clear" w:color="FFFFFF" w:fill="FFFFFF"/>
            <w:vAlign w:val="center"/>
            <w:hideMark/>
          </w:tcPr>
          <w:p w14:paraId="2D5B6BC1" w14:textId="54C4D6B4"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Hizmetler</w:t>
            </w:r>
          </w:p>
        </w:tc>
        <w:tc>
          <w:tcPr>
            <w:tcW w:w="1259" w:type="dxa"/>
            <w:tcBorders>
              <w:top w:val="nil"/>
              <w:left w:val="nil"/>
              <w:bottom w:val="nil"/>
              <w:right w:val="nil"/>
            </w:tcBorders>
            <w:shd w:val="clear" w:color="FFFFFF" w:fill="FFFFFF"/>
            <w:vAlign w:val="center"/>
            <w:hideMark/>
          </w:tcPr>
          <w:p w14:paraId="2741A1E2" w14:textId="789E8FAA"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 xml:space="preserve">Kore, </w:t>
            </w:r>
            <w:r w:rsidR="005B3CDA" w:rsidRPr="001A4B94">
              <w:rPr>
                <w:rFonts w:ascii="Arial" w:hAnsi="Arial" w:cs="Arial"/>
                <w:color w:val="000000"/>
                <w:sz w:val="14"/>
                <w:szCs w:val="14"/>
                <w:lang w:val="tr-TR"/>
              </w:rPr>
              <w:t xml:space="preserve">Cumhuriyeti </w:t>
            </w:r>
          </w:p>
        </w:tc>
        <w:tc>
          <w:tcPr>
            <w:tcW w:w="1723" w:type="dxa"/>
            <w:tcBorders>
              <w:top w:val="nil"/>
              <w:left w:val="nil"/>
              <w:bottom w:val="nil"/>
              <w:right w:val="nil"/>
            </w:tcBorders>
            <w:shd w:val="clear" w:color="FFFFFF" w:fill="FFFFFF"/>
            <w:vAlign w:val="center"/>
            <w:hideMark/>
          </w:tcPr>
          <w:p w14:paraId="1BEC1B9E" w14:textId="65A9A31B"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60</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637</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075</w:t>
            </w:r>
          </w:p>
        </w:tc>
      </w:tr>
      <w:tr w:rsidR="00586699" w:rsidRPr="001A4B94" w14:paraId="626B252E" w14:textId="77777777" w:rsidTr="00987009">
        <w:trPr>
          <w:trHeight w:val="270"/>
        </w:trPr>
        <w:tc>
          <w:tcPr>
            <w:tcW w:w="1825" w:type="dxa"/>
            <w:tcBorders>
              <w:top w:val="nil"/>
              <w:left w:val="nil"/>
              <w:bottom w:val="nil"/>
              <w:right w:val="nil"/>
            </w:tcBorders>
            <w:shd w:val="clear" w:color="FFFFFF" w:fill="FFFFFF"/>
            <w:vAlign w:val="center"/>
            <w:hideMark/>
          </w:tcPr>
          <w:p w14:paraId="41373C0D" w14:textId="4156BE42"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 xml:space="preserve">Yozgat </w:t>
            </w:r>
            <w:r w:rsidR="005B3CDA" w:rsidRPr="001A4B94">
              <w:rPr>
                <w:rFonts w:ascii="Arial" w:hAnsi="Arial" w:cs="Arial"/>
                <w:color w:val="000000"/>
                <w:sz w:val="14"/>
                <w:szCs w:val="14"/>
                <w:lang w:val="tr-TR"/>
              </w:rPr>
              <w:t xml:space="preserve">Eğitim ve Araştırma Hastanesi </w:t>
            </w:r>
          </w:p>
        </w:tc>
        <w:tc>
          <w:tcPr>
            <w:tcW w:w="2495" w:type="dxa"/>
            <w:tcBorders>
              <w:top w:val="nil"/>
              <w:left w:val="nil"/>
              <w:bottom w:val="nil"/>
              <w:right w:val="nil"/>
            </w:tcBorders>
            <w:shd w:val="clear" w:color="FFFFFF" w:fill="FFFFFF"/>
            <w:vAlign w:val="center"/>
            <w:hideMark/>
          </w:tcPr>
          <w:p w14:paraId="7F07A7C5"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Meridiam Eastern Europe S.a.r.l.</w:t>
            </w:r>
          </w:p>
        </w:tc>
        <w:tc>
          <w:tcPr>
            <w:tcW w:w="981" w:type="dxa"/>
            <w:tcBorders>
              <w:top w:val="nil"/>
              <w:left w:val="nil"/>
              <w:bottom w:val="nil"/>
              <w:right w:val="nil"/>
            </w:tcBorders>
            <w:shd w:val="clear" w:color="FFFFFF" w:fill="FFFFFF"/>
            <w:vAlign w:val="center"/>
            <w:hideMark/>
          </w:tcPr>
          <w:p w14:paraId="63BC23BB"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06/19/2015</w:t>
            </w:r>
          </w:p>
        </w:tc>
        <w:tc>
          <w:tcPr>
            <w:tcW w:w="982" w:type="dxa"/>
            <w:tcBorders>
              <w:top w:val="nil"/>
              <w:left w:val="nil"/>
              <w:bottom w:val="nil"/>
              <w:right w:val="nil"/>
            </w:tcBorders>
            <w:shd w:val="clear" w:color="FFFFFF" w:fill="FFFFFF"/>
            <w:vAlign w:val="center"/>
            <w:hideMark/>
          </w:tcPr>
          <w:p w14:paraId="43B39DD1"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06/18/2035</w:t>
            </w:r>
          </w:p>
        </w:tc>
        <w:tc>
          <w:tcPr>
            <w:tcW w:w="1041" w:type="dxa"/>
            <w:tcBorders>
              <w:top w:val="nil"/>
              <w:left w:val="nil"/>
              <w:bottom w:val="nil"/>
              <w:right w:val="nil"/>
            </w:tcBorders>
            <w:shd w:val="clear" w:color="FFFFFF" w:fill="FFFFFF"/>
            <w:vAlign w:val="center"/>
            <w:hideMark/>
          </w:tcPr>
          <w:p w14:paraId="5CBA2F72" w14:textId="47CBD5A0"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Hizmetler</w:t>
            </w:r>
          </w:p>
        </w:tc>
        <w:tc>
          <w:tcPr>
            <w:tcW w:w="1259" w:type="dxa"/>
            <w:tcBorders>
              <w:top w:val="nil"/>
              <w:left w:val="nil"/>
              <w:bottom w:val="nil"/>
              <w:right w:val="nil"/>
            </w:tcBorders>
            <w:shd w:val="clear" w:color="FFFFFF" w:fill="FFFFFF"/>
            <w:vAlign w:val="center"/>
            <w:hideMark/>
          </w:tcPr>
          <w:p w14:paraId="6DBAFE0E" w14:textId="4622D28C"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Lüksemburg</w:t>
            </w:r>
          </w:p>
        </w:tc>
        <w:tc>
          <w:tcPr>
            <w:tcW w:w="1723" w:type="dxa"/>
            <w:tcBorders>
              <w:top w:val="nil"/>
              <w:left w:val="nil"/>
              <w:bottom w:val="nil"/>
              <w:right w:val="nil"/>
            </w:tcBorders>
            <w:shd w:val="clear" w:color="FFFFFF" w:fill="FFFFFF"/>
            <w:vAlign w:val="center"/>
            <w:hideMark/>
          </w:tcPr>
          <w:p w14:paraId="39B15087" w14:textId="4AB56B73"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30</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353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276</w:t>
            </w:r>
          </w:p>
        </w:tc>
      </w:tr>
      <w:tr w:rsidR="00586699" w:rsidRPr="001A4B94" w14:paraId="7948A412" w14:textId="77777777" w:rsidTr="00987009">
        <w:trPr>
          <w:trHeight w:val="936"/>
        </w:trPr>
        <w:tc>
          <w:tcPr>
            <w:tcW w:w="1825" w:type="dxa"/>
            <w:tcBorders>
              <w:top w:val="nil"/>
              <w:left w:val="nil"/>
              <w:bottom w:val="nil"/>
              <w:right w:val="nil"/>
            </w:tcBorders>
            <w:shd w:val="clear" w:color="FFFFFF" w:fill="FFFFFF"/>
            <w:vAlign w:val="center"/>
            <w:hideMark/>
          </w:tcPr>
          <w:p w14:paraId="437E4342" w14:textId="6F258B3D"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 xml:space="preserve">Yozgat </w:t>
            </w:r>
            <w:r w:rsidR="005B3CDA" w:rsidRPr="001A4B94">
              <w:rPr>
                <w:rFonts w:ascii="Arial" w:hAnsi="Arial" w:cs="Arial"/>
                <w:color w:val="000000"/>
                <w:sz w:val="14"/>
                <w:szCs w:val="14"/>
                <w:lang w:val="tr-TR"/>
              </w:rPr>
              <w:t>Eğitim ve Araştırma Hastanesi</w:t>
            </w:r>
          </w:p>
        </w:tc>
        <w:tc>
          <w:tcPr>
            <w:tcW w:w="2495" w:type="dxa"/>
            <w:tcBorders>
              <w:top w:val="nil"/>
              <w:left w:val="nil"/>
              <w:bottom w:val="nil"/>
              <w:right w:val="nil"/>
            </w:tcBorders>
            <w:shd w:val="clear" w:color="FFFFFF" w:fill="FFFFFF"/>
            <w:vAlign w:val="center"/>
            <w:hideMark/>
          </w:tcPr>
          <w:p w14:paraId="5DE703E1"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Siemens Bank GmbH</w:t>
            </w:r>
          </w:p>
        </w:tc>
        <w:tc>
          <w:tcPr>
            <w:tcW w:w="981" w:type="dxa"/>
            <w:tcBorders>
              <w:top w:val="nil"/>
              <w:left w:val="nil"/>
              <w:bottom w:val="nil"/>
              <w:right w:val="nil"/>
            </w:tcBorders>
            <w:shd w:val="clear" w:color="FFFFFF" w:fill="FFFFFF"/>
            <w:vAlign w:val="center"/>
            <w:hideMark/>
          </w:tcPr>
          <w:p w14:paraId="028CC4D4"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06/25/2015</w:t>
            </w:r>
          </w:p>
        </w:tc>
        <w:tc>
          <w:tcPr>
            <w:tcW w:w="982" w:type="dxa"/>
            <w:tcBorders>
              <w:top w:val="nil"/>
              <w:left w:val="nil"/>
              <w:bottom w:val="nil"/>
              <w:right w:val="nil"/>
            </w:tcBorders>
            <w:shd w:val="clear" w:color="FFFFFF" w:fill="FFFFFF"/>
            <w:vAlign w:val="center"/>
            <w:hideMark/>
          </w:tcPr>
          <w:p w14:paraId="6D67B6AE"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06/02/2033</w:t>
            </w:r>
          </w:p>
        </w:tc>
        <w:tc>
          <w:tcPr>
            <w:tcW w:w="1041" w:type="dxa"/>
            <w:tcBorders>
              <w:top w:val="nil"/>
              <w:left w:val="nil"/>
              <w:bottom w:val="nil"/>
              <w:right w:val="nil"/>
            </w:tcBorders>
            <w:shd w:val="clear" w:color="FFFFFF" w:fill="FFFFFF"/>
            <w:vAlign w:val="center"/>
            <w:hideMark/>
          </w:tcPr>
          <w:p w14:paraId="3ED81DDC" w14:textId="37E736E2"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Hizmetler</w:t>
            </w:r>
          </w:p>
        </w:tc>
        <w:tc>
          <w:tcPr>
            <w:tcW w:w="1259" w:type="dxa"/>
            <w:tcBorders>
              <w:top w:val="nil"/>
              <w:left w:val="nil"/>
              <w:bottom w:val="nil"/>
              <w:right w:val="nil"/>
            </w:tcBorders>
            <w:shd w:val="clear" w:color="FFFFFF" w:fill="FFFFFF"/>
            <w:vAlign w:val="center"/>
            <w:hideMark/>
          </w:tcPr>
          <w:p w14:paraId="03FE5A04" w14:textId="37A86F40" w:rsidR="00586699" w:rsidRPr="001A4B94" w:rsidRDefault="005B3CDA" w:rsidP="00586699">
            <w:pPr>
              <w:rPr>
                <w:rFonts w:ascii="Arial" w:hAnsi="Arial" w:cs="Arial"/>
                <w:color w:val="000000"/>
                <w:sz w:val="14"/>
                <w:szCs w:val="14"/>
                <w:lang w:val="tr-TR"/>
              </w:rPr>
            </w:pPr>
            <w:r w:rsidRPr="001A4B94">
              <w:rPr>
                <w:rFonts w:ascii="Arial" w:hAnsi="Arial" w:cs="Arial"/>
                <w:color w:val="000000"/>
                <w:sz w:val="14"/>
                <w:szCs w:val="14"/>
                <w:lang w:val="tr-TR"/>
              </w:rPr>
              <w:t>Almanya</w:t>
            </w:r>
          </w:p>
        </w:tc>
        <w:tc>
          <w:tcPr>
            <w:tcW w:w="1723" w:type="dxa"/>
            <w:tcBorders>
              <w:top w:val="nil"/>
              <w:left w:val="nil"/>
              <w:bottom w:val="nil"/>
              <w:right w:val="nil"/>
            </w:tcBorders>
            <w:shd w:val="clear" w:color="FFFFFF" w:fill="FFFFFF"/>
            <w:vAlign w:val="center"/>
            <w:hideMark/>
          </w:tcPr>
          <w:p w14:paraId="4FCFFDCE" w14:textId="4F97C7CB"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21</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400</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688</w:t>
            </w:r>
          </w:p>
        </w:tc>
      </w:tr>
      <w:tr w:rsidR="00586699" w:rsidRPr="001A4B94" w14:paraId="7614BE56" w14:textId="77777777" w:rsidTr="00987009">
        <w:trPr>
          <w:trHeight w:val="450"/>
        </w:trPr>
        <w:tc>
          <w:tcPr>
            <w:tcW w:w="1825" w:type="dxa"/>
            <w:tcBorders>
              <w:top w:val="nil"/>
              <w:left w:val="nil"/>
              <w:bottom w:val="single" w:sz="4" w:space="0" w:color="808080"/>
              <w:right w:val="nil"/>
            </w:tcBorders>
            <w:shd w:val="clear" w:color="FFFFFF" w:fill="FFF2A6"/>
            <w:vAlign w:val="center"/>
            <w:hideMark/>
          </w:tcPr>
          <w:p w14:paraId="72CB3761" w14:textId="77777777" w:rsidR="00586699" w:rsidRPr="001A4B94" w:rsidRDefault="00586699" w:rsidP="00586699">
            <w:pPr>
              <w:rPr>
                <w:rFonts w:ascii="Arial" w:hAnsi="Arial" w:cs="Arial"/>
                <w:color w:val="000000"/>
                <w:sz w:val="16"/>
                <w:szCs w:val="16"/>
                <w:lang w:val="tr-TR"/>
              </w:rPr>
            </w:pPr>
            <w:r w:rsidRPr="001A4B94">
              <w:rPr>
                <w:rFonts w:ascii="Arial" w:hAnsi="Arial" w:cs="Arial"/>
                <w:color w:val="000000"/>
                <w:sz w:val="16"/>
                <w:szCs w:val="16"/>
                <w:lang w:val="tr-TR"/>
              </w:rPr>
              <w:t> </w:t>
            </w:r>
          </w:p>
        </w:tc>
        <w:tc>
          <w:tcPr>
            <w:tcW w:w="2495" w:type="dxa"/>
            <w:tcBorders>
              <w:top w:val="nil"/>
              <w:left w:val="nil"/>
              <w:bottom w:val="single" w:sz="4" w:space="0" w:color="808080"/>
              <w:right w:val="nil"/>
            </w:tcBorders>
            <w:shd w:val="clear" w:color="FFFFFF" w:fill="FFF2A6"/>
            <w:vAlign w:val="center"/>
            <w:hideMark/>
          </w:tcPr>
          <w:p w14:paraId="7918735B" w14:textId="77777777" w:rsidR="00586699" w:rsidRPr="001A4B94" w:rsidRDefault="00586699" w:rsidP="00586699">
            <w:pPr>
              <w:rPr>
                <w:rFonts w:ascii="Arial" w:hAnsi="Arial" w:cs="Arial"/>
                <w:color w:val="000000"/>
                <w:sz w:val="16"/>
                <w:szCs w:val="16"/>
                <w:lang w:val="tr-TR"/>
              </w:rPr>
            </w:pPr>
            <w:r w:rsidRPr="001A4B94">
              <w:rPr>
                <w:rFonts w:ascii="Arial" w:hAnsi="Arial" w:cs="Arial"/>
                <w:color w:val="000000"/>
                <w:sz w:val="16"/>
                <w:szCs w:val="16"/>
                <w:lang w:val="tr-TR"/>
              </w:rPr>
              <w:t> </w:t>
            </w:r>
          </w:p>
        </w:tc>
        <w:tc>
          <w:tcPr>
            <w:tcW w:w="981" w:type="dxa"/>
            <w:tcBorders>
              <w:top w:val="nil"/>
              <w:left w:val="nil"/>
              <w:bottom w:val="single" w:sz="4" w:space="0" w:color="808080"/>
              <w:right w:val="nil"/>
            </w:tcBorders>
            <w:shd w:val="clear" w:color="FFFFFF" w:fill="FFF2A6"/>
            <w:noWrap/>
            <w:vAlign w:val="center"/>
            <w:hideMark/>
          </w:tcPr>
          <w:p w14:paraId="3A0E5249" w14:textId="77777777" w:rsidR="00586699" w:rsidRPr="001A4B94" w:rsidRDefault="00586699" w:rsidP="00586699">
            <w:pPr>
              <w:rPr>
                <w:rFonts w:ascii="Arial" w:hAnsi="Arial" w:cs="Arial"/>
                <w:color w:val="000000"/>
                <w:sz w:val="14"/>
                <w:szCs w:val="14"/>
                <w:lang w:val="tr-TR"/>
              </w:rPr>
            </w:pPr>
            <w:r w:rsidRPr="001A4B94">
              <w:rPr>
                <w:rFonts w:ascii="Arial" w:hAnsi="Arial" w:cs="Arial"/>
                <w:color w:val="000000"/>
                <w:sz w:val="14"/>
                <w:szCs w:val="14"/>
                <w:lang w:val="tr-TR"/>
              </w:rPr>
              <w:t> </w:t>
            </w:r>
          </w:p>
        </w:tc>
        <w:tc>
          <w:tcPr>
            <w:tcW w:w="982" w:type="dxa"/>
            <w:tcBorders>
              <w:top w:val="nil"/>
              <w:left w:val="nil"/>
              <w:bottom w:val="single" w:sz="4" w:space="0" w:color="808080"/>
              <w:right w:val="nil"/>
            </w:tcBorders>
            <w:shd w:val="clear" w:color="FFFFFF" w:fill="FFF2A6"/>
            <w:noWrap/>
            <w:vAlign w:val="center"/>
            <w:hideMark/>
          </w:tcPr>
          <w:p w14:paraId="52778778" w14:textId="77777777" w:rsidR="00586699" w:rsidRPr="001A4B94" w:rsidRDefault="00586699" w:rsidP="00586699">
            <w:pPr>
              <w:jc w:val="right"/>
              <w:rPr>
                <w:rFonts w:ascii="Arial" w:hAnsi="Arial" w:cs="Arial"/>
                <w:color w:val="000000"/>
                <w:sz w:val="16"/>
                <w:szCs w:val="16"/>
                <w:lang w:val="tr-TR"/>
              </w:rPr>
            </w:pPr>
            <w:r w:rsidRPr="001A4B94">
              <w:rPr>
                <w:rFonts w:ascii="Arial" w:hAnsi="Arial" w:cs="Arial"/>
                <w:color w:val="000000"/>
                <w:sz w:val="16"/>
                <w:szCs w:val="16"/>
                <w:lang w:val="tr-TR"/>
              </w:rPr>
              <w:t> </w:t>
            </w:r>
          </w:p>
        </w:tc>
        <w:tc>
          <w:tcPr>
            <w:tcW w:w="1041" w:type="dxa"/>
            <w:tcBorders>
              <w:top w:val="nil"/>
              <w:left w:val="nil"/>
              <w:bottom w:val="single" w:sz="4" w:space="0" w:color="808080"/>
              <w:right w:val="nil"/>
            </w:tcBorders>
            <w:shd w:val="clear" w:color="FFFFFF" w:fill="FFF2A6"/>
            <w:vAlign w:val="center"/>
            <w:hideMark/>
          </w:tcPr>
          <w:p w14:paraId="4E94F556" w14:textId="77777777" w:rsidR="00586699" w:rsidRPr="001A4B94" w:rsidRDefault="00586699" w:rsidP="00586699">
            <w:pPr>
              <w:rPr>
                <w:rFonts w:ascii="Arial" w:hAnsi="Arial" w:cs="Arial"/>
                <w:color w:val="000000"/>
                <w:sz w:val="16"/>
                <w:szCs w:val="16"/>
                <w:lang w:val="tr-TR"/>
              </w:rPr>
            </w:pPr>
            <w:r w:rsidRPr="001A4B94">
              <w:rPr>
                <w:rFonts w:ascii="Arial" w:hAnsi="Arial" w:cs="Arial"/>
                <w:color w:val="000000"/>
                <w:sz w:val="16"/>
                <w:szCs w:val="16"/>
                <w:lang w:val="tr-TR"/>
              </w:rPr>
              <w:t> </w:t>
            </w:r>
          </w:p>
        </w:tc>
        <w:tc>
          <w:tcPr>
            <w:tcW w:w="1259" w:type="dxa"/>
            <w:tcBorders>
              <w:top w:val="nil"/>
              <w:left w:val="nil"/>
              <w:bottom w:val="single" w:sz="4" w:space="0" w:color="808080"/>
              <w:right w:val="nil"/>
            </w:tcBorders>
            <w:shd w:val="clear" w:color="FFFFFF" w:fill="FFF2A6"/>
            <w:noWrap/>
            <w:vAlign w:val="center"/>
            <w:hideMark/>
          </w:tcPr>
          <w:p w14:paraId="4394CFEA" w14:textId="77777777" w:rsidR="00586699" w:rsidRPr="001A4B94" w:rsidRDefault="00586699" w:rsidP="00586699">
            <w:pPr>
              <w:rPr>
                <w:rFonts w:ascii="Arial" w:hAnsi="Arial" w:cs="Arial"/>
                <w:color w:val="000000"/>
                <w:sz w:val="16"/>
                <w:szCs w:val="16"/>
                <w:lang w:val="tr-TR"/>
              </w:rPr>
            </w:pPr>
            <w:r w:rsidRPr="001A4B94">
              <w:rPr>
                <w:rFonts w:ascii="Arial" w:hAnsi="Arial" w:cs="Arial"/>
                <w:color w:val="000000"/>
                <w:sz w:val="16"/>
                <w:szCs w:val="16"/>
                <w:lang w:val="tr-TR"/>
              </w:rPr>
              <w:t> </w:t>
            </w:r>
          </w:p>
        </w:tc>
        <w:tc>
          <w:tcPr>
            <w:tcW w:w="1723" w:type="dxa"/>
            <w:tcBorders>
              <w:top w:val="nil"/>
              <w:left w:val="nil"/>
              <w:bottom w:val="single" w:sz="4" w:space="0" w:color="808080"/>
              <w:right w:val="nil"/>
            </w:tcBorders>
            <w:shd w:val="clear" w:color="FFFFFF" w:fill="FFF2A6"/>
            <w:noWrap/>
            <w:vAlign w:val="center"/>
            <w:hideMark/>
          </w:tcPr>
          <w:p w14:paraId="3EF91E86" w14:textId="1E0AA0B3" w:rsidR="00586699" w:rsidRPr="001A4B94" w:rsidRDefault="00586699" w:rsidP="00586699">
            <w:pPr>
              <w:jc w:val="right"/>
              <w:rPr>
                <w:rFonts w:ascii="Arial" w:hAnsi="Arial" w:cs="Arial"/>
                <w:color w:val="000000"/>
                <w:sz w:val="14"/>
                <w:szCs w:val="14"/>
                <w:lang w:val="tr-TR"/>
              </w:rPr>
            </w:pPr>
            <w:r w:rsidRPr="001A4B94">
              <w:rPr>
                <w:rFonts w:ascii="Arial" w:hAnsi="Arial" w:cs="Arial"/>
                <w:color w:val="000000"/>
                <w:sz w:val="14"/>
                <w:szCs w:val="14"/>
                <w:lang w:val="tr-TR"/>
              </w:rPr>
              <w:t>2</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498</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623</w:t>
            </w:r>
            <w:r w:rsidR="009D4C57" w:rsidRPr="001A4B94">
              <w:rPr>
                <w:rFonts w:ascii="Arial" w:hAnsi="Arial" w:cs="Arial"/>
                <w:color w:val="000000"/>
                <w:sz w:val="14"/>
                <w:szCs w:val="14"/>
                <w:lang w:val="tr-TR"/>
              </w:rPr>
              <w:t>.</w:t>
            </w:r>
            <w:r w:rsidRPr="001A4B94">
              <w:rPr>
                <w:rFonts w:ascii="Arial" w:hAnsi="Arial" w:cs="Arial"/>
                <w:color w:val="000000"/>
                <w:sz w:val="14"/>
                <w:szCs w:val="14"/>
                <w:lang w:val="tr-TR"/>
              </w:rPr>
              <w:t>515</w:t>
            </w:r>
          </w:p>
        </w:tc>
      </w:tr>
    </w:tbl>
    <w:p w14:paraId="1E87375E" w14:textId="77777777" w:rsidR="007E27D8" w:rsidRPr="001A4B94" w:rsidRDefault="007E27D8" w:rsidP="007E27D8">
      <w:pPr>
        <w:rPr>
          <w:lang w:val="tr-TR"/>
        </w:rPr>
      </w:pPr>
    </w:p>
    <w:p w14:paraId="3A73227B" w14:textId="72718A43" w:rsidR="007E27D8" w:rsidRPr="001A4B94" w:rsidRDefault="007E27D8">
      <w:pPr>
        <w:spacing w:after="160" w:line="259" w:lineRule="auto"/>
        <w:rPr>
          <w:rFonts w:eastAsiaTheme="majorEastAsia"/>
          <w:b/>
          <w:color w:val="000000" w:themeColor="text1"/>
          <w:lang w:val="tr-TR"/>
        </w:rPr>
      </w:pPr>
      <w:r w:rsidRPr="001A4B94">
        <w:rPr>
          <w:rFonts w:eastAsiaTheme="majorEastAsia"/>
          <w:b/>
          <w:color w:val="000000" w:themeColor="text1"/>
          <w:lang w:val="tr-TR"/>
        </w:rPr>
        <w:br w:type="page"/>
      </w:r>
    </w:p>
    <w:p w14:paraId="28892B7E" w14:textId="6E626537" w:rsidR="00747261" w:rsidRPr="001A4B94" w:rsidRDefault="00763672" w:rsidP="000B578B">
      <w:pPr>
        <w:pStyle w:val="Balk1"/>
        <w:jc w:val="center"/>
        <w:rPr>
          <w:rFonts w:ascii="Times New Roman" w:hAnsi="Times New Roman" w:cs="Times New Roman"/>
          <w:b/>
          <w:color w:val="auto"/>
          <w:sz w:val="24"/>
          <w:szCs w:val="24"/>
          <w:lang w:val="tr-TR"/>
        </w:rPr>
      </w:pPr>
      <w:bookmarkStart w:id="29" w:name="_Toc494977337"/>
      <w:r w:rsidRPr="001A4B94">
        <w:rPr>
          <w:rFonts w:ascii="Times New Roman" w:hAnsi="Times New Roman" w:cs="Times New Roman"/>
          <w:b/>
          <w:color w:val="auto"/>
          <w:sz w:val="24"/>
          <w:szCs w:val="24"/>
          <w:lang w:val="tr-TR"/>
        </w:rPr>
        <w:lastRenderedPageBreak/>
        <w:t>Ek</w:t>
      </w:r>
      <w:r w:rsidR="00747261" w:rsidRPr="001A4B94">
        <w:rPr>
          <w:rFonts w:ascii="Times New Roman" w:hAnsi="Times New Roman" w:cs="Times New Roman"/>
          <w:b/>
          <w:color w:val="auto"/>
          <w:sz w:val="24"/>
          <w:szCs w:val="24"/>
          <w:lang w:val="tr-TR"/>
        </w:rPr>
        <w:t xml:space="preserve"> </w:t>
      </w:r>
      <w:r w:rsidR="007E27D8" w:rsidRPr="001A4B94">
        <w:rPr>
          <w:rFonts w:ascii="Times New Roman" w:hAnsi="Times New Roman" w:cs="Times New Roman"/>
          <w:b/>
          <w:color w:val="auto"/>
          <w:sz w:val="24"/>
          <w:szCs w:val="24"/>
          <w:lang w:val="tr-TR"/>
        </w:rPr>
        <w:t>7</w:t>
      </w:r>
      <w:r w:rsidR="00747261" w:rsidRPr="001A4B94">
        <w:rPr>
          <w:rFonts w:ascii="Times New Roman" w:hAnsi="Times New Roman" w:cs="Times New Roman"/>
          <w:b/>
          <w:color w:val="auto"/>
          <w:sz w:val="24"/>
          <w:szCs w:val="24"/>
          <w:lang w:val="tr-TR"/>
        </w:rPr>
        <w:t xml:space="preserve">. </w:t>
      </w:r>
      <w:r w:rsidRPr="001A4B94">
        <w:rPr>
          <w:rFonts w:ascii="Times New Roman" w:hAnsi="Times New Roman" w:cs="Times New Roman"/>
          <w:b/>
          <w:color w:val="auto"/>
          <w:sz w:val="24"/>
          <w:szCs w:val="24"/>
          <w:lang w:val="tr-TR"/>
        </w:rPr>
        <w:t>Ülke Toplumsal Cinsiyet De</w:t>
      </w:r>
      <w:r w:rsidR="001D4181" w:rsidRPr="001A4B94">
        <w:rPr>
          <w:rFonts w:ascii="Times New Roman" w:hAnsi="Times New Roman" w:cs="Times New Roman"/>
          <w:b/>
          <w:color w:val="auto"/>
          <w:sz w:val="24"/>
          <w:szCs w:val="24"/>
          <w:lang w:val="tr-TR"/>
        </w:rPr>
        <w:t>ğ</w:t>
      </w:r>
      <w:r w:rsidRPr="001A4B94">
        <w:rPr>
          <w:rFonts w:ascii="Times New Roman" w:hAnsi="Times New Roman" w:cs="Times New Roman"/>
          <w:b/>
          <w:color w:val="auto"/>
          <w:sz w:val="24"/>
          <w:szCs w:val="24"/>
          <w:lang w:val="tr-TR"/>
        </w:rPr>
        <w:t xml:space="preserve">erlendirmesi </w:t>
      </w:r>
      <w:r w:rsidR="00747261" w:rsidRPr="001A4B94">
        <w:rPr>
          <w:rFonts w:ascii="Times New Roman" w:hAnsi="Times New Roman" w:cs="Times New Roman"/>
          <w:b/>
          <w:color w:val="auto"/>
          <w:sz w:val="24"/>
          <w:szCs w:val="24"/>
          <w:lang w:val="tr-TR"/>
        </w:rPr>
        <w:t>2016</w:t>
      </w:r>
      <w:r w:rsidR="001D4181" w:rsidRPr="001A4B94">
        <w:rPr>
          <w:rFonts w:ascii="Times New Roman" w:hAnsi="Times New Roman" w:cs="Times New Roman"/>
          <w:b/>
          <w:color w:val="auto"/>
          <w:sz w:val="24"/>
          <w:szCs w:val="24"/>
          <w:lang w:val="tr-TR"/>
        </w:rPr>
        <w:t xml:space="preserve"> – Özet Not</w:t>
      </w:r>
      <w:bookmarkEnd w:id="29"/>
      <w:r w:rsidR="001D4181" w:rsidRPr="001A4B94">
        <w:rPr>
          <w:rFonts w:ascii="Times New Roman" w:hAnsi="Times New Roman" w:cs="Times New Roman"/>
          <w:b/>
          <w:color w:val="auto"/>
          <w:sz w:val="24"/>
          <w:szCs w:val="24"/>
          <w:lang w:val="tr-TR"/>
        </w:rPr>
        <w:t xml:space="preserve"> </w:t>
      </w:r>
    </w:p>
    <w:p w14:paraId="31563E4A" w14:textId="77777777" w:rsidR="00747261" w:rsidRPr="001A4B94" w:rsidRDefault="00747261" w:rsidP="00747261">
      <w:pPr>
        <w:autoSpaceDE w:val="0"/>
        <w:autoSpaceDN w:val="0"/>
        <w:adjustRightInd w:val="0"/>
        <w:jc w:val="center"/>
        <w:rPr>
          <w:rFonts w:eastAsia="Calibri"/>
          <w:b/>
          <w:lang w:val="tr-TR"/>
        </w:rPr>
      </w:pPr>
    </w:p>
    <w:p w14:paraId="54A07B97" w14:textId="40143501" w:rsidR="00747261" w:rsidRPr="001A4B94" w:rsidRDefault="001D4181" w:rsidP="00747261">
      <w:pPr>
        <w:spacing w:after="200" w:line="276" w:lineRule="auto"/>
        <w:jc w:val="both"/>
        <w:rPr>
          <w:rFonts w:eastAsia="Calibri"/>
          <w:sz w:val="22"/>
          <w:szCs w:val="22"/>
          <w:lang w:val="tr-TR"/>
        </w:rPr>
      </w:pPr>
      <w:r w:rsidRPr="001A4B94">
        <w:rPr>
          <w:rFonts w:eastAsia="Calibri"/>
          <w:sz w:val="22"/>
          <w:szCs w:val="22"/>
          <w:lang w:val="tr-TR"/>
        </w:rPr>
        <w:t>Türkiye üretime dönük fırsatlara, dolayısıyla ekonomik fırsatlara erişimde cinsiyet eşitsizliklerini son yıllarda önemli ölçüde azaltmıştır</w:t>
      </w:r>
      <w:r w:rsidR="00747261" w:rsidRPr="001A4B94">
        <w:rPr>
          <w:rFonts w:eastAsia="Calibri"/>
          <w:sz w:val="22"/>
          <w:szCs w:val="22"/>
          <w:lang w:val="tr-TR"/>
        </w:rPr>
        <w:t xml:space="preserve">. </w:t>
      </w:r>
      <w:r w:rsidR="008378BE" w:rsidRPr="001A4B94">
        <w:rPr>
          <w:rFonts w:eastAsia="Calibri"/>
          <w:sz w:val="22"/>
          <w:szCs w:val="22"/>
          <w:lang w:val="tr-TR"/>
        </w:rPr>
        <w:t xml:space="preserve">2008 ile 2013 yılları arasında anne ölüm oranları yarı yarıya azalmıştır, kızlar ile erkekler arasında ortaöğretim ve yüksek öğretimde okullaşma oranı daha da birbirine yaklaşmıştır ve kadınların iş gücüne katılım oranı </w:t>
      </w:r>
      <w:r w:rsidRPr="001A4B94">
        <w:rPr>
          <w:rFonts w:eastAsia="Calibri"/>
          <w:sz w:val="22"/>
          <w:szCs w:val="22"/>
          <w:lang w:val="tr-TR"/>
        </w:rPr>
        <w:t xml:space="preserve"> </w:t>
      </w:r>
      <w:r w:rsidR="008378BE" w:rsidRPr="001A4B94">
        <w:rPr>
          <w:rFonts w:eastAsia="Calibri"/>
          <w:sz w:val="22"/>
          <w:szCs w:val="22"/>
          <w:lang w:val="tr-TR"/>
        </w:rPr>
        <w:t>yüzde 18 artmıştır</w:t>
      </w:r>
      <w:r w:rsidR="00747261" w:rsidRPr="001A4B94">
        <w:rPr>
          <w:rFonts w:eastAsia="Calibri"/>
          <w:sz w:val="22"/>
          <w:szCs w:val="22"/>
          <w:lang w:val="tr-TR"/>
        </w:rPr>
        <w:t xml:space="preserve">. </w:t>
      </w:r>
      <w:r w:rsidR="008378BE" w:rsidRPr="001A4B94">
        <w:rPr>
          <w:rFonts w:eastAsia="Calibri"/>
          <w:sz w:val="22"/>
          <w:szCs w:val="22"/>
          <w:lang w:val="tr-TR"/>
        </w:rPr>
        <w:t xml:space="preserve">Bu sonuçlar kısmen toplumsal cinsiyet eşitliğine yönelik yasal ve kurumsal çerçevede yapılan iyileştirmelerin de bir sonucu olmuştur  ve Türkiye </w:t>
      </w:r>
      <w:r w:rsidR="00760FDC" w:rsidRPr="001A4B94">
        <w:rPr>
          <w:rFonts w:eastAsia="Calibri"/>
          <w:sz w:val="22"/>
          <w:szCs w:val="22"/>
          <w:lang w:val="tr-TR"/>
        </w:rPr>
        <w:t>OECD’nin Sosyal Kurumlar ve Toplumsal Cinsiyet Eşitliği Endeksinde 35. sıraya (108 ülke arasında) yükselmiştir.</w:t>
      </w:r>
      <w:r w:rsidR="00747261" w:rsidRPr="001A4B94">
        <w:rPr>
          <w:rFonts w:eastAsia="Calibri"/>
          <w:sz w:val="22"/>
          <w:szCs w:val="22"/>
          <w:lang w:val="tr-TR"/>
        </w:rPr>
        <w:t xml:space="preserve"> </w:t>
      </w:r>
    </w:p>
    <w:p w14:paraId="2BB24079" w14:textId="6242422D" w:rsidR="00747261" w:rsidRPr="001A4B94" w:rsidRDefault="00E9437E" w:rsidP="00747261">
      <w:pPr>
        <w:spacing w:after="200" w:line="276" w:lineRule="auto"/>
        <w:jc w:val="both"/>
        <w:rPr>
          <w:rFonts w:eastAsia="Calibri"/>
          <w:sz w:val="22"/>
          <w:szCs w:val="22"/>
          <w:lang w:val="tr-TR"/>
        </w:rPr>
      </w:pPr>
      <w:r w:rsidRPr="001A4B94">
        <w:rPr>
          <w:rFonts w:eastAsia="Calibri"/>
          <w:sz w:val="22"/>
          <w:szCs w:val="22"/>
          <w:lang w:val="tr-TR"/>
        </w:rPr>
        <w:t>Bununla birlikte bu övgüye değer gelişmelere rağmen kadınlar önemli boyutlarda halen erkeklere göre sistematik olarak daha kötü sonuçlara sahiptir ve Türkiye bu bakımdan benzer gelir seviyesindeki ülkelerin ve komşularının gerisinde kalmıştır</w:t>
      </w:r>
      <w:r w:rsidR="00747261" w:rsidRPr="001A4B94">
        <w:rPr>
          <w:rFonts w:eastAsia="Calibri"/>
          <w:sz w:val="22"/>
          <w:szCs w:val="22"/>
          <w:lang w:val="tr-TR"/>
        </w:rPr>
        <w:t xml:space="preserve">. </w:t>
      </w:r>
      <w:r w:rsidRPr="001A4B94">
        <w:rPr>
          <w:rFonts w:eastAsia="Calibri"/>
          <w:sz w:val="22"/>
          <w:szCs w:val="22"/>
          <w:lang w:val="tr-TR"/>
        </w:rPr>
        <w:t>Doğum ve ölüm oranl</w:t>
      </w:r>
      <w:r w:rsidR="0082008F" w:rsidRPr="001A4B94">
        <w:rPr>
          <w:rFonts w:eastAsia="Calibri"/>
          <w:sz w:val="22"/>
          <w:szCs w:val="22"/>
          <w:lang w:val="tr-TR"/>
        </w:rPr>
        <w:t>a</w:t>
      </w:r>
      <w:r w:rsidRPr="001A4B94">
        <w:rPr>
          <w:rFonts w:eastAsia="Calibri"/>
          <w:sz w:val="22"/>
          <w:szCs w:val="22"/>
          <w:lang w:val="tr-TR"/>
        </w:rPr>
        <w:t>rının düşmesi ve büyük bir çalışma ça</w:t>
      </w:r>
      <w:r w:rsidR="0016361E" w:rsidRPr="001A4B94">
        <w:rPr>
          <w:rFonts w:eastAsia="Calibri"/>
          <w:sz w:val="22"/>
          <w:szCs w:val="22"/>
          <w:lang w:val="tr-TR"/>
        </w:rPr>
        <w:t>ğ</w:t>
      </w:r>
      <w:r w:rsidRPr="001A4B94">
        <w:rPr>
          <w:rFonts w:eastAsia="Calibri"/>
          <w:sz w:val="22"/>
          <w:szCs w:val="22"/>
          <w:lang w:val="tr-TR"/>
        </w:rPr>
        <w:t xml:space="preserve">ındaki genç nüfusun </w:t>
      </w:r>
      <w:r w:rsidR="0082008F" w:rsidRPr="001A4B94">
        <w:rPr>
          <w:rFonts w:eastAsia="Calibri"/>
          <w:sz w:val="22"/>
          <w:szCs w:val="22"/>
          <w:lang w:val="tr-TR"/>
        </w:rPr>
        <w:t>ortaya çıkması karşısında, ülkenin ancak tüm nüfusun kapsanması yoluyla faydalanılabilecek bir demografik avantajdan yararlanmak zorunda olması, kadınlar ile erkekler arasındaki eşitsizlikleri özellikle acil bir husus haline getirmektedir</w:t>
      </w:r>
      <w:r w:rsidR="00747261" w:rsidRPr="001A4B94">
        <w:rPr>
          <w:rFonts w:eastAsia="Calibri"/>
          <w:sz w:val="22"/>
          <w:szCs w:val="22"/>
          <w:lang w:val="tr-TR"/>
        </w:rPr>
        <w:t xml:space="preserve">. </w:t>
      </w:r>
      <w:r w:rsidR="0082008F" w:rsidRPr="001A4B94">
        <w:rPr>
          <w:rFonts w:eastAsia="Calibri"/>
          <w:sz w:val="22"/>
          <w:szCs w:val="22"/>
          <w:lang w:val="tr-TR"/>
        </w:rPr>
        <w:t>Ayrıca</w:t>
      </w:r>
      <w:r w:rsidR="00747261" w:rsidRPr="001A4B94">
        <w:rPr>
          <w:rFonts w:eastAsia="Calibri"/>
          <w:sz w:val="22"/>
          <w:szCs w:val="22"/>
          <w:lang w:val="tr-TR"/>
        </w:rPr>
        <w:t xml:space="preserve">, </w:t>
      </w:r>
      <w:r w:rsidR="0082008F" w:rsidRPr="001A4B94">
        <w:rPr>
          <w:rFonts w:eastAsia="Calibri"/>
          <w:sz w:val="22"/>
          <w:szCs w:val="22"/>
          <w:lang w:val="tr-TR"/>
        </w:rPr>
        <w:t>mevcut ekonomik ve sosyal istikrarsızlık durumu geçmişte elde edilen ilerlemeleri geriye götürme tehdidi de doğurmaktadır</w:t>
      </w:r>
      <w:r w:rsidR="00747261" w:rsidRPr="001A4B94">
        <w:rPr>
          <w:rFonts w:eastAsia="Calibri"/>
          <w:sz w:val="22"/>
          <w:szCs w:val="22"/>
          <w:lang w:val="tr-TR"/>
        </w:rPr>
        <w:t xml:space="preserve">. </w:t>
      </w:r>
    </w:p>
    <w:p w14:paraId="70603C05" w14:textId="2A23D138" w:rsidR="00747261" w:rsidRPr="001A4B94" w:rsidRDefault="002E2687" w:rsidP="00747261">
      <w:pPr>
        <w:spacing w:after="200" w:line="276" w:lineRule="auto"/>
        <w:jc w:val="both"/>
        <w:rPr>
          <w:rFonts w:eastAsia="Calibri"/>
          <w:b/>
          <w:sz w:val="22"/>
          <w:szCs w:val="22"/>
          <w:lang w:val="tr-TR"/>
        </w:rPr>
      </w:pPr>
      <w:r w:rsidRPr="001A4B94">
        <w:rPr>
          <w:rFonts w:eastAsia="Calibri"/>
          <w:sz w:val="22"/>
          <w:szCs w:val="22"/>
          <w:lang w:val="tr-TR"/>
        </w:rPr>
        <w:t>Analizden üç temel zorluk öne çıkmaktadır</w:t>
      </w:r>
      <w:r w:rsidR="00747261" w:rsidRPr="001A4B94">
        <w:rPr>
          <w:rFonts w:eastAsia="Calibri"/>
          <w:sz w:val="22"/>
          <w:szCs w:val="22"/>
          <w:lang w:val="tr-TR"/>
        </w:rPr>
        <w:t xml:space="preserve">: </w:t>
      </w:r>
    </w:p>
    <w:p w14:paraId="36EB7265" w14:textId="4A3E66E1" w:rsidR="00747261" w:rsidRPr="001A4B94" w:rsidRDefault="002E2687" w:rsidP="00C24F8F">
      <w:pPr>
        <w:numPr>
          <w:ilvl w:val="0"/>
          <w:numId w:val="19"/>
        </w:numPr>
        <w:spacing w:after="200" w:line="276" w:lineRule="auto"/>
        <w:contextualSpacing/>
        <w:jc w:val="both"/>
        <w:rPr>
          <w:rFonts w:eastAsia="Calibri"/>
          <w:sz w:val="22"/>
          <w:szCs w:val="22"/>
          <w:lang w:val="tr-TR"/>
        </w:rPr>
      </w:pPr>
      <w:r w:rsidRPr="001A4B94">
        <w:rPr>
          <w:rFonts w:eastAsia="Calibri"/>
          <w:sz w:val="22"/>
          <w:szCs w:val="22"/>
          <w:lang w:val="tr-TR"/>
        </w:rPr>
        <w:t>Genel olarak</w:t>
      </w:r>
      <w:r w:rsidR="00747261" w:rsidRPr="001A4B94">
        <w:rPr>
          <w:rFonts w:eastAsia="Calibri"/>
          <w:sz w:val="22"/>
          <w:szCs w:val="22"/>
          <w:lang w:val="tr-TR"/>
        </w:rPr>
        <w:t xml:space="preserve">, </w:t>
      </w:r>
      <w:r w:rsidRPr="001A4B94">
        <w:rPr>
          <w:rFonts w:eastAsia="Calibri"/>
          <w:b/>
          <w:sz w:val="22"/>
          <w:szCs w:val="22"/>
          <w:lang w:val="tr-TR"/>
        </w:rPr>
        <w:t>kadınların ekonomik faaliyete katılmaması</w:t>
      </w:r>
      <w:r w:rsidRPr="001A4B94">
        <w:rPr>
          <w:rFonts w:eastAsia="Calibri"/>
          <w:sz w:val="22"/>
          <w:szCs w:val="22"/>
          <w:lang w:val="tr-TR"/>
        </w:rPr>
        <w:t xml:space="preserve"> bir ekonomik kayıp ve kalkınma kaybı oluşturmakta</w:t>
      </w:r>
      <w:r w:rsidR="00747261" w:rsidRPr="001A4B94">
        <w:rPr>
          <w:rFonts w:eastAsia="Calibri"/>
          <w:sz w:val="22"/>
          <w:szCs w:val="22"/>
          <w:lang w:val="tr-TR"/>
        </w:rPr>
        <w:t xml:space="preserve">, </w:t>
      </w:r>
      <w:r w:rsidRPr="001A4B94">
        <w:rPr>
          <w:rFonts w:eastAsia="Calibri"/>
          <w:sz w:val="22"/>
          <w:szCs w:val="22"/>
          <w:lang w:val="tr-TR"/>
        </w:rPr>
        <w:t>ülkenin mevcut demografik fırsat penceresinden tam anlamıyla yararlanmasını engelleme riski taşımaktadır.</w:t>
      </w:r>
      <w:r w:rsidR="00747261" w:rsidRPr="001A4B94">
        <w:rPr>
          <w:rFonts w:eastAsia="Calibri"/>
          <w:sz w:val="22"/>
          <w:szCs w:val="22"/>
          <w:lang w:val="tr-TR"/>
        </w:rPr>
        <w:t xml:space="preserve"> </w:t>
      </w:r>
    </w:p>
    <w:p w14:paraId="019059CC" w14:textId="7EA300A6" w:rsidR="00747261" w:rsidRPr="001A4B94" w:rsidRDefault="002E2687" w:rsidP="002E2687">
      <w:pPr>
        <w:numPr>
          <w:ilvl w:val="0"/>
          <w:numId w:val="19"/>
        </w:numPr>
        <w:spacing w:after="200" w:line="276" w:lineRule="auto"/>
        <w:contextualSpacing/>
        <w:jc w:val="both"/>
        <w:rPr>
          <w:rFonts w:eastAsia="Calibri"/>
          <w:sz w:val="22"/>
          <w:szCs w:val="22"/>
          <w:lang w:val="tr-TR"/>
        </w:rPr>
      </w:pPr>
      <w:r w:rsidRPr="001A4B94">
        <w:rPr>
          <w:rFonts w:eastAsia="Calibri"/>
          <w:sz w:val="22"/>
          <w:szCs w:val="22"/>
          <w:lang w:val="tr-TR"/>
        </w:rPr>
        <w:t xml:space="preserve">Genel rakamlar </w:t>
      </w:r>
      <w:r w:rsidRPr="001A4B94">
        <w:rPr>
          <w:rFonts w:eastAsia="Calibri"/>
          <w:b/>
          <w:sz w:val="22"/>
          <w:szCs w:val="22"/>
          <w:lang w:val="tr-TR"/>
        </w:rPr>
        <w:t>ciddi sosyoekonomik ve bölgesel eşitsizlikleri</w:t>
      </w:r>
      <w:r w:rsidRPr="001A4B94">
        <w:rPr>
          <w:rFonts w:eastAsia="Calibri"/>
          <w:sz w:val="22"/>
          <w:szCs w:val="22"/>
          <w:lang w:val="tr-TR"/>
        </w:rPr>
        <w:t xml:space="preserve"> gizlemektedir; dezavantajlı geçmişe sahip kadınlar, gelir fırsatlarına erişimdeki mevcut cinsiyet uçurumunun büyük kısmını temsil etmektedir</w:t>
      </w:r>
      <w:r w:rsidR="00747261" w:rsidRPr="001A4B94">
        <w:rPr>
          <w:rFonts w:eastAsia="Calibri"/>
          <w:sz w:val="22"/>
          <w:szCs w:val="22"/>
          <w:lang w:val="tr-TR"/>
        </w:rPr>
        <w:t>.</w:t>
      </w:r>
      <w:r w:rsidR="00747261" w:rsidRPr="001A4B94">
        <w:rPr>
          <w:rFonts w:eastAsia="Calibri"/>
          <w:b/>
          <w:sz w:val="22"/>
          <w:szCs w:val="22"/>
          <w:lang w:val="tr-TR"/>
        </w:rPr>
        <w:t xml:space="preserve"> </w:t>
      </w:r>
    </w:p>
    <w:p w14:paraId="19D19711" w14:textId="69C2DE7B" w:rsidR="00747261" w:rsidRPr="001A4B94" w:rsidRDefault="002B6347" w:rsidP="00C24F8F">
      <w:pPr>
        <w:numPr>
          <w:ilvl w:val="0"/>
          <w:numId w:val="19"/>
        </w:numPr>
        <w:spacing w:after="200" w:line="276" w:lineRule="auto"/>
        <w:contextualSpacing/>
        <w:jc w:val="both"/>
        <w:rPr>
          <w:rFonts w:eastAsia="Calibri"/>
          <w:sz w:val="22"/>
          <w:szCs w:val="22"/>
          <w:lang w:val="tr-TR"/>
        </w:rPr>
      </w:pPr>
      <w:r w:rsidRPr="001A4B94">
        <w:rPr>
          <w:rFonts w:eastAsia="Calibri"/>
          <w:sz w:val="22"/>
          <w:szCs w:val="22"/>
          <w:lang w:val="tr-TR"/>
        </w:rPr>
        <w:t xml:space="preserve">Görücü usulü evliliklerin oranının yüksek olmasından ve kadınların kurumlarda ve siyasi olarak düşük düzeyde temsil edilmesinden de görülebileceği gibi, </w:t>
      </w:r>
      <w:r w:rsidRPr="001A4B94">
        <w:rPr>
          <w:rFonts w:eastAsia="Calibri"/>
          <w:b/>
          <w:sz w:val="22"/>
          <w:szCs w:val="22"/>
          <w:lang w:val="tr-TR"/>
        </w:rPr>
        <w:t>kadınların temsil düzeyi nispeten zayıftır</w:t>
      </w:r>
      <w:r w:rsidRPr="001A4B94">
        <w:rPr>
          <w:rFonts w:eastAsia="Calibri"/>
          <w:sz w:val="22"/>
          <w:szCs w:val="22"/>
          <w:lang w:val="tr-TR"/>
        </w:rPr>
        <w:t xml:space="preserve">. Bu temsil sorununun yasal ve kurumsal çerçeve güçlendirilerek yeterli bir şekilde </w:t>
      </w:r>
      <w:r w:rsidR="00390E23" w:rsidRPr="001A4B94">
        <w:rPr>
          <w:rFonts w:eastAsia="Calibri"/>
          <w:sz w:val="22"/>
          <w:szCs w:val="22"/>
          <w:lang w:val="tr-TR"/>
        </w:rPr>
        <w:t xml:space="preserve"> </w:t>
      </w:r>
      <w:r w:rsidRPr="001A4B94">
        <w:rPr>
          <w:rFonts w:eastAsia="Calibri"/>
          <w:sz w:val="22"/>
          <w:szCs w:val="22"/>
          <w:lang w:val="tr-TR"/>
        </w:rPr>
        <w:t>ele alınması gerekmektedir</w:t>
      </w:r>
      <w:r w:rsidR="00747261" w:rsidRPr="001A4B94">
        <w:rPr>
          <w:rFonts w:eastAsia="Calibri"/>
          <w:sz w:val="22"/>
          <w:szCs w:val="22"/>
          <w:lang w:val="tr-TR"/>
        </w:rPr>
        <w:t xml:space="preserve">. </w:t>
      </w:r>
    </w:p>
    <w:p w14:paraId="20B899E8" w14:textId="77777777" w:rsidR="0087193B" w:rsidRPr="001A4B94" w:rsidRDefault="0087193B" w:rsidP="00747261">
      <w:pPr>
        <w:spacing w:after="200" w:line="276" w:lineRule="auto"/>
        <w:jc w:val="both"/>
        <w:rPr>
          <w:rFonts w:eastAsia="Calibri"/>
          <w:b/>
          <w:sz w:val="22"/>
          <w:szCs w:val="22"/>
          <w:lang w:val="tr-TR"/>
        </w:rPr>
      </w:pPr>
    </w:p>
    <w:p w14:paraId="189D243F" w14:textId="5D6CF01E" w:rsidR="00747261" w:rsidRPr="001A4B94" w:rsidRDefault="002B6347" w:rsidP="00747261">
      <w:pPr>
        <w:spacing w:after="200" w:line="276" w:lineRule="auto"/>
        <w:jc w:val="both"/>
        <w:rPr>
          <w:rFonts w:eastAsia="Calibri"/>
          <w:sz w:val="22"/>
          <w:szCs w:val="22"/>
          <w:lang w:val="tr-TR"/>
        </w:rPr>
      </w:pPr>
      <w:r w:rsidRPr="001A4B94">
        <w:rPr>
          <w:rFonts w:eastAsia="Calibri"/>
          <w:b/>
          <w:sz w:val="22"/>
          <w:szCs w:val="22"/>
          <w:lang w:val="tr-TR"/>
        </w:rPr>
        <w:t>Türkiye benzer gelir düzeyine sahip ülkeler arasında kadınların işgücüne katılım oranı</w:t>
      </w:r>
      <w:r w:rsidR="00242201" w:rsidRPr="001A4B94">
        <w:rPr>
          <w:rFonts w:eastAsia="Calibri"/>
          <w:b/>
          <w:sz w:val="22"/>
          <w:szCs w:val="22"/>
          <w:lang w:val="tr-TR"/>
        </w:rPr>
        <w:t>nın en düşük olduğu ülkelerden birisidir.</w:t>
      </w:r>
      <w:r w:rsidR="00747261" w:rsidRPr="001A4B94">
        <w:rPr>
          <w:rFonts w:eastAsia="Calibri"/>
          <w:b/>
          <w:sz w:val="22"/>
          <w:szCs w:val="22"/>
          <w:lang w:val="tr-TR"/>
        </w:rPr>
        <w:t xml:space="preserve"> </w:t>
      </w:r>
      <w:r w:rsidR="00242201" w:rsidRPr="001A4B94">
        <w:rPr>
          <w:rFonts w:eastAsia="Calibri"/>
          <w:sz w:val="22"/>
          <w:szCs w:val="22"/>
          <w:lang w:val="tr-TR"/>
        </w:rPr>
        <w:t>Özellikle ülkenin mevcut demografik geçiş aşaması düşünüldüğünde kadınların işgücüne katılım oranının düşük olması ciddi bir endişe kaynağı oluşturmaktadır.</w:t>
      </w:r>
      <w:r w:rsidR="00242201" w:rsidRPr="001A4B94">
        <w:rPr>
          <w:rFonts w:eastAsia="Calibri"/>
          <w:b/>
          <w:sz w:val="22"/>
          <w:szCs w:val="22"/>
          <w:lang w:val="tr-TR"/>
        </w:rPr>
        <w:t xml:space="preserve"> </w:t>
      </w:r>
      <w:r w:rsidR="00242201" w:rsidRPr="001A4B94">
        <w:rPr>
          <w:rFonts w:eastAsia="Calibri"/>
          <w:sz w:val="22"/>
          <w:szCs w:val="22"/>
          <w:lang w:val="tr-TR"/>
        </w:rPr>
        <w:t xml:space="preserve">Üst-orta gelirli ülkelerde kadınların ortalama yüzde 62’si ekonomik olarak aktif iken, Türkiye’de bu oran sadece yüzde 33’tür. Öyte yandan, her ne kadar </w:t>
      </w:r>
      <w:r w:rsidR="00C3508B" w:rsidRPr="001A4B94">
        <w:rPr>
          <w:rFonts w:eastAsia="Calibri"/>
          <w:sz w:val="22"/>
          <w:szCs w:val="22"/>
          <w:lang w:val="tr-TR"/>
        </w:rPr>
        <w:t xml:space="preserve">1990’lı yılların başlarında bir dalgalanma yaşansa ve 2000’li yılların ortalarından sonra daha istikrarlı bir artış kaydedilse de, </w:t>
      </w:r>
      <w:r w:rsidR="00242201" w:rsidRPr="001A4B94">
        <w:rPr>
          <w:rFonts w:eastAsia="Calibri"/>
          <w:sz w:val="22"/>
          <w:szCs w:val="22"/>
          <w:lang w:val="tr-TR"/>
        </w:rPr>
        <w:t xml:space="preserve">Türkiye </w:t>
      </w:r>
      <w:r w:rsidR="00C3508B" w:rsidRPr="001A4B94">
        <w:rPr>
          <w:rFonts w:eastAsia="Calibri"/>
          <w:sz w:val="22"/>
          <w:szCs w:val="22"/>
          <w:lang w:val="tr-TR"/>
        </w:rPr>
        <w:t>1980’li yıllardan bu yana kadınların işgücüne katılma oranında düşüş kaydedilen birkaç OECD ülkesinden birisidir</w:t>
      </w:r>
      <w:r w:rsidR="00747261" w:rsidRPr="001A4B94">
        <w:rPr>
          <w:rFonts w:eastAsia="Calibri"/>
          <w:sz w:val="22"/>
          <w:szCs w:val="22"/>
          <w:lang w:val="tr-TR"/>
        </w:rPr>
        <w:t xml:space="preserve">. </w:t>
      </w:r>
    </w:p>
    <w:p w14:paraId="5F844549" w14:textId="58BB873F" w:rsidR="00747261" w:rsidRPr="001A4B94" w:rsidRDefault="00C3508B" w:rsidP="00747261">
      <w:pPr>
        <w:spacing w:after="240" w:line="276" w:lineRule="auto"/>
        <w:jc w:val="both"/>
        <w:rPr>
          <w:rFonts w:eastAsia="Calibri"/>
          <w:sz w:val="22"/>
          <w:szCs w:val="22"/>
          <w:lang w:val="tr-TR"/>
        </w:rPr>
      </w:pPr>
      <w:r w:rsidRPr="001A4B94">
        <w:rPr>
          <w:rFonts w:eastAsia="Calibri"/>
          <w:sz w:val="22"/>
          <w:szCs w:val="22"/>
          <w:lang w:val="tr-TR"/>
        </w:rPr>
        <w:t>Kadınlar tarafından işgücüne katılmamalarının ana sebe</w:t>
      </w:r>
      <w:r w:rsidR="008B25BC" w:rsidRPr="001A4B94">
        <w:rPr>
          <w:rFonts w:eastAsia="Calibri"/>
          <w:sz w:val="22"/>
          <w:szCs w:val="22"/>
          <w:lang w:val="tr-TR"/>
        </w:rPr>
        <w:t>bi olarak ev ve aileleri ile il</w:t>
      </w:r>
      <w:r w:rsidRPr="001A4B94">
        <w:rPr>
          <w:rFonts w:eastAsia="Calibri"/>
          <w:sz w:val="22"/>
          <w:szCs w:val="22"/>
          <w:lang w:val="tr-TR"/>
        </w:rPr>
        <w:t>g</w:t>
      </w:r>
      <w:r w:rsidR="008B25BC" w:rsidRPr="001A4B94">
        <w:rPr>
          <w:rFonts w:eastAsia="Calibri"/>
          <w:sz w:val="22"/>
          <w:szCs w:val="22"/>
          <w:lang w:val="tr-TR"/>
        </w:rPr>
        <w:t>i</w:t>
      </w:r>
      <w:r w:rsidRPr="001A4B94">
        <w:rPr>
          <w:rFonts w:eastAsia="Calibri"/>
          <w:sz w:val="22"/>
          <w:szCs w:val="22"/>
          <w:lang w:val="tr-TR"/>
        </w:rPr>
        <w:t xml:space="preserve">li görevleri  gösterilmektedir; bu eğitim düzeyi lise altında olan kadınlar arasında daha </w:t>
      </w:r>
      <w:r w:rsidR="00B77CFE" w:rsidRPr="001A4B94">
        <w:rPr>
          <w:rFonts w:eastAsia="Calibri"/>
          <w:sz w:val="22"/>
          <w:szCs w:val="22"/>
          <w:lang w:val="tr-TR"/>
        </w:rPr>
        <w:t xml:space="preserve">fazla </w:t>
      </w:r>
      <w:r w:rsidRPr="001A4B94">
        <w:rPr>
          <w:rFonts w:eastAsia="Calibri"/>
          <w:sz w:val="22"/>
          <w:szCs w:val="22"/>
          <w:lang w:val="tr-TR"/>
        </w:rPr>
        <w:t>geçerlidir. Gerçekten de</w:t>
      </w:r>
      <w:r w:rsidR="00747261" w:rsidRPr="001A4B94">
        <w:rPr>
          <w:rFonts w:eastAsia="Calibri"/>
          <w:sz w:val="22"/>
          <w:szCs w:val="22"/>
          <w:lang w:val="tr-TR"/>
        </w:rPr>
        <w:t xml:space="preserve">, </w:t>
      </w:r>
      <w:r w:rsidRPr="001A4B94">
        <w:rPr>
          <w:rFonts w:eastAsia="Calibri"/>
          <w:sz w:val="22"/>
          <w:szCs w:val="22"/>
          <w:lang w:val="tr-TR"/>
        </w:rPr>
        <w:t xml:space="preserve">evlilik ve doğum yapma, kadınların </w:t>
      </w:r>
      <w:r w:rsidR="008B25BC" w:rsidRPr="001A4B94">
        <w:rPr>
          <w:rFonts w:eastAsia="Calibri"/>
          <w:sz w:val="22"/>
          <w:szCs w:val="22"/>
          <w:lang w:val="tr-TR"/>
        </w:rPr>
        <w:t>inaktiviteye geçişlerinin kilit belirleyicileridir.</w:t>
      </w:r>
      <w:r w:rsidR="00747261" w:rsidRPr="001A4B94">
        <w:rPr>
          <w:rFonts w:eastAsia="Calibri"/>
          <w:sz w:val="22"/>
          <w:szCs w:val="22"/>
          <w:lang w:val="tr-TR"/>
        </w:rPr>
        <w:t xml:space="preserve"> </w:t>
      </w:r>
      <w:r w:rsidR="008B25BC" w:rsidRPr="001A4B94">
        <w:rPr>
          <w:rFonts w:eastAsia="Calibri"/>
          <w:sz w:val="22"/>
          <w:szCs w:val="22"/>
          <w:lang w:val="tr-TR"/>
        </w:rPr>
        <w:t xml:space="preserve">Kadınların işgücü piyasasına bağlılıklarının zayıf olması ayrıca beceri uyuşmazlıkları ve </w:t>
      </w:r>
      <w:r w:rsidR="00C14B8D" w:rsidRPr="001A4B94">
        <w:rPr>
          <w:rFonts w:eastAsia="Calibri"/>
          <w:sz w:val="22"/>
          <w:szCs w:val="22"/>
          <w:lang w:val="tr-TR"/>
        </w:rPr>
        <w:t xml:space="preserve">sadece </w:t>
      </w:r>
      <w:r w:rsidR="008B25BC" w:rsidRPr="001A4B94">
        <w:rPr>
          <w:rFonts w:eastAsia="Calibri"/>
          <w:sz w:val="22"/>
          <w:szCs w:val="22"/>
          <w:lang w:val="tr-TR"/>
        </w:rPr>
        <w:t>düşük vasıflı  / uygun olmayan işlerde çalışabilmeleri ile de açıklanabilir.</w:t>
      </w:r>
    </w:p>
    <w:p w14:paraId="7062F325" w14:textId="4049E415" w:rsidR="00747261" w:rsidRPr="001A4B94" w:rsidRDefault="008B25BC" w:rsidP="00747261">
      <w:pPr>
        <w:spacing w:after="200" w:line="276" w:lineRule="auto"/>
        <w:jc w:val="both"/>
        <w:rPr>
          <w:rFonts w:eastAsia="Calibri"/>
          <w:sz w:val="22"/>
          <w:szCs w:val="22"/>
          <w:lang w:val="tr-TR"/>
        </w:rPr>
      </w:pPr>
      <w:r w:rsidRPr="001A4B94">
        <w:rPr>
          <w:rFonts w:eastAsia="Calibri"/>
          <w:b/>
          <w:sz w:val="22"/>
          <w:szCs w:val="22"/>
          <w:lang w:val="tr-TR"/>
        </w:rPr>
        <w:lastRenderedPageBreak/>
        <w:t>Kadınlar aynı zamanda girişimcilik, işletme sahipliği ve yönetimi gibi alanlarda da yetersiz temsil edilmektedir</w:t>
      </w:r>
      <w:r w:rsidR="00747261" w:rsidRPr="001A4B94">
        <w:rPr>
          <w:rFonts w:eastAsia="Calibri"/>
          <w:b/>
          <w:sz w:val="22"/>
          <w:szCs w:val="22"/>
          <w:lang w:val="tr-TR"/>
        </w:rPr>
        <w:t xml:space="preserve">. </w:t>
      </w:r>
      <w:r w:rsidRPr="001A4B94">
        <w:rPr>
          <w:rFonts w:eastAsia="Calibri"/>
          <w:sz w:val="22"/>
          <w:szCs w:val="22"/>
          <w:lang w:val="tr-TR"/>
        </w:rPr>
        <w:t>Türkiye’de toplam çalışan sayısı içerisinde işverenlerin</w:t>
      </w:r>
      <w:r w:rsidRPr="001A4B94">
        <w:rPr>
          <w:rFonts w:eastAsia="Calibri"/>
          <w:b/>
          <w:sz w:val="22"/>
          <w:szCs w:val="22"/>
          <w:lang w:val="tr-TR"/>
        </w:rPr>
        <w:t xml:space="preserve"> </w:t>
      </w:r>
      <w:r w:rsidRPr="001A4B94">
        <w:rPr>
          <w:rFonts w:eastAsia="Calibri"/>
          <w:sz w:val="22"/>
          <w:szCs w:val="22"/>
          <w:lang w:val="tr-TR"/>
        </w:rPr>
        <w:t>payı yüzde 6 ile yüksek olmakla birlikte (</w:t>
      </w:r>
      <w:r w:rsidR="00FE0544" w:rsidRPr="001A4B94">
        <w:rPr>
          <w:rFonts w:eastAsia="Calibri"/>
          <w:sz w:val="22"/>
          <w:szCs w:val="22"/>
          <w:lang w:val="tr-TR"/>
        </w:rPr>
        <w:t>Avrupa ve Orta Asya (ECA) ülkeleri ortalaması yüzde 3,2’dir) cinsiyet uçurumu özellikle büyüktür</w:t>
      </w:r>
      <w:r w:rsidR="00747261" w:rsidRPr="001A4B94">
        <w:rPr>
          <w:rFonts w:eastAsia="Calibri"/>
          <w:sz w:val="22"/>
          <w:szCs w:val="22"/>
          <w:lang w:val="tr-TR"/>
        </w:rPr>
        <w:t xml:space="preserve">: </w:t>
      </w:r>
      <w:r w:rsidR="00FE0544" w:rsidRPr="001A4B94">
        <w:rPr>
          <w:rFonts w:eastAsia="Calibri"/>
          <w:sz w:val="22"/>
          <w:szCs w:val="22"/>
          <w:lang w:val="tr-TR"/>
        </w:rPr>
        <w:t>erkeklerin yüzde 7’si işveren iken kadınların yüzde 1’i işverendir.</w:t>
      </w:r>
      <w:r w:rsidR="00747261" w:rsidRPr="001A4B94">
        <w:rPr>
          <w:rFonts w:eastAsia="Calibri"/>
          <w:sz w:val="22"/>
          <w:szCs w:val="22"/>
          <w:lang w:val="tr-TR"/>
        </w:rPr>
        <w:t xml:space="preserve"> </w:t>
      </w:r>
      <w:r w:rsidR="00FE0544" w:rsidRPr="001A4B94">
        <w:rPr>
          <w:rFonts w:eastAsia="Calibri"/>
          <w:sz w:val="22"/>
          <w:szCs w:val="22"/>
          <w:lang w:val="tr-TR"/>
        </w:rPr>
        <w:t>Kadınlar arasında girişimcilik oranlarının düşük olması, söz konusu faaliyetlere giriş ve bunlara devam etme önündeki engeller ile ilişkili görülmektedir.</w:t>
      </w:r>
      <w:r w:rsidR="00747261" w:rsidRPr="001A4B94">
        <w:rPr>
          <w:sz w:val="22"/>
          <w:szCs w:val="22"/>
          <w:lang w:val="tr-TR"/>
        </w:rPr>
        <w:t xml:space="preserve"> </w:t>
      </w:r>
      <w:r w:rsidR="00FE0544" w:rsidRPr="001A4B94">
        <w:rPr>
          <w:sz w:val="22"/>
          <w:szCs w:val="22"/>
          <w:lang w:val="tr-TR"/>
        </w:rPr>
        <w:t>Özellikle, finansal tabana yaymada kadınlar ile erkekler arasındaki fark halen nispeten yüksek düzeylerdedir. Bir örnek vermek gerekirse, 2014 yılı itibariyle, erkeklerin yüzde 70’i kayıtlı hesaba sahip iken bu oran kadınlar için sadece yüzde 44’tür</w:t>
      </w:r>
      <w:r w:rsidR="00747261" w:rsidRPr="001A4B94">
        <w:rPr>
          <w:rFonts w:eastAsia="Calibri"/>
          <w:sz w:val="22"/>
          <w:szCs w:val="22"/>
          <w:lang w:val="tr-TR"/>
        </w:rPr>
        <w:t xml:space="preserve">. </w:t>
      </w:r>
    </w:p>
    <w:p w14:paraId="1F16D113" w14:textId="03288D5E" w:rsidR="00747261" w:rsidRPr="001A4B94" w:rsidRDefault="001E6A9A" w:rsidP="00747261">
      <w:pPr>
        <w:spacing w:after="200" w:line="276" w:lineRule="auto"/>
        <w:jc w:val="both"/>
        <w:rPr>
          <w:sz w:val="22"/>
          <w:szCs w:val="22"/>
          <w:lang w:val="tr-TR"/>
        </w:rPr>
      </w:pPr>
      <w:r w:rsidRPr="001A4B94">
        <w:rPr>
          <w:rFonts w:eastAsia="Calibri"/>
          <w:sz w:val="22"/>
          <w:szCs w:val="22"/>
          <w:lang w:val="tr-TR"/>
        </w:rPr>
        <w:t xml:space="preserve">Öte yandan, </w:t>
      </w:r>
      <w:r w:rsidR="00F3643D" w:rsidRPr="001A4B94">
        <w:rPr>
          <w:rFonts w:eastAsia="Calibri"/>
          <w:sz w:val="22"/>
          <w:szCs w:val="22"/>
          <w:lang w:val="tr-TR"/>
        </w:rPr>
        <w:t xml:space="preserve">Türkiye’de sahipleri veya yöneticileri arasında kadınların bulunduğu şirketlerin oranı yüzde 33 iken, </w:t>
      </w:r>
      <w:r w:rsidR="00747261" w:rsidRPr="001A4B94">
        <w:rPr>
          <w:sz w:val="22"/>
          <w:szCs w:val="22"/>
          <w:lang w:val="tr-TR"/>
        </w:rPr>
        <w:t>(</w:t>
      </w:r>
      <w:r w:rsidR="00F3643D" w:rsidRPr="001A4B94">
        <w:rPr>
          <w:sz w:val="22"/>
          <w:szCs w:val="22"/>
          <w:lang w:val="tr-TR"/>
        </w:rPr>
        <w:t>ki bu ECA ortalaması olan yüzde 36’ya yakındır</w:t>
      </w:r>
      <w:r w:rsidR="00747261" w:rsidRPr="001A4B94">
        <w:rPr>
          <w:sz w:val="22"/>
          <w:szCs w:val="22"/>
          <w:lang w:val="tr-TR"/>
        </w:rPr>
        <w:t xml:space="preserve">), </w:t>
      </w:r>
      <w:r w:rsidR="00F3643D" w:rsidRPr="001A4B94">
        <w:rPr>
          <w:sz w:val="22"/>
          <w:szCs w:val="22"/>
          <w:lang w:val="tr-TR"/>
        </w:rPr>
        <w:t>Türkiye’deki şirketlerin sadece yüzde 5’inin yüzde 50’den fazla hissesi kadınlara aittir; bu oran için ECA  ortalaması yüzde 27’dir</w:t>
      </w:r>
      <w:r w:rsidR="00747261" w:rsidRPr="001A4B94">
        <w:rPr>
          <w:sz w:val="22"/>
          <w:szCs w:val="22"/>
          <w:lang w:val="tr-TR"/>
        </w:rPr>
        <w:t xml:space="preserve">. </w:t>
      </w:r>
      <w:r w:rsidR="00F3643D" w:rsidRPr="001A4B94">
        <w:rPr>
          <w:sz w:val="22"/>
          <w:szCs w:val="22"/>
          <w:lang w:val="tr-TR"/>
        </w:rPr>
        <w:t>Benzer şekilde</w:t>
      </w:r>
      <w:r w:rsidR="00747261" w:rsidRPr="001A4B94">
        <w:rPr>
          <w:sz w:val="22"/>
          <w:szCs w:val="22"/>
          <w:lang w:val="tr-TR"/>
        </w:rPr>
        <w:t xml:space="preserve">, </w:t>
      </w:r>
      <w:r w:rsidR="00F3643D" w:rsidRPr="001A4B94">
        <w:rPr>
          <w:sz w:val="22"/>
          <w:szCs w:val="22"/>
          <w:lang w:val="tr-TR"/>
        </w:rPr>
        <w:t>Türkiye’deki şirketlerin sadece yüzde 5’inin üst düzey yöneticileri arasında kadınlar bulunurken, ECA bölgesi için bu oranın ortalaması yüzde 20’dir</w:t>
      </w:r>
      <w:r w:rsidR="00747261" w:rsidRPr="001A4B94">
        <w:rPr>
          <w:sz w:val="22"/>
          <w:szCs w:val="22"/>
          <w:lang w:val="tr-TR"/>
        </w:rPr>
        <w:t>.</w:t>
      </w:r>
    </w:p>
    <w:p w14:paraId="495F787B" w14:textId="0280836B" w:rsidR="00747261" w:rsidRPr="001A4B94" w:rsidRDefault="006A090F" w:rsidP="00640899">
      <w:pPr>
        <w:spacing w:after="200" w:line="276" w:lineRule="auto"/>
        <w:jc w:val="both"/>
        <w:rPr>
          <w:rFonts w:eastAsia="Calibri"/>
          <w:sz w:val="22"/>
          <w:szCs w:val="22"/>
          <w:lang w:val="tr-TR"/>
        </w:rPr>
      </w:pPr>
      <w:r w:rsidRPr="001A4B94">
        <w:rPr>
          <w:rFonts w:eastAsia="Calibri"/>
          <w:b/>
          <w:sz w:val="22"/>
          <w:szCs w:val="22"/>
          <w:lang w:val="tr-TR"/>
        </w:rPr>
        <w:t xml:space="preserve">Genel cinsiyet uçurumu, dezavantajlı sosyoekonomik rakamlar geçmişten gelen kadınlar ve erkekler arasındaki özellikle büyük eşitsizlikler ile büyük ölçüde açıklanabilmektedir. </w:t>
      </w:r>
      <w:r w:rsidRPr="001A4B94">
        <w:rPr>
          <w:rFonts w:eastAsia="Calibri"/>
          <w:sz w:val="22"/>
          <w:szCs w:val="22"/>
          <w:lang w:val="tr-TR"/>
        </w:rPr>
        <w:t xml:space="preserve">Erkek çocuklar / </w:t>
      </w:r>
      <w:r w:rsidR="00640899" w:rsidRPr="001A4B94">
        <w:rPr>
          <w:rFonts w:eastAsia="Calibri"/>
          <w:sz w:val="22"/>
          <w:szCs w:val="22"/>
          <w:lang w:val="tr-TR"/>
        </w:rPr>
        <w:t xml:space="preserve">erkekler ile </w:t>
      </w:r>
      <w:r w:rsidRPr="001A4B94">
        <w:rPr>
          <w:rFonts w:eastAsia="Calibri"/>
          <w:sz w:val="22"/>
          <w:szCs w:val="22"/>
          <w:lang w:val="tr-TR"/>
        </w:rPr>
        <w:t xml:space="preserve">kız çocukları </w:t>
      </w:r>
      <w:r w:rsidR="00640899" w:rsidRPr="001A4B94">
        <w:rPr>
          <w:rFonts w:eastAsia="Calibri"/>
          <w:sz w:val="22"/>
          <w:szCs w:val="22"/>
          <w:lang w:val="tr-TR"/>
        </w:rPr>
        <w:t>/ kadınlar arsında eğitim sonuçlarındaki farklar</w:t>
      </w:r>
      <w:r w:rsidR="00640899" w:rsidRPr="001A4B94">
        <w:rPr>
          <w:rFonts w:eastAsia="Calibri"/>
          <w:b/>
          <w:sz w:val="22"/>
          <w:szCs w:val="22"/>
          <w:lang w:val="tr-TR"/>
        </w:rPr>
        <w:t xml:space="preserve"> </w:t>
      </w:r>
      <w:r w:rsidR="00640899" w:rsidRPr="001A4B94">
        <w:rPr>
          <w:rFonts w:eastAsia="Calibri"/>
          <w:sz w:val="22"/>
          <w:szCs w:val="22"/>
          <w:lang w:val="tr-TR"/>
        </w:rPr>
        <w:t>büyük ölçüde bu en dezavantajlı kesimlerde yoğunlaşmaktadır</w:t>
      </w:r>
      <w:r w:rsidR="00747261" w:rsidRPr="001A4B94">
        <w:rPr>
          <w:rFonts w:eastAsia="Calibri"/>
          <w:sz w:val="22"/>
          <w:szCs w:val="22"/>
          <w:lang w:val="tr-TR"/>
        </w:rPr>
        <w:t xml:space="preserve">. </w:t>
      </w:r>
      <w:r w:rsidR="00640899" w:rsidRPr="001A4B94">
        <w:rPr>
          <w:rFonts w:eastAsia="Calibri"/>
          <w:sz w:val="22"/>
          <w:szCs w:val="22"/>
          <w:lang w:val="tr-TR"/>
        </w:rPr>
        <w:t>Örneğin</w:t>
      </w:r>
      <w:r w:rsidR="00747261" w:rsidRPr="001A4B94">
        <w:rPr>
          <w:rFonts w:eastAsia="Calibri"/>
          <w:sz w:val="22"/>
          <w:szCs w:val="22"/>
          <w:lang w:val="tr-TR"/>
        </w:rPr>
        <w:t xml:space="preserve">, </w:t>
      </w:r>
      <w:r w:rsidR="00640899" w:rsidRPr="001A4B94">
        <w:rPr>
          <w:rFonts w:eastAsia="Calibri"/>
          <w:sz w:val="22"/>
          <w:szCs w:val="22"/>
          <w:lang w:val="tr-TR"/>
        </w:rPr>
        <w:t>erkekler ile kadınlar arasında eğitim seviyesindeki farkın en düşük olduğu bölgeler kentsel bölgeler ve İstanbul ve Ankara gibi ülkenin daha zengin bölgeleri iken, yüksek öğretimde okullaşma oranı gelir dilimlerine göre istikrarlı bir şekilde yükselmektedir</w:t>
      </w:r>
      <w:r w:rsidR="00747261" w:rsidRPr="001A4B94">
        <w:rPr>
          <w:rFonts w:eastAsia="Calibri"/>
          <w:sz w:val="22"/>
          <w:szCs w:val="22"/>
          <w:lang w:val="tr-TR"/>
        </w:rPr>
        <w:t xml:space="preserve">. </w:t>
      </w:r>
    </w:p>
    <w:p w14:paraId="6E9DD176" w14:textId="38EE3C8B" w:rsidR="00747261" w:rsidRPr="001A4B94" w:rsidRDefault="00640899" w:rsidP="00747261">
      <w:pPr>
        <w:spacing w:after="200" w:line="276" w:lineRule="auto"/>
        <w:jc w:val="both"/>
        <w:rPr>
          <w:rFonts w:eastAsia="Calibri"/>
          <w:sz w:val="22"/>
          <w:szCs w:val="22"/>
          <w:lang w:val="tr-TR"/>
        </w:rPr>
      </w:pPr>
      <w:r w:rsidRPr="001A4B94">
        <w:rPr>
          <w:rFonts w:eastAsia="Calibri"/>
          <w:sz w:val="22"/>
          <w:szCs w:val="22"/>
          <w:lang w:val="tr-TR"/>
        </w:rPr>
        <w:t>Ayrıca</w:t>
      </w:r>
      <w:r w:rsidR="00747261" w:rsidRPr="001A4B94">
        <w:rPr>
          <w:rFonts w:eastAsia="Calibri"/>
          <w:sz w:val="22"/>
          <w:szCs w:val="22"/>
          <w:lang w:val="tr-TR"/>
        </w:rPr>
        <w:t xml:space="preserve">, </w:t>
      </w:r>
      <w:r w:rsidR="005E4030" w:rsidRPr="001A4B94">
        <w:rPr>
          <w:rFonts w:eastAsia="Calibri"/>
          <w:sz w:val="22"/>
          <w:szCs w:val="22"/>
          <w:lang w:val="tr-TR"/>
        </w:rPr>
        <w:t xml:space="preserve">Türkiye’de kadınların işgücüne katılım oranının düşüklüğünün önemli bir bölümü eskiden kentsel bölgelerde </w:t>
      </w:r>
      <w:r w:rsidR="0075367D" w:rsidRPr="001A4B94">
        <w:rPr>
          <w:rFonts w:eastAsia="Calibri"/>
          <w:sz w:val="22"/>
          <w:szCs w:val="22"/>
          <w:lang w:val="tr-TR"/>
        </w:rPr>
        <w:t xml:space="preserve">pazarlardan </w:t>
      </w:r>
      <w:r w:rsidR="005E4030" w:rsidRPr="001A4B94">
        <w:rPr>
          <w:rFonts w:eastAsia="Calibri"/>
          <w:sz w:val="22"/>
          <w:szCs w:val="22"/>
          <w:lang w:val="tr-TR"/>
        </w:rPr>
        <w:t>uzakta yaşayıp tarımsal</w:t>
      </w:r>
      <w:r w:rsidR="00C14B8D" w:rsidRPr="001A4B94">
        <w:rPr>
          <w:rFonts w:eastAsia="Calibri"/>
          <w:sz w:val="22"/>
          <w:szCs w:val="22"/>
          <w:lang w:val="tr-TR"/>
        </w:rPr>
        <w:t xml:space="preserve"> faaliyetlerle</w:t>
      </w:r>
      <w:r w:rsidR="005E4030" w:rsidRPr="001A4B94">
        <w:rPr>
          <w:rFonts w:eastAsia="Calibri"/>
          <w:sz w:val="22"/>
          <w:szCs w:val="22"/>
          <w:lang w:val="tr-TR"/>
        </w:rPr>
        <w:t xml:space="preserve"> uğraşan, düşük eğitimli kadın göçmenler ile açıklanmaktadır</w:t>
      </w:r>
      <w:r w:rsidR="00747261" w:rsidRPr="001A4B94">
        <w:rPr>
          <w:rFonts w:eastAsia="Calibri"/>
          <w:sz w:val="22"/>
          <w:szCs w:val="22"/>
          <w:lang w:val="tr-TR"/>
        </w:rPr>
        <w:t xml:space="preserve">.  </w:t>
      </w:r>
      <w:r w:rsidR="005E4030" w:rsidRPr="001A4B94">
        <w:rPr>
          <w:rFonts w:eastAsia="Calibri"/>
          <w:sz w:val="22"/>
          <w:szCs w:val="22"/>
          <w:lang w:val="tr-TR"/>
        </w:rPr>
        <w:t>Kadınlar için erkeklere göre çok daha pozitif fark yaratma etkisi olduğundan dolayı, eğitim aynı zamanda Türkiye’de girişimcilikteki cin</w:t>
      </w:r>
      <w:r w:rsidR="0075367D" w:rsidRPr="001A4B94">
        <w:rPr>
          <w:rFonts w:eastAsia="Calibri"/>
          <w:sz w:val="22"/>
          <w:szCs w:val="22"/>
          <w:lang w:val="tr-TR"/>
        </w:rPr>
        <w:t>s</w:t>
      </w:r>
      <w:r w:rsidR="005E4030" w:rsidRPr="001A4B94">
        <w:rPr>
          <w:rFonts w:eastAsia="Calibri"/>
          <w:sz w:val="22"/>
          <w:szCs w:val="22"/>
          <w:lang w:val="tr-TR"/>
        </w:rPr>
        <w:t>iyet eşitsizliğini de azalt</w:t>
      </w:r>
      <w:r w:rsidR="0075367D" w:rsidRPr="001A4B94">
        <w:rPr>
          <w:rFonts w:eastAsia="Calibri"/>
          <w:sz w:val="22"/>
          <w:szCs w:val="22"/>
          <w:lang w:val="tr-TR"/>
        </w:rPr>
        <w:t>m</w:t>
      </w:r>
      <w:r w:rsidR="005E4030" w:rsidRPr="001A4B94">
        <w:rPr>
          <w:rFonts w:eastAsia="Calibri"/>
          <w:sz w:val="22"/>
          <w:szCs w:val="22"/>
          <w:lang w:val="tr-TR"/>
        </w:rPr>
        <w:t>aktadır</w:t>
      </w:r>
      <w:r w:rsidR="00747261" w:rsidRPr="001A4B94">
        <w:rPr>
          <w:rFonts w:eastAsia="Calibri"/>
          <w:sz w:val="22"/>
          <w:szCs w:val="22"/>
          <w:lang w:val="tr-TR"/>
        </w:rPr>
        <w:t xml:space="preserve"> </w:t>
      </w:r>
      <w:r w:rsidR="0075367D" w:rsidRPr="001A4B94">
        <w:rPr>
          <w:rFonts w:eastAsia="Calibri"/>
          <w:sz w:val="22"/>
          <w:szCs w:val="22"/>
          <w:lang w:val="tr-TR"/>
        </w:rPr>
        <w:t>ve aynı zamanda cinsiyete dayalı şiddete karşı kritik koruyucu faktörlerden birisi olduğu görülmektedir.</w:t>
      </w:r>
    </w:p>
    <w:p w14:paraId="37798059" w14:textId="5D253440" w:rsidR="00747261" w:rsidRPr="001A4B94" w:rsidRDefault="0075367D" w:rsidP="00747261">
      <w:pPr>
        <w:spacing w:after="200" w:line="276" w:lineRule="auto"/>
        <w:jc w:val="both"/>
        <w:rPr>
          <w:sz w:val="22"/>
          <w:szCs w:val="22"/>
          <w:lang w:val="tr-TR"/>
        </w:rPr>
      </w:pPr>
      <w:r w:rsidRPr="001A4B94">
        <w:rPr>
          <w:rFonts w:eastAsia="Calibri"/>
          <w:b/>
          <w:sz w:val="22"/>
          <w:szCs w:val="22"/>
          <w:lang w:val="tr-TR"/>
        </w:rPr>
        <w:t>Kadınların temsil düzeyi nispeten zayıftır</w:t>
      </w:r>
      <w:r w:rsidR="00747261" w:rsidRPr="001A4B94">
        <w:rPr>
          <w:rFonts w:eastAsia="Calibri"/>
          <w:b/>
          <w:sz w:val="22"/>
          <w:szCs w:val="22"/>
          <w:lang w:val="tr-TR"/>
        </w:rPr>
        <w:t xml:space="preserve">. </w:t>
      </w:r>
      <w:r w:rsidRPr="001A4B94">
        <w:rPr>
          <w:rFonts w:eastAsia="Calibri"/>
          <w:sz w:val="22"/>
          <w:szCs w:val="22"/>
          <w:lang w:val="tr-TR"/>
        </w:rPr>
        <w:t>Son zamanlarda ülkede toplumsal cinsiyet eşitliğini sağlamaya yönelik yasal, kurumsal ve politika çerçevesinde kaydedilen ilerlemeye karşın,</w:t>
      </w:r>
      <w:r w:rsidRPr="001A4B94">
        <w:rPr>
          <w:rFonts w:eastAsia="Calibri"/>
          <w:b/>
          <w:sz w:val="22"/>
          <w:szCs w:val="22"/>
          <w:lang w:val="tr-TR"/>
        </w:rPr>
        <w:t xml:space="preserve"> </w:t>
      </w:r>
      <w:r w:rsidRPr="001A4B94">
        <w:rPr>
          <w:rFonts w:eastAsia="Calibri"/>
          <w:sz w:val="22"/>
          <w:szCs w:val="22"/>
          <w:lang w:val="tr-TR"/>
        </w:rPr>
        <w:t>uygulama sorunları halen devam etmekt</w:t>
      </w:r>
      <w:r w:rsidR="006C2AEC" w:rsidRPr="001A4B94">
        <w:rPr>
          <w:rFonts w:eastAsia="Calibri"/>
          <w:sz w:val="22"/>
          <w:szCs w:val="22"/>
          <w:lang w:val="tr-TR"/>
        </w:rPr>
        <w:t>e</w:t>
      </w:r>
      <w:r w:rsidRPr="001A4B94">
        <w:rPr>
          <w:rFonts w:eastAsia="Calibri"/>
          <w:sz w:val="22"/>
          <w:szCs w:val="22"/>
          <w:lang w:val="tr-TR"/>
        </w:rPr>
        <w:t>dir</w:t>
      </w:r>
      <w:r w:rsidR="00747261" w:rsidRPr="001A4B94">
        <w:rPr>
          <w:sz w:val="22"/>
          <w:szCs w:val="22"/>
          <w:lang w:val="tr-TR"/>
        </w:rPr>
        <w:t xml:space="preserve"> </w:t>
      </w:r>
      <w:r w:rsidR="00C14B8D" w:rsidRPr="001A4B94">
        <w:rPr>
          <w:sz w:val="22"/>
          <w:szCs w:val="22"/>
          <w:lang w:val="tr-TR"/>
        </w:rPr>
        <w:t>G</w:t>
      </w:r>
      <w:r w:rsidRPr="001A4B94">
        <w:rPr>
          <w:sz w:val="22"/>
          <w:szCs w:val="22"/>
          <w:lang w:val="tr-TR"/>
        </w:rPr>
        <w:t>eleneksel ve ataerkil değerler ve uygulamalar yaygındır ve sosyal değişime karşı dirençlidir</w:t>
      </w:r>
      <w:r w:rsidR="00747261" w:rsidRPr="001A4B94">
        <w:rPr>
          <w:sz w:val="22"/>
          <w:szCs w:val="22"/>
          <w:lang w:val="tr-TR"/>
        </w:rPr>
        <w:t xml:space="preserve"> </w:t>
      </w:r>
      <w:r w:rsidR="00CB6185" w:rsidRPr="001A4B94">
        <w:rPr>
          <w:sz w:val="22"/>
          <w:szCs w:val="22"/>
          <w:lang w:val="tr-TR"/>
        </w:rPr>
        <w:t>ve kadınlar halen siya</w:t>
      </w:r>
      <w:r w:rsidR="006C2AEC" w:rsidRPr="001A4B94">
        <w:rPr>
          <w:sz w:val="22"/>
          <w:szCs w:val="22"/>
          <w:lang w:val="tr-TR"/>
        </w:rPr>
        <w:t>sette yetersiz temsil e</w:t>
      </w:r>
      <w:r w:rsidR="00CB6185" w:rsidRPr="001A4B94">
        <w:rPr>
          <w:sz w:val="22"/>
          <w:szCs w:val="22"/>
          <w:lang w:val="tr-TR"/>
        </w:rPr>
        <w:t>d</w:t>
      </w:r>
      <w:r w:rsidR="006C2AEC" w:rsidRPr="001A4B94">
        <w:rPr>
          <w:sz w:val="22"/>
          <w:szCs w:val="22"/>
          <w:lang w:val="tr-TR"/>
        </w:rPr>
        <w:t>i</w:t>
      </w:r>
      <w:r w:rsidR="00CB6185" w:rsidRPr="001A4B94">
        <w:rPr>
          <w:sz w:val="22"/>
          <w:szCs w:val="22"/>
          <w:lang w:val="tr-TR"/>
        </w:rPr>
        <w:t>lmektedir</w:t>
      </w:r>
      <w:r w:rsidR="00747261" w:rsidRPr="001A4B94">
        <w:rPr>
          <w:sz w:val="22"/>
          <w:szCs w:val="22"/>
          <w:lang w:val="tr-TR"/>
        </w:rPr>
        <w:t xml:space="preserve">. </w:t>
      </w:r>
      <w:r w:rsidR="00CB6185" w:rsidRPr="001A4B94">
        <w:rPr>
          <w:sz w:val="22"/>
          <w:szCs w:val="22"/>
          <w:lang w:val="tr-TR"/>
        </w:rPr>
        <w:t>Kadınların toplumdaki rolüne ilişkin geleneksel görüşler daha çok yaşlı nüfusta yaygın olmasına, dolayısıyla nesiller arası bir değişime işaret etmesine  rağmen, yüksek e</w:t>
      </w:r>
      <w:r w:rsidR="006C2AEC" w:rsidRPr="001A4B94">
        <w:rPr>
          <w:sz w:val="22"/>
          <w:szCs w:val="22"/>
          <w:lang w:val="tr-TR"/>
        </w:rPr>
        <w:t>ğitim düzeyine sahip nüfusun üç</w:t>
      </w:r>
      <w:r w:rsidR="00CB6185" w:rsidRPr="001A4B94">
        <w:rPr>
          <w:sz w:val="22"/>
          <w:szCs w:val="22"/>
          <w:lang w:val="tr-TR"/>
        </w:rPr>
        <w:t xml:space="preserve">te biri ve </w:t>
      </w:r>
      <w:r w:rsidR="006C2AEC" w:rsidRPr="001A4B94">
        <w:rPr>
          <w:sz w:val="22"/>
          <w:szCs w:val="22"/>
          <w:lang w:val="tr-TR"/>
        </w:rPr>
        <w:t>T</w:t>
      </w:r>
      <w:r w:rsidR="00CB6185" w:rsidRPr="001A4B94">
        <w:rPr>
          <w:sz w:val="22"/>
          <w:szCs w:val="22"/>
          <w:lang w:val="tr-TR"/>
        </w:rPr>
        <w:t xml:space="preserve">ürkiye nüfusunun en zengin kesiminin </w:t>
      </w:r>
      <w:r w:rsidR="006C2AEC" w:rsidRPr="001A4B94">
        <w:rPr>
          <w:sz w:val="22"/>
          <w:szCs w:val="22"/>
          <w:lang w:val="tr-TR"/>
        </w:rPr>
        <w:t>yarısınd</w:t>
      </w:r>
      <w:r w:rsidR="00CB6185" w:rsidRPr="001A4B94">
        <w:rPr>
          <w:sz w:val="22"/>
          <w:szCs w:val="22"/>
          <w:lang w:val="tr-TR"/>
        </w:rPr>
        <w:t>a</w:t>
      </w:r>
      <w:r w:rsidR="006C2AEC" w:rsidRPr="001A4B94">
        <w:rPr>
          <w:sz w:val="22"/>
          <w:szCs w:val="22"/>
          <w:lang w:val="tr-TR"/>
        </w:rPr>
        <w:t>n</w:t>
      </w:r>
      <w:r w:rsidR="00CB6185" w:rsidRPr="001A4B94">
        <w:rPr>
          <w:sz w:val="22"/>
          <w:szCs w:val="22"/>
          <w:lang w:val="tr-TR"/>
        </w:rPr>
        <w:t xml:space="preserve"> fazlası halen kadınların er</w:t>
      </w:r>
      <w:r w:rsidR="006C2AEC" w:rsidRPr="001A4B94">
        <w:rPr>
          <w:sz w:val="22"/>
          <w:szCs w:val="22"/>
          <w:lang w:val="tr-TR"/>
        </w:rPr>
        <w:t>ken evlenmesi gerektiğini düşün</w:t>
      </w:r>
      <w:r w:rsidR="00CB6185" w:rsidRPr="001A4B94">
        <w:rPr>
          <w:sz w:val="22"/>
          <w:szCs w:val="22"/>
          <w:lang w:val="tr-TR"/>
        </w:rPr>
        <w:t xml:space="preserve">mekte ve erkeklerin ve kadınların çoğunluğu boşanmayı </w:t>
      </w:r>
      <w:r w:rsidR="00CB6185" w:rsidRPr="001A4B94">
        <w:rPr>
          <w:rFonts w:eastAsia="Calibri"/>
          <w:sz w:val="22"/>
          <w:szCs w:val="22"/>
          <w:lang w:val="tr-TR"/>
        </w:rPr>
        <w:t>doğru bulmamaktadır</w:t>
      </w:r>
      <w:r w:rsidR="00747261" w:rsidRPr="001A4B94">
        <w:rPr>
          <w:rFonts w:eastAsia="Calibri"/>
          <w:sz w:val="22"/>
          <w:szCs w:val="22"/>
          <w:lang w:val="tr-TR"/>
        </w:rPr>
        <w:t>.</w:t>
      </w:r>
      <w:r w:rsidR="00747261" w:rsidRPr="001A4B94">
        <w:rPr>
          <w:rFonts w:eastAsia="Calibri"/>
          <w:b/>
          <w:sz w:val="22"/>
          <w:szCs w:val="22"/>
          <w:lang w:val="tr-TR"/>
        </w:rPr>
        <w:t xml:space="preserve"> </w:t>
      </w:r>
      <w:r w:rsidR="006C2AEC" w:rsidRPr="001A4B94">
        <w:rPr>
          <w:sz w:val="22"/>
          <w:szCs w:val="22"/>
          <w:lang w:val="tr-TR"/>
        </w:rPr>
        <w:t xml:space="preserve">Ayrıca, görücü usulü evlilik ve erken evlenme gibi geleneksel uygulamalar özellikle kırsal bölgeler halen yaygın bir şekilde kabul görmektedir. </w:t>
      </w:r>
    </w:p>
    <w:p w14:paraId="4B3DA023" w14:textId="40E4FD90" w:rsidR="00747261" w:rsidRPr="001A4B94" w:rsidRDefault="006C2AEC" w:rsidP="00747261">
      <w:pPr>
        <w:spacing w:after="200" w:line="276" w:lineRule="auto"/>
        <w:jc w:val="both"/>
        <w:rPr>
          <w:rFonts w:eastAsia="Calibri"/>
          <w:sz w:val="22"/>
          <w:szCs w:val="22"/>
          <w:lang w:val="tr-TR"/>
        </w:rPr>
      </w:pPr>
      <w:r w:rsidRPr="001A4B94">
        <w:rPr>
          <w:rFonts w:eastAsia="Calibri"/>
          <w:sz w:val="22"/>
          <w:szCs w:val="22"/>
          <w:lang w:val="tr-TR"/>
        </w:rPr>
        <w:t>2015 itibariyle yüzde 14,9 olan kadınların Parlamentoda temsil oranı ECA ortalaması olan yüzde 25,7’nin halen oldukça altındadır</w:t>
      </w:r>
      <w:r w:rsidR="00747261" w:rsidRPr="001A4B94">
        <w:rPr>
          <w:rFonts w:eastAsia="Calibri"/>
          <w:sz w:val="22"/>
          <w:szCs w:val="22"/>
          <w:lang w:val="tr-TR"/>
        </w:rPr>
        <w:t xml:space="preserve">. </w:t>
      </w:r>
      <w:r w:rsidRPr="001A4B94">
        <w:rPr>
          <w:rFonts w:eastAsia="Calibri"/>
          <w:sz w:val="22"/>
          <w:szCs w:val="22"/>
          <w:lang w:val="tr-TR"/>
        </w:rPr>
        <w:t>Bakanlık konumundaki kadınların oranı ise yüzde 4 ile daha da düşük düzeydedir ve 2015 yılı itibariyle ECA ortalaması olan yüzde 21,8’in oldukça altında kalmaktadır</w:t>
      </w:r>
      <w:r w:rsidR="00747261" w:rsidRPr="001A4B94">
        <w:rPr>
          <w:rFonts w:eastAsia="Calibri"/>
          <w:sz w:val="22"/>
          <w:szCs w:val="22"/>
          <w:lang w:val="tr-TR"/>
        </w:rPr>
        <w:t xml:space="preserve">. </w:t>
      </w:r>
      <w:r w:rsidRPr="001A4B94">
        <w:rPr>
          <w:rFonts w:eastAsia="Calibri"/>
          <w:sz w:val="22"/>
          <w:szCs w:val="22"/>
          <w:lang w:val="tr-TR"/>
        </w:rPr>
        <w:t>Yerel düzeyde de tablo çok fazla değişmemektedir: yerel yönetim organlarındaki kadın temsilcilerin oranı sadece yüzde  4’tür</w:t>
      </w:r>
      <w:r w:rsidR="00747261" w:rsidRPr="001A4B94">
        <w:rPr>
          <w:rFonts w:eastAsia="Calibri"/>
          <w:sz w:val="22"/>
          <w:szCs w:val="22"/>
          <w:lang w:val="tr-TR"/>
        </w:rPr>
        <w:t xml:space="preserve">. </w:t>
      </w:r>
      <w:r w:rsidRPr="001A4B94">
        <w:rPr>
          <w:rFonts w:eastAsia="Calibri"/>
          <w:sz w:val="22"/>
          <w:szCs w:val="22"/>
          <w:lang w:val="tr-TR"/>
        </w:rPr>
        <w:t xml:space="preserve">Avrupa’da sadece iki ülke Türkiye’de daha düşük </w:t>
      </w:r>
      <w:r w:rsidR="00FB59E7" w:rsidRPr="001A4B94">
        <w:rPr>
          <w:rFonts w:eastAsia="Calibri"/>
          <w:sz w:val="22"/>
          <w:szCs w:val="22"/>
          <w:lang w:val="tr-TR"/>
        </w:rPr>
        <w:t xml:space="preserve">kadın bakan oranına ve yerel yönetimlerde kadın temsilci oranına sahiptir. </w:t>
      </w:r>
    </w:p>
    <w:p w14:paraId="16353556" w14:textId="35E51B2D" w:rsidR="00747261" w:rsidRPr="001A4B94" w:rsidRDefault="001C73CA" w:rsidP="00747261">
      <w:pPr>
        <w:spacing w:after="200" w:line="276" w:lineRule="auto"/>
        <w:jc w:val="both"/>
        <w:rPr>
          <w:rFonts w:eastAsia="Calibri"/>
          <w:sz w:val="22"/>
          <w:szCs w:val="22"/>
          <w:lang w:val="tr-TR"/>
        </w:rPr>
      </w:pPr>
      <w:r w:rsidRPr="001A4B94">
        <w:rPr>
          <w:rFonts w:eastAsia="Calibri"/>
          <w:sz w:val="22"/>
          <w:szCs w:val="22"/>
          <w:lang w:val="tr-TR"/>
        </w:rPr>
        <w:lastRenderedPageBreak/>
        <w:t>Ülkedeki mevcut cinsiyet eşitsizliklerinin değerlendirmesine dayalı olarak</w:t>
      </w:r>
      <w:r w:rsidR="00747261" w:rsidRPr="001A4B94">
        <w:rPr>
          <w:rFonts w:eastAsia="Calibri"/>
          <w:sz w:val="22"/>
          <w:szCs w:val="22"/>
          <w:lang w:val="tr-TR"/>
        </w:rPr>
        <w:t xml:space="preserve">, </w:t>
      </w:r>
      <w:r w:rsidRPr="001A4B94">
        <w:rPr>
          <w:rFonts w:eastAsia="Calibri"/>
          <w:sz w:val="22"/>
          <w:szCs w:val="22"/>
          <w:lang w:val="tr-TR"/>
        </w:rPr>
        <w:t>yakın gelecekte özellikle üç alanda bu sorunların ele alınabilmesi için kararlı adımlar atılması gerekecektir</w:t>
      </w:r>
      <w:r w:rsidR="00747261" w:rsidRPr="001A4B94">
        <w:rPr>
          <w:rFonts w:eastAsia="Calibri"/>
          <w:sz w:val="22"/>
          <w:szCs w:val="22"/>
          <w:lang w:val="tr-TR"/>
        </w:rPr>
        <w:t>:</w:t>
      </w:r>
    </w:p>
    <w:p w14:paraId="124BD6D2" w14:textId="3FF90A7D" w:rsidR="00747261" w:rsidRPr="001A4B94" w:rsidRDefault="00BE77E7" w:rsidP="002327A5">
      <w:pPr>
        <w:numPr>
          <w:ilvl w:val="0"/>
          <w:numId w:val="24"/>
        </w:numPr>
        <w:spacing w:after="240" w:line="276" w:lineRule="auto"/>
        <w:jc w:val="both"/>
        <w:rPr>
          <w:rFonts w:eastAsia="Calibri"/>
          <w:sz w:val="22"/>
          <w:szCs w:val="22"/>
          <w:lang w:val="tr-TR"/>
        </w:rPr>
      </w:pPr>
      <w:r w:rsidRPr="001A4B94">
        <w:rPr>
          <w:rFonts w:eastAsia="Calibri"/>
          <w:b/>
          <w:sz w:val="22"/>
          <w:szCs w:val="22"/>
          <w:lang w:val="tr-TR"/>
        </w:rPr>
        <w:t>K</w:t>
      </w:r>
      <w:r w:rsidR="001C73CA" w:rsidRPr="001A4B94">
        <w:rPr>
          <w:rFonts w:eastAsia="Calibri"/>
          <w:b/>
          <w:sz w:val="22"/>
          <w:szCs w:val="22"/>
          <w:lang w:val="tr-TR"/>
        </w:rPr>
        <w:t>adınların ekonomik faaliyete katılımları önündeki engellerin kaldırılması</w:t>
      </w:r>
      <w:r w:rsidR="00747261" w:rsidRPr="001A4B94">
        <w:rPr>
          <w:rFonts w:eastAsia="Calibri"/>
          <w:sz w:val="22"/>
          <w:szCs w:val="22"/>
          <w:lang w:val="tr-TR"/>
        </w:rPr>
        <w:t xml:space="preserve">. </w:t>
      </w:r>
    </w:p>
    <w:p w14:paraId="027D0112" w14:textId="36B79C82" w:rsidR="00747261" w:rsidRPr="001A4B94" w:rsidRDefault="00290DC4" w:rsidP="00C24F8F">
      <w:pPr>
        <w:numPr>
          <w:ilvl w:val="1"/>
          <w:numId w:val="24"/>
        </w:numPr>
        <w:autoSpaceDE w:val="0"/>
        <w:autoSpaceDN w:val="0"/>
        <w:adjustRightInd w:val="0"/>
        <w:spacing w:after="240" w:line="276" w:lineRule="auto"/>
        <w:contextualSpacing/>
        <w:jc w:val="both"/>
        <w:rPr>
          <w:rFonts w:eastAsia="Calibri"/>
          <w:sz w:val="22"/>
          <w:szCs w:val="22"/>
          <w:lang w:val="tr-TR"/>
        </w:rPr>
      </w:pPr>
      <w:r w:rsidRPr="001A4B94">
        <w:rPr>
          <w:rFonts w:eastAsia="Calibri"/>
          <w:sz w:val="22"/>
          <w:szCs w:val="22"/>
          <w:lang w:val="tr-TR"/>
        </w:rPr>
        <w:t xml:space="preserve">Ülkede ev işleri ve çocuk bakım görevleri ile bağlantılı olarak </w:t>
      </w:r>
      <w:r w:rsidR="000733A3" w:rsidRPr="001A4B94">
        <w:rPr>
          <w:rFonts w:eastAsia="Calibri"/>
          <w:sz w:val="22"/>
          <w:szCs w:val="22"/>
          <w:lang w:val="tr-TR"/>
        </w:rPr>
        <w:t>kadınların işgücüne katılma oranlarının düşük olduğu göz nünde bulundurularak, özellikle en dezavantajlı kadınlar için olmak üzere (ki bunlar için güçlü bir sübvansiyon gerekecektir) kaliteli ve düşük maliyetli çocuk bakım hizmetlerinin sunulması kilit önem taşıyacaktır</w:t>
      </w:r>
      <w:r w:rsidR="00747261" w:rsidRPr="001A4B94">
        <w:rPr>
          <w:rFonts w:eastAsia="Calibri"/>
          <w:sz w:val="22"/>
          <w:szCs w:val="22"/>
          <w:lang w:val="tr-TR"/>
        </w:rPr>
        <w:t xml:space="preserve">. </w:t>
      </w:r>
    </w:p>
    <w:p w14:paraId="109ECDA8" w14:textId="427BDA3E" w:rsidR="00747261" w:rsidRPr="001A4B94" w:rsidRDefault="000733A3" w:rsidP="00C24F8F">
      <w:pPr>
        <w:numPr>
          <w:ilvl w:val="1"/>
          <w:numId w:val="24"/>
        </w:numPr>
        <w:autoSpaceDE w:val="0"/>
        <w:autoSpaceDN w:val="0"/>
        <w:adjustRightInd w:val="0"/>
        <w:spacing w:after="240" w:line="276" w:lineRule="auto"/>
        <w:contextualSpacing/>
        <w:jc w:val="both"/>
        <w:rPr>
          <w:rFonts w:eastAsia="Calibri"/>
          <w:sz w:val="22"/>
          <w:szCs w:val="22"/>
          <w:lang w:val="tr-TR"/>
        </w:rPr>
      </w:pPr>
      <w:r w:rsidRPr="001A4B94">
        <w:rPr>
          <w:rFonts w:eastAsia="Calibri"/>
          <w:sz w:val="22"/>
          <w:szCs w:val="22"/>
          <w:lang w:val="tr-TR"/>
        </w:rPr>
        <w:t>Diğer destek politikaları arasında esnek çalışma zamanlamalarının sunulması ve kadınlara karşı olası ayrımcı uygulamaların önlenmesi için doğum / babalık yardımlarının iyileştirilmesi yer alabilir</w:t>
      </w:r>
      <w:r w:rsidR="00747261" w:rsidRPr="001A4B94">
        <w:rPr>
          <w:rFonts w:eastAsia="Calibri"/>
          <w:sz w:val="22"/>
          <w:szCs w:val="22"/>
          <w:lang w:val="tr-TR"/>
        </w:rPr>
        <w:t xml:space="preserve">.   </w:t>
      </w:r>
    </w:p>
    <w:p w14:paraId="37446FC4" w14:textId="4B1EB407" w:rsidR="00747261" w:rsidRPr="001A4B94" w:rsidRDefault="00BE77E7" w:rsidP="00C24F8F">
      <w:pPr>
        <w:numPr>
          <w:ilvl w:val="1"/>
          <w:numId w:val="24"/>
        </w:numPr>
        <w:autoSpaceDE w:val="0"/>
        <w:autoSpaceDN w:val="0"/>
        <w:adjustRightInd w:val="0"/>
        <w:spacing w:after="240" w:line="276" w:lineRule="auto"/>
        <w:contextualSpacing/>
        <w:jc w:val="both"/>
        <w:rPr>
          <w:rFonts w:eastAsia="Calibri"/>
          <w:sz w:val="22"/>
          <w:szCs w:val="22"/>
          <w:lang w:val="tr-TR"/>
        </w:rPr>
      </w:pPr>
      <w:r w:rsidRPr="001A4B94">
        <w:rPr>
          <w:rFonts w:eastAsia="Calibri"/>
          <w:sz w:val="22"/>
          <w:szCs w:val="22"/>
          <w:lang w:val="tr-TR"/>
        </w:rPr>
        <w:t>İşe yönelik eğitim ve finansal tabana yayma kadınların girişimcilik faaliyetlerine dahil olmalarına yardımcı olacaktır</w:t>
      </w:r>
      <w:r w:rsidR="00747261" w:rsidRPr="001A4B94">
        <w:rPr>
          <w:rFonts w:eastAsia="Calibri"/>
          <w:sz w:val="22"/>
          <w:szCs w:val="22"/>
          <w:lang w:val="tr-TR"/>
        </w:rPr>
        <w:t>.</w:t>
      </w:r>
    </w:p>
    <w:p w14:paraId="140071FC" w14:textId="77777777" w:rsidR="002327A5" w:rsidRPr="001A4B94" w:rsidRDefault="002327A5" w:rsidP="002327A5">
      <w:pPr>
        <w:autoSpaceDE w:val="0"/>
        <w:autoSpaceDN w:val="0"/>
        <w:adjustRightInd w:val="0"/>
        <w:spacing w:after="240" w:line="276" w:lineRule="auto"/>
        <w:ind w:left="1440"/>
        <w:contextualSpacing/>
        <w:jc w:val="both"/>
        <w:rPr>
          <w:rFonts w:eastAsia="Calibri"/>
          <w:sz w:val="22"/>
          <w:szCs w:val="22"/>
          <w:lang w:val="tr-TR"/>
        </w:rPr>
      </w:pPr>
    </w:p>
    <w:p w14:paraId="5D648427" w14:textId="184DF978" w:rsidR="002327A5" w:rsidRPr="001A4B94" w:rsidRDefault="00BE77E7" w:rsidP="002327A5">
      <w:pPr>
        <w:numPr>
          <w:ilvl w:val="0"/>
          <w:numId w:val="24"/>
        </w:numPr>
        <w:spacing w:line="276" w:lineRule="auto"/>
        <w:jc w:val="both"/>
        <w:rPr>
          <w:rFonts w:eastAsia="Calibri"/>
          <w:sz w:val="22"/>
          <w:szCs w:val="22"/>
          <w:lang w:val="tr-TR"/>
        </w:rPr>
      </w:pPr>
      <w:r w:rsidRPr="001A4B94">
        <w:rPr>
          <w:rFonts w:eastAsia="Calibri"/>
          <w:b/>
          <w:sz w:val="22"/>
          <w:szCs w:val="22"/>
          <w:lang w:val="tr-TR"/>
        </w:rPr>
        <w:t>Özellikle dezavantajlı geçmişe sahip olanlar için olmak üzere, kadınlara yönelik fırsatların arttırılması ve Türkiye’deki genel ekonomik sürecin genişletilmesi</w:t>
      </w:r>
      <w:r w:rsidR="002327A5" w:rsidRPr="001A4B94">
        <w:rPr>
          <w:rFonts w:eastAsia="Calibri"/>
          <w:b/>
          <w:sz w:val="22"/>
          <w:szCs w:val="22"/>
          <w:lang w:val="tr-TR"/>
        </w:rPr>
        <w:t>.</w:t>
      </w:r>
    </w:p>
    <w:p w14:paraId="75B51FC4" w14:textId="7A3EE3C2" w:rsidR="00747261" w:rsidRPr="001A4B94" w:rsidRDefault="00BE77E7" w:rsidP="00C24F8F">
      <w:pPr>
        <w:numPr>
          <w:ilvl w:val="1"/>
          <w:numId w:val="24"/>
        </w:numPr>
        <w:spacing w:after="200" w:line="276" w:lineRule="auto"/>
        <w:ind w:left="1434" w:hanging="357"/>
        <w:jc w:val="both"/>
        <w:rPr>
          <w:rFonts w:eastAsia="Calibri"/>
          <w:sz w:val="22"/>
          <w:szCs w:val="22"/>
          <w:lang w:val="tr-TR"/>
        </w:rPr>
      </w:pPr>
      <w:r w:rsidRPr="001A4B94">
        <w:rPr>
          <w:rFonts w:eastAsia="Calibri"/>
          <w:sz w:val="22"/>
          <w:szCs w:val="22"/>
          <w:lang w:val="tr-TR"/>
        </w:rPr>
        <w:t xml:space="preserve">Yüksek öğretimin içeriğini özel sektörün ihtiyaçlarına daha yakın olacak şekilde tasarlayarak ve böylelikle üniversite eğitimini istihdam piyasası için daya uyumlu hale getirerek, </w:t>
      </w:r>
      <w:r w:rsidR="00594904" w:rsidRPr="001A4B94">
        <w:rPr>
          <w:rFonts w:eastAsia="Calibri"/>
          <w:sz w:val="22"/>
          <w:szCs w:val="22"/>
          <w:lang w:val="tr-TR"/>
        </w:rPr>
        <w:t>faydalı bir okuldan işe geçiş sürecinin sağlanması</w:t>
      </w:r>
      <w:r w:rsidR="00747261" w:rsidRPr="001A4B94">
        <w:rPr>
          <w:rFonts w:eastAsia="Calibri"/>
          <w:sz w:val="22"/>
          <w:szCs w:val="22"/>
          <w:lang w:val="tr-TR"/>
        </w:rPr>
        <w:t xml:space="preserve">. </w:t>
      </w:r>
    </w:p>
    <w:p w14:paraId="409093CB" w14:textId="2C8F549C" w:rsidR="00747261" w:rsidRPr="001A4B94" w:rsidRDefault="00594904" w:rsidP="00C24F8F">
      <w:pPr>
        <w:numPr>
          <w:ilvl w:val="1"/>
          <w:numId w:val="24"/>
        </w:numPr>
        <w:spacing w:after="200" w:line="276" w:lineRule="auto"/>
        <w:ind w:left="1434" w:hanging="357"/>
        <w:jc w:val="both"/>
        <w:rPr>
          <w:rFonts w:eastAsia="Calibri"/>
          <w:sz w:val="22"/>
          <w:szCs w:val="22"/>
          <w:lang w:val="tr-TR"/>
        </w:rPr>
      </w:pPr>
      <w:r w:rsidRPr="001A4B94">
        <w:rPr>
          <w:rFonts w:eastAsia="Calibri"/>
          <w:sz w:val="22"/>
          <w:szCs w:val="22"/>
          <w:lang w:val="tr-TR"/>
        </w:rPr>
        <w:t>Erkeklerin ve kadınların ihtiyaçlarına uygun olarak tasarlanan aktif işgücü piyasası programlarına yatırım yapılması</w:t>
      </w:r>
      <w:r w:rsidR="00747261" w:rsidRPr="001A4B94">
        <w:rPr>
          <w:rFonts w:eastAsia="Calibri"/>
          <w:sz w:val="22"/>
          <w:szCs w:val="22"/>
          <w:lang w:val="tr-TR"/>
        </w:rPr>
        <w:t>.</w:t>
      </w:r>
    </w:p>
    <w:p w14:paraId="0582BAAD" w14:textId="4C17EEC5" w:rsidR="00747261" w:rsidRPr="001A4B94" w:rsidRDefault="00594904" w:rsidP="00C24F8F">
      <w:pPr>
        <w:numPr>
          <w:ilvl w:val="1"/>
          <w:numId w:val="24"/>
        </w:numPr>
        <w:spacing w:after="200" w:line="276" w:lineRule="auto"/>
        <w:ind w:left="1434" w:hanging="357"/>
        <w:jc w:val="both"/>
        <w:rPr>
          <w:rFonts w:eastAsia="Calibri"/>
          <w:sz w:val="22"/>
          <w:szCs w:val="22"/>
          <w:lang w:val="tr-TR"/>
        </w:rPr>
      </w:pPr>
      <w:r w:rsidRPr="001A4B94">
        <w:rPr>
          <w:rFonts w:eastAsia="Calibri"/>
          <w:sz w:val="22"/>
          <w:szCs w:val="22"/>
          <w:lang w:val="tr-TR"/>
        </w:rPr>
        <w:t xml:space="preserve">Eğitim seviyesi düşük kadınlar için sunulan mesleki eğitimlerin </w:t>
      </w:r>
      <w:r w:rsidR="00EB00B8" w:rsidRPr="001A4B94">
        <w:rPr>
          <w:rFonts w:eastAsia="Calibri"/>
          <w:sz w:val="22"/>
          <w:szCs w:val="22"/>
          <w:lang w:val="tr-TR"/>
        </w:rPr>
        <w:t>arttırılması</w:t>
      </w:r>
      <w:r w:rsidRPr="001A4B94">
        <w:rPr>
          <w:rFonts w:eastAsia="Calibri"/>
          <w:sz w:val="22"/>
          <w:szCs w:val="22"/>
          <w:lang w:val="tr-TR"/>
        </w:rPr>
        <w:t xml:space="preserve"> </w:t>
      </w:r>
      <w:r w:rsidR="00747261" w:rsidRPr="001A4B94">
        <w:rPr>
          <w:rFonts w:eastAsia="Calibri"/>
          <w:sz w:val="22"/>
          <w:szCs w:val="22"/>
          <w:lang w:val="tr-TR"/>
        </w:rPr>
        <w:t>(</w:t>
      </w:r>
      <w:r w:rsidRPr="001A4B94">
        <w:rPr>
          <w:rFonts w:eastAsia="Calibri"/>
          <w:sz w:val="22"/>
          <w:szCs w:val="22"/>
          <w:lang w:val="tr-TR"/>
        </w:rPr>
        <w:t xml:space="preserve">örneğin kentsel </w:t>
      </w:r>
      <w:r w:rsidR="00EB00B8" w:rsidRPr="001A4B94">
        <w:rPr>
          <w:rFonts w:eastAsia="Calibri"/>
          <w:sz w:val="22"/>
          <w:szCs w:val="22"/>
          <w:lang w:val="tr-TR"/>
        </w:rPr>
        <w:t>alanlarda</w:t>
      </w:r>
      <w:r w:rsidRPr="001A4B94">
        <w:rPr>
          <w:rFonts w:eastAsia="Calibri"/>
          <w:sz w:val="22"/>
          <w:szCs w:val="22"/>
          <w:lang w:val="tr-TR"/>
        </w:rPr>
        <w:t xml:space="preserve"> yaşayan düşük vasıflı göçmenler</w:t>
      </w:r>
      <w:r w:rsidR="00747261" w:rsidRPr="001A4B94">
        <w:rPr>
          <w:rFonts w:eastAsia="Calibri"/>
          <w:sz w:val="22"/>
          <w:szCs w:val="22"/>
          <w:lang w:val="tr-TR"/>
        </w:rPr>
        <w:t>);</w:t>
      </w:r>
    </w:p>
    <w:p w14:paraId="03402FDB" w14:textId="6C519E83" w:rsidR="00747261" w:rsidRPr="001A4B94" w:rsidRDefault="00594904" w:rsidP="00C24F8F">
      <w:pPr>
        <w:numPr>
          <w:ilvl w:val="1"/>
          <w:numId w:val="24"/>
        </w:numPr>
        <w:spacing w:after="200" w:line="276" w:lineRule="auto"/>
        <w:ind w:left="1434" w:hanging="357"/>
        <w:jc w:val="both"/>
        <w:rPr>
          <w:rFonts w:eastAsia="Calibri"/>
          <w:sz w:val="22"/>
          <w:szCs w:val="22"/>
          <w:lang w:val="tr-TR"/>
        </w:rPr>
      </w:pPr>
      <w:r w:rsidRPr="001A4B94">
        <w:rPr>
          <w:rFonts w:eastAsia="Calibri"/>
          <w:sz w:val="22"/>
          <w:szCs w:val="22"/>
          <w:lang w:val="tr-TR"/>
        </w:rPr>
        <w:t xml:space="preserve">Dezavantajlı kadınlar arasında cinsiyet </w:t>
      </w:r>
      <w:r w:rsidR="00EB00B8" w:rsidRPr="001A4B94">
        <w:rPr>
          <w:rFonts w:eastAsia="Calibri"/>
          <w:sz w:val="22"/>
          <w:szCs w:val="22"/>
          <w:lang w:val="tr-TR"/>
        </w:rPr>
        <w:t>eşitsizliklerinin</w:t>
      </w:r>
      <w:r w:rsidRPr="001A4B94">
        <w:rPr>
          <w:rFonts w:eastAsia="Calibri"/>
          <w:sz w:val="22"/>
          <w:szCs w:val="22"/>
          <w:lang w:val="tr-TR"/>
        </w:rPr>
        <w:t xml:space="preserve"> önemli ölçü</w:t>
      </w:r>
      <w:r w:rsidR="00EB00B8" w:rsidRPr="001A4B94">
        <w:rPr>
          <w:rFonts w:eastAsia="Calibri"/>
          <w:sz w:val="22"/>
          <w:szCs w:val="22"/>
          <w:lang w:val="tr-TR"/>
        </w:rPr>
        <w:t>de yüksek olduğu yer</w:t>
      </w:r>
      <w:r w:rsidRPr="001A4B94">
        <w:rPr>
          <w:rFonts w:eastAsia="Calibri"/>
          <w:sz w:val="22"/>
          <w:szCs w:val="22"/>
          <w:lang w:val="tr-TR"/>
        </w:rPr>
        <w:t xml:space="preserve">lerde, yüksek öğretimdeki kızlar </w:t>
      </w:r>
      <w:r w:rsidR="00EB00B8" w:rsidRPr="001A4B94">
        <w:rPr>
          <w:rFonts w:eastAsia="Calibri"/>
          <w:sz w:val="22"/>
          <w:szCs w:val="22"/>
          <w:lang w:val="tr-TR"/>
        </w:rPr>
        <w:t>için burs programlarını uygulan</w:t>
      </w:r>
      <w:r w:rsidRPr="001A4B94">
        <w:rPr>
          <w:rFonts w:eastAsia="Calibri"/>
          <w:sz w:val="22"/>
          <w:szCs w:val="22"/>
          <w:lang w:val="tr-TR"/>
        </w:rPr>
        <w:t>ması</w:t>
      </w:r>
      <w:r w:rsidR="00747261" w:rsidRPr="001A4B94">
        <w:rPr>
          <w:rFonts w:eastAsia="Calibri"/>
          <w:sz w:val="22"/>
          <w:szCs w:val="22"/>
          <w:lang w:val="tr-TR"/>
        </w:rPr>
        <w:t>.</w:t>
      </w:r>
    </w:p>
    <w:p w14:paraId="50789017" w14:textId="05B00FCF" w:rsidR="00747261" w:rsidRPr="001A4B94" w:rsidRDefault="00594904" w:rsidP="00C24F8F">
      <w:pPr>
        <w:numPr>
          <w:ilvl w:val="0"/>
          <w:numId w:val="24"/>
        </w:numPr>
        <w:spacing w:after="200" w:line="276" w:lineRule="auto"/>
        <w:contextualSpacing/>
        <w:jc w:val="both"/>
        <w:rPr>
          <w:rFonts w:eastAsia="Calibri"/>
          <w:sz w:val="22"/>
          <w:szCs w:val="22"/>
          <w:lang w:val="tr-TR"/>
        </w:rPr>
      </w:pPr>
      <w:r w:rsidRPr="001A4B94">
        <w:rPr>
          <w:rFonts w:eastAsia="Calibri"/>
          <w:b/>
          <w:sz w:val="22"/>
          <w:szCs w:val="22"/>
          <w:lang w:val="tr-TR"/>
        </w:rPr>
        <w:t>Kadınl</w:t>
      </w:r>
      <w:r w:rsidR="00EB00B8" w:rsidRPr="001A4B94">
        <w:rPr>
          <w:rFonts w:eastAsia="Calibri"/>
          <w:b/>
          <w:sz w:val="22"/>
          <w:szCs w:val="22"/>
          <w:lang w:val="tr-TR"/>
        </w:rPr>
        <w:t>a</w:t>
      </w:r>
      <w:r w:rsidRPr="001A4B94">
        <w:rPr>
          <w:rFonts w:eastAsia="Calibri"/>
          <w:b/>
          <w:sz w:val="22"/>
          <w:szCs w:val="22"/>
          <w:lang w:val="tr-TR"/>
        </w:rPr>
        <w:t xml:space="preserve">rın temsil düzeyinin güçlendirilmeye devam etmesi </w:t>
      </w:r>
    </w:p>
    <w:p w14:paraId="3C3CB0A7" w14:textId="70D47C48" w:rsidR="00747261" w:rsidRPr="001A4B94" w:rsidRDefault="00EB00B8" w:rsidP="00C24F8F">
      <w:pPr>
        <w:numPr>
          <w:ilvl w:val="1"/>
          <w:numId w:val="24"/>
        </w:numPr>
        <w:spacing w:after="200" w:line="276" w:lineRule="auto"/>
        <w:contextualSpacing/>
        <w:jc w:val="both"/>
        <w:rPr>
          <w:rFonts w:eastAsia="Calibri"/>
          <w:sz w:val="22"/>
          <w:szCs w:val="22"/>
          <w:lang w:val="tr-TR"/>
        </w:rPr>
      </w:pPr>
      <w:r w:rsidRPr="001A4B94">
        <w:rPr>
          <w:rFonts w:eastAsia="Calibri"/>
          <w:sz w:val="22"/>
          <w:szCs w:val="22"/>
          <w:lang w:val="tr-TR"/>
        </w:rPr>
        <w:t>Erken evlilikleri ve görücü usulü evlilikleri önlemek için kararlı adımlar atılması</w:t>
      </w:r>
      <w:r w:rsidR="00747261" w:rsidRPr="001A4B94">
        <w:rPr>
          <w:rFonts w:eastAsia="Calibri"/>
          <w:sz w:val="22"/>
          <w:szCs w:val="22"/>
          <w:lang w:val="tr-TR"/>
        </w:rPr>
        <w:t xml:space="preserve">. </w:t>
      </w:r>
    </w:p>
    <w:p w14:paraId="7F51CF88" w14:textId="50FE75D8" w:rsidR="00747261" w:rsidRPr="001A4B94" w:rsidRDefault="00EB00B8" w:rsidP="00C24F8F">
      <w:pPr>
        <w:numPr>
          <w:ilvl w:val="1"/>
          <w:numId w:val="24"/>
        </w:numPr>
        <w:spacing w:after="200" w:line="276" w:lineRule="auto"/>
        <w:contextualSpacing/>
        <w:jc w:val="both"/>
        <w:rPr>
          <w:rFonts w:eastAsia="Calibri"/>
          <w:sz w:val="22"/>
          <w:szCs w:val="22"/>
          <w:lang w:val="tr-TR"/>
        </w:rPr>
      </w:pPr>
      <w:r w:rsidRPr="001A4B94">
        <w:rPr>
          <w:rFonts w:eastAsia="Calibri"/>
          <w:sz w:val="22"/>
          <w:szCs w:val="22"/>
          <w:lang w:val="tr-TR"/>
        </w:rPr>
        <w:t>Muhtemelen aday listelerinde kot</w:t>
      </w:r>
      <w:r w:rsidR="00C14B8D" w:rsidRPr="001A4B94">
        <w:rPr>
          <w:rFonts w:eastAsia="Calibri"/>
          <w:sz w:val="22"/>
          <w:szCs w:val="22"/>
          <w:lang w:val="tr-TR"/>
        </w:rPr>
        <w:t>a</w:t>
      </w:r>
      <w:r w:rsidRPr="001A4B94">
        <w:rPr>
          <w:rFonts w:eastAsia="Calibri"/>
          <w:sz w:val="22"/>
          <w:szCs w:val="22"/>
          <w:lang w:val="tr-TR"/>
        </w:rPr>
        <w:t>ların uygulanması yoluyla, siyasi kurumlarda kadınların daha iyi temsil edilmesinin sağlanması</w:t>
      </w:r>
      <w:r w:rsidR="00747261" w:rsidRPr="001A4B94">
        <w:rPr>
          <w:rFonts w:eastAsia="Calibri"/>
          <w:sz w:val="22"/>
          <w:szCs w:val="22"/>
          <w:lang w:val="tr-TR"/>
        </w:rPr>
        <w:t>.</w:t>
      </w:r>
    </w:p>
    <w:p w14:paraId="00937E95" w14:textId="2BA6EE45" w:rsidR="00747261" w:rsidRPr="001A4B94" w:rsidRDefault="00EB00B8" w:rsidP="00C24F8F">
      <w:pPr>
        <w:numPr>
          <w:ilvl w:val="1"/>
          <w:numId w:val="24"/>
        </w:numPr>
        <w:spacing w:after="200" w:line="276" w:lineRule="auto"/>
        <w:contextualSpacing/>
        <w:rPr>
          <w:rFonts w:eastAsia="Calibri"/>
          <w:sz w:val="22"/>
          <w:szCs w:val="22"/>
          <w:lang w:val="tr-TR"/>
        </w:rPr>
      </w:pPr>
      <w:r w:rsidRPr="001A4B94">
        <w:rPr>
          <w:rFonts w:eastAsia="Calibri"/>
          <w:sz w:val="22"/>
          <w:szCs w:val="22"/>
          <w:lang w:val="tr-TR"/>
        </w:rPr>
        <w:t>Toplumsal cinsiyet eşitliğine ilişkin kurumsal ve yasal çerçevenin geliştirilmesine devam edilmesi ve bunun yeterli bir şekilde uygulanmasının sağlanması</w:t>
      </w:r>
      <w:r w:rsidR="00747261" w:rsidRPr="001A4B94">
        <w:rPr>
          <w:rFonts w:eastAsia="Calibri"/>
          <w:sz w:val="22"/>
          <w:szCs w:val="22"/>
          <w:lang w:val="tr-TR"/>
        </w:rPr>
        <w:t xml:space="preserve">.  </w:t>
      </w:r>
    </w:p>
    <w:p w14:paraId="356BDC71" w14:textId="77777777" w:rsidR="00747261" w:rsidRPr="001A4B94" w:rsidRDefault="00747261" w:rsidP="00747261">
      <w:pPr>
        <w:spacing w:after="160" w:line="259" w:lineRule="auto"/>
        <w:rPr>
          <w:rFonts w:ascii="Arial" w:hAnsi="Arial" w:cs="Arial"/>
          <w:b/>
          <w:bCs/>
          <w:sz w:val="22"/>
          <w:szCs w:val="22"/>
          <w:lang w:val="tr-TR"/>
        </w:rPr>
        <w:sectPr w:rsidR="00747261" w:rsidRPr="001A4B94" w:rsidSect="00747261">
          <w:pgSz w:w="12240" w:h="15840"/>
          <w:pgMar w:top="1440" w:right="1440" w:bottom="1440" w:left="1440" w:header="720" w:footer="720" w:gutter="0"/>
          <w:cols w:space="720"/>
          <w:docGrid w:linePitch="360"/>
        </w:sectPr>
      </w:pPr>
    </w:p>
    <w:p w14:paraId="05F4AB61" w14:textId="77777777" w:rsidR="00747261" w:rsidRPr="001A4B94" w:rsidRDefault="00747261" w:rsidP="00747261">
      <w:pPr>
        <w:spacing w:after="160" w:line="259" w:lineRule="auto"/>
        <w:rPr>
          <w:rFonts w:ascii="Arial" w:hAnsi="Arial" w:cs="Arial"/>
          <w:b/>
          <w:bCs/>
          <w:sz w:val="22"/>
          <w:szCs w:val="22"/>
          <w:lang w:val="tr-TR"/>
        </w:rPr>
      </w:pPr>
    </w:p>
    <w:p w14:paraId="165F5C64" w14:textId="4CABCE31" w:rsidR="00747261" w:rsidRPr="001A4B94" w:rsidRDefault="00EB00B8" w:rsidP="000B578B">
      <w:pPr>
        <w:pStyle w:val="Balk1"/>
        <w:spacing w:before="0" w:after="240"/>
        <w:jc w:val="center"/>
        <w:rPr>
          <w:rFonts w:ascii="Times New Roman" w:hAnsi="Times New Roman" w:cs="Times New Roman"/>
          <w:b/>
          <w:color w:val="auto"/>
          <w:sz w:val="24"/>
          <w:szCs w:val="24"/>
          <w:lang w:val="tr-TR"/>
        </w:rPr>
      </w:pPr>
      <w:bookmarkStart w:id="30" w:name="_Toc494977338"/>
      <w:r w:rsidRPr="001A4B94">
        <w:rPr>
          <w:rFonts w:ascii="Times New Roman" w:hAnsi="Times New Roman" w:cs="Times New Roman"/>
          <w:b/>
          <w:color w:val="auto"/>
          <w:sz w:val="24"/>
          <w:szCs w:val="24"/>
          <w:lang w:val="tr-TR"/>
        </w:rPr>
        <w:t>Ek</w:t>
      </w:r>
      <w:r w:rsidR="007E27D8" w:rsidRPr="001A4B94">
        <w:rPr>
          <w:rFonts w:ascii="Times New Roman" w:hAnsi="Times New Roman" w:cs="Times New Roman"/>
          <w:b/>
          <w:color w:val="auto"/>
          <w:sz w:val="24"/>
          <w:szCs w:val="24"/>
          <w:lang w:val="tr-TR"/>
        </w:rPr>
        <w:t xml:space="preserve"> 8</w:t>
      </w:r>
      <w:r w:rsidR="00747261" w:rsidRPr="001A4B94">
        <w:rPr>
          <w:rFonts w:ascii="Times New Roman" w:hAnsi="Times New Roman" w:cs="Times New Roman"/>
          <w:b/>
          <w:color w:val="auto"/>
          <w:sz w:val="24"/>
          <w:szCs w:val="24"/>
          <w:lang w:val="tr-TR"/>
        </w:rPr>
        <w:t xml:space="preserve">. </w:t>
      </w:r>
      <w:r w:rsidRPr="001A4B94">
        <w:rPr>
          <w:rFonts w:ascii="Times New Roman" w:hAnsi="Times New Roman" w:cs="Times New Roman"/>
          <w:b/>
          <w:color w:val="auto"/>
          <w:sz w:val="24"/>
          <w:szCs w:val="24"/>
          <w:lang w:val="tr-TR"/>
        </w:rPr>
        <w:t>Türkiye 2018 – 21 MY CPF için Vatandaş Katılımı Yok Harit</w:t>
      </w:r>
      <w:r w:rsidR="000A2CBC" w:rsidRPr="001A4B94">
        <w:rPr>
          <w:rFonts w:ascii="Times New Roman" w:hAnsi="Times New Roman" w:cs="Times New Roman"/>
          <w:b/>
          <w:color w:val="auto"/>
          <w:sz w:val="24"/>
          <w:szCs w:val="24"/>
          <w:lang w:val="tr-TR"/>
        </w:rPr>
        <w:t>a</w:t>
      </w:r>
      <w:r w:rsidRPr="001A4B94">
        <w:rPr>
          <w:rFonts w:ascii="Times New Roman" w:hAnsi="Times New Roman" w:cs="Times New Roman"/>
          <w:b/>
          <w:color w:val="auto"/>
          <w:sz w:val="24"/>
          <w:szCs w:val="24"/>
          <w:lang w:val="tr-TR"/>
        </w:rPr>
        <w:t>sı</w:t>
      </w:r>
      <w:bookmarkEnd w:id="30"/>
      <w:r w:rsidRPr="001A4B94">
        <w:rPr>
          <w:rFonts w:ascii="Times New Roman" w:hAnsi="Times New Roman" w:cs="Times New Roman"/>
          <w:b/>
          <w:color w:val="auto"/>
          <w:sz w:val="24"/>
          <w:szCs w:val="24"/>
          <w:lang w:val="tr-TR"/>
        </w:rPr>
        <w:t xml:space="preserve"> </w:t>
      </w:r>
    </w:p>
    <w:tbl>
      <w:tblPr>
        <w:tblStyle w:val="TableGrid1"/>
        <w:tblW w:w="14490" w:type="dxa"/>
        <w:tblInd w:w="-725" w:type="dxa"/>
        <w:tblLook w:val="04A0" w:firstRow="1" w:lastRow="0" w:firstColumn="1" w:lastColumn="0" w:noHBand="0" w:noVBand="1"/>
      </w:tblPr>
      <w:tblGrid>
        <w:gridCol w:w="1816"/>
        <w:gridCol w:w="3942"/>
        <w:gridCol w:w="4819"/>
        <w:gridCol w:w="3913"/>
      </w:tblGrid>
      <w:tr w:rsidR="00041519" w:rsidRPr="001A4B94" w14:paraId="73F89B94" w14:textId="77777777" w:rsidTr="00747261">
        <w:tc>
          <w:tcPr>
            <w:tcW w:w="1607" w:type="dxa"/>
          </w:tcPr>
          <w:p w14:paraId="63682BFD" w14:textId="294F98B8" w:rsidR="00747261" w:rsidRPr="001A4B94" w:rsidRDefault="00EB00B8" w:rsidP="00747261">
            <w:pPr>
              <w:jc w:val="center"/>
              <w:rPr>
                <w:rFonts w:ascii="Calibri" w:eastAsia="Calibri" w:hAnsi="Calibri"/>
                <w:b/>
                <w:bCs/>
                <w:sz w:val="22"/>
                <w:szCs w:val="22"/>
                <w:lang w:val="tr-TR"/>
              </w:rPr>
            </w:pPr>
            <w:r w:rsidRPr="001A4B94">
              <w:rPr>
                <w:rFonts w:ascii="Calibri" w:eastAsia="Calibri" w:hAnsi="Calibri"/>
                <w:b/>
                <w:bCs/>
                <w:sz w:val="22"/>
                <w:szCs w:val="22"/>
                <w:lang w:val="tr-TR"/>
              </w:rPr>
              <w:t xml:space="preserve">Bileşen </w:t>
            </w:r>
          </w:p>
        </w:tc>
        <w:tc>
          <w:tcPr>
            <w:tcW w:w="4011" w:type="dxa"/>
          </w:tcPr>
          <w:p w14:paraId="2E6C6393" w14:textId="3E5D1D2F" w:rsidR="00747261" w:rsidRPr="001A4B94" w:rsidRDefault="00EB00B8" w:rsidP="00747261">
            <w:pPr>
              <w:jc w:val="center"/>
              <w:rPr>
                <w:rFonts w:ascii="Calibri" w:eastAsia="Calibri" w:hAnsi="Calibri"/>
                <w:b/>
                <w:bCs/>
                <w:sz w:val="22"/>
                <w:szCs w:val="22"/>
                <w:lang w:val="tr-TR"/>
              </w:rPr>
            </w:pPr>
            <w:r w:rsidRPr="001A4B94">
              <w:rPr>
                <w:rFonts w:ascii="Calibri" w:eastAsia="Calibri" w:hAnsi="Calibri"/>
                <w:b/>
                <w:bCs/>
                <w:sz w:val="22"/>
                <w:szCs w:val="22"/>
                <w:lang w:val="tr-TR"/>
              </w:rPr>
              <w:t xml:space="preserve">Müdahale Alanları </w:t>
            </w:r>
          </w:p>
        </w:tc>
        <w:tc>
          <w:tcPr>
            <w:tcW w:w="4898" w:type="dxa"/>
          </w:tcPr>
          <w:p w14:paraId="0F34D001" w14:textId="3DB237CC" w:rsidR="00747261" w:rsidRPr="001A4B94" w:rsidRDefault="00EB00B8" w:rsidP="00747261">
            <w:pPr>
              <w:jc w:val="center"/>
              <w:rPr>
                <w:rFonts w:ascii="Calibri" w:eastAsia="Calibri" w:hAnsi="Calibri"/>
                <w:b/>
                <w:bCs/>
                <w:sz w:val="22"/>
                <w:szCs w:val="22"/>
                <w:lang w:val="tr-TR"/>
              </w:rPr>
            </w:pPr>
            <w:r w:rsidRPr="001A4B94">
              <w:rPr>
                <w:rFonts w:ascii="Calibri" w:eastAsia="Calibri" w:hAnsi="Calibri"/>
                <w:b/>
                <w:bCs/>
                <w:sz w:val="22"/>
                <w:szCs w:val="22"/>
                <w:lang w:val="tr-TR"/>
              </w:rPr>
              <w:t xml:space="preserve">Hedefler </w:t>
            </w:r>
          </w:p>
        </w:tc>
        <w:tc>
          <w:tcPr>
            <w:tcW w:w="3974" w:type="dxa"/>
          </w:tcPr>
          <w:p w14:paraId="781C626B" w14:textId="7DC7170C" w:rsidR="00747261" w:rsidRPr="001A4B94" w:rsidRDefault="00EB00B8" w:rsidP="00747261">
            <w:pPr>
              <w:jc w:val="center"/>
              <w:rPr>
                <w:rFonts w:ascii="Calibri" w:eastAsia="Calibri" w:hAnsi="Calibri"/>
                <w:b/>
                <w:bCs/>
                <w:sz w:val="22"/>
                <w:szCs w:val="22"/>
                <w:lang w:val="tr-TR"/>
              </w:rPr>
            </w:pPr>
            <w:r w:rsidRPr="001A4B94">
              <w:rPr>
                <w:rFonts w:ascii="Calibri" w:eastAsia="Calibri" w:hAnsi="Calibri"/>
                <w:b/>
                <w:bCs/>
                <w:sz w:val="22"/>
                <w:szCs w:val="22"/>
                <w:lang w:val="tr-TR"/>
              </w:rPr>
              <w:t xml:space="preserve">Çıktılar </w:t>
            </w:r>
            <w:r w:rsidR="00747261" w:rsidRPr="001A4B94">
              <w:rPr>
                <w:rFonts w:ascii="Calibri" w:eastAsia="Calibri" w:hAnsi="Calibri"/>
                <w:b/>
                <w:bCs/>
                <w:sz w:val="22"/>
                <w:szCs w:val="22"/>
                <w:lang w:val="tr-TR"/>
              </w:rPr>
              <w:t>/</w:t>
            </w:r>
            <w:r w:rsidRPr="001A4B94">
              <w:rPr>
                <w:rFonts w:ascii="Calibri" w:eastAsia="Calibri" w:hAnsi="Calibri"/>
                <w:b/>
                <w:bCs/>
                <w:sz w:val="22"/>
                <w:szCs w:val="22"/>
                <w:lang w:val="tr-TR"/>
              </w:rPr>
              <w:t xml:space="preserve"> Sonuçlar</w:t>
            </w:r>
          </w:p>
        </w:tc>
      </w:tr>
      <w:tr w:rsidR="00041519" w:rsidRPr="001A4B94" w14:paraId="4CAAA885" w14:textId="77777777" w:rsidTr="00747261">
        <w:trPr>
          <w:trHeight w:val="3392"/>
        </w:trPr>
        <w:tc>
          <w:tcPr>
            <w:tcW w:w="1607" w:type="dxa"/>
            <w:vMerge w:val="restart"/>
          </w:tcPr>
          <w:p w14:paraId="23756E95" w14:textId="77777777" w:rsidR="00747261" w:rsidRPr="001A4B94" w:rsidRDefault="00747261" w:rsidP="00747261">
            <w:pPr>
              <w:rPr>
                <w:rFonts w:ascii="Calibri" w:eastAsia="Calibri" w:hAnsi="Calibri"/>
                <w:b/>
                <w:bCs/>
                <w:sz w:val="22"/>
                <w:szCs w:val="22"/>
                <w:lang w:val="tr-TR"/>
              </w:rPr>
            </w:pPr>
          </w:p>
          <w:p w14:paraId="6B2020AB" w14:textId="77777777" w:rsidR="00747261" w:rsidRPr="001A4B94" w:rsidRDefault="00747261" w:rsidP="00747261">
            <w:pPr>
              <w:rPr>
                <w:rFonts w:ascii="Calibri" w:eastAsia="Calibri" w:hAnsi="Calibri"/>
                <w:b/>
                <w:bCs/>
                <w:sz w:val="22"/>
                <w:szCs w:val="22"/>
                <w:lang w:val="tr-TR"/>
              </w:rPr>
            </w:pPr>
          </w:p>
          <w:p w14:paraId="4A923875" w14:textId="77777777" w:rsidR="00747261" w:rsidRPr="001A4B94" w:rsidRDefault="00747261" w:rsidP="00747261">
            <w:pPr>
              <w:rPr>
                <w:rFonts w:ascii="Calibri" w:eastAsia="Calibri" w:hAnsi="Calibri"/>
                <w:b/>
                <w:bCs/>
                <w:sz w:val="22"/>
                <w:szCs w:val="22"/>
                <w:lang w:val="tr-TR"/>
              </w:rPr>
            </w:pPr>
          </w:p>
          <w:p w14:paraId="668CAF8D" w14:textId="77777777" w:rsidR="00747261" w:rsidRPr="001A4B94" w:rsidRDefault="00747261" w:rsidP="00747261">
            <w:pPr>
              <w:rPr>
                <w:rFonts w:ascii="Calibri" w:eastAsia="Calibri" w:hAnsi="Calibri"/>
                <w:b/>
                <w:bCs/>
                <w:sz w:val="22"/>
                <w:szCs w:val="22"/>
                <w:lang w:val="tr-TR"/>
              </w:rPr>
            </w:pPr>
          </w:p>
          <w:p w14:paraId="3E37A644" w14:textId="77777777" w:rsidR="00747261" w:rsidRPr="001A4B94" w:rsidRDefault="00747261" w:rsidP="00747261">
            <w:pPr>
              <w:rPr>
                <w:rFonts w:ascii="Calibri" w:eastAsia="Calibri" w:hAnsi="Calibri"/>
                <w:b/>
                <w:bCs/>
                <w:sz w:val="22"/>
                <w:szCs w:val="22"/>
                <w:lang w:val="tr-TR"/>
              </w:rPr>
            </w:pPr>
          </w:p>
          <w:p w14:paraId="77F243B6" w14:textId="77777777" w:rsidR="00747261" w:rsidRPr="001A4B94" w:rsidRDefault="00747261" w:rsidP="00747261">
            <w:pPr>
              <w:rPr>
                <w:rFonts w:ascii="Calibri" w:eastAsia="Calibri" w:hAnsi="Calibri"/>
                <w:b/>
                <w:bCs/>
                <w:sz w:val="22"/>
                <w:szCs w:val="22"/>
                <w:lang w:val="tr-TR"/>
              </w:rPr>
            </w:pPr>
          </w:p>
          <w:p w14:paraId="241C821F" w14:textId="77777777" w:rsidR="00747261" w:rsidRPr="001A4B94" w:rsidRDefault="00747261" w:rsidP="00747261">
            <w:pPr>
              <w:rPr>
                <w:rFonts w:ascii="Calibri" w:eastAsia="Calibri" w:hAnsi="Calibri"/>
                <w:b/>
                <w:bCs/>
                <w:sz w:val="22"/>
                <w:szCs w:val="22"/>
                <w:lang w:val="tr-TR"/>
              </w:rPr>
            </w:pPr>
          </w:p>
          <w:p w14:paraId="74B8B367" w14:textId="77777777" w:rsidR="00747261" w:rsidRPr="001A4B94" w:rsidRDefault="00747261" w:rsidP="00747261">
            <w:pPr>
              <w:rPr>
                <w:rFonts w:ascii="Calibri" w:eastAsia="Calibri" w:hAnsi="Calibri"/>
                <w:b/>
                <w:bCs/>
                <w:sz w:val="22"/>
                <w:szCs w:val="22"/>
                <w:lang w:val="tr-TR"/>
              </w:rPr>
            </w:pPr>
          </w:p>
          <w:p w14:paraId="6CC775F2" w14:textId="77777777" w:rsidR="00747261" w:rsidRPr="001A4B94" w:rsidRDefault="00747261" w:rsidP="00747261">
            <w:pPr>
              <w:rPr>
                <w:rFonts w:ascii="Calibri" w:eastAsia="Calibri" w:hAnsi="Calibri"/>
                <w:b/>
                <w:bCs/>
                <w:sz w:val="22"/>
                <w:szCs w:val="22"/>
                <w:lang w:val="tr-TR"/>
              </w:rPr>
            </w:pPr>
          </w:p>
          <w:p w14:paraId="3B04A4BF" w14:textId="77777777" w:rsidR="00747261" w:rsidRPr="001A4B94" w:rsidRDefault="00747261" w:rsidP="00747261">
            <w:pPr>
              <w:rPr>
                <w:rFonts w:ascii="Calibri" w:eastAsia="Calibri" w:hAnsi="Calibri"/>
                <w:b/>
                <w:bCs/>
                <w:sz w:val="22"/>
                <w:szCs w:val="22"/>
                <w:lang w:val="tr-TR"/>
              </w:rPr>
            </w:pPr>
          </w:p>
          <w:p w14:paraId="3C311984" w14:textId="77777777" w:rsidR="00747261" w:rsidRPr="001A4B94" w:rsidRDefault="00747261" w:rsidP="00747261">
            <w:pPr>
              <w:rPr>
                <w:rFonts w:ascii="Calibri" w:eastAsia="Calibri" w:hAnsi="Calibri"/>
                <w:b/>
                <w:bCs/>
                <w:sz w:val="22"/>
                <w:szCs w:val="22"/>
                <w:lang w:val="tr-TR"/>
              </w:rPr>
            </w:pPr>
          </w:p>
          <w:p w14:paraId="42ACA688" w14:textId="33C2B0C0" w:rsidR="00747261" w:rsidRPr="001A4B94" w:rsidRDefault="00036063" w:rsidP="00747261">
            <w:pPr>
              <w:rPr>
                <w:rFonts w:ascii="Calibri" w:eastAsia="Calibri" w:hAnsi="Calibri"/>
                <w:sz w:val="22"/>
                <w:szCs w:val="22"/>
                <w:lang w:val="tr-TR"/>
              </w:rPr>
            </w:pPr>
            <w:r w:rsidRPr="001A4B94">
              <w:rPr>
                <w:rFonts w:ascii="Calibri" w:eastAsia="Calibri" w:hAnsi="Calibri"/>
                <w:b/>
                <w:bCs/>
                <w:sz w:val="22"/>
                <w:szCs w:val="22"/>
                <w:lang w:val="tr-TR"/>
              </w:rPr>
              <w:t xml:space="preserve">DB Portföyü Genelinde </w:t>
            </w:r>
            <w:r w:rsidR="00EB00B8" w:rsidRPr="001A4B94">
              <w:rPr>
                <w:rFonts w:ascii="Calibri" w:eastAsia="Calibri" w:hAnsi="Calibri"/>
                <w:b/>
                <w:bCs/>
                <w:sz w:val="22"/>
                <w:szCs w:val="22"/>
                <w:lang w:val="tr-TR"/>
              </w:rPr>
              <w:t>Vatandaş Katılımı</w:t>
            </w:r>
            <w:r w:rsidRPr="001A4B94">
              <w:rPr>
                <w:rFonts w:ascii="Calibri" w:eastAsia="Calibri" w:hAnsi="Calibri"/>
                <w:b/>
                <w:bCs/>
                <w:sz w:val="22"/>
                <w:szCs w:val="22"/>
                <w:lang w:val="tr-TR"/>
              </w:rPr>
              <w:t xml:space="preserve">nın (VK) Yaygınlaştırılması </w:t>
            </w:r>
          </w:p>
          <w:p w14:paraId="747D977B" w14:textId="77777777" w:rsidR="00747261" w:rsidRPr="001A4B94" w:rsidRDefault="00747261" w:rsidP="00747261">
            <w:pPr>
              <w:rPr>
                <w:rFonts w:ascii="Calibri" w:eastAsia="Calibri" w:hAnsi="Calibri"/>
                <w:sz w:val="22"/>
                <w:szCs w:val="22"/>
                <w:lang w:val="tr-TR"/>
              </w:rPr>
            </w:pPr>
          </w:p>
        </w:tc>
        <w:tc>
          <w:tcPr>
            <w:tcW w:w="4011" w:type="dxa"/>
          </w:tcPr>
          <w:p w14:paraId="11292EFD" w14:textId="4E1526A3" w:rsidR="00747261" w:rsidRPr="001A4B94" w:rsidRDefault="00036063" w:rsidP="00747261">
            <w:pPr>
              <w:rPr>
                <w:rFonts w:ascii="Calibri" w:eastAsia="Calibri" w:hAnsi="Calibri" w:cs="Calibri"/>
                <w:sz w:val="20"/>
                <w:szCs w:val="20"/>
                <w:lang w:val="tr-TR"/>
              </w:rPr>
            </w:pPr>
            <w:r w:rsidRPr="001A4B94">
              <w:rPr>
                <w:rFonts w:ascii="Calibri" w:eastAsia="Calibri" w:hAnsi="Calibri" w:cs="Calibri"/>
                <w:b/>
                <w:bCs/>
                <w:sz w:val="20"/>
                <w:szCs w:val="20"/>
                <w:lang w:val="tr-TR"/>
              </w:rPr>
              <w:t xml:space="preserve">Ülke Düzeyinde  </w:t>
            </w:r>
          </w:p>
          <w:p w14:paraId="73FC6990" w14:textId="550F614F" w:rsidR="00747261" w:rsidRPr="001A4B94" w:rsidRDefault="000F3A52" w:rsidP="00C24F8F">
            <w:pPr>
              <w:numPr>
                <w:ilvl w:val="0"/>
                <w:numId w:val="25"/>
              </w:numPr>
              <w:ind w:left="233" w:hanging="233"/>
              <w:rPr>
                <w:rFonts w:ascii="Calibri" w:eastAsia="Calibri" w:hAnsi="Calibri" w:cs="Calibri"/>
                <w:sz w:val="20"/>
                <w:szCs w:val="20"/>
                <w:lang w:val="tr-TR"/>
              </w:rPr>
            </w:pPr>
            <w:r w:rsidRPr="001A4B94">
              <w:rPr>
                <w:rFonts w:ascii="Calibri" w:eastAsia="Calibri" w:hAnsi="Calibri" w:cs="Calibri"/>
                <w:sz w:val="20"/>
                <w:szCs w:val="20"/>
                <w:lang w:val="tr-TR"/>
              </w:rPr>
              <w:t>Yeni</w:t>
            </w:r>
            <w:r w:rsidR="00036063" w:rsidRPr="001A4B94">
              <w:rPr>
                <w:rFonts w:ascii="Calibri" w:eastAsia="Calibri" w:hAnsi="Calibri" w:cs="Calibri"/>
                <w:sz w:val="20"/>
                <w:szCs w:val="20"/>
                <w:lang w:val="tr-TR"/>
              </w:rPr>
              <w:t xml:space="preserve"> Kalkınma </w:t>
            </w:r>
            <w:r w:rsidRPr="001A4B94">
              <w:rPr>
                <w:rFonts w:ascii="Calibri" w:eastAsia="Calibri" w:hAnsi="Calibri" w:cs="Calibri"/>
                <w:sz w:val="20"/>
                <w:szCs w:val="20"/>
                <w:lang w:val="tr-TR"/>
              </w:rPr>
              <w:t>Politikası</w:t>
            </w:r>
            <w:r w:rsidR="00036063" w:rsidRPr="001A4B94">
              <w:rPr>
                <w:rFonts w:ascii="Calibri" w:eastAsia="Calibri" w:hAnsi="Calibri" w:cs="Calibri"/>
                <w:sz w:val="20"/>
                <w:szCs w:val="20"/>
                <w:lang w:val="tr-TR"/>
              </w:rPr>
              <w:t xml:space="preserve"> </w:t>
            </w:r>
            <w:r w:rsidR="002C548D" w:rsidRPr="001A4B94">
              <w:rPr>
                <w:rFonts w:ascii="Calibri" w:eastAsia="Calibri" w:hAnsi="Calibri" w:cs="Calibri"/>
                <w:sz w:val="20"/>
                <w:szCs w:val="20"/>
                <w:lang w:val="tr-TR"/>
              </w:rPr>
              <w:t>Operasyonları</w:t>
            </w:r>
            <w:r w:rsidR="00036063" w:rsidRPr="001A4B94">
              <w:rPr>
                <w:rFonts w:ascii="Calibri" w:eastAsia="Calibri" w:hAnsi="Calibri" w:cs="Calibri"/>
                <w:sz w:val="20"/>
                <w:szCs w:val="20"/>
                <w:lang w:val="tr-TR"/>
              </w:rPr>
              <w:t xml:space="preserve"> için Vatandaş Katılımı ile ilgili olarak önceden atılabilecek adımlar hakkında müşteri ile Diyalog </w:t>
            </w:r>
          </w:p>
        </w:tc>
        <w:tc>
          <w:tcPr>
            <w:tcW w:w="4898" w:type="dxa"/>
          </w:tcPr>
          <w:p w14:paraId="356AA85B" w14:textId="77777777" w:rsidR="00747261" w:rsidRPr="001A4B94" w:rsidRDefault="00747261" w:rsidP="00747261">
            <w:pPr>
              <w:rPr>
                <w:rFonts w:ascii="Calibri" w:eastAsia="Calibri" w:hAnsi="Calibri" w:cs="Calibri"/>
                <w:sz w:val="20"/>
                <w:szCs w:val="20"/>
                <w:lang w:val="tr-TR"/>
              </w:rPr>
            </w:pPr>
          </w:p>
          <w:p w14:paraId="57C98C64" w14:textId="5168B083" w:rsidR="00747261" w:rsidRPr="001A4B94" w:rsidRDefault="000F3A52" w:rsidP="00C24F8F">
            <w:pPr>
              <w:numPr>
                <w:ilvl w:val="0"/>
                <w:numId w:val="32"/>
              </w:numPr>
              <w:ind w:left="250" w:hanging="250"/>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VK yol haritasının CPF’e entegre edilmesi </w:t>
            </w:r>
          </w:p>
          <w:p w14:paraId="6A1BB04B" w14:textId="6A9C4790" w:rsidR="00747261" w:rsidRPr="001A4B94" w:rsidRDefault="000F3A52"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yıllık portföy incelemeleri kapsamında</w:t>
            </w:r>
            <w:r w:rsidR="00747261" w:rsidRPr="001A4B94">
              <w:rPr>
                <w:rFonts w:ascii="Calibri" w:eastAsia="Calibri" w:hAnsi="Calibri" w:cs="Calibri"/>
                <w:sz w:val="20"/>
                <w:szCs w:val="20"/>
                <w:lang w:val="tr-TR"/>
              </w:rPr>
              <w:t xml:space="preserve">, </w:t>
            </w:r>
            <w:r w:rsidRPr="001A4B94">
              <w:rPr>
                <w:rFonts w:ascii="Calibri" w:eastAsia="Calibri" w:hAnsi="Calibri" w:cs="Calibri"/>
                <w:sz w:val="20"/>
                <w:szCs w:val="20"/>
                <w:lang w:val="tr-TR"/>
              </w:rPr>
              <w:t xml:space="preserve">VK konusunda kaydedilen ilerlemenin ve karşılaşılan zorlukların tespit edilip ülke yönetim birimi ile </w:t>
            </w:r>
            <w:r w:rsidR="002C548D" w:rsidRPr="001A4B94">
              <w:rPr>
                <w:rFonts w:ascii="Calibri" w:eastAsia="Calibri" w:hAnsi="Calibri" w:cs="Calibri"/>
                <w:sz w:val="20"/>
                <w:szCs w:val="20"/>
                <w:lang w:val="tr-TR"/>
              </w:rPr>
              <w:t>birlikte</w:t>
            </w:r>
            <w:r w:rsidRPr="001A4B94">
              <w:rPr>
                <w:rFonts w:ascii="Calibri" w:eastAsia="Calibri" w:hAnsi="Calibri" w:cs="Calibri"/>
                <w:sz w:val="20"/>
                <w:szCs w:val="20"/>
                <w:lang w:val="tr-TR"/>
              </w:rPr>
              <w:t xml:space="preserve"> değerlendirilmesi </w:t>
            </w:r>
          </w:p>
          <w:p w14:paraId="43471087" w14:textId="1A06C0D8" w:rsidR="00747261" w:rsidRPr="001A4B94" w:rsidRDefault="002D3B09" w:rsidP="002D3B09">
            <w:pPr>
              <w:ind w:left="360"/>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PLR </w:t>
            </w:r>
            <w:r w:rsidR="002C548D" w:rsidRPr="001A4B94">
              <w:rPr>
                <w:rFonts w:ascii="Calibri" w:eastAsia="Calibri" w:hAnsi="Calibri" w:cs="Calibri"/>
                <w:sz w:val="20"/>
                <w:szCs w:val="20"/>
                <w:lang w:val="tr-TR"/>
              </w:rPr>
              <w:t>sırasında</w:t>
            </w:r>
            <w:r w:rsidRPr="001A4B94">
              <w:rPr>
                <w:rFonts w:ascii="Calibri" w:eastAsia="Calibri" w:hAnsi="Calibri" w:cs="Calibri"/>
                <w:sz w:val="20"/>
                <w:szCs w:val="20"/>
                <w:lang w:val="tr-TR"/>
              </w:rPr>
              <w:t xml:space="preserve"> VK yol </w:t>
            </w:r>
            <w:r w:rsidR="002C548D" w:rsidRPr="001A4B94">
              <w:rPr>
                <w:rFonts w:ascii="Calibri" w:eastAsia="Calibri" w:hAnsi="Calibri" w:cs="Calibri"/>
                <w:sz w:val="20"/>
                <w:szCs w:val="20"/>
                <w:lang w:val="tr-TR"/>
              </w:rPr>
              <w:t>haritasında</w:t>
            </w:r>
            <w:r w:rsidRPr="001A4B94">
              <w:rPr>
                <w:rFonts w:ascii="Calibri" w:eastAsia="Calibri" w:hAnsi="Calibri" w:cs="Calibri"/>
                <w:sz w:val="20"/>
                <w:szCs w:val="20"/>
                <w:lang w:val="tr-TR"/>
              </w:rPr>
              <w:t xml:space="preserve"> önerilen eylemlerin / hedeflerin değerlendirilmesi </w:t>
            </w:r>
          </w:p>
          <w:p w14:paraId="1851D85F" w14:textId="418963A4" w:rsidR="00747261" w:rsidRPr="001A4B94" w:rsidRDefault="002D3B09"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CLR raporu için, gerçekleştirilen </w:t>
            </w:r>
            <w:r w:rsidR="002C548D" w:rsidRPr="001A4B94">
              <w:rPr>
                <w:rFonts w:ascii="Calibri" w:eastAsia="Calibri" w:hAnsi="Calibri" w:cs="Calibri"/>
                <w:sz w:val="20"/>
                <w:szCs w:val="20"/>
                <w:lang w:val="tr-TR"/>
              </w:rPr>
              <w:t>önlemlerde</w:t>
            </w:r>
            <w:r w:rsidRPr="001A4B94">
              <w:rPr>
                <w:rFonts w:ascii="Calibri" w:eastAsia="Calibri" w:hAnsi="Calibri" w:cs="Calibri"/>
                <w:sz w:val="20"/>
                <w:szCs w:val="20"/>
                <w:lang w:val="tr-TR"/>
              </w:rPr>
              <w:t xml:space="preserve"> ve hedeflere ulaşmada kaydedilen ilerlemenin gözden </w:t>
            </w:r>
            <w:r w:rsidR="002C548D" w:rsidRPr="001A4B94">
              <w:rPr>
                <w:rFonts w:ascii="Calibri" w:eastAsia="Calibri" w:hAnsi="Calibri" w:cs="Calibri"/>
                <w:sz w:val="20"/>
                <w:szCs w:val="20"/>
                <w:lang w:val="tr-TR"/>
              </w:rPr>
              <w:t>geçirilmesi</w:t>
            </w:r>
            <w:r w:rsidRPr="001A4B94">
              <w:rPr>
                <w:rFonts w:ascii="Calibri" w:eastAsia="Calibri" w:hAnsi="Calibri" w:cs="Calibri"/>
                <w:sz w:val="20"/>
                <w:szCs w:val="20"/>
                <w:lang w:val="tr-TR"/>
              </w:rPr>
              <w:t xml:space="preserve"> </w:t>
            </w:r>
          </w:p>
          <w:p w14:paraId="16E67960" w14:textId="0659B6F1" w:rsidR="00747261" w:rsidRPr="001A4B94" w:rsidRDefault="002D3B09"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CLR’ye bilgi girdisi sağlamak üzere, sivil toplum ve diğer paydaşlar ile </w:t>
            </w:r>
            <w:r w:rsidR="002C548D" w:rsidRPr="001A4B94">
              <w:rPr>
                <w:rFonts w:ascii="Calibri" w:eastAsia="Calibri" w:hAnsi="Calibri" w:cs="Calibri"/>
                <w:sz w:val="20"/>
                <w:szCs w:val="20"/>
                <w:lang w:val="tr-TR"/>
              </w:rPr>
              <w:t>istişarelerin</w:t>
            </w:r>
            <w:r w:rsidRPr="001A4B94">
              <w:rPr>
                <w:rFonts w:ascii="Calibri" w:eastAsia="Calibri" w:hAnsi="Calibri" w:cs="Calibri"/>
                <w:sz w:val="20"/>
                <w:szCs w:val="20"/>
                <w:lang w:val="tr-TR"/>
              </w:rPr>
              <w:t xml:space="preserve"> yapılması </w:t>
            </w:r>
          </w:p>
          <w:p w14:paraId="22CB0895" w14:textId="0CD4022F" w:rsidR="00747261" w:rsidRPr="001A4B94" w:rsidRDefault="002D3B09" w:rsidP="00C24F8F">
            <w:pPr>
              <w:numPr>
                <w:ilvl w:val="0"/>
                <w:numId w:val="32"/>
              </w:numPr>
              <w:ind w:left="250" w:hanging="250"/>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i) </w:t>
            </w:r>
            <w:r w:rsidR="002C548D" w:rsidRPr="001A4B94">
              <w:rPr>
                <w:rFonts w:ascii="Calibri" w:eastAsia="Calibri" w:hAnsi="Calibri" w:cs="Calibri"/>
                <w:sz w:val="20"/>
                <w:szCs w:val="20"/>
                <w:lang w:val="tr-TR"/>
              </w:rPr>
              <w:t xml:space="preserve">Türkiye bağlamı ile ilgili ve </w:t>
            </w:r>
            <w:r w:rsidRPr="001A4B94">
              <w:rPr>
                <w:rFonts w:ascii="Calibri" w:eastAsia="Calibri" w:hAnsi="Calibri" w:cs="Calibri"/>
                <w:sz w:val="20"/>
                <w:szCs w:val="20"/>
                <w:lang w:val="tr-TR"/>
              </w:rPr>
              <w:t xml:space="preserve">ii) </w:t>
            </w:r>
            <w:r w:rsidR="002C548D" w:rsidRPr="001A4B94">
              <w:rPr>
                <w:rFonts w:ascii="Calibri" w:eastAsia="Calibri" w:hAnsi="Calibri" w:cs="Calibri"/>
                <w:sz w:val="20"/>
                <w:szCs w:val="20"/>
                <w:lang w:val="tr-TR"/>
              </w:rPr>
              <w:t xml:space="preserve">başka </w:t>
            </w:r>
            <w:r w:rsidRPr="001A4B94">
              <w:rPr>
                <w:rFonts w:ascii="Calibri" w:eastAsia="Calibri" w:hAnsi="Calibri" w:cs="Calibri"/>
                <w:sz w:val="20"/>
                <w:szCs w:val="20"/>
                <w:lang w:val="tr-TR"/>
              </w:rPr>
              <w:t xml:space="preserve">OECD </w:t>
            </w:r>
            <w:r w:rsidR="002C548D" w:rsidRPr="001A4B94">
              <w:rPr>
                <w:rFonts w:ascii="Calibri" w:eastAsia="Calibri" w:hAnsi="Calibri" w:cs="Calibri"/>
                <w:sz w:val="20"/>
                <w:szCs w:val="20"/>
                <w:lang w:val="tr-TR"/>
              </w:rPr>
              <w:t xml:space="preserve">ülkelerinden,  başka kalkınma politikası operasyonlarındaki VK ile ilgili ön eylemlerin bir listesinin hazırlanması </w:t>
            </w:r>
          </w:p>
        </w:tc>
        <w:tc>
          <w:tcPr>
            <w:tcW w:w="3974" w:type="dxa"/>
          </w:tcPr>
          <w:p w14:paraId="6214F227" w14:textId="77777777" w:rsidR="00747261" w:rsidRPr="001A4B94" w:rsidRDefault="00747261" w:rsidP="00747261">
            <w:pPr>
              <w:rPr>
                <w:rFonts w:ascii="Calibri" w:eastAsia="Calibri" w:hAnsi="Calibri" w:cs="Calibri"/>
                <w:sz w:val="20"/>
                <w:szCs w:val="20"/>
                <w:lang w:val="tr-TR"/>
              </w:rPr>
            </w:pPr>
          </w:p>
          <w:p w14:paraId="589A9A95" w14:textId="15C299DF" w:rsidR="00747261" w:rsidRPr="001A4B94" w:rsidRDefault="00747261" w:rsidP="00C24F8F">
            <w:pPr>
              <w:numPr>
                <w:ilvl w:val="0"/>
                <w:numId w:val="29"/>
              </w:numPr>
              <w:ind w:left="197" w:hanging="197"/>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i) </w:t>
            </w:r>
            <w:r w:rsidR="002C548D" w:rsidRPr="001A4B94">
              <w:rPr>
                <w:rFonts w:ascii="Calibri" w:eastAsia="Calibri" w:hAnsi="Calibri" w:cs="Calibri"/>
                <w:sz w:val="20"/>
                <w:szCs w:val="20"/>
                <w:lang w:val="tr-TR"/>
              </w:rPr>
              <w:t>VK müdahalelerinin ülkedeki gelişmeler ile uyumlu ve stratejik hale getirilmesi</w:t>
            </w:r>
            <w:r w:rsidR="000A2CBC" w:rsidRPr="001A4B94">
              <w:rPr>
                <w:rFonts w:ascii="Calibri" w:eastAsia="Calibri" w:hAnsi="Calibri" w:cs="Calibri"/>
                <w:sz w:val="20"/>
                <w:szCs w:val="20"/>
                <w:lang w:val="tr-TR"/>
              </w:rPr>
              <w:t>ne</w:t>
            </w:r>
            <w:r w:rsidR="002C548D" w:rsidRPr="001A4B94">
              <w:rPr>
                <w:rFonts w:ascii="Calibri" w:eastAsia="Calibri" w:hAnsi="Calibri" w:cs="Calibri"/>
                <w:sz w:val="20"/>
                <w:szCs w:val="20"/>
                <w:lang w:val="tr-TR"/>
              </w:rPr>
              <w:t xml:space="preserve"> ve </w:t>
            </w:r>
            <w:r w:rsidRPr="001A4B94">
              <w:rPr>
                <w:rFonts w:ascii="Calibri" w:eastAsia="Calibri" w:hAnsi="Calibri" w:cs="Calibri"/>
                <w:sz w:val="20"/>
                <w:szCs w:val="20"/>
                <w:lang w:val="tr-TR"/>
              </w:rPr>
              <w:t xml:space="preserve">(ii) </w:t>
            </w:r>
            <w:r w:rsidR="002C548D" w:rsidRPr="001A4B94">
              <w:rPr>
                <w:rFonts w:ascii="Calibri" w:eastAsia="Calibri" w:hAnsi="Calibri" w:cs="Calibri"/>
                <w:sz w:val="20"/>
                <w:szCs w:val="20"/>
                <w:lang w:val="tr-TR"/>
              </w:rPr>
              <w:t xml:space="preserve">ülke düzeyindeki VK müdahalelerinin </w:t>
            </w:r>
            <w:r w:rsidR="000A2CBC" w:rsidRPr="001A4B94">
              <w:rPr>
                <w:rFonts w:ascii="Calibri" w:eastAsia="Calibri" w:hAnsi="Calibri" w:cs="Calibri"/>
                <w:sz w:val="20"/>
                <w:szCs w:val="20"/>
                <w:lang w:val="tr-TR"/>
              </w:rPr>
              <w:t xml:space="preserve">uyum durumunun, kalitesinin ve etkisinin  izlenmesine yönelik </w:t>
            </w:r>
            <w:r w:rsidR="002C548D" w:rsidRPr="001A4B94">
              <w:rPr>
                <w:rFonts w:ascii="Calibri" w:eastAsia="Calibri" w:hAnsi="Calibri" w:cs="Calibri"/>
                <w:sz w:val="20"/>
                <w:szCs w:val="20"/>
                <w:lang w:val="tr-TR"/>
              </w:rPr>
              <w:t xml:space="preserve">sistematik yaklaşım </w:t>
            </w:r>
          </w:p>
          <w:p w14:paraId="3E292CDB" w14:textId="5C0C7316" w:rsidR="00747261" w:rsidRPr="001A4B94" w:rsidRDefault="00747261" w:rsidP="00C24F8F">
            <w:pPr>
              <w:numPr>
                <w:ilvl w:val="0"/>
                <w:numId w:val="29"/>
              </w:numPr>
              <w:ind w:left="197" w:hanging="197"/>
              <w:contextualSpacing/>
              <w:rPr>
                <w:rFonts w:ascii="Calibri" w:eastAsia="Calibri" w:hAnsi="Calibri" w:cs="Calibri"/>
                <w:sz w:val="20"/>
                <w:szCs w:val="20"/>
                <w:lang w:val="tr-TR"/>
              </w:rPr>
            </w:pPr>
            <w:r w:rsidRPr="001A4B94">
              <w:rPr>
                <w:rFonts w:ascii="Calibri" w:eastAsia="Calibri" w:hAnsi="Calibri" w:cs="Calibri"/>
                <w:sz w:val="20"/>
                <w:szCs w:val="20"/>
                <w:lang w:val="tr-TR"/>
              </w:rPr>
              <w:t>T</w:t>
            </w:r>
            <w:r w:rsidR="000A2CBC" w:rsidRPr="001A4B94">
              <w:rPr>
                <w:rFonts w:ascii="Calibri" w:eastAsia="Calibri" w:hAnsi="Calibri" w:cs="Calibri"/>
                <w:sz w:val="20"/>
                <w:szCs w:val="20"/>
                <w:lang w:val="tr-TR"/>
              </w:rPr>
              <w:t>ürkiye Dünya Bankası için VK uygulamalarının sistematik ve etkili bir şekilde yaygınlaştırılmasında örnek bir ülke olarak öne çıkmaktadır</w:t>
            </w:r>
            <w:r w:rsidRPr="001A4B94">
              <w:rPr>
                <w:rFonts w:ascii="Calibri" w:eastAsia="Calibri" w:hAnsi="Calibri" w:cs="Calibri"/>
                <w:sz w:val="20"/>
                <w:szCs w:val="20"/>
                <w:lang w:val="tr-TR"/>
              </w:rPr>
              <w:t xml:space="preserve">, </w:t>
            </w:r>
            <w:r w:rsidR="000A2CBC" w:rsidRPr="001A4B94">
              <w:rPr>
                <w:rFonts w:ascii="Calibri" w:eastAsia="Calibri" w:hAnsi="Calibri" w:cs="Calibri"/>
                <w:sz w:val="20"/>
                <w:szCs w:val="20"/>
                <w:lang w:val="tr-TR"/>
              </w:rPr>
              <w:t xml:space="preserve">dolayısıyla sadece IPF’ler için kurumsal gerekliliklerin karşılanması üzerinde odaklanmanın ötesinde bir ilgi gerektirmektedir. </w:t>
            </w:r>
          </w:p>
        </w:tc>
      </w:tr>
      <w:tr w:rsidR="00041519" w:rsidRPr="001A4B94" w14:paraId="4D0BE273" w14:textId="77777777" w:rsidTr="00747261">
        <w:trPr>
          <w:trHeight w:val="1970"/>
        </w:trPr>
        <w:tc>
          <w:tcPr>
            <w:tcW w:w="1607" w:type="dxa"/>
            <w:vMerge/>
          </w:tcPr>
          <w:p w14:paraId="4A0FE3C9" w14:textId="77777777" w:rsidR="00747261" w:rsidRPr="001A4B94" w:rsidRDefault="00747261" w:rsidP="00747261">
            <w:pPr>
              <w:rPr>
                <w:rFonts w:ascii="Calibri" w:eastAsia="Calibri" w:hAnsi="Calibri"/>
                <w:b/>
                <w:bCs/>
                <w:sz w:val="22"/>
                <w:szCs w:val="22"/>
                <w:lang w:val="tr-TR"/>
              </w:rPr>
            </w:pPr>
          </w:p>
        </w:tc>
        <w:tc>
          <w:tcPr>
            <w:tcW w:w="4011" w:type="dxa"/>
          </w:tcPr>
          <w:p w14:paraId="5EA27E51" w14:textId="6C4E772E" w:rsidR="00747261" w:rsidRPr="001A4B94" w:rsidRDefault="00747261" w:rsidP="00747261">
            <w:pPr>
              <w:rPr>
                <w:rFonts w:ascii="Calibri" w:eastAsia="Calibri" w:hAnsi="Calibri" w:cs="Calibri"/>
                <w:b/>
                <w:bCs/>
                <w:sz w:val="20"/>
                <w:szCs w:val="20"/>
                <w:lang w:val="tr-TR"/>
              </w:rPr>
            </w:pPr>
            <w:r w:rsidRPr="001A4B94">
              <w:rPr>
                <w:rFonts w:ascii="Calibri" w:eastAsia="Calibri" w:hAnsi="Calibri" w:cs="Calibri"/>
                <w:b/>
                <w:bCs/>
                <w:sz w:val="20"/>
                <w:szCs w:val="20"/>
                <w:lang w:val="tr-TR"/>
              </w:rPr>
              <w:t xml:space="preserve">Proje </w:t>
            </w:r>
            <w:r w:rsidR="00036063" w:rsidRPr="001A4B94">
              <w:rPr>
                <w:rFonts w:ascii="Calibri" w:eastAsia="Calibri" w:hAnsi="Calibri" w:cs="Calibri"/>
                <w:b/>
                <w:bCs/>
                <w:sz w:val="20"/>
                <w:szCs w:val="20"/>
                <w:lang w:val="tr-TR"/>
              </w:rPr>
              <w:t xml:space="preserve">Düzeyinde </w:t>
            </w:r>
          </w:p>
          <w:p w14:paraId="1AD4E3A3" w14:textId="6595AE77" w:rsidR="00747261" w:rsidRPr="001A4B94" w:rsidRDefault="00036063" w:rsidP="00C24F8F">
            <w:pPr>
              <w:numPr>
                <w:ilvl w:val="0"/>
                <w:numId w:val="26"/>
              </w:numPr>
              <w:ind w:left="233" w:hanging="180"/>
              <w:rPr>
                <w:rFonts w:ascii="Calibri" w:eastAsia="Calibri" w:hAnsi="Calibri" w:cs="Calibri"/>
                <w:sz w:val="20"/>
                <w:szCs w:val="20"/>
                <w:lang w:val="tr-TR"/>
              </w:rPr>
            </w:pPr>
            <w:r w:rsidRPr="001A4B94">
              <w:rPr>
                <w:rFonts w:ascii="Calibri" w:eastAsia="Calibri" w:hAnsi="Calibri" w:cs="Calibri"/>
                <w:sz w:val="20"/>
                <w:szCs w:val="20"/>
                <w:lang w:val="tr-TR"/>
              </w:rPr>
              <w:t xml:space="preserve">VK ile ilgili kurumsal </w:t>
            </w:r>
            <w:r w:rsidR="000F3A52" w:rsidRPr="001A4B94">
              <w:rPr>
                <w:rFonts w:ascii="Calibri" w:eastAsia="Calibri" w:hAnsi="Calibri" w:cs="Calibri"/>
                <w:sz w:val="20"/>
                <w:szCs w:val="20"/>
                <w:lang w:val="tr-TR"/>
              </w:rPr>
              <w:t>taahhütlerin</w:t>
            </w:r>
            <w:r w:rsidRPr="001A4B94">
              <w:rPr>
                <w:rFonts w:ascii="Calibri" w:eastAsia="Calibri" w:hAnsi="Calibri" w:cs="Calibri"/>
                <w:sz w:val="20"/>
                <w:szCs w:val="20"/>
                <w:lang w:val="tr-TR"/>
              </w:rPr>
              <w:t xml:space="preserve"> </w:t>
            </w:r>
            <w:r w:rsidR="000F3A52" w:rsidRPr="001A4B94">
              <w:rPr>
                <w:rFonts w:ascii="Calibri" w:eastAsia="Calibri" w:hAnsi="Calibri" w:cs="Calibri"/>
                <w:sz w:val="20"/>
                <w:szCs w:val="20"/>
                <w:lang w:val="tr-TR"/>
              </w:rPr>
              <w:t>izlenmesi</w:t>
            </w:r>
            <w:r w:rsidRPr="001A4B94">
              <w:rPr>
                <w:rFonts w:ascii="Calibri" w:eastAsia="Calibri" w:hAnsi="Calibri" w:cs="Calibri"/>
                <w:sz w:val="20"/>
                <w:szCs w:val="20"/>
                <w:lang w:val="tr-TR"/>
              </w:rPr>
              <w:t xml:space="preserve"> </w:t>
            </w:r>
          </w:p>
          <w:p w14:paraId="742DA181" w14:textId="3A52FCBF" w:rsidR="00747261" w:rsidRPr="001A4B94" w:rsidRDefault="00036063" w:rsidP="00C24F8F">
            <w:pPr>
              <w:numPr>
                <w:ilvl w:val="0"/>
                <w:numId w:val="26"/>
              </w:numPr>
              <w:ind w:left="233" w:hanging="180"/>
              <w:rPr>
                <w:rFonts w:ascii="Calibri" w:eastAsia="Calibri" w:hAnsi="Calibri" w:cs="Calibri"/>
                <w:b/>
                <w:bCs/>
                <w:sz w:val="20"/>
                <w:szCs w:val="20"/>
                <w:lang w:val="tr-TR"/>
              </w:rPr>
            </w:pPr>
            <w:r w:rsidRPr="001A4B94">
              <w:rPr>
                <w:rFonts w:ascii="Calibri" w:eastAsia="Calibri" w:hAnsi="Calibri" w:cs="Calibri"/>
                <w:sz w:val="20"/>
                <w:szCs w:val="20"/>
                <w:lang w:val="tr-TR"/>
              </w:rPr>
              <w:t>VK giriş noktal</w:t>
            </w:r>
            <w:r w:rsidR="000F3A52" w:rsidRPr="001A4B94">
              <w:rPr>
                <w:rFonts w:ascii="Calibri" w:eastAsia="Calibri" w:hAnsi="Calibri" w:cs="Calibri"/>
                <w:sz w:val="20"/>
                <w:szCs w:val="20"/>
                <w:lang w:val="tr-TR"/>
              </w:rPr>
              <w:t>a</w:t>
            </w:r>
            <w:r w:rsidRPr="001A4B94">
              <w:rPr>
                <w:rFonts w:ascii="Calibri" w:eastAsia="Calibri" w:hAnsi="Calibri" w:cs="Calibri"/>
                <w:sz w:val="20"/>
                <w:szCs w:val="20"/>
                <w:lang w:val="tr-TR"/>
              </w:rPr>
              <w:t>rının</w:t>
            </w:r>
            <w:r w:rsidR="000F3A52" w:rsidRPr="001A4B94">
              <w:rPr>
                <w:rFonts w:ascii="Calibri" w:eastAsia="Calibri" w:hAnsi="Calibri" w:cs="Calibri"/>
                <w:sz w:val="20"/>
                <w:szCs w:val="20"/>
                <w:lang w:val="tr-TR"/>
              </w:rPr>
              <w:t xml:space="preserve">, müdahalelerinin ve göstergelerinin tespit edilebilmesi için görev ekiplerine Teknik </w:t>
            </w:r>
            <w:r w:rsidR="001E61CC" w:rsidRPr="001A4B94">
              <w:rPr>
                <w:rFonts w:ascii="Calibri" w:eastAsia="Calibri" w:hAnsi="Calibri" w:cs="Calibri"/>
                <w:sz w:val="20"/>
                <w:szCs w:val="20"/>
                <w:lang w:val="tr-TR"/>
              </w:rPr>
              <w:t>Y</w:t>
            </w:r>
            <w:r w:rsidR="000F3A52" w:rsidRPr="001A4B94">
              <w:rPr>
                <w:rFonts w:ascii="Calibri" w:eastAsia="Calibri" w:hAnsi="Calibri" w:cs="Calibri"/>
                <w:sz w:val="20"/>
                <w:szCs w:val="20"/>
                <w:lang w:val="tr-TR"/>
              </w:rPr>
              <w:t>ardım sağlanması</w:t>
            </w:r>
            <w:r w:rsidR="00747261" w:rsidRPr="001A4B94">
              <w:rPr>
                <w:rFonts w:ascii="Calibri" w:eastAsia="Calibri" w:hAnsi="Calibri" w:cs="Calibri"/>
                <w:sz w:val="20"/>
                <w:szCs w:val="20"/>
                <w:lang w:val="tr-TR"/>
              </w:rPr>
              <w:t xml:space="preserve">; </w:t>
            </w:r>
            <w:r w:rsidR="000F3A52" w:rsidRPr="001A4B94">
              <w:rPr>
                <w:rFonts w:ascii="Calibri" w:eastAsia="Calibri" w:hAnsi="Calibri" w:cs="Calibri"/>
                <w:sz w:val="20"/>
                <w:szCs w:val="20"/>
                <w:lang w:val="tr-TR"/>
              </w:rPr>
              <w:t xml:space="preserve">gerektiğinde PUB’lara kapasite oluşturma desteği sağlanması </w:t>
            </w:r>
          </w:p>
        </w:tc>
        <w:tc>
          <w:tcPr>
            <w:tcW w:w="4898" w:type="dxa"/>
          </w:tcPr>
          <w:p w14:paraId="1599C209" w14:textId="25F7B78B" w:rsidR="00747261" w:rsidRPr="001A4B94" w:rsidRDefault="000A2CBC" w:rsidP="00C24F8F">
            <w:pPr>
              <w:numPr>
                <w:ilvl w:val="0"/>
                <w:numId w:val="32"/>
              </w:numPr>
              <w:ind w:left="250" w:hanging="250"/>
              <w:contextualSpacing/>
              <w:rPr>
                <w:rFonts w:ascii="Calibri" w:eastAsia="Calibri" w:hAnsi="Calibri" w:cs="Calibri"/>
                <w:b/>
                <w:sz w:val="20"/>
                <w:szCs w:val="20"/>
                <w:lang w:val="tr-TR"/>
              </w:rPr>
            </w:pPr>
            <w:r w:rsidRPr="001A4B94">
              <w:rPr>
                <w:rFonts w:ascii="Calibri" w:eastAsia="Calibri" w:hAnsi="Calibri" w:cs="Calibri"/>
                <w:b/>
                <w:sz w:val="20"/>
                <w:szCs w:val="20"/>
                <w:lang w:val="tr-TR"/>
              </w:rPr>
              <w:t xml:space="preserve">Uyumun geliştirilmesi </w:t>
            </w:r>
          </w:p>
          <w:p w14:paraId="46B58399" w14:textId="403DD267" w:rsidR="00747261" w:rsidRPr="001A4B94" w:rsidRDefault="00921FEB"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2018-21 MY dönemindeki tüm yeni projelerde, 2 tasarım odaklı kurumsal VK göstergesine %100 uyumun devam ettirilmesi </w:t>
            </w:r>
          </w:p>
          <w:p w14:paraId="3C86647E" w14:textId="3FA4E7AB" w:rsidR="00747261" w:rsidRPr="001A4B94" w:rsidRDefault="00921FEB"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2018 MY’na kadar uygulama </w:t>
            </w:r>
            <w:r w:rsidR="006249FC" w:rsidRPr="001A4B94">
              <w:rPr>
                <w:rFonts w:ascii="Calibri" w:eastAsia="Calibri" w:hAnsi="Calibri" w:cs="Calibri"/>
                <w:sz w:val="20"/>
                <w:szCs w:val="20"/>
                <w:lang w:val="tr-TR"/>
              </w:rPr>
              <w:t>sırasındaki</w:t>
            </w:r>
            <w:r w:rsidRPr="001A4B94">
              <w:rPr>
                <w:rFonts w:ascii="Calibri" w:eastAsia="Calibri" w:hAnsi="Calibri" w:cs="Calibri"/>
                <w:sz w:val="20"/>
                <w:szCs w:val="20"/>
                <w:lang w:val="tr-TR"/>
              </w:rPr>
              <w:t xml:space="preserve"> faydalanıcı geri bildirimlerinin ISR’da raporlanmasına %100 uyumu sağlayacak  adımların atılması </w:t>
            </w:r>
          </w:p>
          <w:p w14:paraId="0AC9FC6F" w14:textId="2EEA2FEC" w:rsidR="00747261" w:rsidRPr="001A4B94" w:rsidRDefault="00921FEB" w:rsidP="00C24F8F">
            <w:pPr>
              <w:numPr>
                <w:ilvl w:val="0"/>
                <w:numId w:val="33"/>
              </w:numPr>
              <w:ind w:left="250" w:hanging="250"/>
              <w:contextualSpacing/>
              <w:rPr>
                <w:rFonts w:ascii="Calibri" w:eastAsia="Calibri" w:hAnsi="Calibri" w:cs="Calibri"/>
                <w:b/>
                <w:sz w:val="20"/>
                <w:szCs w:val="20"/>
                <w:lang w:val="tr-TR"/>
              </w:rPr>
            </w:pPr>
            <w:r w:rsidRPr="001A4B94">
              <w:rPr>
                <w:rFonts w:ascii="Calibri" w:eastAsia="Calibri" w:hAnsi="Calibri" w:cs="Calibri"/>
                <w:b/>
                <w:sz w:val="20"/>
                <w:szCs w:val="20"/>
                <w:lang w:val="tr-TR"/>
              </w:rPr>
              <w:t xml:space="preserve">Kalitenin iyileştirilmesi </w:t>
            </w:r>
          </w:p>
          <w:p w14:paraId="01E5ECD2" w14:textId="1CB70C59" w:rsidR="00747261" w:rsidRPr="001A4B94" w:rsidRDefault="006249FC"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Proje</w:t>
            </w:r>
            <w:r w:rsidR="00921FEB" w:rsidRPr="001A4B94">
              <w:rPr>
                <w:rFonts w:ascii="Calibri" w:eastAsia="Calibri" w:hAnsi="Calibri" w:cs="Calibri"/>
                <w:sz w:val="20"/>
                <w:szCs w:val="20"/>
                <w:lang w:val="tr-TR"/>
              </w:rPr>
              <w:t xml:space="preserve"> ile ilgili sorunlar</w:t>
            </w:r>
            <w:r w:rsidR="00FB49C3" w:rsidRPr="001A4B94">
              <w:rPr>
                <w:rFonts w:ascii="Calibri" w:eastAsia="Calibri" w:hAnsi="Calibri" w:cs="Calibri"/>
                <w:sz w:val="20"/>
                <w:szCs w:val="20"/>
                <w:lang w:val="tr-TR"/>
              </w:rPr>
              <w:t xml:space="preserve"> için</w:t>
            </w:r>
            <w:r w:rsidR="00921FEB" w:rsidRPr="001A4B94">
              <w:rPr>
                <w:rFonts w:ascii="Calibri" w:eastAsia="Calibri" w:hAnsi="Calibri" w:cs="Calibri"/>
                <w:sz w:val="20"/>
                <w:szCs w:val="20"/>
                <w:lang w:val="tr-TR"/>
              </w:rPr>
              <w:t xml:space="preserve"> birden fazla geri bildirim kanalı </w:t>
            </w:r>
            <w:r w:rsidR="00FB49C3" w:rsidRPr="001A4B94">
              <w:rPr>
                <w:rFonts w:ascii="Calibri" w:eastAsia="Calibri" w:hAnsi="Calibri" w:cs="Calibri"/>
                <w:sz w:val="20"/>
                <w:szCs w:val="20"/>
                <w:lang w:val="tr-TR"/>
              </w:rPr>
              <w:t>sa</w:t>
            </w:r>
            <w:r w:rsidR="00695C50" w:rsidRPr="001A4B94">
              <w:rPr>
                <w:rFonts w:ascii="Calibri" w:eastAsia="Calibri" w:hAnsi="Calibri" w:cs="Calibri"/>
                <w:sz w:val="20"/>
                <w:szCs w:val="20"/>
                <w:lang w:val="tr-TR"/>
              </w:rPr>
              <w:t>ğ</w:t>
            </w:r>
            <w:r w:rsidR="00FB49C3" w:rsidRPr="001A4B94">
              <w:rPr>
                <w:rFonts w:ascii="Calibri" w:eastAsia="Calibri" w:hAnsi="Calibri" w:cs="Calibri"/>
                <w:sz w:val="20"/>
                <w:szCs w:val="20"/>
                <w:lang w:val="tr-TR"/>
              </w:rPr>
              <w:t xml:space="preserve">lanması </w:t>
            </w:r>
          </w:p>
          <w:p w14:paraId="6CBAD422" w14:textId="6CE358A9" w:rsidR="00747261" w:rsidRPr="001A4B94" w:rsidRDefault="00FB49C3"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Varsa şeffaflık </w:t>
            </w:r>
            <w:r w:rsidR="00747261" w:rsidRPr="001A4B94">
              <w:rPr>
                <w:rFonts w:ascii="Calibri" w:eastAsia="Calibri" w:hAnsi="Calibri" w:cs="Calibri"/>
                <w:sz w:val="20"/>
                <w:szCs w:val="20"/>
                <w:lang w:val="tr-TR"/>
              </w:rPr>
              <w:t xml:space="preserve">, </w:t>
            </w:r>
            <w:r w:rsidRPr="001A4B94">
              <w:rPr>
                <w:rFonts w:ascii="Calibri" w:eastAsia="Calibri" w:hAnsi="Calibri" w:cs="Calibri"/>
                <w:sz w:val="20"/>
                <w:szCs w:val="20"/>
                <w:lang w:val="tr-TR"/>
              </w:rPr>
              <w:t xml:space="preserve">farkındalık yaratma ve diğer arz tarafı önlemlerine uyulması </w:t>
            </w:r>
          </w:p>
          <w:p w14:paraId="5668FDC2" w14:textId="20EAA4AB" w:rsidR="00747261" w:rsidRPr="001A4B94" w:rsidRDefault="006249FC"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Mümkün</w:t>
            </w:r>
            <w:r w:rsidR="00FB49C3" w:rsidRPr="001A4B94">
              <w:rPr>
                <w:rFonts w:ascii="Calibri" w:eastAsia="Calibri" w:hAnsi="Calibri" w:cs="Calibri"/>
                <w:sz w:val="20"/>
                <w:szCs w:val="20"/>
                <w:lang w:val="tr-TR"/>
              </w:rPr>
              <w:t xml:space="preserve"> olduğunda kamu sistemleri (ile / içerisinde) uyumlaşmanın </w:t>
            </w:r>
            <w:r w:rsidR="00747261" w:rsidRPr="001A4B94">
              <w:rPr>
                <w:rFonts w:ascii="Calibri" w:eastAsia="Calibri" w:hAnsi="Calibri" w:cs="Calibri"/>
                <w:sz w:val="20"/>
                <w:szCs w:val="20"/>
                <w:lang w:val="tr-TR"/>
              </w:rPr>
              <w:t>/</w:t>
            </w:r>
            <w:r w:rsidR="00FB49C3" w:rsidRPr="001A4B94">
              <w:rPr>
                <w:rFonts w:ascii="Calibri" w:eastAsia="Calibri" w:hAnsi="Calibri" w:cs="Calibri"/>
                <w:sz w:val="20"/>
                <w:szCs w:val="20"/>
                <w:lang w:val="tr-TR"/>
              </w:rPr>
              <w:t xml:space="preserve">kurumsallaşmanın sağlanması </w:t>
            </w:r>
          </w:p>
          <w:p w14:paraId="14DBF17E" w14:textId="44210B88" w:rsidR="00747261" w:rsidRPr="001A4B94" w:rsidRDefault="006249FC" w:rsidP="00C24F8F">
            <w:pPr>
              <w:numPr>
                <w:ilvl w:val="0"/>
                <w:numId w:val="33"/>
              </w:numPr>
              <w:ind w:left="250" w:hanging="250"/>
              <w:contextualSpacing/>
              <w:rPr>
                <w:rFonts w:ascii="Calibri" w:eastAsia="Calibri" w:hAnsi="Calibri" w:cs="Calibri"/>
                <w:b/>
                <w:sz w:val="20"/>
                <w:szCs w:val="20"/>
                <w:lang w:val="tr-TR"/>
              </w:rPr>
            </w:pPr>
            <w:r w:rsidRPr="001A4B94">
              <w:rPr>
                <w:rFonts w:ascii="Calibri" w:eastAsia="Calibri" w:hAnsi="Calibri" w:cs="Calibri"/>
                <w:b/>
                <w:sz w:val="20"/>
                <w:szCs w:val="20"/>
                <w:lang w:val="tr-TR"/>
              </w:rPr>
              <w:lastRenderedPageBreak/>
              <w:t xml:space="preserve">Uygulamanın iyileştirilmesi </w:t>
            </w:r>
          </w:p>
          <w:p w14:paraId="54CC2578" w14:textId="3DB27DFE" w:rsidR="00747261" w:rsidRPr="001A4B94" w:rsidRDefault="006249FC"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Proje düzeyindeki şikayet mekanizmalarını, BİMER ve diğer geri bildirim mekanizmaları ile bağlantılandırma olanaklarının araştırılması </w:t>
            </w:r>
          </w:p>
          <w:p w14:paraId="36C65D5D" w14:textId="105BBCFC" w:rsidR="00747261" w:rsidRPr="001A4B94" w:rsidRDefault="006249FC"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Yeniden yerleşim veya diğer koruma önlemleri ile ilgili konular için oluşturulan şikayet mekanizmalarının yetki alanlarının proje ile ilgili tüm hususları kapsayacak şekilde genişletilmesi </w:t>
            </w:r>
          </w:p>
          <w:p w14:paraId="72F87A6B" w14:textId="3A89F28D" w:rsidR="00747261" w:rsidRPr="001A4B94" w:rsidRDefault="00AC5908"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Faydalanıcılar tarafından şikayet mekanizmalarının veya başka geri bildirim mekanizmalarının kullanılmadığı durumlarda erişim düzenlemelerinin getirilmesi</w:t>
            </w:r>
          </w:p>
          <w:p w14:paraId="417D5F92" w14:textId="08C7DCF2" w:rsidR="00747261" w:rsidRPr="001A4B94" w:rsidRDefault="006249FC" w:rsidP="00C24F8F">
            <w:pPr>
              <w:numPr>
                <w:ilvl w:val="0"/>
                <w:numId w:val="33"/>
              </w:numPr>
              <w:ind w:left="250" w:hanging="250"/>
              <w:contextualSpacing/>
              <w:rPr>
                <w:rFonts w:ascii="Calibri" w:eastAsia="Calibri" w:hAnsi="Calibri" w:cs="Calibri"/>
                <w:b/>
                <w:sz w:val="20"/>
                <w:szCs w:val="20"/>
                <w:lang w:val="tr-TR"/>
              </w:rPr>
            </w:pPr>
            <w:r w:rsidRPr="001A4B94">
              <w:rPr>
                <w:rFonts w:ascii="Calibri" w:eastAsia="Calibri" w:hAnsi="Calibri" w:cs="Calibri"/>
                <w:b/>
                <w:sz w:val="20"/>
                <w:szCs w:val="20"/>
                <w:lang w:val="tr-TR"/>
              </w:rPr>
              <w:t xml:space="preserve">Raporlamanın iyileştirilmesi </w:t>
            </w:r>
          </w:p>
          <w:p w14:paraId="01C831E5" w14:textId="35616775" w:rsidR="00747261" w:rsidRPr="001A4B94" w:rsidRDefault="00747261"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Proje </w:t>
            </w:r>
            <w:r w:rsidR="00AC5908" w:rsidRPr="001A4B94">
              <w:rPr>
                <w:rFonts w:ascii="Calibri" w:eastAsia="Calibri" w:hAnsi="Calibri" w:cs="Calibri"/>
                <w:sz w:val="20"/>
                <w:szCs w:val="20"/>
                <w:lang w:val="tr-TR"/>
              </w:rPr>
              <w:t xml:space="preserve">işlemlerinin </w:t>
            </w:r>
            <w:r w:rsidRPr="001A4B94">
              <w:rPr>
                <w:rFonts w:ascii="Calibri" w:eastAsia="Calibri" w:hAnsi="Calibri" w:cs="Calibri"/>
                <w:sz w:val="20"/>
                <w:szCs w:val="20"/>
                <w:lang w:val="tr-TR"/>
              </w:rPr>
              <w:t>/</w:t>
            </w:r>
            <w:r w:rsidR="00AC5908" w:rsidRPr="001A4B94">
              <w:rPr>
                <w:rFonts w:ascii="Calibri" w:eastAsia="Calibri" w:hAnsi="Calibri" w:cs="Calibri"/>
                <w:sz w:val="20"/>
                <w:szCs w:val="20"/>
                <w:lang w:val="tr-TR"/>
              </w:rPr>
              <w:t xml:space="preserve"> sonuçlarının Değerlendir</w:t>
            </w:r>
            <w:r w:rsidR="008A552D" w:rsidRPr="001A4B94">
              <w:rPr>
                <w:rFonts w:ascii="Calibri" w:eastAsia="Calibri" w:hAnsi="Calibri" w:cs="Calibri"/>
                <w:sz w:val="20"/>
                <w:szCs w:val="20"/>
                <w:lang w:val="tr-TR"/>
              </w:rPr>
              <w:t>m</w:t>
            </w:r>
            <w:r w:rsidR="00AC5908" w:rsidRPr="001A4B94">
              <w:rPr>
                <w:rFonts w:ascii="Calibri" w:eastAsia="Calibri" w:hAnsi="Calibri" w:cs="Calibri"/>
                <w:sz w:val="20"/>
                <w:szCs w:val="20"/>
                <w:lang w:val="tr-TR"/>
              </w:rPr>
              <w:t xml:space="preserve">e Raporlarında ve ISR’larda düzenli olarak raporlanması </w:t>
            </w:r>
          </w:p>
          <w:p w14:paraId="782EC719" w14:textId="5539C3E2" w:rsidR="00747261" w:rsidRPr="001A4B94" w:rsidRDefault="00AC5908" w:rsidP="00C24F8F">
            <w:pPr>
              <w:numPr>
                <w:ilvl w:val="0"/>
                <w:numId w:val="31"/>
              </w:numPr>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Tüm raporlamalarda, kadınların sunduğu geri bildirimlerin ayrıştırılması </w:t>
            </w:r>
          </w:p>
        </w:tc>
        <w:tc>
          <w:tcPr>
            <w:tcW w:w="3974" w:type="dxa"/>
          </w:tcPr>
          <w:p w14:paraId="35991108" w14:textId="77777777" w:rsidR="00747261" w:rsidRPr="001A4B94" w:rsidRDefault="00747261" w:rsidP="00747261">
            <w:pPr>
              <w:rPr>
                <w:rFonts w:ascii="Calibri" w:eastAsia="Calibri" w:hAnsi="Calibri" w:cs="Calibri"/>
                <w:sz w:val="20"/>
                <w:szCs w:val="20"/>
                <w:lang w:val="tr-TR"/>
              </w:rPr>
            </w:pPr>
          </w:p>
          <w:p w14:paraId="4C2F2F8E" w14:textId="6089DB15" w:rsidR="00747261" w:rsidRPr="001A4B94" w:rsidRDefault="00FB49C3" w:rsidP="00C24F8F">
            <w:pPr>
              <w:numPr>
                <w:ilvl w:val="0"/>
                <w:numId w:val="30"/>
              </w:numPr>
              <w:ind w:left="197" w:hanging="197"/>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Ülke portföyü genelinde VK ile ilgili kurumsal gerekliliklere %100 uyum </w:t>
            </w:r>
          </w:p>
          <w:p w14:paraId="494037A6" w14:textId="3B79A4E3" w:rsidR="00747261" w:rsidRPr="001A4B94" w:rsidRDefault="00FB49C3" w:rsidP="00C24F8F">
            <w:pPr>
              <w:numPr>
                <w:ilvl w:val="0"/>
                <w:numId w:val="30"/>
              </w:numPr>
              <w:ind w:left="197" w:hanging="197"/>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Artan farkındalık </w:t>
            </w:r>
            <w:r w:rsidR="00747261" w:rsidRPr="001A4B94">
              <w:rPr>
                <w:rFonts w:ascii="Calibri" w:eastAsia="Calibri" w:hAnsi="Calibri" w:cs="Calibri"/>
                <w:sz w:val="20"/>
                <w:szCs w:val="20"/>
                <w:lang w:val="tr-TR"/>
              </w:rPr>
              <w:t>/</w:t>
            </w:r>
            <w:r w:rsidRPr="001A4B94">
              <w:rPr>
                <w:rFonts w:ascii="Calibri" w:eastAsia="Calibri" w:hAnsi="Calibri" w:cs="Calibri"/>
                <w:sz w:val="20"/>
                <w:szCs w:val="20"/>
                <w:lang w:val="tr-TR"/>
              </w:rPr>
              <w:t xml:space="preserve"> vatandaşların – faydalanıcıların pr</w:t>
            </w:r>
            <w:r w:rsidR="006249FC" w:rsidRPr="001A4B94">
              <w:rPr>
                <w:rFonts w:ascii="Calibri" w:eastAsia="Calibri" w:hAnsi="Calibri" w:cs="Calibri"/>
                <w:sz w:val="20"/>
                <w:szCs w:val="20"/>
                <w:lang w:val="tr-TR"/>
              </w:rPr>
              <w:t>o</w:t>
            </w:r>
            <w:r w:rsidRPr="001A4B94">
              <w:rPr>
                <w:rFonts w:ascii="Calibri" w:eastAsia="Calibri" w:hAnsi="Calibri" w:cs="Calibri"/>
                <w:sz w:val="20"/>
                <w:szCs w:val="20"/>
                <w:lang w:val="tr-TR"/>
              </w:rPr>
              <w:t xml:space="preserve">je / </w:t>
            </w:r>
            <w:r w:rsidR="006249FC" w:rsidRPr="001A4B94">
              <w:rPr>
                <w:rFonts w:ascii="Calibri" w:eastAsia="Calibri" w:hAnsi="Calibri" w:cs="Calibri"/>
                <w:sz w:val="20"/>
                <w:szCs w:val="20"/>
                <w:lang w:val="tr-TR"/>
              </w:rPr>
              <w:t>kamu</w:t>
            </w:r>
            <w:r w:rsidRPr="001A4B94">
              <w:rPr>
                <w:rFonts w:ascii="Calibri" w:eastAsia="Calibri" w:hAnsi="Calibri" w:cs="Calibri"/>
                <w:sz w:val="20"/>
                <w:szCs w:val="20"/>
                <w:lang w:val="tr-TR"/>
              </w:rPr>
              <w:t xml:space="preserve"> geri bildirim sistemlerine erişim kolaylığı </w:t>
            </w:r>
          </w:p>
          <w:p w14:paraId="3FA3A5B5" w14:textId="2858A671" w:rsidR="00747261" w:rsidRPr="001A4B94" w:rsidRDefault="00FB49C3" w:rsidP="00C24F8F">
            <w:pPr>
              <w:numPr>
                <w:ilvl w:val="0"/>
                <w:numId w:val="30"/>
              </w:numPr>
              <w:ind w:left="197" w:hanging="197"/>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Özellikle hizmet sunumu ile </w:t>
            </w:r>
            <w:r w:rsidR="006249FC" w:rsidRPr="001A4B94">
              <w:rPr>
                <w:rFonts w:ascii="Calibri" w:eastAsia="Calibri" w:hAnsi="Calibri" w:cs="Calibri"/>
                <w:sz w:val="20"/>
                <w:szCs w:val="20"/>
                <w:lang w:val="tr-TR"/>
              </w:rPr>
              <w:t>ilgili</w:t>
            </w:r>
            <w:r w:rsidRPr="001A4B94">
              <w:rPr>
                <w:rFonts w:ascii="Calibri" w:eastAsia="Calibri" w:hAnsi="Calibri" w:cs="Calibri"/>
                <w:sz w:val="20"/>
                <w:szCs w:val="20"/>
                <w:lang w:val="tr-TR"/>
              </w:rPr>
              <w:t xml:space="preserve"> olarak, Türkiye’nin mevcut geri bildirim </w:t>
            </w:r>
            <w:r w:rsidR="006249FC" w:rsidRPr="001A4B94">
              <w:rPr>
                <w:rFonts w:ascii="Calibri" w:eastAsia="Calibri" w:hAnsi="Calibri" w:cs="Calibri"/>
                <w:sz w:val="20"/>
                <w:szCs w:val="20"/>
                <w:lang w:val="tr-TR"/>
              </w:rPr>
              <w:t>sistemlerine</w:t>
            </w:r>
            <w:r w:rsidRPr="001A4B94">
              <w:rPr>
                <w:rFonts w:ascii="Calibri" w:eastAsia="Calibri" w:hAnsi="Calibri" w:cs="Calibri"/>
                <w:sz w:val="20"/>
                <w:szCs w:val="20"/>
                <w:lang w:val="tr-TR"/>
              </w:rPr>
              <w:t xml:space="preserve"> daha fazla uyum</w:t>
            </w:r>
            <w:r w:rsidR="00747261" w:rsidRPr="001A4B94">
              <w:rPr>
                <w:rFonts w:ascii="Calibri" w:eastAsia="Calibri" w:hAnsi="Calibri" w:cs="Calibri"/>
                <w:sz w:val="20"/>
                <w:szCs w:val="20"/>
                <w:lang w:val="tr-TR"/>
              </w:rPr>
              <w:t xml:space="preserve"> </w:t>
            </w:r>
          </w:p>
          <w:p w14:paraId="0418F8C2" w14:textId="2F202927" w:rsidR="00747261" w:rsidRPr="001A4B94" w:rsidRDefault="006249FC" w:rsidP="00C24F8F">
            <w:pPr>
              <w:numPr>
                <w:ilvl w:val="0"/>
                <w:numId w:val="30"/>
              </w:numPr>
              <w:ind w:left="197" w:hanging="197"/>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VK ve koruma önlemleri ile ilgili dokümanların tutarlılığının ve kalitesinin iyileştirilmesi </w:t>
            </w:r>
          </w:p>
        </w:tc>
      </w:tr>
      <w:tr w:rsidR="00041519" w:rsidRPr="001A4B94" w14:paraId="488991E9" w14:textId="77777777" w:rsidTr="00747261">
        <w:tc>
          <w:tcPr>
            <w:tcW w:w="1607" w:type="dxa"/>
          </w:tcPr>
          <w:p w14:paraId="5BFB238D" w14:textId="77777777" w:rsidR="00747261" w:rsidRPr="001A4B94" w:rsidRDefault="00747261" w:rsidP="00747261">
            <w:pPr>
              <w:rPr>
                <w:rFonts w:ascii="Calibri" w:eastAsia="Calibri" w:hAnsi="Calibri"/>
                <w:b/>
                <w:bCs/>
                <w:sz w:val="22"/>
                <w:szCs w:val="22"/>
                <w:lang w:val="tr-TR"/>
              </w:rPr>
            </w:pPr>
          </w:p>
          <w:p w14:paraId="4C8FC6E4" w14:textId="77777777" w:rsidR="00747261" w:rsidRPr="001A4B94" w:rsidRDefault="00747261" w:rsidP="00747261">
            <w:pPr>
              <w:rPr>
                <w:rFonts w:ascii="Calibri" w:eastAsia="Calibri" w:hAnsi="Calibri"/>
                <w:b/>
                <w:bCs/>
                <w:sz w:val="22"/>
                <w:szCs w:val="22"/>
                <w:lang w:val="tr-TR"/>
              </w:rPr>
            </w:pPr>
          </w:p>
          <w:p w14:paraId="42CDFD88" w14:textId="1ADC57A7" w:rsidR="00747261" w:rsidRPr="001A4B94" w:rsidRDefault="00AC5908" w:rsidP="00747261">
            <w:pPr>
              <w:rPr>
                <w:rFonts w:ascii="Calibri" w:eastAsia="Calibri" w:hAnsi="Calibri"/>
                <w:sz w:val="22"/>
                <w:szCs w:val="22"/>
                <w:lang w:val="tr-TR"/>
              </w:rPr>
            </w:pPr>
            <w:r w:rsidRPr="001A4B94">
              <w:rPr>
                <w:rFonts w:ascii="Calibri" w:eastAsia="Calibri" w:hAnsi="Calibri"/>
                <w:b/>
                <w:bCs/>
                <w:sz w:val="22"/>
                <w:szCs w:val="22"/>
                <w:lang w:val="tr-TR"/>
              </w:rPr>
              <w:t xml:space="preserve">Türkiye’nin Vatandaş Merkezli İyi Uygulamalarının ve Kamu Sektörü </w:t>
            </w:r>
            <w:r w:rsidR="000052B8" w:rsidRPr="001A4B94">
              <w:rPr>
                <w:rFonts w:ascii="Calibri" w:eastAsia="Calibri" w:hAnsi="Calibri"/>
                <w:b/>
                <w:bCs/>
                <w:sz w:val="22"/>
                <w:szCs w:val="22"/>
                <w:lang w:val="tr-TR"/>
              </w:rPr>
              <w:t>R</w:t>
            </w:r>
            <w:r w:rsidRPr="001A4B94">
              <w:rPr>
                <w:rFonts w:ascii="Calibri" w:eastAsia="Calibri" w:hAnsi="Calibri"/>
                <w:b/>
                <w:bCs/>
                <w:sz w:val="22"/>
                <w:szCs w:val="22"/>
                <w:lang w:val="tr-TR"/>
              </w:rPr>
              <w:t xml:space="preserve">eformunun Vitrine Çıkarılması </w:t>
            </w:r>
          </w:p>
          <w:p w14:paraId="7384290A" w14:textId="77777777" w:rsidR="00747261" w:rsidRPr="001A4B94" w:rsidRDefault="00747261" w:rsidP="00747261">
            <w:pPr>
              <w:rPr>
                <w:rFonts w:ascii="Calibri" w:eastAsia="Calibri" w:hAnsi="Calibri"/>
                <w:sz w:val="22"/>
                <w:szCs w:val="22"/>
                <w:lang w:val="tr-TR"/>
              </w:rPr>
            </w:pPr>
          </w:p>
        </w:tc>
        <w:tc>
          <w:tcPr>
            <w:tcW w:w="4011" w:type="dxa"/>
          </w:tcPr>
          <w:p w14:paraId="30274E48" w14:textId="3FAFC21F" w:rsidR="00747261" w:rsidRPr="001A4B94" w:rsidRDefault="000052B8" w:rsidP="00747261">
            <w:pPr>
              <w:rPr>
                <w:rFonts w:ascii="Calibri" w:eastAsia="Calibri" w:hAnsi="Calibri" w:cs="Calibri"/>
                <w:sz w:val="20"/>
                <w:szCs w:val="20"/>
                <w:lang w:val="tr-TR"/>
              </w:rPr>
            </w:pPr>
            <w:r w:rsidRPr="001A4B94">
              <w:rPr>
                <w:rFonts w:ascii="Calibri" w:eastAsia="Calibri" w:hAnsi="Calibri" w:cs="Calibri"/>
                <w:b/>
                <w:bCs/>
                <w:sz w:val="20"/>
                <w:szCs w:val="20"/>
                <w:lang w:val="tr-TR"/>
              </w:rPr>
              <w:t>Örnekler</w:t>
            </w:r>
            <w:r w:rsidR="00747261" w:rsidRPr="001A4B94">
              <w:rPr>
                <w:rFonts w:ascii="Calibri" w:eastAsia="Calibri" w:hAnsi="Calibri" w:cs="Calibri"/>
                <w:b/>
                <w:bCs/>
                <w:sz w:val="20"/>
                <w:szCs w:val="20"/>
                <w:lang w:val="tr-TR"/>
              </w:rPr>
              <w:t xml:space="preserve">: </w:t>
            </w:r>
          </w:p>
          <w:p w14:paraId="6EF2FE7D" w14:textId="6F13A461" w:rsidR="00747261" w:rsidRPr="001A4B94" w:rsidRDefault="00747261" w:rsidP="00C24F8F">
            <w:pPr>
              <w:numPr>
                <w:ilvl w:val="0"/>
                <w:numId w:val="27"/>
              </w:numPr>
              <w:tabs>
                <w:tab w:val="left" w:pos="323"/>
              </w:tabs>
              <w:ind w:left="233" w:hanging="180"/>
              <w:rPr>
                <w:rFonts w:ascii="Calibri" w:eastAsia="Calibri" w:hAnsi="Calibri" w:cs="Calibri"/>
                <w:sz w:val="20"/>
                <w:szCs w:val="20"/>
                <w:lang w:val="tr-TR"/>
              </w:rPr>
            </w:pPr>
            <w:r w:rsidRPr="001A4B94">
              <w:rPr>
                <w:rFonts w:ascii="Calibri" w:eastAsia="Calibri" w:hAnsi="Calibri" w:cs="Calibri"/>
                <w:sz w:val="20"/>
                <w:szCs w:val="20"/>
                <w:lang w:val="tr-TR"/>
              </w:rPr>
              <w:t>B</w:t>
            </w:r>
            <w:r w:rsidR="000052B8" w:rsidRPr="001A4B94">
              <w:rPr>
                <w:rFonts w:ascii="Calibri" w:eastAsia="Calibri" w:hAnsi="Calibri" w:cs="Calibri"/>
                <w:sz w:val="20"/>
                <w:szCs w:val="20"/>
                <w:lang w:val="tr-TR"/>
              </w:rPr>
              <w:t>İMER, SABİ</w:t>
            </w:r>
            <w:r w:rsidRPr="001A4B94">
              <w:rPr>
                <w:rFonts w:ascii="Calibri" w:eastAsia="Calibri" w:hAnsi="Calibri" w:cs="Calibri"/>
                <w:sz w:val="20"/>
                <w:szCs w:val="20"/>
                <w:lang w:val="tr-TR"/>
              </w:rPr>
              <w:t>M, C</w:t>
            </w:r>
            <w:r w:rsidR="000052B8" w:rsidRPr="001A4B94">
              <w:rPr>
                <w:rFonts w:ascii="Calibri" w:eastAsia="Calibri" w:hAnsi="Calibri" w:cs="Calibri"/>
                <w:sz w:val="20"/>
                <w:szCs w:val="20"/>
                <w:lang w:val="tr-TR"/>
              </w:rPr>
              <w:t>İ</w:t>
            </w:r>
            <w:r w:rsidRPr="001A4B94">
              <w:rPr>
                <w:rFonts w:ascii="Calibri" w:eastAsia="Calibri" w:hAnsi="Calibri" w:cs="Calibri"/>
                <w:sz w:val="20"/>
                <w:szCs w:val="20"/>
                <w:lang w:val="tr-TR"/>
              </w:rPr>
              <w:t xml:space="preserve">MER, ALO 170, E- Nabız </w:t>
            </w:r>
          </w:p>
          <w:p w14:paraId="7B19F58C" w14:textId="6750FDE4" w:rsidR="00747261" w:rsidRPr="001A4B94" w:rsidRDefault="00747261" w:rsidP="00C24F8F">
            <w:pPr>
              <w:numPr>
                <w:ilvl w:val="0"/>
                <w:numId w:val="27"/>
              </w:numPr>
              <w:tabs>
                <w:tab w:val="left" w:pos="323"/>
              </w:tabs>
              <w:ind w:left="233" w:hanging="180"/>
              <w:rPr>
                <w:rFonts w:ascii="Calibri" w:eastAsia="Calibri" w:hAnsi="Calibri" w:cs="Calibri"/>
                <w:sz w:val="20"/>
                <w:szCs w:val="20"/>
                <w:lang w:val="tr-TR"/>
              </w:rPr>
            </w:pPr>
            <w:r w:rsidRPr="001A4B94">
              <w:rPr>
                <w:rFonts w:ascii="Calibri" w:eastAsia="Calibri" w:hAnsi="Calibri" w:cs="Calibri"/>
                <w:sz w:val="20"/>
                <w:szCs w:val="20"/>
                <w:lang w:val="tr-TR"/>
              </w:rPr>
              <w:t>E-</w:t>
            </w:r>
            <w:r w:rsidR="000052B8" w:rsidRPr="001A4B94">
              <w:rPr>
                <w:rFonts w:ascii="Calibri" w:eastAsia="Calibri" w:hAnsi="Calibri" w:cs="Calibri"/>
                <w:sz w:val="20"/>
                <w:szCs w:val="20"/>
                <w:lang w:val="tr-TR"/>
              </w:rPr>
              <w:t xml:space="preserve">devlet </w:t>
            </w:r>
            <w:r w:rsidRPr="001A4B94">
              <w:rPr>
                <w:rFonts w:ascii="Calibri" w:eastAsia="Calibri" w:hAnsi="Calibri" w:cs="Calibri"/>
                <w:sz w:val="20"/>
                <w:szCs w:val="20"/>
                <w:lang w:val="tr-TR"/>
              </w:rPr>
              <w:t>Portal</w:t>
            </w:r>
            <w:r w:rsidR="000052B8" w:rsidRPr="001A4B94">
              <w:rPr>
                <w:rFonts w:ascii="Calibri" w:eastAsia="Calibri" w:hAnsi="Calibri" w:cs="Calibri"/>
                <w:sz w:val="20"/>
                <w:szCs w:val="20"/>
                <w:lang w:val="tr-TR"/>
              </w:rPr>
              <w:t>ı</w:t>
            </w:r>
            <w:r w:rsidRPr="001A4B94">
              <w:rPr>
                <w:rFonts w:ascii="Calibri" w:eastAsia="Calibri" w:hAnsi="Calibri" w:cs="Calibri"/>
                <w:sz w:val="20"/>
                <w:szCs w:val="20"/>
                <w:lang w:val="tr-TR"/>
              </w:rPr>
              <w:t xml:space="preserve">, SMS </w:t>
            </w:r>
            <w:r w:rsidR="000052B8" w:rsidRPr="001A4B94">
              <w:rPr>
                <w:rFonts w:ascii="Calibri" w:eastAsia="Calibri" w:hAnsi="Calibri" w:cs="Calibri"/>
                <w:sz w:val="20"/>
                <w:szCs w:val="20"/>
                <w:lang w:val="tr-TR"/>
              </w:rPr>
              <w:t xml:space="preserve">Bilgi Sistemi </w:t>
            </w:r>
          </w:p>
          <w:p w14:paraId="2DEDEAAE" w14:textId="468C3942" w:rsidR="00747261" w:rsidRPr="001A4B94" w:rsidRDefault="000052B8" w:rsidP="00C24F8F">
            <w:pPr>
              <w:numPr>
                <w:ilvl w:val="0"/>
                <w:numId w:val="27"/>
              </w:numPr>
              <w:tabs>
                <w:tab w:val="left" w:pos="323"/>
              </w:tabs>
              <w:ind w:left="233" w:hanging="180"/>
              <w:rPr>
                <w:rFonts w:ascii="Calibri" w:eastAsia="Calibri" w:hAnsi="Calibri" w:cs="Calibri"/>
                <w:sz w:val="20"/>
                <w:szCs w:val="20"/>
                <w:lang w:val="tr-TR"/>
              </w:rPr>
            </w:pPr>
            <w:r w:rsidRPr="001A4B94">
              <w:rPr>
                <w:rFonts w:ascii="Calibri" w:eastAsia="Calibri" w:hAnsi="Calibri" w:cs="Calibri"/>
                <w:sz w:val="20"/>
                <w:szCs w:val="20"/>
                <w:lang w:val="tr-TR"/>
              </w:rPr>
              <w:t xml:space="preserve">Belediyelerde Beyaz Masalar ve Vatandaş Karneleri </w:t>
            </w:r>
          </w:p>
          <w:p w14:paraId="1B50E191" w14:textId="62FA8FEB" w:rsidR="00747261" w:rsidRPr="001A4B94" w:rsidRDefault="000052B8" w:rsidP="00C24F8F">
            <w:pPr>
              <w:numPr>
                <w:ilvl w:val="0"/>
                <w:numId w:val="27"/>
              </w:numPr>
              <w:tabs>
                <w:tab w:val="left" w:pos="323"/>
              </w:tabs>
              <w:ind w:left="233" w:hanging="180"/>
              <w:rPr>
                <w:rFonts w:ascii="Calibri" w:eastAsia="Calibri" w:hAnsi="Calibri" w:cs="Calibri"/>
                <w:sz w:val="20"/>
                <w:szCs w:val="20"/>
                <w:lang w:val="tr-TR"/>
              </w:rPr>
            </w:pPr>
            <w:r w:rsidRPr="001A4B94">
              <w:rPr>
                <w:rFonts w:ascii="Calibri" w:eastAsia="Calibri" w:hAnsi="Calibri" w:cs="Calibri"/>
                <w:sz w:val="20"/>
                <w:szCs w:val="20"/>
                <w:lang w:val="tr-TR"/>
              </w:rPr>
              <w:t>Tapu kadastro hizmetlerinin iyileştirilmesi için örnek ofis pilot uygulama</w:t>
            </w:r>
            <w:r w:rsidR="001C0599" w:rsidRPr="001A4B94">
              <w:rPr>
                <w:rFonts w:ascii="Calibri" w:eastAsia="Calibri" w:hAnsi="Calibri" w:cs="Calibri"/>
                <w:sz w:val="20"/>
                <w:szCs w:val="20"/>
                <w:lang w:val="tr-TR"/>
              </w:rPr>
              <w:t xml:space="preserve">sı </w:t>
            </w:r>
          </w:p>
          <w:p w14:paraId="08EA2EAD" w14:textId="77777777" w:rsidR="00747261" w:rsidRPr="001A4B94" w:rsidRDefault="00747261" w:rsidP="00747261">
            <w:pPr>
              <w:tabs>
                <w:tab w:val="left" w:pos="323"/>
              </w:tabs>
              <w:ind w:left="53"/>
              <w:rPr>
                <w:rFonts w:ascii="Calibri" w:eastAsia="Calibri" w:hAnsi="Calibri" w:cs="Calibri"/>
                <w:sz w:val="20"/>
                <w:szCs w:val="20"/>
                <w:lang w:val="tr-TR"/>
              </w:rPr>
            </w:pPr>
          </w:p>
          <w:p w14:paraId="1B0D62C4" w14:textId="53CB51E4" w:rsidR="00747261" w:rsidRPr="001A4B94" w:rsidRDefault="000052B8" w:rsidP="00747261">
            <w:pPr>
              <w:tabs>
                <w:tab w:val="left" w:pos="323"/>
              </w:tabs>
              <w:ind w:left="53"/>
              <w:rPr>
                <w:rFonts w:ascii="Calibri" w:eastAsia="Calibri" w:hAnsi="Calibri" w:cs="Calibri"/>
                <w:sz w:val="20"/>
                <w:szCs w:val="20"/>
                <w:lang w:val="tr-TR"/>
              </w:rPr>
            </w:pPr>
            <w:r w:rsidRPr="001A4B94">
              <w:rPr>
                <w:rFonts w:ascii="Calibri" w:eastAsia="Calibri" w:hAnsi="Calibri" w:cs="Calibri"/>
                <w:b/>
                <w:bCs/>
                <w:sz w:val="20"/>
                <w:szCs w:val="20"/>
                <w:lang w:val="tr-TR"/>
              </w:rPr>
              <w:t>Mekanizmalar:</w:t>
            </w:r>
            <w:r w:rsidR="00747261" w:rsidRPr="001A4B94">
              <w:rPr>
                <w:rFonts w:ascii="Calibri" w:eastAsia="Calibri" w:hAnsi="Calibri" w:cs="Calibri"/>
                <w:b/>
                <w:bCs/>
                <w:sz w:val="20"/>
                <w:szCs w:val="20"/>
                <w:lang w:val="tr-TR"/>
              </w:rPr>
              <w:t xml:space="preserve"> </w:t>
            </w:r>
            <w:r w:rsidRPr="001A4B94">
              <w:rPr>
                <w:rFonts w:ascii="Calibri" w:eastAsia="Calibri" w:hAnsi="Calibri" w:cs="Calibri"/>
                <w:sz w:val="20"/>
                <w:szCs w:val="20"/>
                <w:lang w:val="tr-TR"/>
              </w:rPr>
              <w:t>Tematik yuvarlak masa toplantıları</w:t>
            </w:r>
            <w:r w:rsidR="00747261" w:rsidRPr="001A4B94">
              <w:rPr>
                <w:rFonts w:ascii="Calibri" w:eastAsia="Calibri" w:hAnsi="Calibri" w:cs="Calibri"/>
                <w:sz w:val="20"/>
                <w:szCs w:val="20"/>
                <w:lang w:val="tr-TR"/>
              </w:rPr>
              <w:t xml:space="preserve">; </w:t>
            </w:r>
            <w:r w:rsidRPr="001A4B94">
              <w:rPr>
                <w:rFonts w:ascii="Calibri" w:eastAsia="Calibri" w:hAnsi="Calibri" w:cs="Calibri"/>
                <w:sz w:val="20"/>
                <w:szCs w:val="20"/>
                <w:lang w:val="tr-TR"/>
              </w:rPr>
              <w:t>en iyi uygulama örnekleri</w:t>
            </w:r>
            <w:r w:rsidR="00747261" w:rsidRPr="001A4B94">
              <w:rPr>
                <w:rFonts w:ascii="Calibri" w:eastAsia="Calibri" w:hAnsi="Calibri" w:cs="Calibri"/>
                <w:sz w:val="20"/>
                <w:szCs w:val="20"/>
                <w:lang w:val="tr-TR"/>
              </w:rPr>
              <w:t xml:space="preserve">; </w:t>
            </w:r>
            <w:r w:rsidRPr="001A4B94">
              <w:rPr>
                <w:rFonts w:ascii="Calibri" w:eastAsia="Calibri" w:hAnsi="Calibri" w:cs="Calibri"/>
                <w:sz w:val="20"/>
                <w:szCs w:val="20"/>
                <w:lang w:val="tr-TR"/>
              </w:rPr>
              <w:t xml:space="preserve">Türkiye’ye başka ülkelerden çalışma gezileri düzenlenmesi </w:t>
            </w:r>
          </w:p>
        </w:tc>
        <w:tc>
          <w:tcPr>
            <w:tcW w:w="4898" w:type="dxa"/>
          </w:tcPr>
          <w:p w14:paraId="6B92AA5B" w14:textId="77777777" w:rsidR="00747261" w:rsidRPr="001A4B94" w:rsidRDefault="00747261" w:rsidP="00747261">
            <w:pPr>
              <w:rPr>
                <w:rFonts w:ascii="Calibri" w:eastAsia="Calibri" w:hAnsi="Calibri" w:cs="Calibri"/>
                <w:bCs/>
                <w:sz w:val="20"/>
                <w:szCs w:val="20"/>
                <w:lang w:val="tr-TR"/>
              </w:rPr>
            </w:pPr>
          </w:p>
          <w:p w14:paraId="749E44E4" w14:textId="63D7D8EC" w:rsidR="00747261" w:rsidRPr="001A4B94" w:rsidRDefault="00041519" w:rsidP="00C24F8F">
            <w:pPr>
              <w:numPr>
                <w:ilvl w:val="0"/>
                <w:numId w:val="34"/>
              </w:numPr>
              <w:ind w:left="257" w:hanging="257"/>
              <w:contextualSpacing/>
              <w:rPr>
                <w:rFonts w:ascii="Calibri" w:eastAsia="Calibri" w:hAnsi="Calibri" w:cs="Calibri"/>
                <w:bCs/>
                <w:sz w:val="20"/>
                <w:szCs w:val="20"/>
                <w:lang w:val="tr-TR"/>
              </w:rPr>
            </w:pPr>
            <w:r w:rsidRPr="001A4B94">
              <w:rPr>
                <w:rFonts w:ascii="Calibri" w:eastAsia="Calibri" w:hAnsi="Calibri" w:cs="Calibri"/>
                <w:bCs/>
                <w:sz w:val="20"/>
                <w:szCs w:val="20"/>
                <w:lang w:val="tr-TR"/>
              </w:rPr>
              <w:t xml:space="preserve">CPF döneminin ilk yılında Türkiye’den en az 3 en iyi uygulama örneğinin belgelenmesi </w:t>
            </w:r>
            <w:r w:rsidR="008C542F" w:rsidRPr="001A4B94">
              <w:rPr>
                <w:rFonts w:ascii="Calibri" w:eastAsia="Calibri" w:hAnsi="Calibri" w:cs="Calibri"/>
                <w:bCs/>
                <w:sz w:val="20"/>
                <w:szCs w:val="20"/>
                <w:lang w:val="tr-TR"/>
              </w:rPr>
              <w:t>(Bİ</w:t>
            </w:r>
            <w:r w:rsidR="00747261" w:rsidRPr="001A4B94">
              <w:rPr>
                <w:rFonts w:ascii="Calibri" w:eastAsia="Calibri" w:hAnsi="Calibri" w:cs="Calibri"/>
                <w:bCs/>
                <w:sz w:val="20"/>
                <w:szCs w:val="20"/>
                <w:lang w:val="tr-TR"/>
              </w:rPr>
              <w:t xml:space="preserve">MER </w:t>
            </w:r>
            <w:r w:rsidRPr="001A4B94">
              <w:rPr>
                <w:rFonts w:ascii="Calibri" w:eastAsia="Calibri" w:hAnsi="Calibri" w:cs="Calibri"/>
                <w:bCs/>
                <w:sz w:val="20"/>
                <w:szCs w:val="20"/>
                <w:lang w:val="tr-TR"/>
              </w:rPr>
              <w:t xml:space="preserve">ve </w:t>
            </w:r>
            <w:r w:rsidR="00747261" w:rsidRPr="001A4B94">
              <w:rPr>
                <w:rFonts w:ascii="Calibri" w:eastAsia="Calibri" w:hAnsi="Calibri" w:cs="Calibri"/>
                <w:bCs/>
                <w:sz w:val="20"/>
                <w:szCs w:val="20"/>
                <w:lang w:val="tr-TR"/>
              </w:rPr>
              <w:t>E-</w:t>
            </w:r>
            <w:r w:rsidRPr="001A4B94">
              <w:rPr>
                <w:rFonts w:ascii="Calibri" w:eastAsia="Calibri" w:hAnsi="Calibri" w:cs="Calibri"/>
                <w:bCs/>
                <w:sz w:val="20"/>
                <w:szCs w:val="20"/>
                <w:lang w:val="tr-TR"/>
              </w:rPr>
              <w:t>Nabız ile müşt</w:t>
            </w:r>
            <w:r w:rsidR="00E46C30" w:rsidRPr="001A4B94">
              <w:rPr>
                <w:rFonts w:ascii="Calibri" w:eastAsia="Calibri" w:hAnsi="Calibri" w:cs="Calibri"/>
                <w:bCs/>
                <w:sz w:val="20"/>
                <w:szCs w:val="20"/>
                <w:lang w:val="tr-TR"/>
              </w:rPr>
              <w:t>e</w:t>
            </w:r>
            <w:r w:rsidRPr="001A4B94">
              <w:rPr>
                <w:rFonts w:ascii="Calibri" w:eastAsia="Calibri" w:hAnsi="Calibri" w:cs="Calibri"/>
                <w:bCs/>
                <w:sz w:val="20"/>
                <w:szCs w:val="20"/>
                <w:lang w:val="tr-TR"/>
              </w:rPr>
              <w:t>ri ile/tarafından belirlenecek / kararlaştırılacak diğer uygulamalar</w:t>
            </w:r>
            <w:r w:rsidR="00747261" w:rsidRPr="001A4B94">
              <w:rPr>
                <w:rFonts w:ascii="Calibri" w:eastAsia="Calibri" w:hAnsi="Calibri" w:cs="Calibri"/>
                <w:bCs/>
                <w:sz w:val="20"/>
                <w:szCs w:val="20"/>
                <w:lang w:val="tr-TR"/>
              </w:rPr>
              <w:t xml:space="preserve">) </w:t>
            </w:r>
          </w:p>
          <w:p w14:paraId="76C5C4F4" w14:textId="54442DC2" w:rsidR="00747261" w:rsidRPr="001A4B94" w:rsidRDefault="00041519" w:rsidP="00C24F8F">
            <w:pPr>
              <w:numPr>
                <w:ilvl w:val="0"/>
                <w:numId w:val="34"/>
              </w:numPr>
              <w:ind w:left="257" w:hanging="257"/>
              <w:contextualSpacing/>
              <w:rPr>
                <w:rFonts w:ascii="Calibri" w:eastAsia="Calibri" w:hAnsi="Calibri" w:cs="Calibri"/>
                <w:bCs/>
                <w:sz w:val="20"/>
                <w:szCs w:val="20"/>
                <w:lang w:val="tr-TR"/>
              </w:rPr>
            </w:pPr>
            <w:r w:rsidRPr="001A4B94">
              <w:rPr>
                <w:rFonts w:ascii="Calibri" w:eastAsia="Calibri" w:hAnsi="Calibri" w:cs="Calibri"/>
                <w:sz w:val="20"/>
                <w:szCs w:val="20"/>
                <w:lang w:val="tr-TR"/>
              </w:rPr>
              <w:t>Türkiye’nin afet riski yönetimi ala</w:t>
            </w:r>
            <w:r w:rsidR="00E46C30" w:rsidRPr="001A4B94">
              <w:rPr>
                <w:rFonts w:ascii="Calibri" w:eastAsia="Calibri" w:hAnsi="Calibri" w:cs="Calibri"/>
                <w:sz w:val="20"/>
                <w:szCs w:val="20"/>
                <w:lang w:val="tr-TR"/>
              </w:rPr>
              <w:t>nındaki ve/veya kararlaştırılac</w:t>
            </w:r>
            <w:r w:rsidRPr="001A4B94">
              <w:rPr>
                <w:rFonts w:ascii="Calibri" w:eastAsia="Calibri" w:hAnsi="Calibri" w:cs="Calibri"/>
                <w:sz w:val="20"/>
                <w:szCs w:val="20"/>
                <w:lang w:val="tr-TR"/>
              </w:rPr>
              <w:t>ak başka sektörlerdeki deneyimlerini belgelemenin y</w:t>
            </w:r>
            <w:r w:rsidR="005108F7" w:rsidRPr="001A4B94">
              <w:rPr>
                <w:rFonts w:ascii="Calibri" w:eastAsia="Calibri" w:hAnsi="Calibri" w:cs="Calibri"/>
                <w:sz w:val="20"/>
                <w:szCs w:val="20"/>
                <w:lang w:val="tr-TR"/>
              </w:rPr>
              <w:t>olların</w:t>
            </w:r>
            <w:r w:rsidRPr="001A4B94">
              <w:rPr>
                <w:rFonts w:ascii="Calibri" w:eastAsia="Calibri" w:hAnsi="Calibri" w:cs="Calibri"/>
                <w:sz w:val="20"/>
                <w:szCs w:val="20"/>
                <w:lang w:val="tr-TR"/>
              </w:rPr>
              <w:t>ı</w:t>
            </w:r>
            <w:r w:rsidR="005108F7" w:rsidRPr="001A4B94">
              <w:rPr>
                <w:rFonts w:ascii="Calibri" w:eastAsia="Calibri" w:hAnsi="Calibri" w:cs="Calibri"/>
                <w:sz w:val="20"/>
                <w:szCs w:val="20"/>
                <w:lang w:val="tr-TR"/>
              </w:rPr>
              <w:t xml:space="preserve"> </w:t>
            </w:r>
            <w:r w:rsidRPr="001A4B94">
              <w:rPr>
                <w:rFonts w:ascii="Calibri" w:eastAsia="Calibri" w:hAnsi="Calibri" w:cs="Calibri"/>
                <w:sz w:val="20"/>
                <w:szCs w:val="20"/>
                <w:lang w:val="tr-TR"/>
              </w:rPr>
              <w:t>araştırmak için</w:t>
            </w:r>
            <w:r w:rsidR="005108F7" w:rsidRPr="001A4B94">
              <w:rPr>
                <w:rFonts w:ascii="Calibri" w:eastAsia="Calibri" w:hAnsi="Calibri" w:cs="Calibri"/>
                <w:sz w:val="20"/>
                <w:szCs w:val="20"/>
                <w:lang w:val="tr-TR"/>
              </w:rPr>
              <w:t xml:space="preserve"> Çevre ve Şehircilik Bakanlığı ve diğer ilgili bakanlıklar ile tartışmaların düzenlenmesi </w:t>
            </w:r>
          </w:p>
          <w:p w14:paraId="1C21B4A9" w14:textId="2AE4F990" w:rsidR="00747261" w:rsidRPr="001A4B94" w:rsidRDefault="005108F7" w:rsidP="00C24F8F">
            <w:pPr>
              <w:numPr>
                <w:ilvl w:val="0"/>
                <w:numId w:val="34"/>
              </w:numPr>
              <w:ind w:left="257" w:hanging="257"/>
              <w:contextualSpacing/>
              <w:rPr>
                <w:rFonts w:ascii="Calibri" w:eastAsia="Calibri" w:hAnsi="Calibri" w:cs="Calibri"/>
                <w:bCs/>
                <w:sz w:val="20"/>
                <w:szCs w:val="20"/>
                <w:lang w:val="tr-TR"/>
              </w:rPr>
            </w:pPr>
            <w:r w:rsidRPr="001A4B94">
              <w:rPr>
                <w:rFonts w:ascii="Calibri" w:eastAsia="Calibri" w:hAnsi="Calibri" w:cs="Calibri"/>
                <w:bCs/>
                <w:sz w:val="20"/>
                <w:szCs w:val="20"/>
                <w:lang w:val="tr-TR"/>
              </w:rPr>
              <w:t xml:space="preserve">Türkiye’nin VK ile ilgili iyi uygulamalarını vitrine çıkarmak amacıyla, CPF döneminin üçüncü yılına kadar, müşteri ile işbirliği içerisine, en az bir etkinliğin </w:t>
            </w:r>
            <w:r w:rsidR="00747261" w:rsidRPr="001A4B94">
              <w:rPr>
                <w:rFonts w:ascii="Calibri" w:eastAsia="Calibri" w:hAnsi="Calibri" w:cs="Calibri"/>
                <w:bCs/>
                <w:sz w:val="20"/>
                <w:szCs w:val="20"/>
                <w:lang w:val="tr-TR"/>
              </w:rPr>
              <w:t>(</w:t>
            </w:r>
            <w:r w:rsidRPr="001A4B94">
              <w:rPr>
                <w:rFonts w:ascii="Calibri" w:eastAsia="Calibri" w:hAnsi="Calibri" w:cs="Calibri"/>
                <w:bCs/>
                <w:sz w:val="20"/>
                <w:szCs w:val="20"/>
                <w:lang w:val="tr-TR"/>
              </w:rPr>
              <w:t xml:space="preserve">çalıştay </w:t>
            </w:r>
            <w:r w:rsidR="00747261" w:rsidRPr="001A4B94">
              <w:rPr>
                <w:rFonts w:ascii="Calibri" w:eastAsia="Calibri" w:hAnsi="Calibri" w:cs="Calibri"/>
                <w:bCs/>
                <w:sz w:val="20"/>
                <w:szCs w:val="20"/>
                <w:lang w:val="tr-TR"/>
              </w:rPr>
              <w:t>/</w:t>
            </w:r>
            <w:r w:rsidRPr="001A4B94">
              <w:rPr>
                <w:rFonts w:ascii="Calibri" w:eastAsia="Calibri" w:hAnsi="Calibri" w:cs="Calibri"/>
                <w:bCs/>
                <w:sz w:val="20"/>
                <w:szCs w:val="20"/>
                <w:lang w:val="tr-TR"/>
              </w:rPr>
              <w:t xml:space="preserve"> yuvarlak masa toplantısı</w:t>
            </w:r>
            <w:r w:rsidR="00747261" w:rsidRPr="001A4B94">
              <w:rPr>
                <w:rFonts w:ascii="Calibri" w:eastAsia="Calibri" w:hAnsi="Calibri" w:cs="Calibri"/>
                <w:bCs/>
                <w:sz w:val="20"/>
                <w:szCs w:val="20"/>
                <w:lang w:val="tr-TR"/>
              </w:rPr>
              <w:t xml:space="preserve">) </w:t>
            </w:r>
            <w:r w:rsidRPr="001A4B94">
              <w:rPr>
                <w:rFonts w:ascii="Calibri" w:eastAsia="Calibri" w:hAnsi="Calibri" w:cs="Calibri"/>
                <w:bCs/>
                <w:sz w:val="20"/>
                <w:szCs w:val="20"/>
                <w:lang w:val="tr-TR"/>
              </w:rPr>
              <w:t xml:space="preserve">düzenlenmesi </w:t>
            </w:r>
          </w:p>
        </w:tc>
        <w:tc>
          <w:tcPr>
            <w:tcW w:w="3974" w:type="dxa"/>
          </w:tcPr>
          <w:p w14:paraId="541C8026" w14:textId="77777777" w:rsidR="00747261" w:rsidRPr="001A4B94" w:rsidRDefault="00747261" w:rsidP="00747261">
            <w:pPr>
              <w:rPr>
                <w:rFonts w:ascii="Calibri" w:eastAsia="Calibri" w:hAnsi="Calibri" w:cs="Calibri"/>
                <w:b/>
                <w:bCs/>
                <w:sz w:val="20"/>
                <w:szCs w:val="20"/>
                <w:lang w:val="tr-TR"/>
              </w:rPr>
            </w:pPr>
          </w:p>
          <w:p w14:paraId="646D19F4" w14:textId="78EB9C46" w:rsidR="00747261" w:rsidRPr="001A4B94" w:rsidRDefault="00041519" w:rsidP="00C24F8F">
            <w:pPr>
              <w:numPr>
                <w:ilvl w:val="0"/>
                <w:numId w:val="34"/>
              </w:numPr>
              <w:ind w:left="190" w:hanging="190"/>
              <w:contextualSpacing/>
              <w:rPr>
                <w:rFonts w:ascii="Calibri" w:eastAsia="Calibri" w:hAnsi="Calibri" w:cs="Calibri"/>
                <w:bCs/>
                <w:sz w:val="20"/>
                <w:szCs w:val="20"/>
                <w:lang w:val="tr-TR"/>
              </w:rPr>
            </w:pPr>
            <w:r w:rsidRPr="001A4B94">
              <w:rPr>
                <w:rFonts w:ascii="Calibri" w:eastAsia="Calibri" w:hAnsi="Calibri" w:cs="Calibri"/>
                <w:bCs/>
                <w:sz w:val="20"/>
                <w:szCs w:val="20"/>
                <w:lang w:val="tr-TR"/>
              </w:rPr>
              <w:t xml:space="preserve">Müşteri ve paylaşacak iyi uygulamaları olan başka ülkelerle yürütülecek diyalog için kanıtların ve Türkiye’nin iyi uygulamalarının derlenmesi </w:t>
            </w:r>
          </w:p>
        </w:tc>
      </w:tr>
      <w:tr w:rsidR="00041519" w:rsidRPr="00C605C5" w14:paraId="6BB2A0EB" w14:textId="77777777" w:rsidTr="00747261">
        <w:trPr>
          <w:trHeight w:val="800"/>
        </w:trPr>
        <w:tc>
          <w:tcPr>
            <w:tcW w:w="1607" w:type="dxa"/>
          </w:tcPr>
          <w:p w14:paraId="60AF838A" w14:textId="77777777" w:rsidR="00747261" w:rsidRPr="001A4B94" w:rsidRDefault="00747261" w:rsidP="00747261">
            <w:pPr>
              <w:rPr>
                <w:rFonts w:ascii="Calibri" w:eastAsia="Calibri" w:hAnsi="Calibri"/>
                <w:b/>
                <w:bCs/>
                <w:sz w:val="22"/>
                <w:szCs w:val="22"/>
                <w:lang w:val="tr-TR"/>
              </w:rPr>
            </w:pPr>
          </w:p>
          <w:p w14:paraId="4856348D" w14:textId="77777777" w:rsidR="00747261" w:rsidRPr="001A4B94" w:rsidRDefault="00747261" w:rsidP="00747261">
            <w:pPr>
              <w:rPr>
                <w:rFonts w:ascii="Calibri" w:eastAsia="Calibri" w:hAnsi="Calibri"/>
                <w:b/>
                <w:bCs/>
                <w:sz w:val="22"/>
                <w:szCs w:val="22"/>
                <w:lang w:val="tr-TR"/>
              </w:rPr>
            </w:pPr>
          </w:p>
          <w:p w14:paraId="2E2AE2E2" w14:textId="77777777" w:rsidR="00747261" w:rsidRPr="001A4B94" w:rsidRDefault="00747261" w:rsidP="00747261">
            <w:pPr>
              <w:rPr>
                <w:rFonts w:ascii="Calibri" w:eastAsia="Calibri" w:hAnsi="Calibri"/>
                <w:b/>
                <w:bCs/>
                <w:sz w:val="22"/>
                <w:szCs w:val="22"/>
                <w:lang w:val="tr-TR"/>
              </w:rPr>
            </w:pPr>
          </w:p>
          <w:p w14:paraId="3E4ED3E4" w14:textId="1D81C79C" w:rsidR="00747261" w:rsidRPr="001A4B94" w:rsidRDefault="00AC5908" w:rsidP="00747261">
            <w:pPr>
              <w:rPr>
                <w:rFonts w:ascii="Calibri" w:eastAsia="Calibri" w:hAnsi="Calibri"/>
                <w:sz w:val="22"/>
                <w:szCs w:val="22"/>
                <w:lang w:val="tr-TR"/>
              </w:rPr>
            </w:pPr>
            <w:r w:rsidRPr="001A4B94">
              <w:rPr>
                <w:rFonts w:ascii="Calibri" w:eastAsia="Calibri" w:hAnsi="Calibri"/>
                <w:b/>
                <w:bCs/>
                <w:sz w:val="22"/>
                <w:szCs w:val="22"/>
                <w:lang w:val="tr-TR"/>
              </w:rPr>
              <w:lastRenderedPageBreak/>
              <w:t xml:space="preserve">Talebe Bağlı ASA </w:t>
            </w:r>
            <w:r w:rsidR="000052B8" w:rsidRPr="001A4B94">
              <w:rPr>
                <w:rFonts w:ascii="Calibri" w:eastAsia="Calibri" w:hAnsi="Calibri"/>
                <w:b/>
                <w:bCs/>
                <w:sz w:val="22"/>
                <w:szCs w:val="22"/>
                <w:lang w:val="tr-TR"/>
              </w:rPr>
              <w:t xml:space="preserve">Fırsatları Hakkında Diyalog </w:t>
            </w:r>
          </w:p>
          <w:p w14:paraId="712398DC" w14:textId="77777777" w:rsidR="00747261" w:rsidRPr="001A4B94" w:rsidRDefault="00747261" w:rsidP="00747261">
            <w:pPr>
              <w:rPr>
                <w:rFonts w:ascii="Calibri" w:eastAsia="Calibri" w:hAnsi="Calibri"/>
                <w:sz w:val="22"/>
                <w:szCs w:val="22"/>
                <w:lang w:val="tr-TR"/>
              </w:rPr>
            </w:pPr>
          </w:p>
        </w:tc>
        <w:tc>
          <w:tcPr>
            <w:tcW w:w="4011" w:type="dxa"/>
          </w:tcPr>
          <w:p w14:paraId="7DAC1140" w14:textId="0BFECB19" w:rsidR="00747261" w:rsidRPr="001A4B94" w:rsidRDefault="000052B8" w:rsidP="00C24F8F">
            <w:pPr>
              <w:numPr>
                <w:ilvl w:val="0"/>
                <w:numId w:val="28"/>
              </w:numPr>
              <w:tabs>
                <w:tab w:val="num" w:pos="233"/>
              </w:tabs>
              <w:ind w:left="233" w:hanging="217"/>
              <w:rPr>
                <w:rFonts w:ascii="Calibri" w:eastAsia="Calibri" w:hAnsi="Calibri" w:cs="Calibri"/>
                <w:sz w:val="20"/>
                <w:szCs w:val="20"/>
                <w:lang w:val="tr-TR"/>
              </w:rPr>
            </w:pPr>
            <w:r w:rsidRPr="001A4B94">
              <w:rPr>
                <w:rFonts w:ascii="Calibri" w:eastAsia="Calibri" w:hAnsi="Calibri" w:cs="Calibri"/>
                <w:sz w:val="20"/>
                <w:szCs w:val="20"/>
                <w:lang w:val="tr-TR"/>
              </w:rPr>
              <w:lastRenderedPageBreak/>
              <w:t>Topluluk kurumlarının afet riskinin azaltılması ve yönetilmesi çabalarına katılıml</w:t>
            </w:r>
            <w:r w:rsidR="001C0599" w:rsidRPr="001A4B94">
              <w:rPr>
                <w:rFonts w:ascii="Calibri" w:eastAsia="Calibri" w:hAnsi="Calibri" w:cs="Calibri"/>
                <w:sz w:val="20"/>
                <w:szCs w:val="20"/>
                <w:lang w:val="tr-TR"/>
              </w:rPr>
              <w:t>a</w:t>
            </w:r>
            <w:r w:rsidRPr="001A4B94">
              <w:rPr>
                <w:rFonts w:ascii="Calibri" w:eastAsia="Calibri" w:hAnsi="Calibri" w:cs="Calibri"/>
                <w:sz w:val="20"/>
                <w:szCs w:val="20"/>
                <w:lang w:val="tr-TR"/>
              </w:rPr>
              <w:t xml:space="preserve">rının sağlanması </w:t>
            </w:r>
          </w:p>
          <w:p w14:paraId="4D1EC2A7" w14:textId="7FFAF911" w:rsidR="00747261" w:rsidRPr="001A4B94" w:rsidRDefault="001C0599" w:rsidP="00C24F8F">
            <w:pPr>
              <w:numPr>
                <w:ilvl w:val="0"/>
                <w:numId w:val="28"/>
              </w:numPr>
              <w:tabs>
                <w:tab w:val="num" w:pos="233"/>
              </w:tabs>
              <w:ind w:left="233" w:hanging="217"/>
              <w:rPr>
                <w:rFonts w:ascii="Calibri" w:eastAsia="Calibri" w:hAnsi="Calibri" w:cs="Calibri"/>
                <w:sz w:val="20"/>
                <w:szCs w:val="20"/>
                <w:lang w:val="tr-TR"/>
              </w:rPr>
            </w:pPr>
            <w:r w:rsidRPr="001A4B94">
              <w:rPr>
                <w:rFonts w:ascii="Calibri" w:eastAsia="Calibri" w:hAnsi="Calibri" w:cs="Calibri"/>
                <w:sz w:val="20"/>
                <w:szCs w:val="20"/>
                <w:lang w:val="tr-TR"/>
              </w:rPr>
              <w:lastRenderedPageBreak/>
              <w:t xml:space="preserve">Sağlık hizmetlerinin kalitesini derinleştirmek için vatandaş geri bildirimlerinden yararlanma </w:t>
            </w:r>
          </w:p>
          <w:p w14:paraId="301E6AFE" w14:textId="21177034" w:rsidR="00747261" w:rsidRPr="001A4B94" w:rsidRDefault="001C0599" w:rsidP="00C24F8F">
            <w:pPr>
              <w:numPr>
                <w:ilvl w:val="0"/>
                <w:numId w:val="28"/>
              </w:numPr>
              <w:tabs>
                <w:tab w:val="num" w:pos="233"/>
              </w:tabs>
              <w:ind w:left="233" w:hanging="217"/>
              <w:rPr>
                <w:rFonts w:ascii="Calibri" w:eastAsia="Calibri" w:hAnsi="Calibri" w:cs="Calibri"/>
                <w:sz w:val="20"/>
                <w:szCs w:val="20"/>
                <w:lang w:val="tr-TR"/>
              </w:rPr>
            </w:pPr>
            <w:r w:rsidRPr="001A4B94">
              <w:rPr>
                <w:rFonts w:ascii="Calibri" w:eastAsia="Calibri" w:hAnsi="Calibri" w:cs="Calibri"/>
                <w:sz w:val="20"/>
                <w:szCs w:val="20"/>
                <w:lang w:val="tr-TR"/>
              </w:rPr>
              <w:t xml:space="preserve">E-devlet platformunun kapsayıcılığını ve duyulan güveni arttırmak için kullanıcı farkındalığının ve teşviklerin arttırılması </w:t>
            </w:r>
          </w:p>
          <w:p w14:paraId="19FB6273" w14:textId="39860B93" w:rsidR="00747261" w:rsidRPr="001A4B94" w:rsidRDefault="001C0599" w:rsidP="00C24F8F">
            <w:pPr>
              <w:numPr>
                <w:ilvl w:val="0"/>
                <w:numId w:val="28"/>
              </w:numPr>
              <w:tabs>
                <w:tab w:val="num" w:pos="233"/>
              </w:tabs>
              <w:ind w:left="233" w:hanging="217"/>
              <w:rPr>
                <w:rFonts w:ascii="Calibri" w:eastAsia="Calibri" w:hAnsi="Calibri" w:cs="Calibri"/>
                <w:sz w:val="20"/>
                <w:szCs w:val="20"/>
                <w:lang w:val="tr-TR"/>
              </w:rPr>
            </w:pPr>
            <w:r w:rsidRPr="001A4B94">
              <w:rPr>
                <w:rFonts w:ascii="Calibri" w:eastAsia="Calibri" w:hAnsi="Calibri" w:cs="Calibri"/>
                <w:sz w:val="20"/>
                <w:szCs w:val="20"/>
                <w:lang w:val="tr-TR"/>
              </w:rPr>
              <w:t xml:space="preserve">Hizmet sunan kurumların performanslarının ve vatandaş merkezliliklerinin karşılaştırılması </w:t>
            </w:r>
          </w:p>
        </w:tc>
        <w:tc>
          <w:tcPr>
            <w:tcW w:w="4898" w:type="dxa"/>
          </w:tcPr>
          <w:p w14:paraId="5BFC96E3" w14:textId="482114F4" w:rsidR="00747261" w:rsidRPr="001A4B94" w:rsidRDefault="00C33279" w:rsidP="00C24F8F">
            <w:pPr>
              <w:numPr>
                <w:ilvl w:val="0"/>
                <w:numId w:val="34"/>
              </w:numPr>
              <w:ind w:left="257" w:hanging="257"/>
              <w:contextualSpacing/>
              <w:rPr>
                <w:rFonts w:ascii="Calibri" w:eastAsia="Calibri" w:hAnsi="Calibri" w:cs="Calibri"/>
                <w:sz w:val="20"/>
                <w:szCs w:val="20"/>
                <w:lang w:val="tr-TR"/>
              </w:rPr>
            </w:pPr>
            <w:r w:rsidRPr="001A4B94">
              <w:rPr>
                <w:rFonts w:ascii="Calibri" w:eastAsia="Calibri" w:hAnsi="Calibri" w:cs="Calibri"/>
                <w:sz w:val="20"/>
                <w:szCs w:val="20"/>
                <w:lang w:val="tr-TR"/>
              </w:rPr>
              <w:lastRenderedPageBreak/>
              <w:t>Sağlık Bakanlığı ile, SB stratejisinin incelemesine ve görev ekibi ülke yönetim birimi geri bildirimlerine dayalı olarak, daha iyi kull</w:t>
            </w:r>
            <w:r w:rsidR="00566E49" w:rsidRPr="001A4B94">
              <w:rPr>
                <w:rFonts w:ascii="Calibri" w:eastAsia="Calibri" w:hAnsi="Calibri" w:cs="Calibri"/>
                <w:sz w:val="20"/>
                <w:szCs w:val="20"/>
                <w:lang w:val="tr-TR"/>
              </w:rPr>
              <w:t>a</w:t>
            </w:r>
            <w:r w:rsidRPr="001A4B94">
              <w:rPr>
                <w:rFonts w:ascii="Calibri" w:eastAsia="Calibri" w:hAnsi="Calibri" w:cs="Calibri"/>
                <w:sz w:val="20"/>
                <w:szCs w:val="20"/>
                <w:lang w:val="tr-TR"/>
              </w:rPr>
              <w:t>nıcı geri bildirimi yoluyla hizmetlerin kalitesin</w:t>
            </w:r>
            <w:r w:rsidR="00566E49" w:rsidRPr="001A4B94">
              <w:rPr>
                <w:rFonts w:ascii="Calibri" w:eastAsia="Calibri" w:hAnsi="Calibri" w:cs="Calibri"/>
                <w:sz w:val="20"/>
                <w:szCs w:val="20"/>
                <w:lang w:val="tr-TR"/>
              </w:rPr>
              <w:t>i</w:t>
            </w:r>
            <w:r w:rsidRPr="001A4B94">
              <w:rPr>
                <w:rFonts w:ascii="Calibri" w:eastAsia="Calibri" w:hAnsi="Calibri" w:cs="Calibri"/>
                <w:sz w:val="20"/>
                <w:szCs w:val="20"/>
                <w:lang w:val="tr-TR"/>
              </w:rPr>
              <w:t xml:space="preserve">n yükseltilmesi konusunda bir tartışma yapılması </w:t>
            </w:r>
          </w:p>
          <w:p w14:paraId="04357CC0" w14:textId="61B28EEA" w:rsidR="00747261" w:rsidRPr="001A4B94" w:rsidRDefault="00566E49" w:rsidP="00C24F8F">
            <w:pPr>
              <w:numPr>
                <w:ilvl w:val="0"/>
                <w:numId w:val="34"/>
              </w:numPr>
              <w:ind w:left="257" w:hanging="257"/>
              <w:contextualSpacing/>
              <w:rPr>
                <w:rFonts w:ascii="Calibri" w:eastAsia="Calibri" w:hAnsi="Calibri" w:cs="Calibri"/>
                <w:sz w:val="20"/>
                <w:szCs w:val="20"/>
                <w:lang w:val="tr-TR"/>
              </w:rPr>
            </w:pPr>
            <w:r w:rsidRPr="001A4B94">
              <w:rPr>
                <w:rFonts w:ascii="Calibri" w:eastAsia="Calibri" w:hAnsi="Calibri" w:cs="Calibri"/>
                <w:sz w:val="20"/>
                <w:szCs w:val="20"/>
                <w:lang w:val="tr-TR"/>
              </w:rPr>
              <w:lastRenderedPageBreak/>
              <w:t xml:space="preserve">Topluluk temelli risk sistemleri için kullanılabilecek yolları araştırmak için, afete karşı dayanıklılık faaliyetlerinde bulunan diğer bakanlıklar ile tartışmaların düzenlenmesi </w:t>
            </w:r>
          </w:p>
          <w:p w14:paraId="12FF9603" w14:textId="115EE5B3" w:rsidR="00747261" w:rsidRPr="001A4B94" w:rsidRDefault="0052193E" w:rsidP="00C24F8F">
            <w:pPr>
              <w:numPr>
                <w:ilvl w:val="0"/>
                <w:numId w:val="34"/>
              </w:numPr>
              <w:ind w:left="257" w:hanging="257"/>
              <w:contextualSpacing/>
              <w:rPr>
                <w:rFonts w:ascii="Calibri" w:eastAsia="Calibri" w:hAnsi="Calibri" w:cs="Calibri"/>
                <w:sz w:val="20"/>
                <w:szCs w:val="20"/>
                <w:lang w:val="tr-TR"/>
              </w:rPr>
            </w:pPr>
            <w:r w:rsidRPr="001A4B94">
              <w:rPr>
                <w:rFonts w:ascii="Calibri" w:eastAsia="Calibri" w:hAnsi="Calibri" w:cs="Calibri"/>
                <w:sz w:val="20"/>
                <w:szCs w:val="20"/>
                <w:lang w:val="tr-TR"/>
              </w:rPr>
              <w:t xml:space="preserve">İki hedef bakanlıkta BİT araçları, e-katılım ve açık veri ile ilgili </w:t>
            </w:r>
            <w:r w:rsidR="0052353F" w:rsidRPr="001A4B94">
              <w:rPr>
                <w:rFonts w:ascii="Calibri" w:eastAsia="Calibri" w:hAnsi="Calibri" w:cs="Calibri"/>
                <w:sz w:val="20"/>
                <w:szCs w:val="20"/>
                <w:lang w:val="tr-TR"/>
              </w:rPr>
              <w:t>Banka desteği için fizibilite ça</w:t>
            </w:r>
            <w:r w:rsidR="00C33279" w:rsidRPr="001A4B94">
              <w:rPr>
                <w:rFonts w:ascii="Calibri" w:eastAsia="Calibri" w:hAnsi="Calibri" w:cs="Calibri"/>
                <w:sz w:val="20"/>
                <w:szCs w:val="20"/>
                <w:lang w:val="tr-TR"/>
              </w:rPr>
              <w:t>l</w:t>
            </w:r>
            <w:r w:rsidR="0052353F" w:rsidRPr="001A4B94">
              <w:rPr>
                <w:rFonts w:ascii="Calibri" w:eastAsia="Calibri" w:hAnsi="Calibri" w:cs="Calibri"/>
                <w:sz w:val="20"/>
                <w:szCs w:val="20"/>
                <w:lang w:val="tr-TR"/>
              </w:rPr>
              <w:t xml:space="preserve">ışması yapılması olanağının araştırılması konusunda müşteri ve DB Açık Veri Ekibi </w:t>
            </w:r>
            <w:r w:rsidR="00747261" w:rsidRPr="001A4B94">
              <w:rPr>
                <w:rFonts w:ascii="Calibri" w:eastAsia="Calibri" w:hAnsi="Calibri" w:cs="Calibri"/>
                <w:sz w:val="20"/>
                <w:szCs w:val="20"/>
                <w:lang w:val="tr-TR"/>
              </w:rPr>
              <w:t xml:space="preserve">(DEC) </w:t>
            </w:r>
            <w:r w:rsidR="0052353F" w:rsidRPr="001A4B94">
              <w:rPr>
                <w:rFonts w:ascii="Calibri" w:eastAsia="Calibri" w:hAnsi="Calibri" w:cs="Calibri"/>
                <w:sz w:val="20"/>
                <w:szCs w:val="20"/>
                <w:lang w:val="tr-TR"/>
              </w:rPr>
              <w:t>ile iletişim kurulması</w:t>
            </w:r>
            <w:r w:rsidR="00747261" w:rsidRPr="001A4B94">
              <w:rPr>
                <w:rFonts w:ascii="Calibri" w:eastAsia="Calibri" w:hAnsi="Calibri" w:cs="Calibri"/>
                <w:sz w:val="20"/>
                <w:szCs w:val="20"/>
                <w:lang w:val="tr-TR"/>
              </w:rPr>
              <w:t>.</w:t>
            </w:r>
          </w:p>
        </w:tc>
        <w:tc>
          <w:tcPr>
            <w:tcW w:w="3974" w:type="dxa"/>
          </w:tcPr>
          <w:p w14:paraId="722AB6C5" w14:textId="539F7D82" w:rsidR="00747261" w:rsidRPr="001A4B94" w:rsidRDefault="00566E49" w:rsidP="00C24F8F">
            <w:pPr>
              <w:numPr>
                <w:ilvl w:val="0"/>
                <w:numId w:val="34"/>
              </w:numPr>
              <w:ind w:left="280" w:hanging="264"/>
              <w:contextualSpacing/>
              <w:rPr>
                <w:rFonts w:ascii="Calibri" w:eastAsia="Calibri" w:hAnsi="Calibri" w:cs="Calibri"/>
                <w:sz w:val="20"/>
                <w:szCs w:val="20"/>
                <w:lang w:val="tr-TR"/>
              </w:rPr>
            </w:pPr>
            <w:r w:rsidRPr="001A4B94">
              <w:rPr>
                <w:rFonts w:ascii="Calibri" w:eastAsia="Calibri" w:hAnsi="Calibri" w:cs="Calibri"/>
                <w:sz w:val="20"/>
                <w:szCs w:val="20"/>
                <w:lang w:val="tr-TR"/>
              </w:rPr>
              <w:lastRenderedPageBreak/>
              <w:t>S</w:t>
            </w:r>
            <w:r w:rsidR="00041519" w:rsidRPr="001A4B94">
              <w:rPr>
                <w:rFonts w:ascii="Calibri" w:eastAsia="Calibri" w:hAnsi="Calibri" w:cs="Calibri"/>
                <w:sz w:val="20"/>
                <w:szCs w:val="20"/>
                <w:lang w:val="tr-TR"/>
              </w:rPr>
              <w:t>p</w:t>
            </w:r>
            <w:r w:rsidRPr="001A4B94">
              <w:rPr>
                <w:rFonts w:ascii="Calibri" w:eastAsia="Calibri" w:hAnsi="Calibri" w:cs="Calibri"/>
                <w:sz w:val="20"/>
                <w:szCs w:val="20"/>
                <w:lang w:val="tr-TR"/>
              </w:rPr>
              <w:t xml:space="preserve">esifik alanlarda / sektörlerde (örneğin Türkiye’de Afet Riski Yönetimi, e- yönetişim, vs.) Vatandaş Katılımının geliştirilmesi için müşteri tarafından </w:t>
            </w:r>
            <w:r w:rsidRPr="001A4B94">
              <w:rPr>
                <w:rFonts w:ascii="Calibri" w:eastAsia="Calibri" w:hAnsi="Calibri" w:cs="Calibri"/>
                <w:sz w:val="20"/>
                <w:szCs w:val="20"/>
                <w:lang w:val="tr-TR"/>
              </w:rPr>
              <w:lastRenderedPageBreak/>
              <w:t>kullanılması muhtemel 1-2 ASA çalı</w:t>
            </w:r>
            <w:r w:rsidR="00041519" w:rsidRPr="001A4B94">
              <w:rPr>
                <w:rFonts w:ascii="Calibri" w:eastAsia="Calibri" w:hAnsi="Calibri" w:cs="Calibri"/>
                <w:sz w:val="20"/>
                <w:szCs w:val="20"/>
                <w:lang w:val="tr-TR"/>
              </w:rPr>
              <w:t>ş</w:t>
            </w:r>
            <w:r w:rsidRPr="001A4B94">
              <w:rPr>
                <w:rFonts w:ascii="Calibri" w:eastAsia="Calibri" w:hAnsi="Calibri" w:cs="Calibri"/>
                <w:sz w:val="20"/>
                <w:szCs w:val="20"/>
                <w:lang w:val="tr-TR"/>
              </w:rPr>
              <w:t xml:space="preserve">masının yapılması </w:t>
            </w:r>
          </w:p>
        </w:tc>
      </w:tr>
    </w:tbl>
    <w:p w14:paraId="3ED4533A" w14:textId="77777777" w:rsidR="00747261" w:rsidRPr="00C605C5" w:rsidRDefault="00747261" w:rsidP="00747261">
      <w:pPr>
        <w:spacing w:after="160" w:line="259" w:lineRule="auto"/>
        <w:rPr>
          <w:rFonts w:ascii="Arial" w:hAnsi="Arial" w:cs="Arial"/>
          <w:b/>
          <w:bCs/>
          <w:sz w:val="22"/>
          <w:szCs w:val="22"/>
          <w:lang w:val="tr-TR"/>
        </w:rPr>
      </w:pPr>
    </w:p>
    <w:p w14:paraId="0F5431DE" w14:textId="1103E9F6" w:rsidR="00F25311" w:rsidRPr="00C605C5" w:rsidRDefault="00F25311" w:rsidP="00523BD6">
      <w:pPr>
        <w:spacing w:after="160" w:line="259" w:lineRule="auto"/>
        <w:rPr>
          <w:b/>
          <w:iCs/>
          <w:lang w:val="tr-TR"/>
        </w:rPr>
      </w:pPr>
    </w:p>
    <w:sectPr w:rsidR="00F25311" w:rsidRPr="00C605C5" w:rsidSect="00A6191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E6DB8" w14:textId="77777777" w:rsidR="00362A26" w:rsidRDefault="00362A26" w:rsidP="0030747A">
      <w:r>
        <w:separator/>
      </w:r>
    </w:p>
  </w:endnote>
  <w:endnote w:type="continuationSeparator" w:id="0">
    <w:p w14:paraId="28F5526B" w14:textId="77777777" w:rsidR="00362A26" w:rsidRDefault="00362A26" w:rsidP="0030747A">
      <w:r>
        <w:continuationSeparator/>
      </w:r>
    </w:p>
  </w:endnote>
  <w:endnote w:type="continuationNotice" w:id="1">
    <w:p w14:paraId="3156DF6E" w14:textId="77777777" w:rsidR="00362A26" w:rsidRDefault="0036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A2"/>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887556"/>
      <w:docPartObj>
        <w:docPartGallery w:val="Page Numbers (Bottom of Page)"/>
        <w:docPartUnique/>
      </w:docPartObj>
    </w:sdtPr>
    <w:sdtEndPr>
      <w:rPr>
        <w:noProof/>
      </w:rPr>
    </w:sdtEndPr>
    <w:sdtContent>
      <w:p w14:paraId="276936CB" w14:textId="7911A5EF" w:rsidR="0010534D" w:rsidRDefault="0010534D">
        <w:pPr>
          <w:pStyle w:val="AltBilgi"/>
          <w:jc w:val="center"/>
        </w:pPr>
        <w:r>
          <w:fldChar w:fldCharType="begin"/>
        </w:r>
        <w:r>
          <w:instrText xml:space="preserve"> PAGE   \* MERGEFORMAT </w:instrText>
        </w:r>
        <w:r>
          <w:fldChar w:fldCharType="separate"/>
        </w:r>
        <w:r w:rsidR="0092778F">
          <w:rPr>
            <w:noProof/>
          </w:rPr>
          <w:t>19</w:t>
        </w:r>
        <w:r>
          <w:rPr>
            <w:noProof/>
          </w:rPr>
          <w:fldChar w:fldCharType="end"/>
        </w:r>
      </w:p>
    </w:sdtContent>
  </w:sdt>
  <w:p w14:paraId="3E78C969" w14:textId="77777777" w:rsidR="0010534D" w:rsidRDefault="0010534D" w:rsidP="00BF25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00B0" w14:textId="168BA8C1" w:rsidR="0010534D" w:rsidRDefault="0010534D">
    <w:pPr>
      <w:pStyle w:val="AltBilgi"/>
      <w:jc w:val="center"/>
    </w:pPr>
  </w:p>
  <w:p w14:paraId="632CCA6C" w14:textId="77777777" w:rsidR="0010534D" w:rsidRDefault="001053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74459"/>
      <w:docPartObj>
        <w:docPartGallery w:val="Page Numbers (Bottom of Page)"/>
        <w:docPartUnique/>
      </w:docPartObj>
    </w:sdtPr>
    <w:sdtEndPr>
      <w:rPr>
        <w:noProof/>
      </w:rPr>
    </w:sdtEndPr>
    <w:sdtContent>
      <w:p w14:paraId="19E0D15C" w14:textId="36736010" w:rsidR="0010534D" w:rsidRDefault="0010534D">
        <w:pPr>
          <w:pStyle w:val="AltBilgi"/>
          <w:jc w:val="center"/>
        </w:pPr>
        <w:r>
          <w:fldChar w:fldCharType="begin"/>
        </w:r>
        <w:r>
          <w:instrText xml:space="preserve"> PAGE   \* MERGEFORMAT </w:instrText>
        </w:r>
        <w:r>
          <w:fldChar w:fldCharType="separate"/>
        </w:r>
        <w:r w:rsidR="0092778F">
          <w:rPr>
            <w:noProof/>
          </w:rPr>
          <w:t>1</w:t>
        </w:r>
        <w:r>
          <w:rPr>
            <w:noProof/>
          </w:rPr>
          <w:fldChar w:fldCharType="end"/>
        </w:r>
      </w:p>
    </w:sdtContent>
  </w:sdt>
  <w:p w14:paraId="60CC64A7" w14:textId="77777777" w:rsidR="0010534D" w:rsidRDefault="0010534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627324"/>
      <w:docPartObj>
        <w:docPartGallery w:val="Page Numbers (Bottom of Page)"/>
        <w:docPartUnique/>
      </w:docPartObj>
    </w:sdtPr>
    <w:sdtEndPr>
      <w:rPr>
        <w:noProof/>
      </w:rPr>
    </w:sdtEndPr>
    <w:sdtContent>
      <w:p w14:paraId="5EC8BF8C" w14:textId="3AFBDCA8" w:rsidR="0010534D" w:rsidRDefault="0010534D">
        <w:pPr>
          <w:pStyle w:val="AltBilgi"/>
          <w:jc w:val="center"/>
        </w:pPr>
        <w:r>
          <w:fldChar w:fldCharType="begin"/>
        </w:r>
        <w:r>
          <w:instrText xml:space="preserve"> PAGE   \* MERGEFORMAT </w:instrText>
        </w:r>
        <w:r>
          <w:fldChar w:fldCharType="separate"/>
        </w:r>
        <w:r w:rsidR="0092778F">
          <w:rPr>
            <w:noProof/>
          </w:rPr>
          <w:t>85</w:t>
        </w:r>
        <w:r>
          <w:rPr>
            <w:noProof/>
          </w:rPr>
          <w:fldChar w:fldCharType="end"/>
        </w:r>
      </w:p>
    </w:sdtContent>
  </w:sdt>
  <w:p w14:paraId="56694C14" w14:textId="77777777" w:rsidR="0010534D" w:rsidRDefault="001053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CA9F" w14:textId="77777777" w:rsidR="00362A26" w:rsidRDefault="00362A26" w:rsidP="0030747A">
      <w:r>
        <w:separator/>
      </w:r>
    </w:p>
  </w:footnote>
  <w:footnote w:type="continuationSeparator" w:id="0">
    <w:p w14:paraId="4373B5D8" w14:textId="77777777" w:rsidR="00362A26" w:rsidRDefault="00362A26" w:rsidP="0030747A">
      <w:r>
        <w:continuationSeparator/>
      </w:r>
    </w:p>
  </w:footnote>
  <w:footnote w:type="continuationNotice" w:id="1">
    <w:p w14:paraId="1FD70BC9" w14:textId="77777777" w:rsidR="00362A26" w:rsidRDefault="00362A26"/>
  </w:footnote>
  <w:footnote w:id="2">
    <w:p w14:paraId="1F541742" w14:textId="081FE2B9" w:rsidR="0010534D" w:rsidRPr="0034069F" w:rsidRDefault="0010534D" w:rsidP="009C7416">
      <w:pPr>
        <w:pStyle w:val="DipnotMetni"/>
        <w:jc w:val="both"/>
        <w:rPr>
          <w:sz w:val="16"/>
          <w:lang w:val="tr-TR"/>
        </w:rPr>
      </w:pPr>
      <w:r w:rsidRPr="0034069F">
        <w:rPr>
          <w:rStyle w:val="DipnotBavurusu"/>
          <w:lang w:val="tr-TR"/>
        </w:rPr>
        <w:footnoteRef/>
      </w:r>
      <w:r w:rsidRPr="0034069F">
        <w:rPr>
          <w:lang w:val="tr-TR"/>
        </w:rPr>
        <w:t xml:space="preserve"> </w:t>
      </w:r>
      <w:r w:rsidRPr="0034069F">
        <w:rPr>
          <w:sz w:val="16"/>
          <w:lang w:val="tr-TR"/>
        </w:rPr>
        <w:t>Bu tablodaki rakamlar, AB düzenlemelerine uyum amacıyla ulusal muhasebe yönteminin revize edilmesi yönünde Aralık 2016’da  alınan kararı yansıtmaktadır (ESA 2010). Yapılan revizyonlar ile</w:t>
      </w:r>
      <w:r>
        <w:rPr>
          <w:sz w:val="16"/>
          <w:lang w:val="tr-TR"/>
        </w:rPr>
        <w:t>,</w:t>
      </w:r>
      <w:r w:rsidRPr="0034069F">
        <w:rPr>
          <w:sz w:val="16"/>
          <w:lang w:val="tr-TR"/>
        </w:rPr>
        <w:t xml:space="preserve"> 2015 yılına ait GSYH yaklaşık 140 milyar $ artarak 851 milyar $’a ulaşmış, kişi başına düşen GSYH 2.000</w:t>
      </w:r>
      <w:r>
        <w:rPr>
          <w:sz w:val="16"/>
          <w:lang w:val="tr-TR"/>
        </w:rPr>
        <w:t xml:space="preserve"> </w:t>
      </w:r>
      <w:r w:rsidRPr="0034069F">
        <w:rPr>
          <w:sz w:val="16"/>
          <w:lang w:val="tr-TR"/>
        </w:rPr>
        <w:t>$ kadar artarak 11.000</w:t>
      </w:r>
      <w:r>
        <w:rPr>
          <w:sz w:val="16"/>
          <w:lang w:val="tr-TR"/>
        </w:rPr>
        <w:t xml:space="preserve"> </w:t>
      </w:r>
      <w:r w:rsidRPr="0034069F">
        <w:rPr>
          <w:sz w:val="16"/>
          <w:lang w:val="tr-TR"/>
        </w:rPr>
        <w:t>$’ı aşmış, yıllık büyüme oranl</w:t>
      </w:r>
      <w:r>
        <w:rPr>
          <w:sz w:val="16"/>
          <w:lang w:val="tr-TR"/>
        </w:rPr>
        <w:t>a</w:t>
      </w:r>
      <w:r w:rsidRPr="0034069F">
        <w:rPr>
          <w:sz w:val="16"/>
          <w:lang w:val="tr-TR"/>
        </w:rPr>
        <w:t>rı da şu şekilde artmıştır: 2002-07 dönemine ait ortalama büyüme oranı yüzde 6,8’den yüzde 7,9’a yükselirken, 2012-15 dönemine ait ortalama büyüme oranı yüzde 3,3’ten yüzde 6,2’ye çıkmıştır.</w:t>
      </w:r>
    </w:p>
  </w:footnote>
  <w:footnote w:id="3">
    <w:p w14:paraId="29F28DF6" w14:textId="51D229ED" w:rsidR="0010534D" w:rsidRPr="00460F4F" w:rsidRDefault="0010534D" w:rsidP="00786B35">
      <w:pPr>
        <w:pStyle w:val="DipnotMetni"/>
        <w:jc w:val="both"/>
        <w:rPr>
          <w:lang w:val="tr-TR"/>
        </w:rPr>
      </w:pPr>
      <w:r w:rsidRPr="00460F4F">
        <w:rPr>
          <w:rStyle w:val="DipnotBavurusu"/>
          <w:lang w:val="tr-TR"/>
        </w:rPr>
        <w:footnoteRef/>
      </w:r>
      <w:r w:rsidRPr="00460F4F">
        <w:rPr>
          <w:lang w:val="tr-TR"/>
        </w:rPr>
        <w:t xml:space="preserve"> </w:t>
      </w:r>
      <w:r w:rsidRPr="00460F4F">
        <w:rPr>
          <w:sz w:val="18"/>
          <w:szCs w:val="18"/>
          <w:lang w:val="tr-TR"/>
        </w:rPr>
        <w:t xml:space="preserve">Yoksulluk ve aşırı yoksulluk, Dünya Bankasının Avrupa ve Orta Asya (ECA) bölgesi için benimsediği eşik değerler kullanılarak ölçülmektedir. 2005 satın alma gücü paritesi (2005 SAGP) bazında yoksulluk sınırı günlük 5,00 ABD doları, aşırı yoksulluk sınırı ise günlük 2,50 ABD doları olarak belirlenmiştir. Bir kişinin günlük harcaması (aşırı) yoksulluk sınırının altında ise (aşırı) yoksul olarak kabul edilmektedir. Türkiye için harcama verileri TÜİK tarafından gerçekleştirilen Hane </w:t>
      </w:r>
      <w:r>
        <w:rPr>
          <w:sz w:val="18"/>
          <w:szCs w:val="18"/>
          <w:lang w:val="tr-TR"/>
        </w:rPr>
        <w:t>h</w:t>
      </w:r>
      <w:r w:rsidRPr="00460F4F">
        <w:rPr>
          <w:sz w:val="18"/>
          <w:szCs w:val="18"/>
          <w:lang w:val="tr-TR"/>
        </w:rPr>
        <w:t>alkı Bütçe Anketinden (HBA) gelmektedir.</w:t>
      </w:r>
      <w:r w:rsidRPr="00460F4F">
        <w:rPr>
          <w:lang w:val="tr-TR"/>
        </w:rPr>
        <w:t xml:space="preserve"> </w:t>
      </w:r>
    </w:p>
  </w:footnote>
  <w:footnote w:id="4">
    <w:p w14:paraId="2E2A3EE2" w14:textId="069F3E25" w:rsidR="0010534D" w:rsidRPr="0083691D" w:rsidRDefault="0010534D">
      <w:pPr>
        <w:pStyle w:val="DipnotMetni"/>
        <w:rPr>
          <w:lang w:val="tr-TR"/>
        </w:rPr>
      </w:pPr>
      <w:r w:rsidRPr="0083691D">
        <w:rPr>
          <w:rStyle w:val="DipnotBavurusu"/>
          <w:lang w:val="tr-TR"/>
        </w:rPr>
        <w:footnoteRef/>
      </w:r>
      <w:r w:rsidRPr="0083691D">
        <w:rPr>
          <w:lang w:val="tr-TR"/>
        </w:rPr>
        <w:t xml:space="preserve"> </w:t>
      </w:r>
      <w:r w:rsidRPr="0083691D">
        <w:rPr>
          <w:sz w:val="18"/>
          <w:szCs w:val="18"/>
          <w:lang w:val="tr-TR"/>
        </w:rPr>
        <w:t xml:space="preserve">Orman ve Su İşleri Bakanlığı, 2016: “İklim Değişikliğinin Su Kaynakları </w:t>
      </w:r>
      <w:r>
        <w:rPr>
          <w:sz w:val="18"/>
          <w:szCs w:val="18"/>
          <w:lang w:val="tr-TR"/>
        </w:rPr>
        <w:t>Ü</w:t>
      </w:r>
      <w:r w:rsidRPr="0083691D">
        <w:rPr>
          <w:sz w:val="18"/>
          <w:szCs w:val="18"/>
          <w:lang w:val="tr-TR"/>
        </w:rPr>
        <w:t>zerindeki Etkilerinin Değerlendirilmesi”, Su Yönetimi Genel Müdürlüğü, Türkiye.</w:t>
      </w:r>
    </w:p>
  </w:footnote>
  <w:footnote w:id="5">
    <w:p w14:paraId="2D322ABE" w14:textId="476FAC09" w:rsidR="0010534D" w:rsidRDefault="0010534D">
      <w:pPr>
        <w:pStyle w:val="DipnotMetni"/>
      </w:pPr>
      <w:r w:rsidRPr="00FF11AA">
        <w:rPr>
          <w:rStyle w:val="DipnotBavurusu"/>
          <w:lang w:val="tr-TR"/>
        </w:rPr>
        <w:footnoteRef/>
      </w:r>
      <w:r w:rsidRPr="00FF11AA">
        <w:rPr>
          <w:lang w:val="tr-TR"/>
        </w:rPr>
        <w:t xml:space="preserve"> </w:t>
      </w:r>
      <w:r w:rsidRPr="00FF11AA">
        <w:rPr>
          <w:rFonts w:cs="Times New Roman"/>
          <w:sz w:val="19"/>
          <w:szCs w:val="19"/>
          <w:lang w:val="tr-TR"/>
        </w:rPr>
        <w:t>Basamak yaklaşımı, ülke ve sektör düzeyinde yukarı yönlü reformlar için artan ve daha sistematik bir vurguya (</w:t>
      </w:r>
      <w:r w:rsidRPr="00FF11AA">
        <w:rPr>
          <w:rFonts w:cs="Times New Roman"/>
          <w:i/>
          <w:sz w:val="19"/>
          <w:szCs w:val="19"/>
          <w:lang w:val="tr-TR"/>
        </w:rPr>
        <w:t>yukarı yönlü yaklaşımın yaygınlaştırılması</w:t>
      </w:r>
      <w:r w:rsidRPr="00FF11AA">
        <w:rPr>
          <w:rFonts w:cs="Times New Roman"/>
          <w:sz w:val="19"/>
          <w:szCs w:val="19"/>
          <w:lang w:val="tr-TR"/>
        </w:rPr>
        <w:t>) ve imtiyazlı kaynaklar ve kamu kaynakları üzerin</w:t>
      </w:r>
      <w:r>
        <w:rPr>
          <w:rFonts w:cs="Times New Roman"/>
          <w:sz w:val="19"/>
          <w:szCs w:val="19"/>
          <w:lang w:val="tr-TR"/>
        </w:rPr>
        <w:t>d</w:t>
      </w:r>
      <w:r w:rsidRPr="00FF11AA">
        <w:rPr>
          <w:rFonts w:cs="Times New Roman"/>
          <w:sz w:val="19"/>
          <w:szCs w:val="19"/>
          <w:lang w:val="tr-TR"/>
        </w:rPr>
        <w:t>e en f</w:t>
      </w:r>
      <w:r>
        <w:rPr>
          <w:rFonts w:cs="Times New Roman"/>
          <w:sz w:val="19"/>
          <w:szCs w:val="19"/>
          <w:lang w:val="tr-TR"/>
        </w:rPr>
        <w:t>a</w:t>
      </w:r>
      <w:r w:rsidRPr="00FF11AA">
        <w:rPr>
          <w:rFonts w:cs="Times New Roman"/>
          <w:sz w:val="19"/>
          <w:szCs w:val="19"/>
          <w:lang w:val="tr-TR"/>
        </w:rPr>
        <w:t>zla kalkınma etkisini yaratabilecekleri alanlarda kararlılığın yenilenmesine (</w:t>
      </w:r>
      <w:r w:rsidRPr="00FF11AA">
        <w:rPr>
          <w:rFonts w:cs="Times New Roman"/>
          <w:i/>
          <w:sz w:val="19"/>
          <w:szCs w:val="19"/>
          <w:lang w:val="tr-TR"/>
        </w:rPr>
        <w:t>varsayılanın değiştirilmesi</w:t>
      </w:r>
      <w:r w:rsidRPr="00FF11AA">
        <w:rPr>
          <w:rFonts w:cs="Times New Roman"/>
          <w:sz w:val="19"/>
          <w:szCs w:val="19"/>
          <w:lang w:val="tr-TR"/>
        </w:rPr>
        <w:t>) işaret etmektedir</w:t>
      </w:r>
      <w:r w:rsidRPr="00B6274A">
        <w:rPr>
          <w:rFonts w:cs="Times New Roman"/>
          <w:color w:val="000000" w:themeColor="text1"/>
          <w:sz w:val="19"/>
          <w:szCs w:val="19"/>
        </w:rPr>
        <w:t>.</w:t>
      </w:r>
    </w:p>
  </w:footnote>
  <w:footnote w:id="6">
    <w:p w14:paraId="3830C0CC" w14:textId="070D312B" w:rsidR="0010534D" w:rsidRPr="00327F16" w:rsidRDefault="0010534D">
      <w:pPr>
        <w:pStyle w:val="DipnotMetni"/>
        <w:rPr>
          <w:lang w:val="tr-TR"/>
        </w:rPr>
      </w:pPr>
      <w:r w:rsidRPr="00327F16">
        <w:rPr>
          <w:rStyle w:val="DipnotBavurusu"/>
          <w:lang w:val="tr-TR"/>
        </w:rPr>
        <w:footnoteRef/>
      </w:r>
      <w:r w:rsidRPr="00327F16">
        <w:rPr>
          <w:lang w:val="tr-TR"/>
        </w:rPr>
        <w:t xml:space="preserve"> Örneğin yenileneb</w:t>
      </w:r>
      <w:r>
        <w:rPr>
          <w:lang w:val="tr-TR"/>
        </w:rPr>
        <w:t>i</w:t>
      </w:r>
      <w:r w:rsidRPr="00327F16">
        <w:rPr>
          <w:lang w:val="tr-TR"/>
        </w:rPr>
        <w:t>lir enerjiye ilişkin düzenl</w:t>
      </w:r>
      <w:r>
        <w:rPr>
          <w:lang w:val="tr-TR"/>
        </w:rPr>
        <w:t>e</w:t>
      </w:r>
      <w:r w:rsidRPr="00327F16">
        <w:rPr>
          <w:lang w:val="tr-TR"/>
        </w:rPr>
        <w:t>yici ortam desteği devam etmekte olan AB-IPA Enerji Sektörü Teknik Yardımı ve Çatı Üstü Fotovoltaik Güneş Enerjisi Değerlendirmesi kapsamında sağlanmaktadır. Enerji sektörüne yönelik yatırım ortamının iyileştirilmesine yönelik ilave çalışmalar, KÖİ Geri Ödenebilir Danışmanlık Hizmetleri (RAS) ile koordine edilecektir.</w:t>
      </w:r>
    </w:p>
  </w:footnote>
  <w:footnote w:id="7">
    <w:p w14:paraId="33D19936" w14:textId="44537BC0" w:rsidR="0010534D" w:rsidRPr="00055E0A" w:rsidRDefault="0010534D">
      <w:pPr>
        <w:pStyle w:val="DipnotMetni"/>
        <w:rPr>
          <w:lang w:val="tr-TR"/>
        </w:rPr>
      </w:pPr>
      <w:r w:rsidRPr="00055E0A">
        <w:rPr>
          <w:rStyle w:val="DipnotBavurusu"/>
          <w:lang w:val="tr-TR"/>
        </w:rPr>
        <w:footnoteRef/>
      </w:r>
      <w:r w:rsidRPr="00055E0A">
        <w:rPr>
          <w:lang w:val="tr-TR"/>
        </w:rPr>
        <w:t xml:space="preserve"> SKH 16 - Sürdürülebilir kalkınma için barışçıl ve herkesi kucaklayan toplumları teşvik etmek, herkesin adalete erişimini sağlamak, her seviyede etkin, hesap verebilir ve kucaklayıcı kurumlar inşa etmek</w:t>
      </w:r>
      <w:r w:rsidRPr="00055E0A">
        <w:rPr>
          <w:rStyle w:val="tgc"/>
          <w:lang w:val="tr-TR"/>
        </w:rPr>
        <w:t xml:space="preserve">  </w:t>
      </w:r>
    </w:p>
  </w:footnote>
  <w:footnote w:id="8">
    <w:p w14:paraId="35E3079A" w14:textId="2CC0D24F" w:rsidR="0010534D" w:rsidRPr="00B630A7" w:rsidRDefault="0010534D" w:rsidP="00747261">
      <w:pPr>
        <w:pStyle w:val="DipnotMetni"/>
        <w:rPr>
          <w:lang w:val="tr-TR"/>
        </w:rPr>
      </w:pPr>
      <w:r w:rsidRPr="00B630A7">
        <w:rPr>
          <w:rStyle w:val="DipnotBavurusu"/>
          <w:lang w:val="tr-TR"/>
        </w:rPr>
        <w:footnoteRef/>
      </w:r>
      <w:r w:rsidRPr="00B630A7">
        <w:rPr>
          <w:lang w:val="tr-TR"/>
        </w:rPr>
        <w:t xml:space="preserve"> </w:t>
      </w:r>
      <w:r w:rsidRPr="00B630A7">
        <w:rPr>
          <w:rFonts w:cs="Times New Roman"/>
          <w:sz w:val="16"/>
          <w:szCs w:val="16"/>
          <w:lang w:val="tr-TR"/>
        </w:rPr>
        <w:t xml:space="preserve">Bu projeler KOBİ’ler için Finansmana Erişim III (2013 MY) ve sonrasında Yenilikçi Finansmana Erişim Projesi (2015 MY), KOBİ ve Büyük İşletmeler </w:t>
      </w:r>
      <w:r w:rsidR="00026721">
        <w:rPr>
          <w:rFonts w:cs="Times New Roman"/>
          <w:sz w:val="16"/>
          <w:szCs w:val="16"/>
          <w:lang w:val="tr-TR"/>
        </w:rPr>
        <w:t>T</w:t>
      </w:r>
      <w:r w:rsidRPr="00B630A7">
        <w:rPr>
          <w:rFonts w:cs="Times New Roman"/>
          <w:sz w:val="16"/>
          <w:szCs w:val="16"/>
          <w:lang w:val="tr-TR"/>
        </w:rPr>
        <w:t xml:space="preserve">edarik Zinciri </w:t>
      </w:r>
      <w:r w:rsidR="00026721">
        <w:rPr>
          <w:rFonts w:cs="Times New Roman"/>
          <w:sz w:val="16"/>
          <w:szCs w:val="16"/>
          <w:lang w:val="tr-TR"/>
        </w:rPr>
        <w:t>P</w:t>
      </w:r>
      <w:r w:rsidRPr="00B630A7">
        <w:rPr>
          <w:rFonts w:cs="Times New Roman"/>
          <w:sz w:val="16"/>
          <w:szCs w:val="16"/>
          <w:lang w:val="tr-TR"/>
        </w:rPr>
        <w:t>rojesi (2016 MY); ayrıca KOBİ Enerji Verimliliği (FY13) ve</w:t>
      </w:r>
      <w:r>
        <w:rPr>
          <w:rFonts w:cs="Times New Roman"/>
          <w:sz w:val="16"/>
          <w:szCs w:val="16"/>
          <w:lang w:val="tr-TR"/>
        </w:rPr>
        <w:t xml:space="preserve"> Özel Sektör Yenilenebilir Enerji ve Enerji Verimliliği Ek Finansman </w:t>
      </w:r>
      <w:r w:rsidRPr="00B630A7">
        <w:rPr>
          <w:rFonts w:cs="Times New Roman"/>
          <w:sz w:val="16"/>
          <w:szCs w:val="16"/>
          <w:lang w:val="tr-TR"/>
        </w:rPr>
        <w:t>(</w:t>
      </w:r>
      <w:r>
        <w:rPr>
          <w:rFonts w:cs="Times New Roman"/>
          <w:sz w:val="16"/>
          <w:szCs w:val="16"/>
          <w:lang w:val="tr-TR"/>
        </w:rPr>
        <w:t>2012 MY</w:t>
      </w:r>
      <w:r w:rsidRPr="00B630A7">
        <w:rPr>
          <w:rFonts w:cs="Times New Roman"/>
          <w:sz w:val="16"/>
          <w:szCs w:val="16"/>
          <w:lang w:val="tr-TR"/>
        </w:rPr>
        <w:t>) için sağlanan enerji sektörü kredi hatl</w:t>
      </w:r>
      <w:r>
        <w:rPr>
          <w:rFonts w:cs="Times New Roman"/>
          <w:sz w:val="16"/>
          <w:szCs w:val="16"/>
          <w:lang w:val="tr-TR"/>
        </w:rPr>
        <w:t>a</w:t>
      </w:r>
      <w:r w:rsidRPr="00B630A7">
        <w:rPr>
          <w:rFonts w:cs="Times New Roman"/>
          <w:sz w:val="16"/>
          <w:szCs w:val="16"/>
          <w:lang w:val="tr-TR"/>
        </w:rPr>
        <w:t>rıdır.  2015 MY’da sunulması önerilen Uzun Vadeli Finansman Garantisi Projesi ise düşürülmüşt</w:t>
      </w:r>
      <w:r>
        <w:rPr>
          <w:rFonts w:cs="Times New Roman"/>
          <w:sz w:val="16"/>
          <w:szCs w:val="16"/>
          <w:lang w:val="tr-TR"/>
        </w:rPr>
        <w:t>ü</w:t>
      </w:r>
      <w:r w:rsidRPr="00B630A7">
        <w:rPr>
          <w:rFonts w:cs="Times New Roman"/>
          <w:sz w:val="16"/>
          <w:szCs w:val="16"/>
          <w:lang w:val="tr-TR"/>
        </w:rPr>
        <w:t xml:space="preserve">r. </w:t>
      </w:r>
    </w:p>
  </w:footnote>
  <w:footnote w:id="9">
    <w:p w14:paraId="61A77782" w14:textId="7C50FD4F" w:rsidR="0010534D" w:rsidRPr="00D625AF" w:rsidRDefault="0010534D" w:rsidP="00747261">
      <w:pPr>
        <w:pStyle w:val="DipnotMetni"/>
        <w:rPr>
          <w:rFonts w:cs="Times New Roman"/>
          <w:lang w:val="tr-TR"/>
        </w:rPr>
      </w:pPr>
      <w:r w:rsidRPr="00D625AF">
        <w:rPr>
          <w:rStyle w:val="DipnotBavurusu"/>
          <w:rFonts w:cs="Times New Roman"/>
          <w:sz w:val="16"/>
          <w:szCs w:val="16"/>
          <w:lang w:val="tr-TR"/>
        </w:rPr>
        <w:footnoteRef/>
      </w:r>
      <w:r w:rsidRPr="00D625AF">
        <w:rPr>
          <w:rFonts w:cs="Times New Roman"/>
          <w:sz w:val="16"/>
          <w:szCs w:val="16"/>
          <w:lang w:val="tr-TR"/>
        </w:rPr>
        <w:t xml:space="preserve"> 27 proje Finansal Piyasalar alanında (1,59 milyar ABD$), 19 proje Altyapı alanında (1,54 milyar ABD$), 29 proje İmalat, Tarımsal İşletme ve Hizmetler alanında (1,26 milyar ABD$) ve 9 proje Medya, </w:t>
      </w:r>
      <w:r w:rsidR="008A552D">
        <w:rPr>
          <w:rFonts w:cs="Times New Roman"/>
          <w:sz w:val="16"/>
          <w:szCs w:val="16"/>
          <w:lang w:val="tr-TR"/>
        </w:rPr>
        <w:t>T</w:t>
      </w:r>
      <w:r w:rsidRPr="00D625AF">
        <w:rPr>
          <w:rFonts w:cs="Times New Roman"/>
          <w:sz w:val="16"/>
          <w:szCs w:val="16"/>
          <w:lang w:val="tr-TR"/>
        </w:rPr>
        <w:t>eknoloji ve Telekom alanında (169 milyon ABD $).</w:t>
      </w:r>
    </w:p>
  </w:footnote>
  <w:footnote w:id="10">
    <w:p w14:paraId="70A0AAE3" w14:textId="4E80B5D7" w:rsidR="0010534D" w:rsidRPr="006720DF" w:rsidRDefault="0010534D" w:rsidP="00747261">
      <w:pPr>
        <w:pStyle w:val="DipnotMetni"/>
        <w:rPr>
          <w:sz w:val="16"/>
          <w:szCs w:val="16"/>
          <w:lang w:val="tr-TR"/>
        </w:rPr>
      </w:pPr>
      <w:r w:rsidRPr="006720DF">
        <w:rPr>
          <w:rStyle w:val="DipnotBavurusu"/>
          <w:sz w:val="16"/>
          <w:szCs w:val="16"/>
          <w:lang w:val="tr-TR"/>
        </w:rPr>
        <w:footnoteRef/>
      </w:r>
      <w:r w:rsidRPr="006720DF">
        <w:rPr>
          <w:sz w:val="16"/>
          <w:szCs w:val="16"/>
          <w:lang w:val="tr-TR"/>
        </w:rPr>
        <w:t xml:space="preserve"> 12 ay önce “gerçekleşen” sorunlu durumdaki Portföy IBRD/IDA/RETF  projeleri arasında son 12 ay içerisinde proaktif</w:t>
      </w:r>
      <w:r>
        <w:rPr>
          <w:sz w:val="16"/>
          <w:szCs w:val="16"/>
          <w:lang w:val="tr-TR"/>
        </w:rPr>
        <w:t xml:space="preserve"> bir </w:t>
      </w:r>
      <w:r w:rsidRPr="006720DF">
        <w:rPr>
          <w:sz w:val="16"/>
          <w:szCs w:val="16"/>
          <w:lang w:val="tr-TR"/>
        </w:rPr>
        <w:t>işlem yapılanların payının 12 ay önceki toplam sorunlu proje sayısına bölümü.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377"/>
    <w:multiLevelType w:val="hybridMultilevel"/>
    <w:tmpl w:val="2D70913A"/>
    <w:styleLink w:val="ImportedStyle3"/>
    <w:lvl w:ilvl="0" w:tplc="EABAA948">
      <w:start w:val="1"/>
      <w:numFmt w:val="decimal"/>
      <w:lvlText w:val="%1."/>
      <w:lvlJc w:val="left"/>
      <w:pPr>
        <w:ind w:left="751" w:hanging="751"/>
      </w:pPr>
      <w:rPr>
        <w:rFonts w:hAnsi="Arial Unicode MS"/>
        <w:b/>
        <w:bCs/>
        <w:caps w:val="0"/>
        <w:smallCaps w:val="0"/>
        <w:strike w:val="0"/>
        <w:dstrike w:val="0"/>
        <w:outline w:val="0"/>
        <w:emboss w:val="0"/>
        <w:imprint w:val="0"/>
        <w:spacing w:val="0"/>
        <w:w w:val="100"/>
        <w:kern w:val="0"/>
        <w:position w:val="0"/>
        <w:highlight w:val="none"/>
        <w:vertAlign w:val="baseline"/>
      </w:rPr>
    </w:lvl>
    <w:lvl w:ilvl="1" w:tplc="D16E1832">
      <w:start w:val="1"/>
      <w:numFmt w:val="lowerLetter"/>
      <w:lvlText w:val="%2."/>
      <w:lvlJc w:val="left"/>
      <w:pPr>
        <w:ind w:left="101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50EA9C">
      <w:start w:val="1"/>
      <w:numFmt w:val="lowerRoman"/>
      <w:lvlText w:val="%3."/>
      <w:lvlJc w:val="left"/>
      <w:pPr>
        <w:ind w:left="1726" w:hanging="389"/>
      </w:pPr>
      <w:rPr>
        <w:rFonts w:hAnsi="Arial Unicode MS"/>
        <w:b/>
        <w:bCs/>
        <w:caps w:val="0"/>
        <w:smallCaps w:val="0"/>
        <w:strike w:val="0"/>
        <w:dstrike w:val="0"/>
        <w:outline w:val="0"/>
        <w:emboss w:val="0"/>
        <w:imprint w:val="0"/>
        <w:spacing w:val="0"/>
        <w:w w:val="100"/>
        <w:kern w:val="0"/>
        <w:position w:val="0"/>
        <w:highlight w:val="none"/>
        <w:vertAlign w:val="baseline"/>
      </w:rPr>
    </w:lvl>
    <w:lvl w:ilvl="3" w:tplc="265AD0E6">
      <w:start w:val="1"/>
      <w:numFmt w:val="decimal"/>
      <w:lvlText w:val="%4."/>
      <w:lvlJc w:val="left"/>
      <w:pPr>
        <w:ind w:left="245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E0FE7C">
      <w:start w:val="1"/>
      <w:numFmt w:val="lowerLetter"/>
      <w:lvlText w:val="%5."/>
      <w:lvlJc w:val="left"/>
      <w:pPr>
        <w:ind w:left="317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768D94">
      <w:start w:val="1"/>
      <w:numFmt w:val="lowerRoman"/>
      <w:lvlText w:val="%6."/>
      <w:lvlJc w:val="left"/>
      <w:pPr>
        <w:ind w:left="3886" w:hanging="389"/>
      </w:pPr>
      <w:rPr>
        <w:rFonts w:hAnsi="Arial Unicode MS"/>
        <w:b/>
        <w:bCs/>
        <w:caps w:val="0"/>
        <w:smallCaps w:val="0"/>
        <w:strike w:val="0"/>
        <w:dstrike w:val="0"/>
        <w:outline w:val="0"/>
        <w:emboss w:val="0"/>
        <w:imprint w:val="0"/>
        <w:spacing w:val="0"/>
        <w:w w:val="100"/>
        <w:kern w:val="0"/>
        <w:position w:val="0"/>
        <w:highlight w:val="none"/>
        <w:vertAlign w:val="baseline"/>
      </w:rPr>
    </w:lvl>
    <w:lvl w:ilvl="6" w:tplc="082CD3CE">
      <w:start w:val="1"/>
      <w:numFmt w:val="decimal"/>
      <w:lvlText w:val="%7."/>
      <w:lvlJc w:val="left"/>
      <w:pPr>
        <w:ind w:left="461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7" w:tplc="30D24860">
      <w:start w:val="1"/>
      <w:numFmt w:val="lowerLetter"/>
      <w:lvlText w:val="%8."/>
      <w:lvlJc w:val="left"/>
      <w:pPr>
        <w:ind w:left="533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20111E">
      <w:start w:val="1"/>
      <w:numFmt w:val="lowerRoman"/>
      <w:lvlText w:val="%9."/>
      <w:lvlJc w:val="left"/>
      <w:pPr>
        <w:ind w:left="6046" w:hanging="3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upperLetter"/>
      <w:pStyle w:val="PDSHeading2"/>
      <w:lvlText w:val="%2."/>
      <w:lvlJc w:val="left"/>
      <w:pPr>
        <w:tabs>
          <w:tab w:val="num" w:pos="360"/>
        </w:tabs>
        <w:ind w:left="0" w:firstLine="0"/>
      </w:pPr>
    </w:lvl>
    <w:lvl w:ilvl="2">
      <w:start w:val="1"/>
      <w:numFmt w:val="decimal"/>
      <w:lvlText w:val="%3."/>
      <w:lvlJc w:val="left"/>
      <w:pPr>
        <w:tabs>
          <w:tab w:val="num" w:pos="720"/>
        </w:tabs>
        <w:ind w:left="72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83308C"/>
    <w:multiLevelType w:val="hybridMultilevel"/>
    <w:tmpl w:val="F6A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332"/>
    <w:multiLevelType w:val="hybridMultilevel"/>
    <w:tmpl w:val="2ECA47E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55228D"/>
    <w:multiLevelType w:val="hybridMultilevel"/>
    <w:tmpl w:val="8A8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93B39"/>
    <w:multiLevelType w:val="multilevel"/>
    <w:tmpl w:val="24DEDAB4"/>
    <w:lvl w:ilvl="0">
      <w:start w:val="1"/>
      <w:numFmt w:val="decimal"/>
      <w:lvlText w:val="%1."/>
      <w:lvlJc w:val="left"/>
      <w:pPr>
        <w:ind w:left="0" w:firstLine="0"/>
      </w:pPr>
      <w:rPr>
        <w:rFonts w:hint="default"/>
        <w:b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4023C"/>
    <w:multiLevelType w:val="hybridMultilevel"/>
    <w:tmpl w:val="3F0E5D0E"/>
    <w:lvl w:ilvl="0" w:tplc="723871DA">
      <w:start w:val="1"/>
      <w:numFmt w:val="bullet"/>
      <w:lvlText w:val="•"/>
      <w:lvlJc w:val="left"/>
      <w:pPr>
        <w:tabs>
          <w:tab w:val="num" w:pos="720"/>
        </w:tabs>
        <w:ind w:left="720" w:hanging="360"/>
      </w:pPr>
      <w:rPr>
        <w:rFonts w:asciiTheme="minorHAnsi" w:hAnsiTheme="minorHAnsi" w:cstheme="minorHAnsi" w:hint="default"/>
      </w:rPr>
    </w:lvl>
    <w:lvl w:ilvl="1" w:tplc="4A2AA976" w:tentative="1">
      <w:start w:val="1"/>
      <w:numFmt w:val="bullet"/>
      <w:lvlText w:val="•"/>
      <w:lvlJc w:val="left"/>
      <w:pPr>
        <w:tabs>
          <w:tab w:val="num" w:pos="1440"/>
        </w:tabs>
        <w:ind w:left="1440" w:hanging="360"/>
      </w:pPr>
      <w:rPr>
        <w:rFonts w:ascii="Arial" w:hAnsi="Arial" w:hint="default"/>
      </w:rPr>
    </w:lvl>
    <w:lvl w:ilvl="2" w:tplc="A33E176A" w:tentative="1">
      <w:start w:val="1"/>
      <w:numFmt w:val="bullet"/>
      <w:lvlText w:val="•"/>
      <w:lvlJc w:val="left"/>
      <w:pPr>
        <w:tabs>
          <w:tab w:val="num" w:pos="2160"/>
        </w:tabs>
        <w:ind w:left="2160" w:hanging="360"/>
      </w:pPr>
      <w:rPr>
        <w:rFonts w:ascii="Arial" w:hAnsi="Arial" w:hint="default"/>
      </w:rPr>
    </w:lvl>
    <w:lvl w:ilvl="3" w:tplc="7DEE7F6C" w:tentative="1">
      <w:start w:val="1"/>
      <w:numFmt w:val="bullet"/>
      <w:lvlText w:val="•"/>
      <w:lvlJc w:val="left"/>
      <w:pPr>
        <w:tabs>
          <w:tab w:val="num" w:pos="2880"/>
        </w:tabs>
        <w:ind w:left="2880" w:hanging="360"/>
      </w:pPr>
      <w:rPr>
        <w:rFonts w:ascii="Arial" w:hAnsi="Arial" w:hint="default"/>
      </w:rPr>
    </w:lvl>
    <w:lvl w:ilvl="4" w:tplc="C0D4FACE" w:tentative="1">
      <w:start w:val="1"/>
      <w:numFmt w:val="bullet"/>
      <w:lvlText w:val="•"/>
      <w:lvlJc w:val="left"/>
      <w:pPr>
        <w:tabs>
          <w:tab w:val="num" w:pos="3600"/>
        </w:tabs>
        <w:ind w:left="3600" w:hanging="360"/>
      </w:pPr>
      <w:rPr>
        <w:rFonts w:ascii="Arial" w:hAnsi="Arial" w:hint="default"/>
      </w:rPr>
    </w:lvl>
    <w:lvl w:ilvl="5" w:tplc="6436D9CA" w:tentative="1">
      <w:start w:val="1"/>
      <w:numFmt w:val="bullet"/>
      <w:lvlText w:val="•"/>
      <w:lvlJc w:val="left"/>
      <w:pPr>
        <w:tabs>
          <w:tab w:val="num" w:pos="4320"/>
        </w:tabs>
        <w:ind w:left="4320" w:hanging="360"/>
      </w:pPr>
      <w:rPr>
        <w:rFonts w:ascii="Arial" w:hAnsi="Arial" w:hint="default"/>
      </w:rPr>
    </w:lvl>
    <w:lvl w:ilvl="6" w:tplc="94E206AE" w:tentative="1">
      <w:start w:val="1"/>
      <w:numFmt w:val="bullet"/>
      <w:lvlText w:val="•"/>
      <w:lvlJc w:val="left"/>
      <w:pPr>
        <w:tabs>
          <w:tab w:val="num" w:pos="5040"/>
        </w:tabs>
        <w:ind w:left="5040" w:hanging="360"/>
      </w:pPr>
      <w:rPr>
        <w:rFonts w:ascii="Arial" w:hAnsi="Arial" w:hint="default"/>
      </w:rPr>
    </w:lvl>
    <w:lvl w:ilvl="7" w:tplc="7F486F02" w:tentative="1">
      <w:start w:val="1"/>
      <w:numFmt w:val="bullet"/>
      <w:lvlText w:val="•"/>
      <w:lvlJc w:val="left"/>
      <w:pPr>
        <w:tabs>
          <w:tab w:val="num" w:pos="5760"/>
        </w:tabs>
        <w:ind w:left="5760" w:hanging="360"/>
      </w:pPr>
      <w:rPr>
        <w:rFonts w:ascii="Arial" w:hAnsi="Arial" w:hint="default"/>
      </w:rPr>
    </w:lvl>
    <w:lvl w:ilvl="8" w:tplc="FD9AB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A27946"/>
    <w:multiLevelType w:val="hybridMultilevel"/>
    <w:tmpl w:val="8858FB5C"/>
    <w:styleLink w:val="ImportedStyle30"/>
    <w:lvl w:ilvl="0" w:tplc="9C84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6461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345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4E82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A4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5E4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DE5B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B4A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9CCE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2D2204"/>
    <w:multiLevelType w:val="hybridMultilevel"/>
    <w:tmpl w:val="E64A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B3EE0"/>
    <w:multiLevelType w:val="hybridMultilevel"/>
    <w:tmpl w:val="15969B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442825"/>
    <w:multiLevelType w:val="hybridMultilevel"/>
    <w:tmpl w:val="9CE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A061B"/>
    <w:multiLevelType w:val="hybridMultilevel"/>
    <w:tmpl w:val="D0C0EF5A"/>
    <w:lvl w:ilvl="0" w:tplc="112632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E2338"/>
    <w:multiLevelType w:val="hybridMultilevel"/>
    <w:tmpl w:val="BF746180"/>
    <w:lvl w:ilvl="0" w:tplc="CF6CE7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439E6"/>
    <w:multiLevelType w:val="multilevel"/>
    <w:tmpl w:val="06EE1D8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strike w:val="0"/>
      </w:rPr>
    </w:lvl>
    <w:lvl w:ilvl="2">
      <w:start w:val="1"/>
      <w:numFmt w:val="lowerLetter"/>
      <w:pStyle w:val="Sub-Para1underXY"/>
      <w:lvlText w:val="(%3)"/>
      <w:lvlJc w:val="left"/>
      <w:pPr>
        <w:tabs>
          <w:tab w:val="num" w:pos="1080"/>
        </w:tabs>
        <w:ind w:left="720" w:hanging="360"/>
      </w:pPr>
      <w:rPr>
        <w:rFonts w:hint="default"/>
      </w:rPr>
    </w:lvl>
    <w:lvl w:ilvl="3">
      <w:start w:val="1"/>
      <w:numFmt w:val="lowerRoman"/>
      <w:pStyle w:val="Sub-Para2underXY"/>
      <w:lvlText w:val="(%4)"/>
      <w:lvlJc w:val="left"/>
      <w:pPr>
        <w:tabs>
          <w:tab w:val="num" w:pos="1800"/>
        </w:tabs>
        <w:ind w:left="1080" w:hanging="360"/>
      </w:pPr>
      <w:rPr>
        <w:rFonts w:hint="default"/>
      </w:rPr>
    </w:lvl>
    <w:lvl w:ilvl="4">
      <w:start w:val="1"/>
      <w:numFmt w:val="lowerLetter"/>
      <w:pStyle w:val="Sub-Para3underXY"/>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2E7B54"/>
    <w:multiLevelType w:val="hybridMultilevel"/>
    <w:tmpl w:val="1DAC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B0469"/>
    <w:multiLevelType w:val="hybridMultilevel"/>
    <w:tmpl w:val="002CE0F0"/>
    <w:lvl w:ilvl="0" w:tplc="0F7EA646">
      <w:start w:val="1"/>
      <w:numFmt w:val="bullet"/>
      <w:lvlText w:val="•"/>
      <w:lvlJc w:val="left"/>
      <w:pPr>
        <w:tabs>
          <w:tab w:val="num" w:pos="720"/>
        </w:tabs>
        <w:ind w:left="720" w:hanging="360"/>
      </w:pPr>
      <w:rPr>
        <w:rFonts w:asciiTheme="minorHAnsi" w:hAnsiTheme="minorHAnsi" w:cstheme="minorHAnsi" w:hint="default"/>
      </w:rPr>
    </w:lvl>
    <w:lvl w:ilvl="1" w:tplc="6BD43050" w:tentative="1">
      <w:start w:val="1"/>
      <w:numFmt w:val="bullet"/>
      <w:lvlText w:val="•"/>
      <w:lvlJc w:val="left"/>
      <w:pPr>
        <w:tabs>
          <w:tab w:val="num" w:pos="1440"/>
        </w:tabs>
        <w:ind w:left="1440" w:hanging="360"/>
      </w:pPr>
      <w:rPr>
        <w:rFonts w:ascii="Arial" w:hAnsi="Arial" w:hint="default"/>
      </w:rPr>
    </w:lvl>
    <w:lvl w:ilvl="2" w:tplc="F4F646A6" w:tentative="1">
      <w:start w:val="1"/>
      <w:numFmt w:val="bullet"/>
      <w:lvlText w:val="•"/>
      <w:lvlJc w:val="left"/>
      <w:pPr>
        <w:tabs>
          <w:tab w:val="num" w:pos="2160"/>
        </w:tabs>
        <w:ind w:left="2160" w:hanging="360"/>
      </w:pPr>
      <w:rPr>
        <w:rFonts w:ascii="Arial" w:hAnsi="Arial" w:hint="default"/>
      </w:rPr>
    </w:lvl>
    <w:lvl w:ilvl="3" w:tplc="C54CA478" w:tentative="1">
      <w:start w:val="1"/>
      <w:numFmt w:val="bullet"/>
      <w:lvlText w:val="•"/>
      <w:lvlJc w:val="left"/>
      <w:pPr>
        <w:tabs>
          <w:tab w:val="num" w:pos="2880"/>
        </w:tabs>
        <w:ind w:left="2880" w:hanging="360"/>
      </w:pPr>
      <w:rPr>
        <w:rFonts w:ascii="Arial" w:hAnsi="Arial" w:hint="default"/>
      </w:rPr>
    </w:lvl>
    <w:lvl w:ilvl="4" w:tplc="12EE7342" w:tentative="1">
      <w:start w:val="1"/>
      <w:numFmt w:val="bullet"/>
      <w:lvlText w:val="•"/>
      <w:lvlJc w:val="left"/>
      <w:pPr>
        <w:tabs>
          <w:tab w:val="num" w:pos="3600"/>
        </w:tabs>
        <w:ind w:left="3600" w:hanging="360"/>
      </w:pPr>
      <w:rPr>
        <w:rFonts w:ascii="Arial" w:hAnsi="Arial" w:hint="default"/>
      </w:rPr>
    </w:lvl>
    <w:lvl w:ilvl="5" w:tplc="3F3EB6FE" w:tentative="1">
      <w:start w:val="1"/>
      <w:numFmt w:val="bullet"/>
      <w:lvlText w:val="•"/>
      <w:lvlJc w:val="left"/>
      <w:pPr>
        <w:tabs>
          <w:tab w:val="num" w:pos="4320"/>
        </w:tabs>
        <w:ind w:left="4320" w:hanging="360"/>
      </w:pPr>
      <w:rPr>
        <w:rFonts w:ascii="Arial" w:hAnsi="Arial" w:hint="default"/>
      </w:rPr>
    </w:lvl>
    <w:lvl w:ilvl="6" w:tplc="B62409EA" w:tentative="1">
      <w:start w:val="1"/>
      <w:numFmt w:val="bullet"/>
      <w:lvlText w:val="•"/>
      <w:lvlJc w:val="left"/>
      <w:pPr>
        <w:tabs>
          <w:tab w:val="num" w:pos="5040"/>
        </w:tabs>
        <w:ind w:left="5040" w:hanging="360"/>
      </w:pPr>
      <w:rPr>
        <w:rFonts w:ascii="Arial" w:hAnsi="Arial" w:hint="default"/>
      </w:rPr>
    </w:lvl>
    <w:lvl w:ilvl="7" w:tplc="DB18D2D6" w:tentative="1">
      <w:start w:val="1"/>
      <w:numFmt w:val="bullet"/>
      <w:lvlText w:val="•"/>
      <w:lvlJc w:val="left"/>
      <w:pPr>
        <w:tabs>
          <w:tab w:val="num" w:pos="5760"/>
        </w:tabs>
        <w:ind w:left="5760" w:hanging="360"/>
      </w:pPr>
      <w:rPr>
        <w:rFonts w:ascii="Arial" w:hAnsi="Arial" w:hint="default"/>
      </w:rPr>
    </w:lvl>
    <w:lvl w:ilvl="8" w:tplc="FE9C2F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8F522C"/>
    <w:multiLevelType w:val="hybridMultilevel"/>
    <w:tmpl w:val="B7444DB2"/>
    <w:lvl w:ilvl="0" w:tplc="9EC0C654">
      <w:start w:val="1"/>
      <w:numFmt w:val="decimal"/>
      <w:lvlText w:val="%1."/>
      <w:lvlJc w:val="left"/>
      <w:pPr>
        <w:ind w:left="720" w:hanging="360"/>
      </w:pPr>
      <w:rPr>
        <w:rFonts w:ascii="Times New Roman" w:hAnsi="Times New Roman" w:cs="Times New Roman" w:hint="default"/>
        <w:b/>
        <w:i w:val="0"/>
        <w:color w:val="auto"/>
        <w:sz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AA3453F"/>
    <w:multiLevelType w:val="hybridMultilevel"/>
    <w:tmpl w:val="AE4E8552"/>
    <w:styleLink w:val="ImportedStyle20"/>
    <w:lvl w:ilvl="0" w:tplc="13A64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0E0A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24F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E8F2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6A22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FAA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2A3D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945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149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B6972C0"/>
    <w:multiLevelType w:val="hybridMultilevel"/>
    <w:tmpl w:val="DC043E10"/>
    <w:lvl w:ilvl="0" w:tplc="04090011">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3381D"/>
    <w:multiLevelType w:val="hybridMultilevel"/>
    <w:tmpl w:val="E7AC57E6"/>
    <w:styleLink w:val="ImportedStyle9"/>
    <w:lvl w:ilvl="0" w:tplc="ACCE004C">
      <w:start w:val="1"/>
      <w:numFmt w:val="lowerRoman"/>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F5E70EE">
      <w:start w:val="1"/>
      <w:numFmt w:val="lowerLetter"/>
      <w:lvlText w:val="%2."/>
      <w:lvlJc w:val="left"/>
      <w:pPr>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0B6589E">
      <w:start w:val="1"/>
      <w:numFmt w:val="lowerRoman"/>
      <w:lvlText w:val="%3."/>
      <w:lvlJc w:val="left"/>
      <w:pPr>
        <w:ind w:left="555" w:hanging="55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B0E5A6E">
      <w:start w:val="1"/>
      <w:numFmt w:val="decimal"/>
      <w:lvlText w:val="%4."/>
      <w:lvlJc w:val="left"/>
      <w:pPr>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05697DC">
      <w:start w:val="1"/>
      <w:numFmt w:val="lowerLetter"/>
      <w:lvlText w:val="%5."/>
      <w:lvlJc w:val="left"/>
      <w:pPr>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D66059E">
      <w:start w:val="1"/>
      <w:numFmt w:val="lowerRoman"/>
      <w:lvlText w:val="%6."/>
      <w:lvlJc w:val="left"/>
      <w:pPr>
        <w:ind w:left="555" w:hanging="55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6145ECE">
      <w:start w:val="1"/>
      <w:numFmt w:val="decimal"/>
      <w:lvlText w:val="%7."/>
      <w:lvlJc w:val="left"/>
      <w:pPr>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A5A8B02">
      <w:start w:val="1"/>
      <w:numFmt w:val="lowerLetter"/>
      <w:lvlText w:val="%8."/>
      <w:lvlJc w:val="left"/>
      <w:pPr>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07694AC">
      <w:start w:val="1"/>
      <w:numFmt w:val="lowerRoman"/>
      <w:lvlText w:val="%9."/>
      <w:lvlJc w:val="left"/>
      <w:pPr>
        <w:ind w:left="555" w:hanging="55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FD47286"/>
    <w:multiLevelType w:val="hybridMultilevel"/>
    <w:tmpl w:val="B0B8109E"/>
    <w:styleLink w:val="ImportedStyle7"/>
    <w:lvl w:ilvl="0" w:tplc="F7421F6C">
      <w:start w:val="1"/>
      <w:numFmt w:val="lowerRoman"/>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F5AA0194">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C044BB6">
      <w:start w:val="1"/>
      <w:numFmt w:val="lowerRoman"/>
      <w:lvlText w:val="%3."/>
      <w:lvlJc w:val="left"/>
      <w:pPr>
        <w:ind w:left="180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E14241A">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FB21136">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3A0E454">
      <w:start w:val="1"/>
      <w:numFmt w:val="lowerRoman"/>
      <w:lvlText w:val="%6."/>
      <w:lvlJc w:val="left"/>
      <w:pPr>
        <w:ind w:left="396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12B4D126">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AEE51A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606EA54">
      <w:start w:val="1"/>
      <w:numFmt w:val="lowerRoman"/>
      <w:lvlText w:val="%9."/>
      <w:lvlJc w:val="left"/>
      <w:pPr>
        <w:ind w:left="612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F22D68"/>
    <w:multiLevelType w:val="hybridMultilevel"/>
    <w:tmpl w:val="74FC7D9A"/>
    <w:styleLink w:val="ImportedStyle4"/>
    <w:lvl w:ilvl="0" w:tplc="07DE2E6E">
      <w:start w:val="1"/>
      <w:numFmt w:val="lowerRoman"/>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D1CDD94">
      <w:start w:val="1"/>
      <w:numFmt w:val="lowerLetter"/>
      <w:lvlText w:val="%2."/>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342F5A0">
      <w:start w:val="1"/>
      <w:numFmt w:val="lowerRoman"/>
      <w:lvlText w:val="%3."/>
      <w:lvlJc w:val="left"/>
      <w:pPr>
        <w:ind w:left="1080" w:hanging="64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25AA9AA">
      <w:start w:val="1"/>
      <w:numFmt w:val="decimal"/>
      <w:lvlText w:val="%4."/>
      <w:lvlJc w:val="left"/>
      <w:pPr>
        <w:ind w:left="180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F0E60FC">
      <w:start w:val="1"/>
      <w:numFmt w:val="lowerLetter"/>
      <w:lvlText w:val="%5."/>
      <w:lvlJc w:val="left"/>
      <w:pPr>
        <w:ind w:left="25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31C4570">
      <w:start w:val="1"/>
      <w:numFmt w:val="lowerRoman"/>
      <w:lvlText w:val="%6."/>
      <w:lvlJc w:val="left"/>
      <w:pPr>
        <w:ind w:left="3240" w:hanging="64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3BC01A8">
      <w:start w:val="1"/>
      <w:numFmt w:val="decimal"/>
      <w:lvlText w:val="%7."/>
      <w:lvlJc w:val="left"/>
      <w:pPr>
        <w:ind w:left="396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A82768A">
      <w:start w:val="1"/>
      <w:numFmt w:val="lowerLetter"/>
      <w:lvlText w:val="%8."/>
      <w:lvlJc w:val="left"/>
      <w:pPr>
        <w:ind w:left="46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FDA49F4">
      <w:start w:val="1"/>
      <w:numFmt w:val="lowerRoman"/>
      <w:lvlText w:val="%9."/>
      <w:lvlJc w:val="left"/>
      <w:pPr>
        <w:ind w:left="5400" w:hanging="64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095C85"/>
    <w:multiLevelType w:val="hybridMultilevel"/>
    <w:tmpl w:val="A978CD8C"/>
    <w:lvl w:ilvl="0" w:tplc="F2F8D100">
      <w:start w:val="1"/>
      <w:numFmt w:val="decimal"/>
      <w:pStyle w:val="Normail1"/>
      <w:lvlText w:val="%1."/>
      <w:lvlJc w:val="left"/>
      <w:pPr>
        <w:ind w:left="990" w:hanging="360"/>
      </w:pPr>
      <w:rPr>
        <w:rFonts w:ascii="Times New Roman" w:hAnsi="Times New Roman" w:hint="default"/>
        <w:b/>
        <w:i w:val="0"/>
        <w:color w:val="auto"/>
        <w:sz w:val="24"/>
      </w:rPr>
    </w:lvl>
    <w:lvl w:ilvl="1" w:tplc="04090019">
      <w:start w:val="1"/>
      <w:numFmt w:val="lowerLetter"/>
      <w:lvlText w:val="%2."/>
      <w:lvlJc w:val="left"/>
      <w:pPr>
        <w:ind w:left="1440" w:hanging="360"/>
      </w:pPr>
    </w:lvl>
    <w:lvl w:ilvl="2" w:tplc="C1B6192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83283"/>
    <w:multiLevelType w:val="multilevel"/>
    <w:tmpl w:val="FB8847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BB6276"/>
    <w:multiLevelType w:val="hybridMultilevel"/>
    <w:tmpl w:val="4E8CCABA"/>
    <w:styleLink w:val="ImportedStyle2"/>
    <w:lvl w:ilvl="0" w:tplc="BAE2F81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7886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3EF8D6">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D40FA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98690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7EF58C">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A41091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7ECFB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961634">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D1D0A53"/>
    <w:multiLevelType w:val="hybridMultilevel"/>
    <w:tmpl w:val="61743172"/>
    <w:styleLink w:val="ImportedStyle11"/>
    <w:lvl w:ilvl="0" w:tplc="6A48D4DA">
      <w:start w:val="1"/>
      <w:numFmt w:val="upp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1069B06">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84C5782">
      <w:start w:val="1"/>
      <w:numFmt w:val="lowerRoman"/>
      <w:lvlText w:val="%3."/>
      <w:lvlJc w:val="left"/>
      <w:pPr>
        <w:ind w:left="180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2F07096">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5BEEB7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B10D9E4">
      <w:start w:val="1"/>
      <w:numFmt w:val="lowerRoman"/>
      <w:lvlText w:val="%6."/>
      <w:lvlJc w:val="left"/>
      <w:pPr>
        <w:ind w:left="396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D26AAF8">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50A5C4A">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7464FF2">
      <w:start w:val="1"/>
      <w:numFmt w:val="lowerRoman"/>
      <w:lvlText w:val="%9."/>
      <w:lvlJc w:val="left"/>
      <w:pPr>
        <w:ind w:left="612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D91885"/>
    <w:multiLevelType w:val="hybridMultilevel"/>
    <w:tmpl w:val="EBA6D6CE"/>
    <w:lvl w:ilvl="0" w:tplc="3AE492DE">
      <w:start w:val="1"/>
      <w:numFmt w:val="bullet"/>
      <w:lvlText w:val="•"/>
      <w:lvlJc w:val="left"/>
      <w:pPr>
        <w:tabs>
          <w:tab w:val="num" w:pos="720"/>
        </w:tabs>
        <w:ind w:left="720" w:hanging="360"/>
      </w:pPr>
      <w:rPr>
        <w:rFonts w:asciiTheme="minorHAnsi" w:hAnsiTheme="minorHAnsi" w:cstheme="minorHAnsi" w:hint="default"/>
      </w:rPr>
    </w:lvl>
    <w:lvl w:ilvl="1" w:tplc="EB4ED4A8" w:tentative="1">
      <w:start w:val="1"/>
      <w:numFmt w:val="bullet"/>
      <w:lvlText w:val="•"/>
      <w:lvlJc w:val="left"/>
      <w:pPr>
        <w:tabs>
          <w:tab w:val="num" w:pos="1440"/>
        </w:tabs>
        <w:ind w:left="1440" w:hanging="360"/>
      </w:pPr>
      <w:rPr>
        <w:rFonts w:ascii="Arial" w:hAnsi="Arial" w:hint="default"/>
      </w:rPr>
    </w:lvl>
    <w:lvl w:ilvl="2" w:tplc="CF6ABA90" w:tentative="1">
      <w:start w:val="1"/>
      <w:numFmt w:val="bullet"/>
      <w:lvlText w:val="•"/>
      <w:lvlJc w:val="left"/>
      <w:pPr>
        <w:tabs>
          <w:tab w:val="num" w:pos="2160"/>
        </w:tabs>
        <w:ind w:left="2160" w:hanging="360"/>
      </w:pPr>
      <w:rPr>
        <w:rFonts w:ascii="Arial" w:hAnsi="Arial" w:hint="default"/>
      </w:rPr>
    </w:lvl>
    <w:lvl w:ilvl="3" w:tplc="D1E49B62" w:tentative="1">
      <w:start w:val="1"/>
      <w:numFmt w:val="bullet"/>
      <w:lvlText w:val="•"/>
      <w:lvlJc w:val="left"/>
      <w:pPr>
        <w:tabs>
          <w:tab w:val="num" w:pos="2880"/>
        </w:tabs>
        <w:ind w:left="2880" w:hanging="360"/>
      </w:pPr>
      <w:rPr>
        <w:rFonts w:ascii="Arial" w:hAnsi="Arial" w:hint="default"/>
      </w:rPr>
    </w:lvl>
    <w:lvl w:ilvl="4" w:tplc="744AC0C0" w:tentative="1">
      <w:start w:val="1"/>
      <w:numFmt w:val="bullet"/>
      <w:lvlText w:val="•"/>
      <w:lvlJc w:val="left"/>
      <w:pPr>
        <w:tabs>
          <w:tab w:val="num" w:pos="3600"/>
        </w:tabs>
        <w:ind w:left="3600" w:hanging="360"/>
      </w:pPr>
      <w:rPr>
        <w:rFonts w:ascii="Arial" w:hAnsi="Arial" w:hint="default"/>
      </w:rPr>
    </w:lvl>
    <w:lvl w:ilvl="5" w:tplc="2A848034" w:tentative="1">
      <w:start w:val="1"/>
      <w:numFmt w:val="bullet"/>
      <w:lvlText w:val="•"/>
      <w:lvlJc w:val="left"/>
      <w:pPr>
        <w:tabs>
          <w:tab w:val="num" w:pos="4320"/>
        </w:tabs>
        <w:ind w:left="4320" w:hanging="360"/>
      </w:pPr>
      <w:rPr>
        <w:rFonts w:ascii="Arial" w:hAnsi="Arial" w:hint="default"/>
      </w:rPr>
    </w:lvl>
    <w:lvl w:ilvl="6" w:tplc="B664A7CE" w:tentative="1">
      <w:start w:val="1"/>
      <w:numFmt w:val="bullet"/>
      <w:lvlText w:val="•"/>
      <w:lvlJc w:val="left"/>
      <w:pPr>
        <w:tabs>
          <w:tab w:val="num" w:pos="5040"/>
        </w:tabs>
        <w:ind w:left="5040" w:hanging="360"/>
      </w:pPr>
      <w:rPr>
        <w:rFonts w:ascii="Arial" w:hAnsi="Arial" w:hint="default"/>
      </w:rPr>
    </w:lvl>
    <w:lvl w:ilvl="7" w:tplc="30A6E036" w:tentative="1">
      <w:start w:val="1"/>
      <w:numFmt w:val="bullet"/>
      <w:lvlText w:val="•"/>
      <w:lvlJc w:val="left"/>
      <w:pPr>
        <w:tabs>
          <w:tab w:val="num" w:pos="5760"/>
        </w:tabs>
        <w:ind w:left="5760" w:hanging="360"/>
      </w:pPr>
      <w:rPr>
        <w:rFonts w:ascii="Arial" w:hAnsi="Arial" w:hint="default"/>
      </w:rPr>
    </w:lvl>
    <w:lvl w:ilvl="8" w:tplc="19C023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0A3E64"/>
    <w:multiLevelType w:val="hybridMultilevel"/>
    <w:tmpl w:val="332C8D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72233E"/>
    <w:multiLevelType w:val="hybridMultilevel"/>
    <w:tmpl w:val="B8B2FADA"/>
    <w:lvl w:ilvl="0" w:tplc="38BCCF38">
      <w:start w:val="1"/>
      <w:numFmt w:val="bullet"/>
      <w:lvlText w:val="•"/>
      <w:lvlJc w:val="left"/>
      <w:pPr>
        <w:tabs>
          <w:tab w:val="num" w:pos="720"/>
        </w:tabs>
        <w:ind w:left="720" w:hanging="360"/>
      </w:pPr>
      <w:rPr>
        <w:rFonts w:asciiTheme="minorHAnsi" w:hAnsiTheme="minorHAnsi" w:cstheme="minorHAnsi" w:hint="default"/>
      </w:rPr>
    </w:lvl>
    <w:lvl w:ilvl="1" w:tplc="35426EFE" w:tentative="1">
      <w:start w:val="1"/>
      <w:numFmt w:val="bullet"/>
      <w:lvlText w:val="•"/>
      <w:lvlJc w:val="left"/>
      <w:pPr>
        <w:tabs>
          <w:tab w:val="num" w:pos="1440"/>
        </w:tabs>
        <w:ind w:left="1440" w:hanging="360"/>
      </w:pPr>
      <w:rPr>
        <w:rFonts w:ascii="Arial" w:hAnsi="Arial" w:hint="default"/>
      </w:rPr>
    </w:lvl>
    <w:lvl w:ilvl="2" w:tplc="5DAE5964" w:tentative="1">
      <w:start w:val="1"/>
      <w:numFmt w:val="bullet"/>
      <w:lvlText w:val="•"/>
      <w:lvlJc w:val="left"/>
      <w:pPr>
        <w:tabs>
          <w:tab w:val="num" w:pos="2160"/>
        </w:tabs>
        <w:ind w:left="2160" w:hanging="360"/>
      </w:pPr>
      <w:rPr>
        <w:rFonts w:ascii="Arial" w:hAnsi="Arial" w:hint="default"/>
      </w:rPr>
    </w:lvl>
    <w:lvl w:ilvl="3" w:tplc="C8504850" w:tentative="1">
      <w:start w:val="1"/>
      <w:numFmt w:val="bullet"/>
      <w:lvlText w:val="•"/>
      <w:lvlJc w:val="left"/>
      <w:pPr>
        <w:tabs>
          <w:tab w:val="num" w:pos="2880"/>
        </w:tabs>
        <w:ind w:left="2880" w:hanging="360"/>
      </w:pPr>
      <w:rPr>
        <w:rFonts w:ascii="Arial" w:hAnsi="Arial" w:hint="default"/>
      </w:rPr>
    </w:lvl>
    <w:lvl w:ilvl="4" w:tplc="BC4EB2B4" w:tentative="1">
      <w:start w:val="1"/>
      <w:numFmt w:val="bullet"/>
      <w:lvlText w:val="•"/>
      <w:lvlJc w:val="left"/>
      <w:pPr>
        <w:tabs>
          <w:tab w:val="num" w:pos="3600"/>
        </w:tabs>
        <w:ind w:left="3600" w:hanging="360"/>
      </w:pPr>
      <w:rPr>
        <w:rFonts w:ascii="Arial" w:hAnsi="Arial" w:hint="default"/>
      </w:rPr>
    </w:lvl>
    <w:lvl w:ilvl="5" w:tplc="2280E174" w:tentative="1">
      <w:start w:val="1"/>
      <w:numFmt w:val="bullet"/>
      <w:lvlText w:val="•"/>
      <w:lvlJc w:val="left"/>
      <w:pPr>
        <w:tabs>
          <w:tab w:val="num" w:pos="4320"/>
        </w:tabs>
        <w:ind w:left="4320" w:hanging="360"/>
      </w:pPr>
      <w:rPr>
        <w:rFonts w:ascii="Arial" w:hAnsi="Arial" w:hint="default"/>
      </w:rPr>
    </w:lvl>
    <w:lvl w:ilvl="6" w:tplc="C0D6603E" w:tentative="1">
      <w:start w:val="1"/>
      <w:numFmt w:val="bullet"/>
      <w:lvlText w:val="•"/>
      <w:lvlJc w:val="left"/>
      <w:pPr>
        <w:tabs>
          <w:tab w:val="num" w:pos="5040"/>
        </w:tabs>
        <w:ind w:left="5040" w:hanging="360"/>
      </w:pPr>
      <w:rPr>
        <w:rFonts w:ascii="Arial" w:hAnsi="Arial" w:hint="default"/>
      </w:rPr>
    </w:lvl>
    <w:lvl w:ilvl="7" w:tplc="AACE4E64" w:tentative="1">
      <w:start w:val="1"/>
      <w:numFmt w:val="bullet"/>
      <w:lvlText w:val="•"/>
      <w:lvlJc w:val="left"/>
      <w:pPr>
        <w:tabs>
          <w:tab w:val="num" w:pos="5760"/>
        </w:tabs>
        <w:ind w:left="5760" w:hanging="360"/>
      </w:pPr>
      <w:rPr>
        <w:rFonts w:ascii="Arial" w:hAnsi="Arial" w:hint="default"/>
      </w:rPr>
    </w:lvl>
    <w:lvl w:ilvl="8" w:tplc="ACE0A9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D671D2"/>
    <w:multiLevelType w:val="hybridMultilevel"/>
    <w:tmpl w:val="8F2C34E2"/>
    <w:lvl w:ilvl="0" w:tplc="1DC0D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67B04"/>
    <w:multiLevelType w:val="hybridMultilevel"/>
    <w:tmpl w:val="61963B36"/>
    <w:lvl w:ilvl="0" w:tplc="B6EE585E">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21E49"/>
    <w:multiLevelType w:val="hybridMultilevel"/>
    <w:tmpl w:val="1EAC2844"/>
    <w:styleLink w:val="ImportedStyle8"/>
    <w:lvl w:ilvl="0" w:tplc="1BC47396">
      <w:start w:val="1"/>
      <w:numFmt w:val="lowerRoman"/>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118A2B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3806E10">
      <w:start w:val="1"/>
      <w:numFmt w:val="lowerRoman"/>
      <w:lvlText w:val="%3."/>
      <w:lvlJc w:val="left"/>
      <w:pPr>
        <w:ind w:left="180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1FA0844">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618FC52">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590E44C">
      <w:start w:val="1"/>
      <w:numFmt w:val="lowerRoman"/>
      <w:lvlText w:val="%6."/>
      <w:lvlJc w:val="left"/>
      <w:pPr>
        <w:ind w:left="396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978893C">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AA6725A">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126584A">
      <w:start w:val="1"/>
      <w:numFmt w:val="lowerRoman"/>
      <w:lvlText w:val="%9."/>
      <w:lvlJc w:val="left"/>
      <w:pPr>
        <w:ind w:left="612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7451DCD"/>
    <w:multiLevelType w:val="hybridMultilevel"/>
    <w:tmpl w:val="71BA8C24"/>
    <w:lvl w:ilvl="0" w:tplc="DD20A19E">
      <w:start w:val="1"/>
      <w:numFmt w:val="decimal"/>
      <w:pStyle w:val="ParagraphNumbered"/>
      <w:lvlText w:val="%1."/>
      <w:lvlJc w:val="left"/>
      <w:pPr>
        <w:ind w:left="630" w:hanging="360"/>
      </w:pPr>
      <w:rPr>
        <w:rFonts w:ascii="Calibri" w:hAnsi="Calibri" w:hint="default"/>
        <w:b w:val="0"/>
        <w:i w:val="0"/>
        <w:caps w:val="0"/>
        <w:strike w:val="0"/>
        <w:dstrike w:val="0"/>
        <w:vanish w:val="0"/>
        <w:color w:val="auto"/>
        <w:sz w:val="22"/>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C0A0500"/>
    <w:multiLevelType w:val="hybridMultilevel"/>
    <w:tmpl w:val="28BE589A"/>
    <w:lvl w:ilvl="0" w:tplc="1C869E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D6CA4"/>
    <w:multiLevelType w:val="hybridMultilevel"/>
    <w:tmpl w:val="3DAEAD8E"/>
    <w:lvl w:ilvl="0" w:tplc="1CF2BD20">
      <w:start w:val="1"/>
      <w:numFmt w:val="bullet"/>
      <w:pStyle w:val="IEGES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A0F94"/>
    <w:multiLevelType w:val="hybridMultilevel"/>
    <w:tmpl w:val="DD9C33C0"/>
    <w:lvl w:ilvl="0" w:tplc="B74A37FA">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4"/>
  </w:num>
  <w:num w:numId="6">
    <w:abstractNumId w:val="0"/>
  </w:num>
  <w:num w:numId="7">
    <w:abstractNumId w:val="21"/>
  </w:num>
  <w:num w:numId="8">
    <w:abstractNumId w:val="20"/>
  </w:num>
  <w:num w:numId="9">
    <w:abstractNumId w:val="31"/>
  </w:num>
  <w:num w:numId="10">
    <w:abstractNumId w:val="19"/>
  </w:num>
  <w:num w:numId="11">
    <w:abstractNumId w:val="25"/>
  </w:num>
  <w:num w:numId="12">
    <w:abstractNumId w:val="17"/>
  </w:num>
  <w:num w:numId="13">
    <w:abstractNumId w:val="7"/>
  </w:num>
  <w:num w:numId="14">
    <w:abstractNumId w:val="34"/>
  </w:num>
  <w:num w:numId="15">
    <w:abstractNumId w:val="32"/>
  </w:num>
  <w:num w:numId="16">
    <w:abstractNumId w:val="14"/>
  </w:num>
  <w:num w:numId="17">
    <w:abstractNumId w:val="23"/>
  </w:num>
  <w:num w:numId="18">
    <w:abstractNumId w:val="13"/>
  </w:num>
  <w:num w:numId="19">
    <w:abstractNumId w:val="3"/>
  </w:num>
  <w:num w:numId="20">
    <w:abstractNumId w:val="29"/>
  </w:num>
  <w:num w:numId="21">
    <w:abstractNumId w:val="5"/>
  </w:num>
  <w:num w:numId="22">
    <w:abstractNumId w:val="30"/>
  </w:num>
  <w:num w:numId="23">
    <w:abstractNumId w:val="18"/>
  </w:num>
  <w:num w:numId="24">
    <w:abstractNumId w:val="9"/>
  </w:num>
  <w:num w:numId="25">
    <w:abstractNumId w:val="28"/>
  </w:num>
  <w:num w:numId="26">
    <w:abstractNumId w:val="6"/>
  </w:num>
  <w:num w:numId="27">
    <w:abstractNumId w:val="15"/>
  </w:num>
  <w:num w:numId="28">
    <w:abstractNumId w:val="26"/>
  </w:num>
  <w:num w:numId="29">
    <w:abstractNumId w:val="12"/>
  </w:num>
  <w:num w:numId="30">
    <w:abstractNumId w:val="10"/>
  </w:num>
  <w:num w:numId="31">
    <w:abstractNumId w:val="33"/>
  </w:num>
  <w:num w:numId="32">
    <w:abstractNumId w:val="8"/>
  </w:num>
  <w:num w:numId="33">
    <w:abstractNumId w:val="4"/>
  </w:num>
  <w:num w:numId="34">
    <w:abstractNumId w:val="2"/>
  </w:num>
  <w:num w:numId="35">
    <w:abstractNumId w:val="27"/>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a-DK"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n-NZ" w:vendorID="64" w:dllVersion="0" w:nlCheck="1" w:checkStyle="1"/>
  <w:activeWritingStyle w:appName="MSWord" w:lang="fr-FR" w:vendorID="64" w:dllVersion="0" w:nlCheck="1" w:checkStyle="0"/>
  <w:activeWritingStyle w:appName="MSWord" w:lang="es-CO" w:vendorID="64" w:dllVersion="0" w:nlCheck="1" w:checkStyle="0"/>
  <w:activeWritingStyle w:appName="MSWord" w:lang="tr-TR" w:vendorID="64" w:dllVersion="0" w:nlCheck="1" w:checkStyle="0"/>
  <w:defaultTabStop w:val="14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7A"/>
    <w:rsid w:val="00000CFA"/>
    <w:rsid w:val="00001AB0"/>
    <w:rsid w:val="00001E74"/>
    <w:rsid w:val="0000427D"/>
    <w:rsid w:val="00004721"/>
    <w:rsid w:val="00004F0C"/>
    <w:rsid w:val="000052B8"/>
    <w:rsid w:val="000056A1"/>
    <w:rsid w:val="000066B7"/>
    <w:rsid w:val="00006DD9"/>
    <w:rsid w:val="00006E63"/>
    <w:rsid w:val="00007902"/>
    <w:rsid w:val="00007A73"/>
    <w:rsid w:val="00010D71"/>
    <w:rsid w:val="00010F9B"/>
    <w:rsid w:val="00010FDC"/>
    <w:rsid w:val="00011CB9"/>
    <w:rsid w:val="000120AA"/>
    <w:rsid w:val="000125A5"/>
    <w:rsid w:val="00012C3F"/>
    <w:rsid w:val="00013318"/>
    <w:rsid w:val="000133A0"/>
    <w:rsid w:val="000145B8"/>
    <w:rsid w:val="00014B80"/>
    <w:rsid w:val="00015B28"/>
    <w:rsid w:val="00015E58"/>
    <w:rsid w:val="000161BC"/>
    <w:rsid w:val="00016B48"/>
    <w:rsid w:val="000173A7"/>
    <w:rsid w:val="00017C7B"/>
    <w:rsid w:val="00017C7C"/>
    <w:rsid w:val="00017D12"/>
    <w:rsid w:val="00017F5A"/>
    <w:rsid w:val="00020687"/>
    <w:rsid w:val="00020ABD"/>
    <w:rsid w:val="00021199"/>
    <w:rsid w:val="0002253C"/>
    <w:rsid w:val="00023D28"/>
    <w:rsid w:val="00023D70"/>
    <w:rsid w:val="00024F20"/>
    <w:rsid w:val="0002529D"/>
    <w:rsid w:val="000254DC"/>
    <w:rsid w:val="000257AC"/>
    <w:rsid w:val="000264C3"/>
    <w:rsid w:val="00026721"/>
    <w:rsid w:val="000276A0"/>
    <w:rsid w:val="000277F2"/>
    <w:rsid w:val="000279E9"/>
    <w:rsid w:val="00027CEC"/>
    <w:rsid w:val="00030D3C"/>
    <w:rsid w:val="000313D7"/>
    <w:rsid w:val="000318D3"/>
    <w:rsid w:val="00031A2F"/>
    <w:rsid w:val="00032160"/>
    <w:rsid w:val="00032555"/>
    <w:rsid w:val="0003318C"/>
    <w:rsid w:val="00034184"/>
    <w:rsid w:val="00034398"/>
    <w:rsid w:val="0003468B"/>
    <w:rsid w:val="00035E84"/>
    <w:rsid w:val="00036063"/>
    <w:rsid w:val="00036A23"/>
    <w:rsid w:val="00036DCB"/>
    <w:rsid w:val="00037C11"/>
    <w:rsid w:val="00040418"/>
    <w:rsid w:val="000405BB"/>
    <w:rsid w:val="00041519"/>
    <w:rsid w:val="0004177D"/>
    <w:rsid w:val="00042682"/>
    <w:rsid w:val="0004405B"/>
    <w:rsid w:val="0004458C"/>
    <w:rsid w:val="0004525B"/>
    <w:rsid w:val="000453C0"/>
    <w:rsid w:val="00045725"/>
    <w:rsid w:val="0004610C"/>
    <w:rsid w:val="000461CE"/>
    <w:rsid w:val="000468B8"/>
    <w:rsid w:val="000476A1"/>
    <w:rsid w:val="00047AC5"/>
    <w:rsid w:val="00050270"/>
    <w:rsid w:val="00052B9B"/>
    <w:rsid w:val="000549A1"/>
    <w:rsid w:val="0005568A"/>
    <w:rsid w:val="00055CF8"/>
    <w:rsid w:val="00055E0A"/>
    <w:rsid w:val="00055F66"/>
    <w:rsid w:val="0005627C"/>
    <w:rsid w:val="00056803"/>
    <w:rsid w:val="00056828"/>
    <w:rsid w:val="00057588"/>
    <w:rsid w:val="00057FA6"/>
    <w:rsid w:val="0006004F"/>
    <w:rsid w:val="000605A8"/>
    <w:rsid w:val="00060EB6"/>
    <w:rsid w:val="00061064"/>
    <w:rsid w:val="00061E40"/>
    <w:rsid w:val="000623A6"/>
    <w:rsid w:val="000623E5"/>
    <w:rsid w:val="00062C79"/>
    <w:rsid w:val="00062F44"/>
    <w:rsid w:val="00065840"/>
    <w:rsid w:val="000674CE"/>
    <w:rsid w:val="0006755F"/>
    <w:rsid w:val="00067870"/>
    <w:rsid w:val="0007002E"/>
    <w:rsid w:val="0007029B"/>
    <w:rsid w:val="000704EE"/>
    <w:rsid w:val="0007114B"/>
    <w:rsid w:val="00071D26"/>
    <w:rsid w:val="00071E34"/>
    <w:rsid w:val="00072794"/>
    <w:rsid w:val="000727D9"/>
    <w:rsid w:val="00072CD2"/>
    <w:rsid w:val="000733A3"/>
    <w:rsid w:val="00073F3A"/>
    <w:rsid w:val="000753E3"/>
    <w:rsid w:val="00075EFA"/>
    <w:rsid w:val="00076289"/>
    <w:rsid w:val="00076E79"/>
    <w:rsid w:val="0007777D"/>
    <w:rsid w:val="00077B62"/>
    <w:rsid w:val="00080CF5"/>
    <w:rsid w:val="000815BF"/>
    <w:rsid w:val="000820D9"/>
    <w:rsid w:val="00082452"/>
    <w:rsid w:val="00084690"/>
    <w:rsid w:val="00084BFC"/>
    <w:rsid w:val="00085431"/>
    <w:rsid w:val="000857F6"/>
    <w:rsid w:val="0008701C"/>
    <w:rsid w:val="00087073"/>
    <w:rsid w:val="00087A33"/>
    <w:rsid w:val="00087A53"/>
    <w:rsid w:val="000908A1"/>
    <w:rsid w:val="000915D8"/>
    <w:rsid w:val="00091A76"/>
    <w:rsid w:val="0009273E"/>
    <w:rsid w:val="000927A9"/>
    <w:rsid w:val="00093A86"/>
    <w:rsid w:val="00094AEF"/>
    <w:rsid w:val="000962C7"/>
    <w:rsid w:val="00096696"/>
    <w:rsid w:val="00097099"/>
    <w:rsid w:val="000A1CB4"/>
    <w:rsid w:val="000A1CFF"/>
    <w:rsid w:val="000A1ECE"/>
    <w:rsid w:val="000A2753"/>
    <w:rsid w:val="000A2CBC"/>
    <w:rsid w:val="000A335C"/>
    <w:rsid w:val="000A3843"/>
    <w:rsid w:val="000A3C75"/>
    <w:rsid w:val="000A3F54"/>
    <w:rsid w:val="000A41EA"/>
    <w:rsid w:val="000A4875"/>
    <w:rsid w:val="000A4B9C"/>
    <w:rsid w:val="000A4F4D"/>
    <w:rsid w:val="000A61A5"/>
    <w:rsid w:val="000A627A"/>
    <w:rsid w:val="000A6AB5"/>
    <w:rsid w:val="000A7024"/>
    <w:rsid w:val="000A7BBA"/>
    <w:rsid w:val="000A7D05"/>
    <w:rsid w:val="000B25A7"/>
    <w:rsid w:val="000B28BC"/>
    <w:rsid w:val="000B2AA3"/>
    <w:rsid w:val="000B3DFE"/>
    <w:rsid w:val="000B4117"/>
    <w:rsid w:val="000B4A0C"/>
    <w:rsid w:val="000B5498"/>
    <w:rsid w:val="000B578B"/>
    <w:rsid w:val="000B71BE"/>
    <w:rsid w:val="000B7E33"/>
    <w:rsid w:val="000C129D"/>
    <w:rsid w:val="000C1BB7"/>
    <w:rsid w:val="000C2A88"/>
    <w:rsid w:val="000C3321"/>
    <w:rsid w:val="000C3A6D"/>
    <w:rsid w:val="000C41E2"/>
    <w:rsid w:val="000C4505"/>
    <w:rsid w:val="000C5462"/>
    <w:rsid w:val="000C5AC9"/>
    <w:rsid w:val="000C5C67"/>
    <w:rsid w:val="000C5C8B"/>
    <w:rsid w:val="000C6AE6"/>
    <w:rsid w:val="000C6C3C"/>
    <w:rsid w:val="000D1686"/>
    <w:rsid w:val="000D1A28"/>
    <w:rsid w:val="000D2389"/>
    <w:rsid w:val="000D280B"/>
    <w:rsid w:val="000D34ED"/>
    <w:rsid w:val="000D4248"/>
    <w:rsid w:val="000D427B"/>
    <w:rsid w:val="000D4AE4"/>
    <w:rsid w:val="000D4EF1"/>
    <w:rsid w:val="000D64C5"/>
    <w:rsid w:val="000D7484"/>
    <w:rsid w:val="000E107B"/>
    <w:rsid w:val="000E1D3E"/>
    <w:rsid w:val="000E2070"/>
    <w:rsid w:val="000E2074"/>
    <w:rsid w:val="000E223C"/>
    <w:rsid w:val="000E238C"/>
    <w:rsid w:val="000E44C5"/>
    <w:rsid w:val="000E5AC8"/>
    <w:rsid w:val="000E5C65"/>
    <w:rsid w:val="000E6335"/>
    <w:rsid w:val="000E6C43"/>
    <w:rsid w:val="000E6F0C"/>
    <w:rsid w:val="000E70B3"/>
    <w:rsid w:val="000E7E2D"/>
    <w:rsid w:val="000F0805"/>
    <w:rsid w:val="000F0BC5"/>
    <w:rsid w:val="000F1033"/>
    <w:rsid w:val="000F13C9"/>
    <w:rsid w:val="000F2728"/>
    <w:rsid w:val="000F2844"/>
    <w:rsid w:val="000F345F"/>
    <w:rsid w:val="000F35BB"/>
    <w:rsid w:val="000F3A11"/>
    <w:rsid w:val="000F3A52"/>
    <w:rsid w:val="000F62ED"/>
    <w:rsid w:val="000F668B"/>
    <w:rsid w:val="000F6D84"/>
    <w:rsid w:val="000F7258"/>
    <w:rsid w:val="000F745A"/>
    <w:rsid w:val="000F7E4E"/>
    <w:rsid w:val="000F7F6F"/>
    <w:rsid w:val="00100CB0"/>
    <w:rsid w:val="00100E2B"/>
    <w:rsid w:val="001012A7"/>
    <w:rsid w:val="0010140E"/>
    <w:rsid w:val="00101C8C"/>
    <w:rsid w:val="00101DD6"/>
    <w:rsid w:val="001023B2"/>
    <w:rsid w:val="0010240B"/>
    <w:rsid w:val="001026A6"/>
    <w:rsid w:val="00103AD0"/>
    <w:rsid w:val="001042D9"/>
    <w:rsid w:val="001047BB"/>
    <w:rsid w:val="00104D95"/>
    <w:rsid w:val="00105041"/>
    <w:rsid w:val="0010534D"/>
    <w:rsid w:val="00105A2A"/>
    <w:rsid w:val="00105BE7"/>
    <w:rsid w:val="00105C77"/>
    <w:rsid w:val="0010664D"/>
    <w:rsid w:val="0011144B"/>
    <w:rsid w:val="001126EB"/>
    <w:rsid w:val="00112CC6"/>
    <w:rsid w:val="00112DA8"/>
    <w:rsid w:val="0011415F"/>
    <w:rsid w:val="00114CF5"/>
    <w:rsid w:val="00115D58"/>
    <w:rsid w:val="00115E74"/>
    <w:rsid w:val="00116E8E"/>
    <w:rsid w:val="00116F6C"/>
    <w:rsid w:val="0011719E"/>
    <w:rsid w:val="00117477"/>
    <w:rsid w:val="00120238"/>
    <w:rsid w:val="00120A1B"/>
    <w:rsid w:val="00120D8D"/>
    <w:rsid w:val="00121A74"/>
    <w:rsid w:val="001221EC"/>
    <w:rsid w:val="001237B4"/>
    <w:rsid w:val="0012386C"/>
    <w:rsid w:val="00123A12"/>
    <w:rsid w:val="00123E45"/>
    <w:rsid w:val="00124664"/>
    <w:rsid w:val="0012624F"/>
    <w:rsid w:val="001263C2"/>
    <w:rsid w:val="00127341"/>
    <w:rsid w:val="001273BF"/>
    <w:rsid w:val="001275B8"/>
    <w:rsid w:val="0012782B"/>
    <w:rsid w:val="001278F6"/>
    <w:rsid w:val="00127E37"/>
    <w:rsid w:val="001308B4"/>
    <w:rsid w:val="00130BF6"/>
    <w:rsid w:val="00130DDE"/>
    <w:rsid w:val="00130F62"/>
    <w:rsid w:val="00131BD9"/>
    <w:rsid w:val="00131F33"/>
    <w:rsid w:val="00131F38"/>
    <w:rsid w:val="00132868"/>
    <w:rsid w:val="00132A94"/>
    <w:rsid w:val="00132F96"/>
    <w:rsid w:val="001335A5"/>
    <w:rsid w:val="00134327"/>
    <w:rsid w:val="00134692"/>
    <w:rsid w:val="0013556F"/>
    <w:rsid w:val="001358ED"/>
    <w:rsid w:val="001359D1"/>
    <w:rsid w:val="00136F8F"/>
    <w:rsid w:val="0013709A"/>
    <w:rsid w:val="00137BB4"/>
    <w:rsid w:val="00137E60"/>
    <w:rsid w:val="00141886"/>
    <w:rsid w:val="0014190B"/>
    <w:rsid w:val="00141976"/>
    <w:rsid w:val="001419CA"/>
    <w:rsid w:val="0014221D"/>
    <w:rsid w:val="001423A2"/>
    <w:rsid w:val="00143F5F"/>
    <w:rsid w:val="001454D4"/>
    <w:rsid w:val="00146581"/>
    <w:rsid w:val="00146A21"/>
    <w:rsid w:val="00147244"/>
    <w:rsid w:val="001476BF"/>
    <w:rsid w:val="00147E84"/>
    <w:rsid w:val="00147F9A"/>
    <w:rsid w:val="00151D27"/>
    <w:rsid w:val="0015202C"/>
    <w:rsid w:val="001525E7"/>
    <w:rsid w:val="00153666"/>
    <w:rsid w:val="00153982"/>
    <w:rsid w:val="00154FA4"/>
    <w:rsid w:val="00156A6A"/>
    <w:rsid w:val="0016184D"/>
    <w:rsid w:val="00161B97"/>
    <w:rsid w:val="00161F21"/>
    <w:rsid w:val="0016208A"/>
    <w:rsid w:val="0016261A"/>
    <w:rsid w:val="00162B5B"/>
    <w:rsid w:val="0016361E"/>
    <w:rsid w:val="00163E28"/>
    <w:rsid w:val="00163E2C"/>
    <w:rsid w:val="001643F2"/>
    <w:rsid w:val="00164E2C"/>
    <w:rsid w:val="00164EFD"/>
    <w:rsid w:val="0016542F"/>
    <w:rsid w:val="0016596E"/>
    <w:rsid w:val="00165DE6"/>
    <w:rsid w:val="001664CE"/>
    <w:rsid w:val="00166A74"/>
    <w:rsid w:val="00166ADD"/>
    <w:rsid w:val="00166BA9"/>
    <w:rsid w:val="00167AAC"/>
    <w:rsid w:val="001700B4"/>
    <w:rsid w:val="00170C02"/>
    <w:rsid w:val="00170FEB"/>
    <w:rsid w:val="00171054"/>
    <w:rsid w:val="001711E7"/>
    <w:rsid w:val="0017181B"/>
    <w:rsid w:val="0017221C"/>
    <w:rsid w:val="00172801"/>
    <w:rsid w:val="00172CB5"/>
    <w:rsid w:val="00173CDD"/>
    <w:rsid w:val="00173F6D"/>
    <w:rsid w:val="001749BE"/>
    <w:rsid w:val="00174DF1"/>
    <w:rsid w:val="00174F69"/>
    <w:rsid w:val="00175193"/>
    <w:rsid w:val="001752AB"/>
    <w:rsid w:val="001769EF"/>
    <w:rsid w:val="00176E9E"/>
    <w:rsid w:val="001770FA"/>
    <w:rsid w:val="00177418"/>
    <w:rsid w:val="001774DA"/>
    <w:rsid w:val="00180108"/>
    <w:rsid w:val="00180451"/>
    <w:rsid w:val="00180E59"/>
    <w:rsid w:val="001815EC"/>
    <w:rsid w:val="00181F4A"/>
    <w:rsid w:val="0018224B"/>
    <w:rsid w:val="00182CC4"/>
    <w:rsid w:val="001847C7"/>
    <w:rsid w:val="00184B13"/>
    <w:rsid w:val="00184C12"/>
    <w:rsid w:val="0018508B"/>
    <w:rsid w:val="00185DDB"/>
    <w:rsid w:val="00186915"/>
    <w:rsid w:val="0018718A"/>
    <w:rsid w:val="00187282"/>
    <w:rsid w:val="00187AE9"/>
    <w:rsid w:val="00187C7B"/>
    <w:rsid w:val="0019031E"/>
    <w:rsid w:val="00190720"/>
    <w:rsid w:val="00191A22"/>
    <w:rsid w:val="0019218B"/>
    <w:rsid w:val="00192B5D"/>
    <w:rsid w:val="001934AA"/>
    <w:rsid w:val="00193521"/>
    <w:rsid w:val="00193F2B"/>
    <w:rsid w:val="00194F83"/>
    <w:rsid w:val="001952B7"/>
    <w:rsid w:val="00195C0E"/>
    <w:rsid w:val="001965A8"/>
    <w:rsid w:val="00196D6D"/>
    <w:rsid w:val="001972F0"/>
    <w:rsid w:val="00197A8F"/>
    <w:rsid w:val="001A0127"/>
    <w:rsid w:val="001A0689"/>
    <w:rsid w:val="001A0975"/>
    <w:rsid w:val="001A10D7"/>
    <w:rsid w:val="001A1241"/>
    <w:rsid w:val="001A1513"/>
    <w:rsid w:val="001A21E6"/>
    <w:rsid w:val="001A21F8"/>
    <w:rsid w:val="001A2BCD"/>
    <w:rsid w:val="001A2CBF"/>
    <w:rsid w:val="001A36AD"/>
    <w:rsid w:val="001A381D"/>
    <w:rsid w:val="001A3F8B"/>
    <w:rsid w:val="001A4B94"/>
    <w:rsid w:val="001A4C88"/>
    <w:rsid w:val="001A703E"/>
    <w:rsid w:val="001A7591"/>
    <w:rsid w:val="001B12F4"/>
    <w:rsid w:val="001B1DCF"/>
    <w:rsid w:val="001B2B55"/>
    <w:rsid w:val="001B38D5"/>
    <w:rsid w:val="001B3936"/>
    <w:rsid w:val="001B4970"/>
    <w:rsid w:val="001B4F00"/>
    <w:rsid w:val="001B6932"/>
    <w:rsid w:val="001B6C7F"/>
    <w:rsid w:val="001B7C63"/>
    <w:rsid w:val="001B7D55"/>
    <w:rsid w:val="001B7FDF"/>
    <w:rsid w:val="001C0127"/>
    <w:rsid w:val="001C0300"/>
    <w:rsid w:val="001C0599"/>
    <w:rsid w:val="001C176D"/>
    <w:rsid w:val="001C23CE"/>
    <w:rsid w:val="001C279A"/>
    <w:rsid w:val="001C2A47"/>
    <w:rsid w:val="001C2E39"/>
    <w:rsid w:val="001C49E7"/>
    <w:rsid w:val="001C4CAC"/>
    <w:rsid w:val="001C55B9"/>
    <w:rsid w:val="001C588E"/>
    <w:rsid w:val="001C5E7F"/>
    <w:rsid w:val="001C6006"/>
    <w:rsid w:val="001C6259"/>
    <w:rsid w:val="001C65E4"/>
    <w:rsid w:val="001C6D7F"/>
    <w:rsid w:val="001C73CA"/>
    <w:rsid w:val="001C7988"/>
    <w:rsid w:val="001D0362"/>
    <w:rsid w:val="001D0942"/>
    <w:rsid w:val="001D15BF"/>
    <w:rsid w:val="001D18B1"/>
    <w:rsid w:val="001D1D4D"/>
    <w:rsid w:val="001D1F9D"/>
    <w:rsid w:val="001D23C7"/>
    <w:rsid w:val="001D33C7"/>
    <w:rsid w:val="001D40EB"/>
    <w:rsid w:val="001D4181"/>
    <w:rsid w:val="001D5757"/>
    <w:rsid w:val="001D58D0"/>
    <w:rsid w:val="001D5B1F"/>
    <w:rsid w:val="001D5BC7"/>
    <w:rsid w:val="001D6E27"/>
    <w:rsid w:val="001D7ABB"/>
    <w:rsid w:val="001E040B"/>
    <w:rsid w:val="001E08BA"/>
    <w:rsid w:val="001E15BD"/>
    <w:rsid w:val="001E1E71"/>
    <w:rsid w:val="001E23D1"/>
    <w:rsid w:val="001E2474"/>
    <w:rsid w:val="001E2681"/>
    <w:rsid w:val="001E4E99"/>
    <w:rsid w:val="001E61CC"/>
    <w:rsid w:val="001E6A9A"/>
    <w:rsid w:val="001E7B76"/>
    <w:rsid w:val="001E7CCE"/>
    <w:rsid w:val="001F01B9"/>
    <w:rsid w:val="001F1463"/>
    <w:rsid w:val="001F14C1"/>
    <w:rsid w:val="001F1D0B"/>
    <w:rsid w:val="001F3D4A"/>
    <w:rsid w:val="001F403C"/>
    <w:rsid w:val="001F4545"/>
    <w:rsid w:val="001F493A"/>
    <w:rsid w:val="001F5382"/>
    <w:rsid w:val="001F5BE8"/>
    <w:rsid w:val="001F6D3B"/>
    <w:rsid w:val="001F71DC"/>
    <w:rsid w:val="001F75DF"/>
    <w:rsid w:val="001F76B4"/>
    <w:rsid w:val="001F779F"/>
    <w:rsid w:val="001F7876"/>
    <w:rsid w:val="001F7F95"/>
    <w:rsid w:val="00201B62"/>
    <w:rsid w:val="00202232"/>
    <w:rsid w:val="00202649"/>
    <w:rsid w:val="002027BB"/>
    <w:rsid w:val="00202816"/>
    <w:rsid w:val="00203158"/>
    <w:rsid w:val="00203928"/>
    <w:rsid w:val="0020437E"/>
    <w:rsid w:val="00204CA6"/>
    <w:rsid w:val="00204EDE"/>
    <w:rsid w:val="00205333"/>
    <w:rsid w:val="00205937"/>
    <w:rsid w:val="00205D8E"/>
    <w:rsid w:val="002072A1"/>
    <w:rsid w:val="00210C6C"/>
    <w:rsid w:val="0021135F"/>
    <w:rsid w:val="00212438"/>
    <w:rsid w:val="00212636"/>
    <w:rsid w:val="00212EEA"/>
    <w:rsid w:val="00213144"/>
    <w:rsid w:val="002136DD"/>
    <w:rsid w:val="002149D9"/>
    <w:rsid w:val="00214C03"/>
    <w:rsid w:val="00214D81"/>
    <w:rsid w:val="00214FC7"/>
    <w:rsid w:val="002151EC"/>
    <w:rsid w:val="0021581C"/>
    <w:rsid w:val="0021590D"/>
    <w:rsid w:val="00215FD9"/>
    <w:rsid w:val="0021684E"/>
    <w:rsid w:val="00216F8E"/>
    <w:rsid w:val="002170F3"/>
    <w:rsid w:val="0021726E"/>
    <w:rsid w:val="0021781C"/>
    <w:rsid w:val="0022071E"/>
    <w:rsid w:val="00220A53"/>
    <w:rsid w:val="00220B75"/>
    <w:rsid w:val="00221005"/>
    <w:rsid w:val="0022123C"/>
    <w:rsid w:val="00221A1D"/>
    <w:rsid w:val="00223329"/>
    <w:rsid w:val="00223A52"/>
    <w:rsid w:val="00223C84"/>
    <w:rsid w:val="00224940"/>
    <w:rsid w:val="002254E9"/>
    <w:rsid w:val="0022613F"/>
    <w:rsid w:val="002265AD"/>
    <w:rsid w:val="002267E6"/>
    <w:rsid w:val="0022681B"/>
    <w:rsid w:val="00226ABB"/>
    <w:rsid w:val="002276CD"/>
    <w:rsid w:val="0023012C"/>
    <w:rsid w:val="00230391"/>
    <w:rsid w:val="002309F1"/>
    <w:rsid w:val="002313F6"/>
    <w:rsid w:val="00231C18"/>
    <w:rsid w:val="0023222F"/>
    <w:rsid w:val="002327A5"/>
    <w:rsid w:val="0023413B"/>
    <w:rsid w:val="002349E4"/>
    <w:rsid w:val="00234A20"/>
    <w:rsid w:val="00234B6C"/>
    <w:rsid w:val="00234C14"/>
    <w:rsid w:val="0023563A"/>
    <w:rsid w:val="002358F5"/>
    <w:rsid w:val="00236408"/>
    <w:rsid w:val="0024127E"/>
    <w:rsid w:val="0024194E"/>
    <w:rsid w:val="00241B91"/>
    <w:rsid w:val="00242201"/>
    <w:rsid w:val="00242210"/>
    <w:rsid w:val="002428AC"/>
    <w:rsid w:val="00243368"/>
    <w:rsid w:val="00243A09"/>
    <w:rsid w:val="00243CDA"/>
    <w:rsid w:val="00243EA7"/>
    <w:rsid w:val="00244844"/>
    <w:rsid w:val="00246ACC"/>
    <w:rsid w:val="00246F6F"/>
    <w:rsid w:val="00247435"/>
    <w:rsid w:val="0024773C"/>
    <w:rsid w:val="00247787"/>
    <w:rsid w:val="002500D9"/>
    <w:rsid w:val="0025023E"/>
    <w:rsid w:val="0025131C"/>
    <w:rsid w:val="00252B05"/>
    <w:rsid w:val="002537AC"/>
    <w:rsid w:val="00253909"/>
    <w:rsid w:val="00253EA1"/>
    <w:rsid w:val="0025414D"/>
    <w:rsid w:val="00255111"/>
    <w:rsid w:val="002551D5"/>
    <w:rsid w:val="0025539B"/>
    <w:rsid w:val="00255522"/>
    <w:rsid w:val="00256779"/>
    <w:rsid w:val="002572F0"/>
    <w:rsid w:val="00257804"/>
    <w:rsid w:val="00260C0C"/>
    <w:rsid w:val="00260D4A"/>
    <w:rsid w:val="00260E5A"/>
    <w:rsid w:val="00261F7A"/>
    <w:rsid w:val="00262286"/>
    <w:rsid w:val="00262A12"/>
    <w:rsid w:val="00263050"/>
    <w:rsid w:val="0026483B"/>
    <w:rsid w:val="0026491E"/>
    <w:rsid w:val="00264FF4"/>
    <w:rsid w:val="002650A3"/>
    <w:rsid w:val="002650A4"/>
    <w:rsid w:val="0026525F"/>
    <w:rsid w:val="00265703"/>
    <w:rsid w:val="0026620F"/>
    <w:rsid w:val="00266359"/>
    <w:rsid w:val="00266362"/>
    <w:rsid w:val="00266579"/>
    <w:rsid w:val="002665AB"/>
    <w:rsid w:val="00266A31"/>
    <w:rsid w:val="00266DDC"/>
    <w:rsid w:val="00270031"/>
    <w:rsid w:val="002701C2"/>
    <w:rsid w:val="0027042D"/>
    <w:rsid w:val="00270464"/>
    <w:rsid w:val="002710FC"/>
    <w:rsid w:val="0027239C"/>
    <w:rsid w:val="0027251C"/>
    <w:rsid w:val="00273628"/>
    <w:rsid w:val="00273A6B"/>
    <w:rsid w:val="00273BBF"/>
    <w:rsid w:val="0027474A"/>
    <w:rsid w:val="0027500F"/>
    <w:rsid w:val="00275DA1"/>
    <w:rsid w:val="00275F1E"/>
    <w:rsid w:val="00276072"/>
    <w:rsid w:val="00277123"/>
    <w:rsid w:val="00277136"/>
    <w:rsid w:val="00277184"/>
    <w:rsid w:val="0027733D"/>
    <w:rsid w:val="00277441"/>
    <w:rsid w:val="00277FC9"/>
    <w:rsid w:val="00280859"/>
    <w:rsid w:val="00280920"/>
    <w:rsid w:val="00280BFF"/>
    <w:rsid w:val="00280CC6"/>
    <w:rsid w:val="002811BC"/>
    <w:rsid w:val="002814DD"/>
    <w:rsid w:val="0028325B"/>
    <w:rsid w:val="00283D9D"/>
    <w:rsid w:val="00284DE0"/>
    <w:rsid w:val="002852CB"/>
    <w:rsid w:val="0028560E"/>
    <w:rsid w:val="002859C0"/>
    <w:rsid w:val="0028660A"/>
    <w:rsid w:val="0028663A"/>
    <w:rsid w:val="00287089"/>
    <w:rsid w:val="002901DF"/>
    <w:rsid w:val="002906C8"/>
    <w:rsid w:val="00290DC4"/>
    <w:rsid w:val="00290DFB"/>
    <w:rsid w:val="00290E50"/>
    <w:rsid w:val="00290FA1"/>
    <w:rsid w:val="00292844"/>
    <w:rsid w:val="00292FFE"/>
    <w:rsid w:val="00293080"/>
    <w:rsid w:val="00293984"/>
    <w:rsid w:val="002939BF"/>
    <w:rsid w:val="00293A35"/>
    <w:rsid w:val="00293E7D"/>
    <w:rsid w:val="0029491A"/>
    <w:rsid w:val="00294E40"/>
    <w:rsid w:val="002953CC"/>
    <w:rsid w:val="002960CB"/>
    <w:rsid w:val="002960FA"/>
    <w:rsid w:val="002961E7"/>
    <w:rsid w:val="00296CD1"/>
    <w:rsid w:val="00296E2F"/>
    <w:rsid w:val="00297B82"/>
    <w:rsid w:val="00297FB7"/>
    <w:rsid w:val="002A0063"/>
    <w:rsid w:val="002A04B5"/>
    <w:rsid w:val="002A0789"/>
    <w:rsid w:val="002A0F3B"/>
    <w:rsid w:val="002A1467"/>
    <w:rsid w:val="002A1771"/>
    <w:rsid w:val="002A2471"/>
    <w:rsid w:val="002A2BDB"/>
    <w:rsid w:val="002A334C"/>
    <w:rsid w:val="002A3493"/>
    <w:rsid w:val="002A3894"/>
    <w:rsid w:val="002A3EE4"/>
    <w:rsid w:val="002A4FC1"/>
    <w:rsid w:val="002A500E"/>
    <w:rsid w:val="002A5646"/>
    <w:rsid w:val="002A5E37"/>
    <w:rsid w:val="002A613F"/>
    <w:rsid w:val="002A65AE"/>
    <w:rsid w:val="002A681D"/>
    <w:rsid w:val="002A7954"/>
    <w:rsid w:val="002A7EA9"/>
    <w:rsid w:val="002B0310"/>
    <w:rsid w:val="002B1007"/>
    <w:rsid w:val="002B11DF"/>
    <w:rsid w:val="002B169A"/>
    <w:rsid w:val="002B1715"/>
    <w:rsid w:val="002B189A"/>
    <w:rsid w:val="002B1A7E"/>
    <w:rsid w:val="002B291E"/>
    <w:rsid w:val="002B2D9D"/>
    <w:rsid w:val="002B2F91"/>
    <w:rsid w:val="002B53B2"/>
    <w:rsid w:val="002B6347"/>
    <w:rsid w:val="002B72B6"/>
    <w:rsid w:val="002B7EEE"/>
    <w:rsid w:val="002C13F6"/>
    <w:rsid w:val="002C17CD"/>
    <w:rsid w:val="002C19AF"/>
    <w:rsid w:val="002C2402"/>
    <w:rsid w:val="002C28E0"/>
    <w:rsid w:val="002C29BC"/>
    <w:rsid w:val="002C29FE"/>
    <w:rsid w:val="002C3A4C"/>
    <w:rsid w:val="002C3B55"/>
    <w:rsid w:val="002C45C6"/>
    <w:rsid w:val="002C483C"/>
    <w:rsid w:val="002C5275"/>
    <w:rsid w:val="002C548D"/>
    <w:rsid w:val="002C63A2"/>
    <w:rsid w:val="002C7287"/>
    <w:rsid w:val="002C787C"/>
    <w:rsid w:val="002C7A88"/>
    <w:rsid w:val="002D0975"/>
    <w:rsid w:val="002D0B2A"/>
    <w:rsid w:val="002D14A3"/>
    <w:rsid w:val="002D1733"/>
    <w:rsid w:val="002D35B4"/>
    <w:rsid w:val="002D3B09"/>
    <w:rsid w:val="002D4BA2"/>
    <w:rsid w:val="002D4FDA"/>
    <w:rsid w:val="002D5644"/>
    <w:rsid w:val="002D56C6"/>
    <w:rsid w:val="002D5EB3"/>
    <w:rsid w:val="002D6AE8"/>
    <w:rsid w:val="002E11E1"/>
    <w:rsid w:val="002E1FB9"/>
    <w:rsid w:val="002E25A1"/>
    <w:rsid w:val="002E25EB"/>
    <w:rsid w:val="002E2687"/>
    <w:rsid w:val="002E2B78"/>
    <w:rsid w:val="002E3471"/>
    <w:rsid w:val="002E3DFD"/>
    <w:rsid w:val="002E3E9C"/>
    <w:rsid w:val="002E4882"/>
    <w:rsid w:val="002E4986"/>
    <w:rsid w:val="002E5A81"/>
    <w:rsid w:val="002E64CB"/>
    <w:rsid w:val="002E6937"/>
    <w:rsid w:val="002E71DC"/>
    <w:rsid w:val="002F0500"/>
    <w:rsid w:val="002F0A19"/>
    <w:rsid w:val="002F33A1"/>
    <w:rsid w:val="002F3B13"/>
    <w:rsid w:val="002F3DB4"/>
    <w:rsid w:val="002F49F5"/>
    <w:rsid w:val="002F4CB8"/>
    <w:rsid w:val="002F5F5E"/>
    <w:rsid w:val="002F70ED"/>
    <w:rsid w:val="002F76EB"/>
    <w:rsid w:val="002F78D9"/>
    <w:rsid w:val="002F7D95"/>
    <w:rsid w:val="003001C1"/>
    <w:rsid w:val="0030046D"/>
    <w:rsid w:val="00300490"/>
    <w:rsid w:val="00300B2F"/>
    <w:rsid w:val="00301796"/>
    <w:rsid w:val="0030201C"/>
    <w:rsid w:val="0030214E"/>
    <w:rsid w:val="003025D6"/>
    <w:rsid w:val="003026E0"/>
    <w:rsid w:val="00302BC0"/>
    <w:rsid w:val="003031B6"/>
    <w:rsid w:val="00304A3B"/>
    <w:rsid w:val="00305168"/>
    <w:rsid w:val="00305863"/>
    <w:rsid w:val="0030639A"/>
    <w:rsid w:val="00306626"/>
    <w:rsid w:val="00306D96"/>
    <w:rsid w:val="0030747A"/>
    <w:rsid w:val="00307645"/>
    <w:rsid w:val="003101FD"/>
    <w:rsid w:val="00311A67"/>
    <w:rsid w:val="00312C2F"/>
    <w:rsid w:val="00312F3D"/>
    <w:rsid w:val="00314341"/>
    <w:rsid w:val="0031435A"/>
    <w:rsid w:val="00315631"/>
    <w:rsid w:val="00315E6A"/>
    <w:rsid w:val="0031677B"/>
    <w:rsid w:val="00316A54"/>
    <w:rsid w:val="00316A55"/>
    <w:rsid w:val="00317234"/>
    <w:rsid w:val="003175D6"/>
    <w:rsid w:val="003202F6"/>
    <w:rsid w:val="003203EB"/>
    <w:rsid w:val="003206E4"/>
    <w:rsid w:val="00320E2B"/>
    <w:rsid w:val="00321C98"/>
    <w:rsid w:val="00321CAA"/>
    <w:rsid w:val="00321CB0"/>
    <w:rsid w:val="00322BE9"/>
    <w:rsid w:val="00322D84"/>
    <w:rsid w:val="003239EE"/>
    <w:rsid w:val="00323AED"/>
    <w:rsid w:val="00323C18"/>
    <w:rsid w:val="00323F48"/>
    <w:rsid w:val="00324768"/>
    <w:rsid w:val="00324D80"/>
    <w:rsid w:val="003250C5"/>
    <w:rsid w:val="00325A9D"/>
    <w:rsid w:val="0032671A"/>
    <w:rsid w:val="0032733A"/>
    <w:rsid w:val="00327F16"/>
    <w:rsid w:val="00330236"/>
    <w:rsid w:val="00330882"/>
    <w:rsid w:val="00330E68"/>
    <w:rsid w:val="0033105C"/>
    <w:rsid w:val="00331386"/>
    <w:rsid w:val="0033142C"/>
    <w:rsid w:val="00332B1E"/>
    <w:rsid w:val="003333BB"/>
    <w:rsid w:val="003335AB"/>
    <w:rsid w:val="0033362B"/>
    <w:rsid w:val="003347B0"/>
    <w:rsid w:val="00335D57"/>
    <w:rsid w:val="003360A3"/>
    <w:rsid w:val="003372BE"/>
    <w:rsid w:val="0033762A"/>
    <w:rsid w:val="0033795B"/>
    <w:rsid w:val="00337EF0"/>
    <w:rsid w:val="003403E1"/>
    <w:rsid w:val="0034069F"/>
    <w:rsid w:val="00340E78"/>
    <w:rsid w:val="00342CED"/>
    <w:rsid w:val="00343BC8"/>
    <w:rsid w:val="00344158"/>
    <w:rsid w:val="003447F7"/>
    <w:rsid w:val="00344D69"/>
    <w:rsid w:val="0034526A"/>
    <w:rsid w:val="0034560F"/>
    <w:rsid w:val="003473DF"/>
    <w:rsid w:val="00347FFE"/>
    <w:rsid w:val="003507B8"/>
    <w:rsid w:val="0035185D"/>
    <w:rsid w:val="00351B26"/>
    <w:rsid w:val="00351BD1"/>
    <w:rsid w:val="00352DE4"/>
    <w:rsid w:val="00352E8A"/>
    <w:rsid w:val="003533EB"/>
    <w:rsid w:val="0035412A"/>
    <w:rsid w:val="003543C9"/>
    <w:rsid w:val="00354645"/>
    <w:rsid w:val="00354F33"/>
    <w:rsid w:val="00354F7F"/>
    <w:rsid w:val="0035514D"/>
    <w:rsid w:val="0035541D"/>
    <w:rsid w:val="003559A5"/>
    <w:rsid w:val="003571F8"/>
    <w:rsid w:val="00357585"/>
    <w:rsid w:val="0036052C"/>
    <w:rsid w:val="0036298B"/>
    <w:rsid w:val="00362A26"/>
    <w:rsid w:val="00362B77"/>
    <w:rsid w:val="003640F8"/>
    <w:rsid w:val="0036534F"/>
    <w:rsid w:val="00365D0E"/>
    <w:rsid w:val="00365E42"/>
    <w:rsid w:val="00365FD1"/>
    <w:rsid w:val="0036673C"/>
    <w:rsid w:val="00366D7A"/>
    <w:rsid w:val="00367179"/>
    <w:rsid w:val="003727CE"/>
    <w:rsid w:val="00372830"/>
    <w:rsid w:val="00372A8B"/>
    <w:rsid w:val="0037341F"/>
    <w:rsid w:val="00374037"/>
    <w:rsid w:val="0037407E"/>
    <w:rsid w:val="00374CC2"/>
    <w:rsid w:val="00374FE1"/>
    <w:rsid w:val="00375D63"/>
    <w:rsid w:val="00375DE0"/>
    <w:rsid w:val="00375E85"/>
    <w:rsid w:val="0037677A"/>
    <w:rsid w:val="003767E7"/>
    <w:rsid w:val="00380001"/>
    <w:rsid w:val="00380A33"/>
    <w:rsid w:val="00380A9D"/>
    <w:rsid w:val="00381648"/>
    <w:rsid w:val="00382079"/>
    <w:rsid w:val="00382F54"/>
    <w:rsid w:val="00382FBA"/>
    <w:rsid w:val="00383235"/>
    <w:rsid w:val="00384808"/>
    <w:rsid w:val="00385F13"/>
    <w:rsid w:val="00385F15"/>
    <w:rsid w:val="0038709C"/>
    <w:rsid w:val="00387355"/>
    <w:rsid w:val="003876A5"/>
    <w:rsid w:val="0038788A"/>
    <w:rsid w:val="003902B0"/>
    <w:rsid w:val="003906ED"/>
    <w:rsid w:val="00390CAB"/>
    <w:rsid w:val="00390E23"/>
    <w:rsid w:val="0039122B"/>
    <w:rsid w:val="00391450"/>
    <w:rsid w:val="0039197D"/>
    <w:rsid w:val="00392836"/>
    <w:rsid w:val="00392C76"/>
    <w:rsid w:val="00393212"/>
    <w:rsid w:val="003940A8"/>
    <w:rsid w:val="003944B9"/>
    <w:rsid w:val="00394E12"/>
    <w:rsid w:val="003952FB"/>
    <w:rsid w:val="00396109"/>
    <w:rsid w:val="00396134"/>
    <w:rsid w:val="00397565"/>
    <w:rsid w:val="003A00E0"/>
    <w:rsid w:val="003A0AFD"/>
    <w:rsid w:val="003A14E7"/>
    <w:rsid w:val="003A185D"/>
    <w:rsid w:val="003A1C18"/>
    <w:rsid w:val="003A29D1"/>
    <w:rsid w:val="003A30F1"/>
    <w:rsid w:val="003A402A"/>
    <w:rsid w:val="003A42E9"/>
    <w:rsid w:val="003A43B0"/>
    <w:rsid w:val="003A491F"/>
    <w:rsid w:val="003A4D4E"/>
    <w:rsid w:val="003A4DC9"/>
    <w:rsid w:val="003A5F3C"/>
    <w:rsid w:val="003A6699"/>
    <w:rsid w:val="003A6C91"/>
    <w:rsid w:val="003A71A1"/>
    <w:rsid w:val="003A74E0"/>
    <w:rsid w:val="003A79D9"/>
    <w:rsid w:val="003B04BB"/>
    <w:rsid w:val="003B0BC0"/>
    <w:rsid w:val="003B1544"/>
    <w:rsid w:val="003B23C9"/>
    <w:rsid w:val="003B2775"/>
    <w:rsid w:val="003B27EA"/>
    <w:rsid w:val="003B28A5"/>
    <w:rsid w:val="003B2B60"/>
    <w:rsid w:val="003B319D"/>
    <w:rsid w:val="003B3626"/>
    <w:rsid w:val="003B37B0"/>
    <w:rsid w:val="003B3BA7"/>
    <w:rsid w:val="003B4142"/>
    <w:rsid w:val="003B437F"/>
    <w:rsid w:val="003B5D5D"/>
    <w:rsid w:val="003B6121"/>
    <w:rsid w:val="003B711C"/>
    <w:rsid w:val="003B79CF"/>
    <w:rsid w:val="003B7CA0"/>
    <w:rsid w:val="003B7CD6"/>
    <w:rsid w:val="003B7F7B"/>
    <w:rsid w:val="003C035F"/>
    <w:rsid w:val="003C0885"/>
    <w:rsid w:val="003C09CE"/>
    <w:rsid w:val="003C1195"/>
    <w:rsid w:val="003C2D06"/>
    <w:rsid w:val="003C2EA7"/>
    <w:rsid w:val="003C3002"/>
    <w:rsid w:val="003C3611"/>
    <w:rsid w:val="003C4129"/>
    <w:rsid w:val="003C4204"/>
    <w:rsid w:val="003C4914"/>
    <w:rsid w:val="003C4C22"/>
    <w:rsid w:val="003C502A"/>
    <w:rsid w:val="003C58CE"/>
    <w:rsid w:val="003C5D6C"/>
    <w:rsid w:val="003C6355"/>
    <w:rsid w:val="003C6D46"/>
    <w:rsid w:val="003C79C6"/>
    <w:rsid w:val="003D0466"/>
    <w:rsid w:val="003D100E"/>
    <w:rsid w:val="003D26B6"/>
    <w:rsid w:val="003D294F"/>
    <w:rsid w:val="003D35D3"/>
    <w:rsid w:val="003D42F2"/>
    <w:rsid w:val="003D50EB"/>
    <w:rsid w:val="003D5AAE"/>
    <w:rsid w:val="003D5BB1"/>
    <w:rsid w:val="003D66F6"/>
    <w:rsid w:val="003D6E20"/>
    <w:rsid w:val="003D6F12"/>
    <w:rsid w:val="003D7948"/>
    <w:rsid w:val="003E01E7"/>
    <w:rsid w:val="003E0B52"/>
    <w:rsid w:val="003E0BF1"/>
    <w:rsid w:val="003E2558"/>
    <w:rsid w:val="003E37E2"/>
    <w:rsid w:val="003E3BEA"/>
    <w:rsid w:val="003E3EDA"/>
    <w:rsid w:val="003E41A8"/>
    <w:rsid w:val="003E42C4"/>
    <w:rsid w:val="003E4750"/>
    <w:rsid w:val="003E5613"/>
    <w:rsid w:val="003E598A"/>
    <w:rsid w:val="003E5DE6"/>
    <w:rsid w:val="003E6E31"/>
    <w:rsid w:val="003E7230"/>
    <w:rsid w:val="003E7CFF"/>
    <w:rsid w:val="003F08E4"/>
    <w:rsid w:val="003F23E0"/>
    <w:rsid w:val="003F2668"/>
    <w:rsid w:val="003F288D"/>
    <w:rsid w:val="003F2A98"/>
    <w:rsid w:val="003F2C1F"/>
    <w:rsid w:val="003F2EE5"/>
    <w:rsid w:val="003F31A8"/>
    <w:rsid w:val="003F4AAD"/>
    <w:rsid w:val="003F4B13"/>
    <w:rsid w:val="003F593A"/>
    <w:rsid w:val="003F6E00"/>
    <w:rsid w:val="003F7961"/>
    <w:rsid w:val="003F7FD7"/>
    <w:rsid w:val="00401242"/>
    <w:rsid w:val="0040144A"/>
    <w:rsid w:val="00401711"/>
    <w:rsid w:val="00401737"/>
    <w:rsid w:val="00402209"/>
    <w:rsid w:val="00402544"/>
    <w:rsid w:val="00403A29"/>
    <w:rsid w:val="00403BB0"/>
    <w:rsid w:val="00404231"/>
    <w:rsid w:val="00404B7A"/>
    <w:rsid w:val="004051E6"/>
    <w:rsid w:val="0040534B"/>
    <w:rsid w:val="004056ED"/>
    <w:rsid w:val="004059E3"/>
    <w:rsid w:val="004070B2"/>
    <w:rsid w:val="004071F2"/>
    <w:rsid w:val="00407BF4"/>
    <w:rsid w:val="00410184"/>
    <w:rsid w:val="004107D8"/>
    <w:rsid w:val="0041175B"/>
    <w:rsid w:val="0041299F"/>
    <w:rsid w:val="00412BE3"/>
    <w:rsid w:val="0041316B"/>
    <w:rsid w:val="00414ADD"/>
    <w:rsid w:val="00414D65"/>
    <w:rsid w:val="00415E2F"/>
    <w:rsid w:val="0041628C"/>
    <w:rsid w:val="00416421"/>
    <w:rsid w:val="00416885"/>
    <w:rsid w:val="0041697C"/>
    <w:rsid w:val="004204D5"/>
    <w:rsid w:val="00420652"/>
    <w:rsid w:val="00420992"/>
    <w:rsid w:val="00421022"/>
    <w:rsid w:val="0042102A"/>
    <w:rsid w:val="004214C1"/>
    <w:rsid w:val="004217E9"/>
    <w:rsid w:val="00422226"/>
    <w:rsid w:val="0042269C"/>
    <w:rsid w:val="0042282E"/>
    <w:rsid w:val="004228B6"/>
    <w:rsid w:val="00423069"/>
    <w:rsid w:val="00423071"/>
    <w:rsid w:val="004231DB"/>
    <w:rsid w:val="00424BBF"/>
    <w:rsid w:val="00424D31"/>
    <w:rsid w:val="004251BE"/>
    <w:rsid w:val="00425E78"/>
    <w:rsid w:val="00426AF9"/>
    <w:rsid w:val="00427F55"/>
    <w:rsid w:val="00430325"/>
    <w:rsid w:val="0043075B"/>
    <w:rsid w:val="00431355"/>
    <w:rsid w:val="00432601"/>
    <w:rsid w:val="004332A9"/>
    <w:rsid w:val="004334FC"/>
    <w:rsid w:val="004335EF"/>
    <w:rsid w:val="00433636"/>
    <w:rsid w:val="00433715"/>
    <w:rsid w:val="00434005"/>
    <w:rsid w:val="0043634E"/>
    <w:rsid w:val="0043664F"/>
    <w:rsid w:val="0043666E"/>
    <w:rsid w:val="0043729C"/>
    <w:rsid w:val="0043783B"/>
    <w:rsid w:val="0043792B"/>
    <w:rsid w:val="00440A03"/>
    <w:rsid w:val="00441868"/>
    <w:rsid w:val="00441912"/>
    <w:rsid w:val="00441BFB"/>
    <w:rsid w:val="00441CFE"/>
    <w:rsid w:val="00441FF9"/>
    <w:rsid w:val="00442678"/>
    <w:rsid w:val="00443ACB"/>
    <w:rsid w:val="004440D7"/>
    <w:rsid w:val="00444211"/>
    <w:rsid w:val="00445196"/>
    <w:rsid w:val="004451A5"/>
    <w:rsid w:val="00445969"/>
    <w:rsid w:val="00445AF2"/>
    <w:rsid w:val="0044651F"/>
    <w:rsid w:val="00446D20"/>
    <w:rsid w:val="00447290"/>
    <w:rsid w:val="004476E0"/>
    <w:rsid w:val="00447756"/>
    <w:rsid w:val="00450ACD"/>
    <w:rsid w:val="00450C03"/>
    <w:rsid w:val="00450D7D"/>
    <w:rsid w:val="00451180"/>
    <w:rsid w:val="00451BE7"/>
    <w:rsid w:val="00451FBB"/>
    <w:rsid w:val="004523C7"/>
    <w:rsid w:val="004528E0"/>
    <w:rsid w:val="00452D34"/>
    <w:rsid w:val="00452E7D"/>
    <w:rsid w:val="0045455F"/>
    <w:rsid w:val="004548AF"/>
    <w:rsid w:val="00454A24"/>
    <w:rsid w:val="00456222"/>
    <w:rsid w:val="00456A09"/>
    <w:rsid w:val="004570EC"/>
    <w:rsid w:val="00457239"/>
    <w:rsid w:val="00460F4F"/>
    <w:rsid w:val="00461AD1"/>
    <w:rsid w:val="0046251E"/>
    <w:rsid w:val="004626A4"/>
    <w:rsid w:val="00462FB8"/>
    <w:rsid w:val="00463850"/>
    <w:rsid w:val="00463DDB"/>
    <w:rsid w:val="00464700"/>
    <w:rsid w:val="00464B64"/>
    <w:rsid w:val="004659C3"/>
    <w:rsid w:val="00465FDF"/>
    <w:rsid w:val="0046625F"/>
    <w:rsid w:val="004673CB"/>
    <w:rsid w:val="0046770E"/>
    <w:rsid w:val="0047076E"/>
    <w:rsid w:val="00471AC0"/>
    <w:rsid w:val="00473664"/>
    <w:rsid w:val="00473BDE"/>
    <w:rsid w:val="00474778"/>
    <w:rsid w:val="0047499E"/>
    <w:rsid w:val="00474ADE"/>
    <w:rsid w:val="00474D05"/>
    <w:rsid w:val="004766FE"/>
    <w:rsid w:val="00476825"/>
    <w:rsid w:val="00476BA3"/>
    <w:rsid w:val="00476CF3"/>
    <w:rsid w:val="00477CEC"/>
    <w:rsid w:val="00480012"/>
    <w:rsid w:val="0048031D"/>
    <w:rsid w:val="00480848"/>
    <w:rsid w:val="004823E3"/>
    <w:rsid w:val="0048240A"/>
    <w:rsid w:val="00483319"/>
    <w:rsid w:val="004835D8"/>
    <w:rsid w:val="00483F67"/>
    <w:rsid w:val="00484F63"/>
    <w:rsid w:val="00485255"/>
    <w:rsid w:val="0048603E"/>
    <w:rsid w:val="004861D0"/>
    <w:rsid w:val="00486BCC"/>
    <w:rsid w:val="00486FAA"/>
    <w:rsid w:val="00487250"/>
    <w:rsid w:val="0048726E"/>
    <w:rsid w:val="004875EE"/>
    <w:rsid w:val="00487F14"/>
    <w:rsid w:val="00490309"/>
    <w:rsid w:val="00490ACC"/>
    <w:rsid w:val="004921AF"/>
    <w:rsid w:val="00492794"/>
    <w:rsid w:val="004927B9"/>
    <w:rsid w:val="00493826"/>
    <w:rsid w:val="00493B20"/>
    <w:rsid w:val="00493E62"/>
    <w:rsid w:val="00494682"/>
    <w:rsid w:val="004946E0"/>
    <w:rsid w:val="00495B39"/>
    <w:rsid w:val="00496259"/>
    <w:rsid w:val="00496322"/>
    <w:rsid w:val="00497FBC"/>
    <w:rsid w:val="004A0C89"/>
    <w:rsid w:val="004A11A9"/>
    <w:rsid w:val="004A16F7"/>
    <w:rsid w:val="004A1A64"/>
    <w:rsid w:val="004A1C78"/>
    <w:rsid w:val="004A1C81"/>
    <w:rsid w:val="004A2761"/>
    <w:rsid w:val="004A3F35"/>
    <w:rsid w:val="004A421E"/>
    <w:rsid w:val="004A4615"/>
    <w:rsid w:val="004A46FB"/>
    <w:rsid w:val="004A600B"/>
    <w:rsid w:val="004A61E8"/>
    <w:rsid w:val="004A631C"/>
    <w:rsid w:val="004A799A"/>
    <w:rsid w:val="004A7B97"/>
    <w:rsid w:val="004A7D65"/>
    <w:rsid w:val="004B05E7"/>
    <w:rsid w:val="004B0813"/>
    <w:rsid w:val="004B0C1B"/>
    <w:rsid w:val="004B0E18"/>
    <w:rsid w:val="004B114F"/>
    <w:rsid w:val="004B1192"/>
    <w:rsid w:val="004B19E2"/>
    <w:rsid w:val="004B2181"/>
    <w:rsid w:val="004B2F83"/>
    <w:rsid w:val="004B39D3"/>
    <w:rsid w:val="004B3BB9"/>
    <w:rsid w:val="004B3C1B"/>
    <w:rsid w:val="004B432E"/>
    <w:rsid w:val="004B46D2"/>
    <w:rsid w:val="004B4912"/>
    <w:rsid w:val="004B4994"/>
    <w:rsid w:val="004B4C69"/>
    <w:rsid w:val="004B4F27"/>
    <w:rsid w:val="004B4F62"/>
    <w:rsid w:val="004B6202"/>
    <w:rsid w:val="004B6229"/>
    <w:rsid w:val="004B66E3"/>
    <w:rsid w:val="004B6A7E"/>
    <w:rsid w:val="004B6E47"/>
    <w:rsid w:val="004B7713"/>
    <w:rsid w:val="004B7F4C"/>
    <w:rsid w:val="004C0331"/>
    <w:rsid w:val="004C03C1"/>
    <w:rsid w:val="004C1E6F"/>
    <w:rsid w:val="004C352F"/>
    <w:rsid w:val="004C3804"/>
    <w:rsid w:val="004C3FE5"/>
    <w:rsid w:val="004C4081"/>
    <w:rsid w:val="004C4F78"/>
    <w:rsid w:val="004C500C"/>
    <w:rsid w:val="004C507E"/>
    <w:rsid w:val="004C5A7F"/>
    <w:rsid w:val="004C65A5"/>
    <w:rsid w:val="004C7B29"/>
    <w:rsid w:val="004D0057"/>
    <w:rsid w:val="004D294B"/>
    <w:rsid w:val="004D32B1"/>
    <w:rsid w:val="004D3C0B"/>
    <w:rsid w:val="004D3EDC"/>
    <w:rsid w:val="004D42AF"/>
    <w:rsid w:val="004D46E9"/>
    <w:rsid w:val="004D47FA"/>
    <w:rsid w:val="004D55E3"/>
    <w:rsid w:val="004D59CC"/>
    <w:rsid w:val="004D5A4E"/>
    <w:rsid w:val="004D5DD7"/>
    <w:rsid w:val="004D69EC"/>
    <w:rsid w:val="004D7EF4"/>
    <w:rsid w:val="004E0A52"/>
    <w:rsid w:val="004E29E5"/>
    <w:rsid w:val="004E2A88"/>
    <w:rsid w:val="004E2D28"/>
    <w:rsid w:val="004E40F0"/>
    <w:rsid w:val="004E5267"/>
    <w:rsid w:val="004E55DF"/>
    <w:rsid w:val="004E580B"/>
    <w:rsid w:val="004E5CB2"/>
    <w:rsid w:val="004E6E12"/>
    <w:rsid w:val="004F0038"/>
    <w:rsid w:val="004F02D9"/>
    <w:rsid w:val="004F0419"/>
    <w:rsid w:val="004F0BC2"/>
    <w:rsid w:val="004F1C2C"/>
    <w:rsid w:val="004F36F6"/>
    <w:rsid w:val="004F40E8"/>
    <w:rsid w:val="004F4354"/>
    <w:rsid w:val="004F4759"/>
    <w:rsid w:val="004F53E5"/>
    <w:rsid w:val="004F5CDF"/>
    <w:rsid w:val="00500755"/>
    <w:rsid w:val="00500D56"/>
    <w:rsid w:val="00500E12"/>
    <w:rsid w:val="00500F83"/>
    <w:rsid w:val="00501FF3"/>
    <w:rsid w:val="00502343"/>
    <w:rsid w:val="00502510"/>
    <w:rsid w:val="00503392"/>
    <w:rsid w:val="0050413E"/>
    <w:rsid w:val="00504454"/>
    <w:rsid w:val="0050475F"/>
    <w:rsid w:val="005047C4"/>
    <w:rsid w:val="00504A2C"/>
    <w:rsid w:val="0050509A"/>
    <w:rsid w:val="0050526D"/>
    <w:rsid w:val="005056DB"/>
    <w:rsid w:val="00510222"/>
    <w:rsid w:val="00510250"/>
    <w:rsid w:val="005108F7"/>
    <w:rsid w:val="00510E4C"/>
    <w:rsid w:val="00510E7D"/>
    <w:rsid w:val="00510F79"/>
    <w:rsid w:val="00510FE8"/>
    <w:rsid w:val="0051271B"/>
    <w:rsid w:val="005136C4"/>
    <w:rsid w:val="00513B64"/>
    <w:rsid w:val="0051403F"/>
    <w:rsid w:val="00514081"/>
    <w:rsid w:val="005149E7"/>
    <w:rsid w:val="0051502D"/>
    <w:rsid w:val="005160D5"/>
    <w:rsid w:val="00516234"/>
    <w:rsid w:val="00517DB9"/>
    <w:rsid w:val="00517EF1"/>
    <w:rsid w:val="00521216"/>
    <w:rsid w:val="0052193E"/>
    <w:rsid w:val="0052199E"/>
    <w:rsid w:val="00521A17"/>
    <w:rsid w:val="00521E10"/>
    <w:rsid w:val="005226EF"/>
    <w:rsid w:val="00522882"/>
    <w:rsid w:val="0052353F"/>
    <w:rsid w:val="00523BD6"/>
    <w:rsid w:val="00523C31"/>
    <w:rsid w:val="0052493B"/>
    <w:rsid w:val="00525121"/>
    <w:rsid w:val="00525148"/>
    <w:rsid w:val="005254EA"/>
    <w:rsid w:val="005260B5"/>
    <w:rsid w:val="00526732"/>
    <w:rsid w:val="005268DC"/>
    <w:rsid w:val="00526E24"/>
    <w:rsid w:val="005271B7"/>
    <w:rsid w:val="005275BE"/>
    <w:rsid w:val="0053006A"/>
    <w:rsid w:val="00530FA2"/>
    <w:rsid w:val="00531578"/>
    <w:rsid w:val="00531B0D"/>
    <w:rsid w:val="0053209B"/>
    <w:rsid w:val="00532EB8"/>
    <w:rsid w:val="005333C5"/>
    <w:rsid w:val="00534216"/>
    <w:rsid w:val="0053565E"/>
    <w:rsid w:val="005359AC"/>
    <w:rsid w:val="00535D6D"/>
    <w:rsid w:val="00535D99"/>
    <w:rsid w:val="00536600"/>
    <w:rsid w:val="0053678F"/>
    <w:rsid w:val="00536AFD"/>
    <w:rsid w:val="00536D0E"/>
    <w:rsid w:val="00536E89"/>
    <w:rsid w:val="0053738D"/>
    <w:rsid w:val="005379FF"/>
    <w:rsid w:val="00537C83"/>
    <w:rsid w:val="0054077C"/>
    <w:rsid w:val="00540877"/>
    <w:rsid w:val="0054100A"/>
    <w:rsid w:val="005411BD"/>
    <w:rsid w:val="0054138A"/>
    <w:rsid w:val="00541E52"/>
    <w:rsid w:val="005420D9"/>
    <w:rsid w:val="0054241F"/>
    <w:rsid w:val="00542475"/>
    <w:rsid w:val="00543458"/>
    <w:rsid w:val="0054345B"/>
    <w:rsid w:val="00543491"/>
    <w:rsid w:val="00544917"/>
    <w:rsid w:val="00544D8D"/>
    <w:rsid w:val="00544FBF"/>
    <w:rsid w:val="005453DD"/>
    <w:rsid w:val="00545733"/>
    <w:rsid w:val="00545CC1"/>
    <w:rsid w:val="00545F3A"/>
    <w:rsid w:val="0054619E"/>
    <w:rsid w:val="005463AB"/>
    <w:rsid w:val="005468E6"/>
    <w:rsid w:val="00546E19"/>
    <w:rsid w:val="00546E32"/>
    <w:rsid w:val="00547CCA"/>
    <w:rsid w:val="00550713"/>
    <w:rsid w:val="005511CF"/>
    <w:rsid w:val="0055169A"/>
    <w:rsid w:val="00551EBF"/>
    <w:rsid w:val="00552935"/>
    <w:rsid w:val="00552BDA"/>
    <w:rsid w:val="0055324A"/>
    <w:rsid w:val="005534B0"/>
    <w:rsid w:val="00553D46"/>
    <w:rsid w:val="00553E98"/>
    <w:rsid w:val="00553F7C"/>
    <w:rsid w:val="005540FB"/>
    <w:rsid w:val="005550D0"/>
    <w:rsid w:val="005559C4"/>
    <w:rsid w:val="00555FFC"/>
    <w:rsid w:val="005561C3"/>
    <w:rsid w:val="00557256"/>
    <w:rsid w:val="005572CD"/>
    <w:rsid w:val="00557576"/>
    <w:rsid w:val="00557629"/>
    <w:rsid w:val="00557713"/>
    <w:rsid w:val="005605E9"/>
    <w:rsid w:val="00560798"/>
    <w:rsid w:val="005612D3"/>
    <w:rsid w:val="00561555"/>
    <w:rsid w:val="00562063"/>
    <w:rsid w:val="00562342"/>
    <w:rsid w:val="00562995"/>
    <w:rsid w:val="0056450D"/>
    <w:rsid w:val="005647CF"/>
    <w:rsid w:val="00564C32"/>
    <w:rsid w:val="005661CF"/>
    <w:rsid w:val="00566BE5"/>
    <w:rsid w:val="00566E49"/>
    <w:rsid w:val="00566F22"/>
    <w:rsid w:val="00566F48"/>
    <w:rsid w:val="005675DB"/>
    <w:rsid w:val="00567992"/>
    <w:rsid w:val="00567C5C"/>
    <w:rsid w:val="005705C7"/>
    <w:rsid w:val="0057084A"/>
    <w:rsid w:val="005708FE"/>
    <w:rsid w:val="00570B8D"/>
    <w:rsid w:val="00570D32"/>
    <w:rsid w:val="00571AA9"/>
    <w:rsid w:val="00572288"/>
    <w:rsid w:val="0057261B"/>
    <w:rsid w:val="00573073"/>
    <w:rsid w:val="0057357C"/>
    <w:rsid w:val="005743D3"/>
    <w:rsid w:val="005747BE"/>
    <w:rsid w:val="00574EE2"/>
    <w:rsid w:val="00574F65"/>
    <w:rsid w:val="005758A0"/>
    <w:rsid w:val="00575CA5"/>
    <w:rsid w:val="00576BA1"/>
    <w:rsid w:val="00580078"/>
    <w:rsid w:val="005813DA"/>
    <w:rsid w:val="005821E0"/>
    <w:rsid w:val="00582B65"/>
    <w:rsid w:val="0058519C"/>
    <w:rsid w:val="00585253"/>
    <w:rsid w:val="005853C9"/>
    <w:rsid w:val="00585488"/>
    <w:rsid w:val="00585EF7"/>
    <w:rsid w:val="00586699"/>
    <w:rsid w:val="005876BC"/>
    <w:rsid w:val="0059105A"/>
    <w:rsid w:val="0059228D"/>
    <w:rsid w:val="00592D14"/>
    <w:rsid w:val="005930E9"/>
    <w:rsid w:val="005938EF"/>
    <w:rsid w:val="005942D1"/>
    <w:rsid w:val="00594377"/>
    <w:rsid w:val="00594904"/>
    <w:rsid w:val="00594C04"/>
    <w:rsid w:val="00594C4C"/>
    <w:rsid w:val="005951FA"/>
    <w:rsid w:val="00595B55"/>
    <w:rsid w:val="005961C1"/>
    <w:rsid w:val="005961E6"/>
    <w:rsid w:val="005966D0"/>
    <w:rsid w:val="0059680F"/>
    <w:rsid w:val="00596A68"/>
    <w:rsid w:val="00597CE9"/>
    <w:rsid w:val="00597E27"/>
    <w:rsid w:val="00597F00"/>
    <w:rsid w:val="005A0628"/>
    <w:rsid w:val="005A0C35"/>
    <w:rsid w:val="005A14B5"/>
    <w:rsid w:val="005A1AAD"/>
    <w:rsid w:val="005A2049"/>
    <w:rsid w:val="005A267B"/>
    <w:rsid w:val="005A2EC7"/>
    <w:rsid w:val="005A3781"/>
    <w:rsid w:val="005A53C7"/>
    <w:rsid w:val="005A608F"/>
    <w:rsid w:val="005A6904"/>
    <w:rsid w:val="005A760E"/>
    <w:rsid w:val="005A7759"/>
    <w:rsid w:val="005B1BBD"/>
    <w:rsid w:val="005B2028"/>
    <w:rsid w:val="005B2DEB"/>
    <w:rsid w:val="005B3379"/>
    <w:rsid w:val="005B34F8"/>
    <w:rsid w:val="005B3CDA"/>
    <w:rsid w:val="005B4368"/>
    <w:rsid w:val="005B5DC2"/>
    <w:rsid w:val="005B694E"/>
    <w:rsid w:val="005B770B"/>
    <w:rsid w:val="005C0205"/>
    <w:rsid w:val="005C02E6"/>
    <w:rsid w:val="005C0687"/>
    <w:rsid w:val="005C0C21"/>
    <w:rsid w:val="005C0E7B"/>
    <w:rsid w:val="005C1729"/>
    <w:rsid w:val="005C1940"/>
    <w:rsid w:val="005C1CE8"/>
    <w:rsid w:val="005C2C8B"/>
    <w:rsid w:val="005C3356"/>
    <w:rsid w:val="005C3736"/>
    <w:rsid w:val="005C3B60"/>
    <w:rsid w:val="005C4397"/>
    <w:rsid w:val="005C4997"/>
    <w:rsid w:val="005C4F70"/>
    <w:rsid w:val="005C5CAD"/>
    <w:rsid w:val="005C685C"/>
    <w:rsid w:val="005C69D8"/>
    <w:rsid w:val="005C6F88"/>
    <w:rsid w:val="005C7381"/>
    <w:rsid w:val="005C7565"/>
    <w:rsid w:val="005C7EBF"/>
    <w:rsid w:val="005C7EDE"/>
    <w:rsid w:val="005D0D97"/>
    <w:rsid w:val="005D1636"/>
    <w:rsid w:val="005D19CB"/>
    <w:rsid w:val="005D2B92"/>
    <w:rsid w:val="005D32B6"/>
    <w:rsid w:val="005D340F"/>
    <w:rsid w:val="005D393D"/>
    <w:rsid w:val="005D5BDB"/>
    <w:rsid w:val="005D6EBC"/>
    <w:rsid w:val="005D7F7D"/>
    <w:rsid w:val="005E01DF"/>
    <w:rsid w:val="005E0344"/>
    <w:rsid w:val="005E05B1"/>
    <w:rsid w:val="005E097C"/>
    <w:rsid w:val="005E0ACC"/>
    <w:rsid w:val="005E1244"/>
    <w:rsid w:val="005E19BA"/>
    <w:rsid w:val="005E19D7"/>
    <w:rsid w:val="005E2882"/>
    <w:rsid w:val="005E368D"/>
    <w:rsid w:val="005E4030"/>
    <w:rsid w:val="005E4557"/>
    <w:rsid w:val="005E4DD6"/>
    <w:rsid w:val="005E506F"/>
    <w:rsid w:val="005E5821"/>
    <w:rsid w:val="005E5910"/>
    <w:rsid w:val="005E6124"/>
    <w:rsid w:val="005E612A"/>
    <w:rsid w:val="005E6D06"/>
    <w:rsid w:val="005E7B3C"/>
    <w:rsid w:val="005F100B"/>
    <w:rsid w:val="005F1A9A"/>
    <w:rsid w:val="005F40E7"/>
    <w:rsid w:val="005F438E"/>
    <w:rsid w:val="005F49FE"/>
    <w:rsid w:val="005F5868"/>
    <w:rsid w:val="005F6035"/>
    <w:rsid w:val="005F648B"/>
    <w:rsid w:val="005F660D"/>
    <w:rsid w:val="005F66A7"/>
    <w:rsid w:val="005F7630"/>
    <w:rsid w:val="005F7F35"/>
    <w:rsid w:val="00600216"/>
    <w:rsid w:val="006008AD"/>
    <w:rsid w:val="00600B9F"/>
    <w:rsid w:val="00601EE2"/>
    <w:rsid w:val="0060244B"/>
    <w:rsid w:val="006026F0"/>
    <w:rsid w:val="00603F88"/>
    <w:rsid w:val="00603FD1"/>
    <w:rsid w:val="00604859"/>
    <w:rsid w:val="00605059"/>
    <w:rsid w:val="0060535A"/>
    <w:rsid w:val="0060707F"/>
    <w:rsid w:val="006071F8"/>
    <w:rsid w:val="0060750E"/>
    <w:rsid w:val="00610E8D"/>
    <w:rsid w:val="00611511"/>
    <w:rsid w:val="0061178C"/>
    <w:rsid w:val="0061303E"/>
    <w:rsid w:val="00613997"/>
    <w:rsid w:val="006143AE"/>
    <w:rsid w:val="0061451B"/>
    <w:rsid w:val="006154FA"/>
    <w:rsid w:val="00615944"/>
    <w:rsid w:val="00616B79"/>
    <w:rsid w:val="00616F55"/>
    <w:rsid w:val="00620B70"/>
    <w:rsid w:val="00620D57"/>
    <w:rsid w:val="00621D3A"/>
    <w:rsid w:val="00622088"/>
    <w:rsid w:val="006220BD"/>
    <w:rsid w:val="00622B45"/>
    <w:rsid w:val="00622BE0"/>
    <w:rsid w:val="006233FC"/>
    <w:rsid w:val="00623E25"/>
    <w:rsid w:val="00623E59"/>
    <w:rsid w:val="0062457D"/>
    <w:rsid w:val="006249FC"/>
    <w:rsid w:val="00624CB2"/>
    <w:rsid w:val="006262BC"/>
    <w:rsid w:val="006263B3"/>
    <w:rsid w:val="00626911"/>
    <w:rsid w:val="00626B0A"/>
    <w:rsid w:val="006273C5"/>
    <w:rsid w:val="006308E2"/>
    <w:rsid w:val="00631A5E"/>
    <w:rsid w:val="00632054"/>
    <w:rsid w:val="00632163"/>
    <w:rsid w:val="00632205"/>
    <w:rsid w:val="00632283"/>
    <w:rsid w:val="006322DA"/>
    <w:rsid w:val="00632B28"/>
    <w:rsid w:val="00632BF9"/>
    <w:rsid w:val="006334A4"/>
    <w:rsid w:val="00633AC0"/>
    <w:rsid w:val="00633B58"/>
    <w:rsid w:val="0063435B"/>
    <w:rsid w:val="00634913"/>
    <w:rsid w:val="00634E87"/>
    <w:rsid w:val="006358C2"/>
    <w:rsid w:val="00636443"/>
    <w:rsid w:val="00636551"/>
    <w:rsid w:val="006365D6"/>
    <w:rsid w:val="00636608"/>
    <w:rsid w:val="00636BDF"/>
    <w:rsid w:val="00636DFC"/>
    <w:rsid w:val="00636F6C"/>
    <w:rsid w:val="006402FF"/>
    <w:rsid w:val="006403B5"/>
    <w:rsid w:val="00640899"/>
    <w:rsid w:val="0064089F"/>
    <w:rsid w:val="006408E7"/>
    <w:rsid w:val="00641462"/>
    <w:rsid w:val="00642740"/>
    <w:rsid w:val="006447EA"/>
    <w:rsid w:val="0064593C"/>
    <w:rsid w:val="00645D43"/>
    <w:rsid w:val="00645E94"/>
    <w:rsid w:val="00645F81"/>
    <w:rsid w:val="0064739D"/>
    <w:rsid w:val="00650B15"/>
    <w:rsid w:val="006525B0"/>
    <w:rsid w:val="00652855"/>
    <w:rsid w:val="00652E35"/>
    <w:rsid w:val="006531E9"/>
    <w:rsid w:val="00653252"/>
    <w:rsid w:val="006533A6"/>
    <w:rsid w:val="006548A4"/>
    <w:rsid w:val="006556CF"/>
    <w:rsid w:val="00655FD8"/>
    <w:rsid w:val="00656A24"/>
    <w:rsid w:val="006576F1"/>
    <w:rsid w:val="0065770E"/>
    <w:rsid w:val="00660A7E"/>
    <w:rsid w:val="00661262"/>
    <w:rsid w:val="00661530"/>
    <w:rsid w:val="00661BD6"/>
    <w:rsid w:val="00661DCE"/>
    <w:rsid w:val="00662568"/>
    <w:rsid w:val="00662723"/>
    <w:rsid w:val="00662C1C"/>
    <w:rsid w:val="00662F71"/>
    <w:rsid w:val="00663A0E"/>
    <w:rsid w:val="00663B42"/>
    <w:rsid w:val="00663B9E"/>
    <w:rsid w:val="00663DCB"/>
    <w:rsid w:val="006644CC"/>
    <w:rsid w:val="0066491D"/>
    <w:rsid w:val="00664FD8"/>
    <w:rsid w:val="006660B6"/>
    <w:rsid w:val="006667A6"/>
    <w:rsid w:val="00666A4A"/>
    <w:rsid w:val="0066777F"/>
    <w:rsid w:val="00670CB9"/>
    <w:rsid w:val="00671198"/>
    <w:rsid w:val="006712FC"/>
    <w:rsid w:val="006720DF"/>
    <w:rsid w:val="00672868"/>
    <w:rsid w:val="00672D1B"/>
    <w:rsid w:val="006736E0"/>
    <w:rsid w:val="006741C7"/>
    <w:rsid w:val="006751AB"/>
    <w:rsid w:val="00675C08"/>
    <w:rsid w:val="006762C4"/>
    <w:rsid w:val="006768CD"/>
    <w:rsid w:val="00677209"/>
    <w:rsid w:val="006775E2"/>
    <w:rsid w:val="0067774D"/>
    <w:rsid w:val="006779F1"/>
    <w:rsid w:val="00677D63"/>
    <w:rsid w:val="00677E16"/>
    <w:rsid w:val="0068026F"/>
    <w:rsid w:val="006817EA"/>
    <w:rsid w:val="00681B54"/>
    <w:rsid w:val="00681B8A"/>
    <w:rsid w:val="00682232"/>
    <w:rsid w:val="006827E6"/>
    <w:rsid w:val="00682A2B"/>
    <w:rsid w:val="0068346D"/>
    <w:rsid w:val="006834E4"/>
    <w:rsid w:val="00683AA3"/>
    <w:rsid w:val="00683BD6"/>
    <w:rsid w:val="00684D17"/>
    <w:rsid w:val="00684E05"/>
    <w:rsid w:val="00685551"/>
    <w:rsid w:val="00685B16"/>
    <w:rsid w:val="00686A92"/>
    <w:rsid w:val="00686CC7"/>
    <w:rsid w:val="00686F67"/>
    <w:rsid w:val="0068717A"/>
    <w:rsid w:val="00687440"/>
    <w:rsid w:val="006875D9"/>
    <w:rsid w:val="00690383"/>
    <w:rsid w:val="006903A2"/>
    <w:rsid w:val="00691860"/>
    <w:rsid w:val="00692AE8"/>
    <w:rsid w:val="00693CB1"/>
    <w:rsid w:val="00693D5C"/>
    <w:rsid w:val="00693DF2"/>
    <w:rsid w:val="00694514"/>
    <w:rsid w:val="00694D91"/>
    <w:rsid w:val="006950D2"/>
    <w:rsid w:val="006957D2"/>
    <w:rsid w:val="0069584B"/>
    <w:rsid w:val="00695943"/>
    <w:rsid w:val="00695C03"/>
    <w:rsid w:val="00695C4F"/>
    <w:rsid w:val="00695C50"/>
    <w:rsid w:val="006966E0"/>
    <w:rsid w:val="006969EB"/>
    <w:rsid w:val="00696C01"/>
    <w:rsid w:val="006A08F3"/>
    <w:rsid w:val="006A090F"/>
    <w:rsid w:val="006A0A71"/>
    <w:rsid w:val="006A115B"/>
    <w:rsid w:val="006A12F9"/>
    <w:rsid w:val="006A23B6"/>
    <w:rsid w:val="006A2A86"/>
    <w:rsid w:val="006A319F"/>
    <w:rsid w:val="006A33C8"/>
    <w:rsid w:val="006A3654"/>
    <w:rsid w:val="006A3AEC"/>
    <w:rsid w:val="006A4708"/>
    <w:rsid w:val="006A4B20"/>
    <w:rsid w:val="006A4B29"/>
    <w:rsid w:val="006A51CD"/>
    <w:rsid w:val="006A5DD8"/>
    <w:rsid w:val="006A77D3"/>
    <w:rsid w:val="006B013D"/>
    <w:rsid w:val="006B0341"/>
    <w:rsid w:val="006B0B14"/>
    <w:rsid w:val="006B135D"/>
    <w:rsid w:val="006B14C9"/>
    <w:rsid w:val="006B2056"/>
    <w:rsid w:val="006B240C"/>
    <w:rsid w:val="006B340D"/>
    <w:rsid w:val="006B3A1F"/>
    <w:rsid w:val="006B41FA"/>
    <w:rsid w:val="006B46C2"/>
    <w:rsid w:val="006B4D3D"/>
    <w:rsid w:val="006B55F4"/>
    <w:rsid w:val="006B57C3"/>
    <w:rsid w:val="006B5C8C"/>
    <w:rsid w:val="006B5E78"/>
    <w:rsid w:val="006B7C2E"/>
    <w:rsid w:val="006C00E9"/>
    <w:rsid w:val="006C07CA"/>
    <w:rsid w:val="006C123C"/>
    <w:rsid w:val="006C1547"/>
    <w:rsid w:val="006C174C"/>
    <w:rsid w:val="006C1F73"/>
    <w:rsid w:val="006C21F1"/>
    <w:rsid w:val="006C2A2B"/>
    <w:rsid w:val="006C2AEC"/>
    <w:rsid w:val="006C366D"/>
    <w:rsid w:val="006C3933"/>
    <w:rsid w:val="006C3B67"/>
    <w:rsid w:val="006C485E"/>
    <w:rsid w:val="006C4F0F"/>
    <w:rsid w:val="006C5B66"/>
    <w:rsid w:val="006C5CF5"/>
    <w:rsid w:val="006C6AA8"/>
    <w:rsid w:val="006C7101"/>
    <w:rsid w:val="006C7A10"/>
    <w:rsid w:val="006C7B0D"/>
    <w:rsid w:val="006C7BE4"/>
    <w:rsid w:val="006D0718"/>
    <w:rsid w:val="006D08AA"/>
    <w:rsid w:val="006D08EB"/>
    <w:rsid w:val="006D0D00"/>
    <w:rsid w:val="006D14E8"/>
    <w:rsid w:val="006D18E5"/>
    <w:rsid w:val="006D1E7E"/>
    <w:rsid w:val="006D206F"/>
    <w:rsid w:val="006D370F"/>
    <w:rsid w:val="006D424F"/>
    <w:rsid w:val="006D4769"/>
    <w:rsid w:val="006D58D7"/>
    <w:rsid w:val="006D59AD"/>
    <w:rsid w:val="006D7C34"/>
    <w:rsid w:val="006D7C50"/>
    <w:rsid w:val="006E03A1"/>
    <w:rsid w:val="006E0477"/>
    <w:rsid w:val="006E0668"/>
    <w:rsid w:val="006E0C1E"/>
    <w:rsid w:val="006E0C8E"/>
    <w:rsid w:val="006E239B"/>
    <w:rsid w:val="006E2AC3"/>
    <w:rsid w:val="006E3402"/>
    <w:rsid w:val="006E3DB7"/>
    <w:rsid w:val="006E46EE"/>
    <w:rsid w:val="006E5340"/>
    <w:rsid w:val="006E5641"/>
    <w:rsid w:val="006E5C1D"/>
    <w:rsid w:val="006E658E"/>
    <w:rsid w:val="006E764B"/>
    <w:rsid w:val="006E76E6"/>
    <w:rsid w:val="006F0204"/>
    <w:rsid w:val="006F285D"/>
    <w:rsid w:val="006F2B4D"/>
    <w:rsid w:val="006F36AD"/>
    <w:rsid w:val="006F39B5"/>
    <w:rsid w:val="006F3B46"/>
    <w:rsid w:val="006F419D"/>
    <w:rsid w:val="006F4634"/>
    <w:rsid w:val="006F4E92"/>
    <w:rsid w:val="006F5F36"/>
    <w:rsid w:val="006F632E"/>
    <w:rsid w:val="006F65BF"/>
    <w:rsid w:val="006F6FE6"/>
    <w:rsid w:val="006F7701"/>
    <w:rsid w:val="00701610"/>
    <w:rsid w:val="00701D5D"/>
    <w:rsid w:val="00701E43"/>
    <w:rsid w:val="00702524"/>
    <w:rsid w:val="00702CB5"/>
    <w:rsid w:val="00702EA3"/>
    <w:rsid w:val="00703215"/>
    <w:rsid w:val="007033B1"/>
    <w:rsid w:val="00703A77"/>
    <w:rsid w:val="00703C36"/>
    <w:rsid w:val="00704D2A"/>
    <w:rsid w:val="007060AE"/>
    <w:rsid w:val="007064EC"/>
    <w:rsid w:val="007069E6"/>
    <w:rsid w:val="00706A8D"/>
    <w:rsid w:val="0070749F"/>
    <w:rsid w:val="007108C8"/>
    <w:rsid w:val="00710909"/>
    <w:rsid w:val="00710B68"/>
    <w:rsid w:val="00712213"/>
    <w:rsid w:val="0071293B"/>
    <w:rsid w:val="007130E2"/>
    <w:rsid w:val="00713736"/>
    <w:rsid w:val="00713B2E"/>
    <w:rsid w:val="00714773"/>
    <w:rsid w:val="00714C1D"/>
    <w:rsid w:val="007156E5"/>
    <w:rsid w:val="00715718"/>
    <w:rsid w:val="00715D19"/>
    <w:rsid w:val="0071628D"/>
    <w:rsid w:val="0071660D"/>
    <w:rsid w:val="00717291"/>
    <w:rsid w:val="00717E2B"/>
    <w:rsid w:val="00720A54"/>
    <w:rsid w:val="00720B7C"/>
    <w:rsid w:val="00720F20"/>
    <w:rsid w:val="00721413"/>
    <w:rsid w:val="00722975"/>
    <w:rsid w:val="00722CBA"/>
    <w:rsid w:val="00723BC2"/>
    <w:rsid w:val="00724483"/>
    <w:rsid w:val="007247C3"/>
    <w:rsid w:val="007253DD"/>
    <w:rsid w:val="00726AF6"/>
    <w:rsid w:val="007271D0"/>
    <w:rsid w:val="007275AE"/>
    <w:rsid w:val="00727ACF"/>
    <w:rsid w:val="00730546"/>
    <w:rsid w:val="0073162E"/>
    <w:rsid w:val="007327AC"/>
    <w:rsid w:val="00732984"/>
    <w:rsid w:val="00732A3F"/>
    <w:rsid w:val="00732E00"/>
    <w:rsid w:val="007345BC"/>
    <w:rsid w:val="007345FF"/>
    <w:rsid w:val="00735683"/>
    <w:rsid w:val="007364FA"/>
    <w:rsid w:val="00737CC9"/>
    <w:rsid w:val="00737DD7"/>
    <w:rsid w:val="00737EB2"/>
    <w:rsid w:val="00737FCE"/>
    <w:rsid w:val="00740208"/>
    <w:rsid w:val="00740515"/>
    <w:rsid w:val="00740BA6"/>
    <w:rsid w:val="00741187"/>
    <w:rsid w:val="00741336"/>
    <w:rsid w:val="00742DEA"/>
    <w:rsid w:val="00743E18"/>
    <w:rsid w:val="007443E8"/>
    <w:rsid w:val="007448A8"/>
    <w:rsid w:val="00744C16"/>
    <w:rsid w:val="00747261"/>
    <w:rsid w:val="00750C63"/>
    <w:rsid w:val="00751D6E"/>
    <w:rsid w:val="00752DDB"/>
    <w:rsid w:val="00752DF8"/>
    <w:rsid w:val="00752F07"/>
    <w:rsid w:val="00752F74"/>
    <w:rsid w:val="0075313A"/>
    <w:rsid w:val="007531AF"/>
    <w:rsid w:val="00753485"/>
    <w:rsid w:val="0075367D"/>
    <w:rsid w:val="00753E69"/>
    <w:rsid w:val="00755A40"/>
    <w:rsid w:val="00755ABA"/>
    <w:rsid w:val="00755C9B"/>
    <w:rsid w:val="007567FE"/>
    <w:rsid w:val="00756BD1"/>
    <w:rsid w:val="007601EE"/>
    <w:rsid w:val="00760FDC"/>
    <w:rsid w:val="007612F4"/>
    <w:rsid w:val="007616BB"/>
    <w:rsid w:val="00761C3B"/>
    <w:rsid w:val="00762D2B"/>
    <w:rsid w:val="00763075"/>
    <w:rsid w:val="00763080"/>
    <w:rsid w:val="0076321C"/>
    <w:rsid w:val="00763672"/>
    <w:rsid w:val="007662FD"/>
    <w:rsid w:val="007666A1"/>
    <w:rsid w:val="00766765"/>
    <w:rsid w:val="00766DA1"/>
    <w:rsid w:val="00766DCC"/>
    <w:rsid w:val="00766EAA"/>
    <w:rsid w:val="007677A2"/>
    <w:rsid w:val="00771CF9"/>
    <w:rsid w:val="0077210A"/>
    <w:rsid w:val="00772688"/>
    <w:rsid w:val="0077337D"/>
    <w:rsid w:val="00773A1C"/>
    <w:rsid w:val="00774262"/>
    <w:rsid w:val="00774C1C"/>
    <w:rsid w:val="00774ED1"/>
    <w:rsid w:val="007755BB"/>
    <w:rsid w:val="0077560D"/>
    <w:rsid w:val="00775BA8"/>
    <w:rsid w:val="00777E7A"/>
    <w:rsid w:val="00780447"/>
    <w:rsid w:val="00780D70"/>
    <w:rsid w:val="00781AD6"/>
    <w:rsid w:val="00781B35"/>
    <w:rsid w:val="00781DDB"/>
    <w:rsid w:val="007829C3"/>
    <w:rsid w:val="007831D2"/>
    <w:rsid w:val="00783AE1"/>
    <w:rsid w:val="00783E07"/>
    <w:rsid w:val="00783FF2"/>
    <w:rsid w:val="00784437"/>
    <w:rsid w:val="00784BEB"/>
    <w:rsid w:val="00785F7F"/>
    <w:rsid w:val="00786B35"/>
    <w:rsid w:val="007877A2"/>
    <w:rsid w:val="007907FB"/>
    <w:rsid w:val="00791AB8"/>
    <w:rsid w:val="00793102"/>
    <w:rsid w:val="00793455"/>
    <w:rsid w:val="00793559"/>
    <w:rsid w:val="007938CF"/>
    <w:rsid w:val="00793C81"/>
    <w:rsid w:val="00793DAC"/>
    <w:rsid w:val="00794CD7"/>
    <w:rsid w:val="00795969"/>
    <w:rsid w:val="00795A3A"/>
    <w:rsid w:val="00795DC3"/>
    <w:rsid w:val="00795EBD"/>
    <w:rsid w:val="00795F1E"/>
    <w:rsid w:val="007968E7"/>
    <w:rsid w:val="00796ED4"/>
    <w:rsid w:val="007970E2"/>
    <w:rsid w:val="00797DD1"/>
    <w:rsid w:val="007A0903"/>
    <w:rsid w:val="007A1E23"/>
    <w:rsid w:val="007A20AE"/>
    <w:rsid w:val="007A2197"/>
    <w:rsid w:val="007A2323"/>
    <w:rsid w:val="007A24ED"/>
    <w:rsid w:val="007A30F7"/>
    <w:rsid w:val="007A31E1"/>
    <w:rsid w:val="007A3856"/>
    <w:rsid w:val="007A3EA4"/>
    <w:rsid w:val="007A42BD"/>
    <w:rsid w:val="007A4341"/>
    <w:rsid w:val="007A519C"/>
    <w:rsid w:val="007A55ED"/>
    <w:rsid w:val="007A5C70"/>
    <w:rsid w:val="007A619E"/>
    <w:rsid w:val="007A625B"/>
    <w:rsid w:val="007A6644"/>
    <w:rsid w:val="007A68B5"/>
    <w:rsid w:val="007A7DF6"/>
    <w:rsid w:val="007A7F00"/>
    <w:rsid w:val="007B00F3"/>
    <w:rsid w:val="007B142D"/>
    <w:rsid w:val="007B16F9"/>
    <w:rsid w:val="007B2241"/>
    <w:rsid w:val="007B351D"/>
    <w:rsid w:val="007B3FE1"/>
    <w:rsid w:val="007B549E"/>
    <w:rsid w:val="007B66A9"/>
    <w:rsid w:val="007C1ED3"/>
    <w:rsid w:val="007C29FB"/>
    <w:rsid w:val="007C2A3B"/>
    <w:rsid w:val="007C3F7E"/>
    <w:rsid w:val="007C4843"/>
    <w:rsid w:val="007C541A"/>
    <w:rsid w:val="007C55C0"/>
    <w:rsid w:val="007C60D1"/>
    <w:rsid w:val="007C6714"/>
    <w:rsid w:val="007C6849"/>
    <w:rsid w:val="007C6D0D"/>
    <w:rsid w:val="007C7615"/>
    <w:rsid w:val="007C7C41"/>
    <w:rsid w:val="007C7F11"/>
    <w:rsid w:val="007D11C8"/>
    <w:rsid w:val="007D284D"/>
    <w:rsid w:val="007D2D8E"/>
    <w:rsid w:val="007D3899"/>
    <w:rsid w:val="007D40E3"/>
    <w:rsid w:val="007D4326"/>
    <w:rsid w:val="007D46B8"/>
    <w:rsid w:val="007D5C21"/>
    <w:rsid w:val="007D6138"/>
    <w:rsid w:val="007D7BD2"/>
    <w:rsid w:val="007D7D9C"/>
    <w:rsid w:val="007E01F7"/>
    <w:rsid w:val="007E0475"/>
    <w:rsid w:val="007E090A"/>
    <w:rsid w:val="007E0F50"/>
    <w:rsid w:val="007E1312"/>
    <w:rsid w:val="007E215F"/>
    <w:rsid w:val="007E27D8"/>
    <w:rsid w:val="007E2EDA"/>
    <w:rsid w:val="007E32AB"/>
    <w:rsid w:val="007E461A"/>
    <w:rsid w:val="007E4897"/>
    <w:rsid w:val="007E48FD"/>
    <w:rsid w:val="007E4992"/>
    <w:rsid w:val="007E74BB"/>
    <w:rsid w:val="007F0021"/>
    <w:rsid w:val="007F009A"/>
    <w:rsid w:val="007F05FA"/>
    <w:rsid w:val="007F09F6"/>
    <w:rsid w:val="007F0C3C"/>
    <w:rsid w:val="007F12E6"/>
    <w:rsid w:val="007F1D77"/>
    <w:rsid w:val="007F1F1D"/>
    <w:rsid w:val="007F2F9D"/>
    <w:rsid w:val="007F3625"/>
    <w:rsid w:val="007F395B"/>
    <w:rsid w:val="007F39F9"/>
    <w:rsid w:val="007F4192"/>
    <w:rsid w:val="007F4C2B"/>
    <w:rsid w:val="007F5375"/>
    <w:rsid w:val="007F56B8"/>
    <w:rsid w:val="007F5810"/>
    <w:rsid w:val="007F7161"/>
    <w:rsid w:val="007F73E1"/>
    <w:rsid w:val="007F784B"/>
    <w:rsid w:val="00800383"/>
    <w:rsid w:val="00801545"/>
    <w:rsid w:val="00801BBA"/>
    <w:rsid w:val="00801D57"/>
    <w:rsid w:val="00801E67"/>
    <w:rsid w:val="0080245A"/>
    <w:rsid w:val="00803A33"/>
    <w:rsid w:val="00803F57"/>
    <w:rsid w:val="008042E9"/>
    <w:rsid w:val="00804A75"/>
    <w:rsid w:val="0080524B"/>
    <w:rsid w:val="00805C64"/>
    <w:rsid w:val="00806533"/>
    <w:rsid w:val="00806CC2"/>
    <w:rsid w:val="00806EBF"/>
    <w:rsid w:val="00807146"/>
    <w:rsid w:val="00807307"/>
    <w:rsid w:val="0080730B"/>
    <w:rsid w:val="00807B54"/>
    <w:rsid w:val="00810AAF"/>
    <w:rsid w:val="008112C6"/>
    <w:rsid w:val="00811626"/>
    <w:rsid w:val="008119A9"/>
    <w:rsid w:val="0081280F"/>
    <w:rsid w:val="00812890"/>
    <w:rsid w:val="00812E39"/>
    <w:rsid w:val="00812F2B"/>
    <w:rsid w:val="00812F71"/>
    <w:rsid w:val="00813343"/>
    <w:rsid w:val="00813BE4"/>
    <w:rsid w:val="00813DBE"/>
    <w:rsid w:val="00814075"/>
    <w:rsid w:val="0081444F"/>
    <w:rsid w:val="00814AFC"/>
    <w:rsid w:val="0081508B"/>
    <w:rsid w:val="0081579E"/>
    <w:rsid w:val="008169D7"/>
    <w:rsid w:val="00816C05"/>
    <w:rsid w:val="00817B13"/>
    <w:rsid w:val="0082008F"/>
    <w:rsid w:val="00820564"/>
    <w:rsid w:val="008205C5"/>
    <w:rsid w:val="008210F5"/>
    <w:rsid w:val="008211BA"/>
    <w:rsid w:val="008212A3"/>
    <w:rsid w:val="00821D0C"/>
    <w:rsid w:val="00823421"/>
    <w:rsid w:val="008237C0"/>
    <w:rsid w:val="00823A0B"/>
    <w:rsid w:val="00823B97"/>
    <w:rsid w:val="00824006"/>
    <w:rsid w:val="008240EB"/>
    <w:rsid w:val="00824483"/>
    <w:rsid w:val="00825E8D"/>
    <w:rsid w:val="00825F0E"/>
    <w:rsid w:val="0082687A"/>
    <w:rsid w:val="00827522"/>
    <w:rsid w:val="00827806"/>
    <w:rsid w:val="00827A30"/>
    <w:rsid w:val="008300D6"/>
    <w:rsid w:val="008305F6"/>
    <w:rsid w:val="00831BF5"/>
    <w:rsid w:val="00831DB3"/>
    <w:rsid w:val="00832ACF"/>
    <w:rsid w:val="00834913"/>
    <w:rsid w:val="008349D0"/>
    <w:rsid w:val="00834A08"/>
    <w:rsid w:val="00834B0C"/>
    <w:rsid w:val="00834C94"/>
    <w:rsid w:val="00835269"/>
    <w:rsid w:val="00836147"/>
    <w:rsid w:val="0083691D"/>
    <w:rsid w:val="008374F6"/>
    <w:rsid w:val="008378BE"/>
    <w:rsid w:val="008379D3"/>
    <w:rsid w:val="00837E80"/>
    <w:rsid w:val="00840DA8"/>
    <w:rsid w:val="00840E3F"/>
    <w:rsid w:val="00840FA3"/>
    <w:rsid w:val="0084131C"/>
    <w:rsid w:val="00841E1B"/>
    <w:rsid w:val="00843135"/>
    <w:rsid w:val="008435CC"/>
    <w:rsid w:val="00843A0D"/>
    <w:rsid w:val="008441CC"/>
    <w:rsid w:val="00844826"/>
    <w:rsid w:val="008449FD"/>
    <w:rsid w:val="00844C90"/>
    <w:rsid w:val="00845045"/>
    <w:rsid w:val="00845278"/>
    <w:rsid w:val="0084566C"/>
    <w:rsid w:val="00846133"/>
    <w:rsid w:val="00846AF8"/>
    <w:rsid w:val="00846F13"/>
    <w:rsid w:val="00847124"/>
    <w:rsid w:val="008477D7"/>
    <w:rsid w:val="00847D59"/>
    <w:rsid w:val="0085079E"/>
    <w:rsid w:val="00850D25"/>
    <w:rsid w:val="00850F10"/>
    <w:rsid w:val="00852AD1"/>
    <w:rsid w:val="00853435"/>
    <w:rsid w:val="00853C82"/>
    <w:rsid w:val="008546DE"/>
    <w:rsid w:val="00855005"/>
    <w:rsid w:val="00855184"/>
    <w:rsid w:val="0085537F"/>
    <w:rsid w:val="008564B7"/>
    <w:rsid w:val="00856EDE"/>
    <w:rsid w:val="0085782C"/>
    <w:rsid w:val="00857D5C"/>
    <w:rsid w:val="00857DBA"/>
    <w:rsid w:val="00860322"/>
    <w:rsid w:val="008603DA"/>
    <w:rsid w:val="00860637"/>
    <w:rsid w:val="0086080D"/>
    <w:rsid w:val="00861414"/>
    <w:rsid w:val="0086143F"/>
    <w:rsid w:val="00861824"/>
    <w:rsid w:val="008621AC"/>
    <w:rsid w:val="00862416"/>
    <w:rsid w:val="00862D69"/>
    <w:rsid w:val="008643D0"/>
    <w:rsid w:val="00864764"/>
    <w:rsid w:val="00865801"/>
    <w:rsid w:val="00865C9F"/>
    <w:rsid w:val="008678B9"/>
    <w:rsid w:val="00867975"/>
    <w:rsid w:val="008707F2"/>
    <w:rsid w:val="00870C9B"/>
    <w:rsid w:val="0087131E"/>
    <w:rsid w:val="008717E3"/>
    <w:rsid w:val="0087193B"/>
    <w:rsid w:val="00871D65"/>
    <w:rsid w:val="00872203"/>
    <w:rsid w:val="0087284F"/>
    <w:rsid w:val="0087296D"/>
    <w:rsid w:val="00872E28"/>
    <w:rsid w:val="00872F1E"/>
    <w:rsid w:val="00873C09"/>
    <w:rsid w:val="00873E71"/>
    <w:rsid w:val="00874112"/>
    <w:rsid w:val="00874317"/>
    <w:rsid w:val="00874651"/>
    <w:rsid w:val="00874BFD"/>
    <w:rsid w:val="00875937"/>
    <w:rsid w:val="00876DFF"/>
    <w:rsid w:val="008776CA"/>
    <w:rsid w:val="008777E0"/>
    <w:rsid w:val="00877B25"/>
    <w:rsid w:val="00877F35"/>
    <w:rsid w:val="008808C5"/>
    <w:rsid w:val="00880925"/>
    <w:rsid w:val="00881251"/>
    <w:rsid w:val="00881853"/>
    <w:rsid w:val="00882316"/>
    <w:rsid w:val="00882E98"/>
    <w:rsid w:val="00883E6D"/>
    <w:rsid w:val="00884016"/>
    <w:rsid w:val="0088425C"/>
    <w:rsid w:val="008848EF"/>
    <w:rsid w:val="00884BA0"/>
    <w:rsid w:val="00886C41"/>
    <w:rsid w:val="00886F08"/>
    <w:rsid w:val="00887372"/>
    <w:rsid w:val="00887672"/>
    <w:rsid w:val="0089004E"/>
    <w:rsid w:val="008900EB"/>
    <w:rsid w:val="00891465"/>
    <w:rsid w:val="0089358C"/>
    <w:rsid w:val="008936EC"/>
    <w:rsid w:val="0089397F"/>
    <w:rsid w:val="00893CCE"/>
    <w:rsid w:val="00895517"/>
    <w:rsid w:val="0089625F"/>
    <w:rsid w:val="0089684F"/>
    <w:rsid w:val="0089694B"/>
    <w:rsid w:val="008A1B1C"/>
    <w:rsid w:val="008A1C08"/>
    <w:rsid w:val="008A1EE0"/>
    <w:rsid w:val="008A2761"/>
    <w:rsid w:val="008A2C3F"/>
    <w:rsid w:val="008A3DCA"/>
    <w:rsid w:val="008A3DDF"/>
    <w:rsid w:val="008A40D0"/>
    <w:rsid w:val="008A41B2"/>
    <w:rsid w:val="008A44F5"/>
    <w:rsid w:val="008A50CD"/>
    <w:rsid w:val="008A54AD"/>
    <w:rsid w:val="008A552D"/>
    <w:rsid w:val="008A64C1"/>
    <w:rsid w:val="008A6A95"/>
    <w:rsid w:val="008A6BEB"/>
    <w:rsid w:val="008B0421"/>
    <w:rsid w:val="008B056C"/>
    <w:rsid w:val="008B0A1A"/>
    <w:rsid w:val="008B0EFA"/>
    <w:rsid w:val="008B1D2F"/>
    <w:rsid w:val="008B25BC"/>
    <w:rsid w:val="008B2945"/>
    <w:rsid w:val="008B2D84"/>
    <w:rsid w:val="008B5055"/>
    <w:rsid w:val="008B51C3"/>
    <w:rsid w:val="008B57D1"/>
    <w:rsid w:val="008B687F"/>
    <w:rsid w:val="008B6CEF"/>
    <w:rsid w:val="008B6D1D"/>
    <w:rsid w:val="008B700C"/>
    <w:rsid w:val="008B715F"/>
    <w:rsid w:val="008B762B"/>
    <w:rsid w:val="008B7A8C"/>
    <w:rsid w:val="008C102E"/>
    <w:rsid w:val="008C1149"/>
    <w:rsid w:val="008C172F"/>
    <w:rsid w:val="008C1BC1"/>
    <w:rsid w:val="008C2308"/>
    <w:rsid w:val="008C2404"/>
    <w:rsid w:val="008C25D9"/>
    <w:rsid w:val="008C2ABC"/>
    <w:rsid w:val="008C2C30"/>
    <w:rsid w:val="008C2D85"/>
    <w:rsid w:val="008C3AE7"/>
    <w:rsid w:val="008C41C5"/>
    <w:rsid w:val="008C46CB"/>
    <w:rsid w:val="008C4BE4"/>
    <w:rsid w:val="008C542F"/>
    <w:rsid w:val="008C5FB3"/>
    <w:rsid w:val="008C60A4"/>
    <w:rsid w:val="008C6146"/>
    <w:rsid w:val="008C660D"/>
    <w:rsid w:val="008C7E24"/>
    <w:rsid w:val="008D0674"/>
    <w:rsid w:val="008D1020"/>
    <w:rsid w:val="008D1EE8"/>
    <w:rsid w:val="008D25DE"/>
    <w:rsid w:val="008D29D2"/>
    <w:rsid w:val="008D2CAA"/>
    <w:rsid w:val="008D2FBC"/>
    <w:rsid w:val="008D31D4"/>
    <w:rsid w:val="008D4201"/>
    <w:rsid w:val="008D4514"/>
    <w:rsid w:val="008D4784"/>
    <w:rsid w:val="008D4999"/>
    <w:rsid w:val="008D49EB"/>
    <w:rsid w:val="008D4EF5"/>
    <w:rsid w:val="008D5483"/>
    <w:rsid w:val="008D5BC3"/>
    <w:rsid w:val="008D5E56"/>
    <w:rsid w:val="008D5F35"/>
    <w:rsid w:val="008D62F8"/>
    <w:rsid w:val="008D6960"/>
    <w:rsid w:val="008D6E12"/>
    <w:rsid w:val="008E051A"/>
    <w:rsid w:val="008E0822"/>
    <w:rsid w:val="008E08FF"/>
    <w:rsid w:val="008E0966"/>
    <w:rsid w:val="008E0D42"/>
    <w:rsid w:val="008E0DFA"/>
    <w:rsid w:val="008E1DF4"/>
    <w:rsid w:val="008E1E29"/>
    <w:rsid w:val="008E2C62"/>
    <w:rsid w:val="008E31DF"/>
    <w:rsid w:val="008E320A"/>
    <w:rsid w:val="008E396E"/>
    <w:rsid w:val="008E3CF6"/>
    <w:rsid w:val="008E40D3"/>
    <w:rsid w:val="008E4161"/>
    <w:rsid w:val="008E4414"/>
    <w:rsid w:val="008E5D70"/>
    <w:rsid w:val="008E6068"/>
    <w:rsid w:val="008E7185"/>
    <w:rsid w:val="008F000C"/>
    <w:rsid w:val="008F035E"/>
    <w:rsid w:val="008F0375"/>
    <w:rsid w:val="008F0726"/>
    <w:rsid w:val="008F0BD4"/>
    <w:rsid w:val="008F1EB1"/>
    <w:rsid w:val="008F2A31"/>
    <w:rsid w:val="008F2D9C"/>
    <w:rsid w:val="008F3BE6"/>
    <w:rsid w:val="008F3DBA"/>
    <w:rsid w:val="008F4A73"/>
    <w:rsid w:val="008F6538"/>
    <w:rsid w:val="008F6553"/>
    <w:rsid w:val="008F6CAF"/>
    <w:rsid w:val="008F6DEA"/>
    <w:rsid w:val="008F71A4"/>
    <w:rsid w:val="00900724"/>
    <w:rsid w:val="00901FEA"/>
    <w:rsid w:val="00902066"/>
    <w:rsid w:val="009041CE"/>
    <w:rsid w:val="0090592F"/>
    <w:rsid w:val="00905FC4"/>
    <w:rsid w:val="0090655C"/>
    <w:rsid w:val="009070C5"/>
    <w:rsid w:val="009072DE"/>
    <w:rsid w:val="00907724"/>
    <w:rsid w:val="0090788B"/>
    <w:rsid w:val="00907B44"/>
    <w:rsid w:val="00907FDE"/>
    <w:rsid w:val="009100EB"/>
    <w:rsid w:val="00910489"/>
    <w:rsid w:val="00911200"/>
    <w:rsid w:val="00911B2D"/>
    <w:rsid w:val="0091281D"/>
    <w:rsid w:val="00913304"/>
    <w:rsid w:val="00914341"/>
    <w:rsid w:val="00914C41"/>
    <w:rsid w:val="00914EC1"/>
    <w:rsid w:val="009152EB"/>
    <w:rsid w:val="00915462"/>
    <w:rsid w:val="00916334"/>
    <w:rsid w:val="00916495"/>
    <w:rsid w:val="00916F8A"/>
    <w:rsid w:val="0091727A"/>
    <w:rsid w:val="00917FF4"/>
    <w:rsid w:val="00920B9E"/>
    <w:rsid w:val="0092181C"/>
    <w:rsid w:val="00921FEB"/>
    <w:rsid w:val="00923562"/>
    <w:rsid w:val="00923760"/>
    <w:rsid w:val="00923765"/>
    <w:rsid w:val="00923B9E"/>
    <w:rsid w:val="00924124"/>
    <w:rsid w:val="00924488"/>
    <w:rsid w:val="0092551C"/>
    <w:rsid w:val="00925FA6"/>
    <w:rsid w:val="0092650A"/>
    <w:rsid w:val="00927440"/>
    <w:rsid w:val="009275EC"/>
    <w:rsid w:val="0092766E"/>
    <w:rsid w:val="0092778F"/>
    <w:rsid w:val="00927BBE"/>
    <w:rsid w:val="00927F43"/>
    <w:rsid w:val="0093001D"/>
    <w:rsid w:val="009308DB"/>
    <w:rsid w:val="00930A8A"/>
    <w:rsid w:val="00931209"/>
    <w:rsid w:val="0093283A"/>
    <w:rsid w:val="00932C72"/>
    <w:rsid w:val="00932F0E"/>
    <w:rsid w:val="00933537"/>
    <w:rsid w:val="0093362D"/>
    <w:rsid w:val="00933B39"/>
    <w:rsid w:val="00933ECC"/>
    <w:rsid w:val="00934303"/>
    <w:rsid w:val="00934325"/>
    <w:rsid w:val="00934A98"/>
    <w:rsid w:val="00934F25"/>
    <w:rsid w:val="0093520B"/>
    <w:rsid w:val="009353EA"/>
    <w:rsid w:val="00936CEF"/>
    <w:rsid w:val="00936ED4"/>
    <w:rsid w:val="00937E88"/>
    <w:rsid w:val="00940634"/>
    <w:rsid w:val="009408CD"/>
    <w:rsid w:val="0094137E"/>
    <w:rsid w:val="00941A93"/>
    <w:rsid w:val="00941EFF"/>
    <w:rsid w:val="00941F8A"/>
    <w:rsid w:val="0094266B"/>
    <w:rsid w:val="0094287D"/>
    <w:rsid w:val="00943463"/>
    <w:rsid w:val="009435CD"/>
    <w:rsid w:val="00943946"/>
    <w:rsid w:val="00944A05"/>
    <w:rsid w:val="00944A49"/>
    <w:rsid w:val="00944FB3"/>
    <w:rsid w:val="0094525C"/>
    <w:rsid w:val="009453A7"/>
    <w:rsid w:val="0094631B"/>
    <w:rsid w:val="00946AD9"/>
    <w:rsid w:val="00946F70"/>
    <w:rsid w:val="00946FE4"/>
    <w:rsid w:val="00947635"/>
    <w:rsid w:val="00947E2B"/>
    <w:rsid w:val="00950D32"/>
    <w:rsid w:val="00950D45"/>
    <w:rsid w:val="0095153C"/>
    <w:rsid w:val="009538D5"/>
    <w:rsid w:val="009544D7"/>
    <w:rsid w:val="009561C3"/>
    <w:rsid w:val="00956617"/>
    <w:rsid w:val="009568A9"/>
    <w:rsid w:val="00957659"/>
    <w:rsid w:val="00957C4B"/>
    <w:rsid w:val="00957CEE"/>
    <w:rsid w:val="00960509"/>
    <w:rsid w:val="009608F6"/>
    <w:rsid w:val="00960C33"/>
    <w:rsid w:val="009612BE"/>
    <w:rsid w:val="009624D2"/>
    <w:rsid w:val="009625B8"/>
    <w:rsid w:val="009631F3"/>
    <w:rsid w:val="00963991"/>
    <w:rsid w:val="00963FE3"/>
    <w:rsid w:val="009645CE"/>
    <w:rsid w:val="00964D7D"/>
    <w:rsid w:val="00964E01"/>
    <w:rsid w:val="00964F77"/>
    <w:rsid w:val="00965653"/>
    <w:rsid w:val="009669CF"/>
    <w:rsid w:val="00967F75"/>
    <w:rsid w:val="00970341"/>
    <w:rsid w:val="009707A9"/>
    <w:rsid w:val="00970C82"/>
    <w:rsid w:val="0097212F"/>
    <w:rsid w:val="00972BB3"/>
    <w:rsid w:val="009730C8"/>
    <w:rsid w:val="009736AA"/>
    <w:rsid w:val="00973771"/>
    <w:rsid w:val="00973781"/>
    <w:rsid w:val="00973BDC"/>
    <w:rsid w:val="00974041"/>
    <w:rsid w:val="0097553A"/>
    <w:rsid w:val="0097556E"/>
    <w:rsid w:val="009759BE"/>
    <w:rsid w:val="00976205"/>
    <w:rsid w:val="00976DEA"/>
    <w:rsid w:val="00977105"/>
    <w:rsid w:val="00977199"/>
    <w:rsid w:val="0097767D"/>
    <w:rsid w:val="0098069D"/>
    <w:rsid w:val="0098159F"/>
    <w:rsid w:val="00981793"/>
    <w:rsid w:val="00981854"/>
    <w:rsid w:val="009818EF"/>
    <w:rsid w:val="009819EE"/>
    <w:rsid w:val="00982D1D"/>
    <w:rsid w:val="009831D9"/>
    <w:rsid w:val="00983966"/>
    <w:rsid w:val="009839A6"/>
    <w:rsid w:val="0098471A"/>
    <w:rsid w:val="0098496A"/>
    <w:rsid w:val="00985F4C"/>
    <w:rsid w:val="009863AF"/>
    <w:rsid w:val="009866A8"/>
    <w:rsid w:val="00986B1C"/>
    <w:rsid w:val="00987009"/>
    <w:rsid w:val="00990DFA"/>
    <w:rsid w:val="009917EE"/>
    <w:rsid w:val="00991C23"/>
    <w:rsid w:val="00991EB8"/>
    <w:rsid w:val="00992993"/>
    <w:rsid w:val="009929B0"/>
    <w:rsid w:val="009933DF"/>
    <w:rsid w:val="00993642"/>
    <w:rsid w:val="009936D5"/>
    <w:rsid w:val="00993981"/>
    <w:rsid w:val="00996250"/>
    <w:rsid w:val="0099729F"/>
    <w:rsid w:val="0099761A"/>
    <w:rsid w:val="009A0205"/>
    <w:rsid w:val="009A2C3B"/>
    <w:rsid w:val="009A2FC2"/>
    <w:rsid w:val="009A33A1"/>
    <w:rsid w:val="009A4328"/>
    <w:rsid w:val="009A4AAF"/>
    <w:rsid w:val="009A4C8F"/>
    <w:rsid w:val="009A50B9"/>
    <w:rsid w:val="009A62D2"/>
    <w:rsid w:val="009A64F4"/>
    <w:rsid w:val="009A6E4B"/>
    <w:rsid w:val="009A7697"/>
    <w:rsid w:val="009A76F4"/>
    <w:rsid w:val="009A7856"/>
    <w:rsid w:val="009A79DE"/>
    <w:rsid w:val="009B01E4"/>
    <w:rsid w:val="009B0915"/>
    <w:rsid w:val="009B0F86"/>
    <w:rsid w:val="009B10AA"/>
    <w:rsid w:val="009B137B"/>
    <w:rsid w:val="009B1816"/>
    <w:rsid w:val="009B1D3A"/>
    <w:rsid w:val="009B3C55"/>
    <w:rsid w:val="009B3DFC"/>
    <w:rsid w:val="009B401D"/>
    <w:rsid w:val="009B44E8"/>
    <w:rsid w:val="009B45E8"/>
    <w:rsid w:val="009B5479"/>
    <w:rsid w:val="009B54F9"/>
    <w:rsid w:val="009B5F52"/>
    <w:rsid w:val="009B636F"/>
    <w:rsid w:val="009B6FB6"/>
    <w:rsid w:val="009B7069"/>
    <w:rsid w:val="009C03AA"/>
    <w:rsid w:val="009C082A"/>
    <w:rsid w:val="009C0F57"/>
    <w:rsid w:val="009C13B6"/>
    <w:rsid w:val="009C13E1"/>
    <w:rsid w:val="009C1F92"/>
    <w:rsid w:val="009C22E9"/>
    <w:rsid w:val="009C2A00"/>
    <w:rsid w:val="009C2E26"/>
    <w:rsid w:val="009C33A2"/>
    <w:rsid w:val="009C39DD"/>
    <w:rsid w:val="009C3D36"/>
    <w:rsid w:val="009C4A34"/>
    <w:rsid w:val="009C4C23"/>
    <w:rsid w:val="009C5BFD"/>
    <w:rsid w:val="009C6C66"/>
    <w:rsid w:val="009C73A2"/>
    <w:rsid w:val="009C73CF"/>
    <w:rsid w:val="009C7416"/>
    <w:rsid w:val="009C7678"/>
    <w:rsid w:val="009D07EF"/>
    <w:rsid w:val="009D093A"/>
    <w:rsid w:val="009D0C79"/>
    <w:rsid w:val="009D0DB3"/>
    <w:rsid w:val="009D1991"/>
    <w:rsid w:val="009D1FE0"/>
    <w:rsid w:val="009D219F"/>
    <w:rsid w:val="009D31F1"/>
    <w:rsid w:val="009D3585"/>
    <w:rsid w:val="009D3C6A"/>
    <w:rsid w:val="009D42E0"/>
    <w:rsid w:val="009D4447"/>
    <w:rsid w:val="009D47C5"/>
    <w:rsid w:val="009D4C57"/>
    <w:rsid w:val="009D4FB4"/>
    <w:rsid w:val="009D5E16"/>
    <w:rsid w:val="009D6179"/>
    <w:rsid w:val="009D630D"/>
    <w:rsid w:val="009D6593"/>
    <w:rsid w:val="009D67B4"/>
    <w:rsid w:val="009D6A7C"/>
    <w:rsid w:val="009D6CA9"/>
    <w:rsid w:val="009D7190"/>
    <w:rsid w:val="009D7568"/>
    <w:rsid w:val="009D79CC"/>
    <w:rsid w:val="009E05E1"/>
    <w:rsid w:val="009E06AB"/>
    <w:rsid w:val="009E095C"/>
    <w:rsid w:val="009E0AF3"/>
    <w:rsid w:val="009E0E74"/>
    <w:rsid w:val="009E181F"/>
    <w:rsid w:val="009E1ECE"/>
    <w:rsid w:val="009E20FB"/>
    <w:rsid w:val="009E31DD"/>
    <w:rsid w:val="009E33B9"/>
    <w:rsid w:val="009E33BA"/>
    <w:rsid w:val="009E33D3"/>
    <w:rsid w:val="009E3739"/>
    <w:rsid w:val="009E383B"/>
    <w:rsid w:val="009E3E8F"/>
    <w:rsid w:val="009E404D"/>
    <w:rsid w:val="009E4794"/>
    <w:rsid w:val="009E606B"/>
    <w:rsid w:val="009E6179"/>
    <w:rsid w:val="009E67B6"/>
    <w:rsid w:val="009E75BF"/>
    <w:rsid w:val="009F11FB"/>
    <w:rsid w:val="009F131F"/>
    <w:rsid w:val="009F27A3"/>
    <w:rsid w:val="009F2CE6"/>
    <w:rsid w:val="009F2E44"/>
    <w:rsid w:val="009F387C"/>
    <w:rsid w:val="009F3CA5"/>
    <w:rsid w:val="009F3CE7"/>
    <w:rsid w:val="009F3D02"/>
    <w:rsid w:val="009F3F5D"/>
    <w:rsid w:val="009F42B4"/>
    <w:rsid w:val="009F4327"/>
    <w:rsid w:val="009F4ECD"/>
    <w:rsid w:val="009F55D5"/>
    <w:rsid w:val="009F56D5"/>
    <w:rsid w:val="009F5A9D"/>
    <w:rsid w:val="009F62BD"/>
    <w:rsid w:val="009F6A23"/>
    <w:rsid w:val="009F7AB7"/>
    <w:rsid w:val="00A003DF"/>
    <w:rsid w:val="00A00CA7"/>
    <w:rsid w:val="00A01436"/>
    <w:rsid w:val="00A01480"/>
    <w:rsid w:val="00A021AE"/>
    <w:rsid w:val="00A031F2"/>
    <w:rsid w:val="00A03DD8"/>
    <w:rsid w:val="00A04866"/>
    <w:rsid w:val="00A04A48"/>
    <w:rsid w:val="00A05464"/>
    <w:rsid w:val="00A061CD"/>
    <w:rsid w:val="00A065AD"/>
    <w:rsid w:val="00A06F34"/>
    <w:rsid w:val="00A070B4"/>
    <w:rsid w:val="00A11BD1"/>
    <w:rsid w:val="00A12C8C"/>
    <w:rsid w:val="00A13610"/>
    <w:rsid w:val="00A14489"/>
    <w:rsid w:val="00A14628"/>
    <w:rsid w:val="00A14675"/>
    <w:rsid w:val="00A1516F"/>
    <w:rsid w:val="00A1527F"/>
    <w:rsid w:val="00A155F1"/>
    <w:rsid w:val="00A159D4"/>
    <w:rsid w:val="00A165B7"/>
    <w:rsid w:val="00A1720C"/>
    <w:rsid w:val="00A17540"/>
    <w:rsid w:val="00A17A1B"/>
    <w:rsid w:val="00A17C3C"/>
    <w:rsid w:val="00A209B1"/>
    <w:rsid w:val="00A215A7"/>
    <w:rsid w:val="00A22137"/>
    <w:rsid w:val="00A22992"/>
    <w:rsid w:val="00A23086"/>
    <w:rsid w:val="00A232BD"/>
    <w:rsid w:val="00A24376"/>
    <w:rsid w:val="00A24B5A"/>
    <w:rsid w:val="00A250B7"/>
    <w:rsid w:val="00A2515F"/>
    <w:rsid w:val="00A25A3D"/>
    <w:rsid w:val="00A266A1"/>
    <w:rsid w:val="00A2748E"/>
    <w:rsid w:val="00A27D8B"/>
    <w:rsid w:val="00A27E1F"/>
    <w:rsid w:val="00A30DCF"/>
    <w:rsid w:val="00A318B5"/>
    <w:rsid w:val="00A31E1B"/>
    <w:rsid w:val="00A328B9"/>
    <w:rsid w:val="00A32EDB"/>
    <w:rsid w:val="00A3314D"/>
    <w:rsid w:val="00A3369F"/>
    <w:rsid w:val="00A341DF"/>
    <w:rsid w:val="00A3426E"/>
    <w:rsid w:val="00A34270"/>
    <w:rsid w:val="00A345E6"/>
    <w:rsid w:val="00A35635"/>
    <w:rsid w:val="00A35D2A"/>
    <w:rsid w:val="00A365C9"/>
    <w:rsid w:val="00A366D1"/>
    <w:rsid w:val="00A37249"/>
    <w:rsid w:val="00A3756A"/>
    <w:rsid w:val="00A37666"/>
    <w:rsid w:val="00A3799A"/>
    <w:rsid w:val="00A40352"/>
    <w:rsid w:val="00A40407"/>
    <w:rsid w:val="00A40CB1"/>
    <w:rsid w:val="00A4125C"/>
    <w:rsid w:val="00A422B8"/>
    <w:rsid w:val="00A43154"/>
    <w:rsid w:val="00A43573"/>
    <w:rsid w:val="00A435A7"/>
    <w:rsid w:val="00A44086"/>
    <w:rsid w:val="00A4408A"/>
    <w:rsid w:val="00A449DB"/>
    <w:rsid w:val="00A44AE9"/>
    <w:rsid w:val="00A4523B"/>
    <w:rsid w:val="00A45D2C"/>
    <w:rsid w:val="00A46139"/>
    <w:rsid w:val="00A4645A"/>
    <w:rsid w:val="00A469B0"/>
    <w:rsid w:val="00A47B73"/>
    <w:rsid w:val="00A50C6A"/>
    <w:rsid w:val="00A5140E"/>
    <w:rsid w:val="00A5192B"/>
    <w:rsid w:val="00A52238"/>
    <w:rsid w:val="00A5226D"/>
    <w:rsid w:val="00A52347"/>
    <w:rsid w:val="00A5254B"/>
    <w:rsid w:val="00A533E1"/>
    <w:rsid w:val="00A53683"/>
    <w:rsid w:val="00A53FEF"/>
    <w:rsid w:val="00A54A7C"/>
    <w:rsid w:val="00A54B19"/>
    <w:rsid w:val="00A55840"/>
    <w:rsid w:val="00A57546"/>
    <w:rsid w:val="00A57684"/>
    <w:rsid w:val="00A57752"/>
    <w:rsid w:val="00A6078C"/>
    <w:rsid w:val="00A6143C"/>
    <w:rsid w:val="00A6191E"/>
    <w:rsid w:val="00A61EE3"/>
    <w:rsid w:val="00A620DE"/>
    <w:rsid w:val="00A62D25"/>
    <w:rsid w:val="00A62DD2"/>
    <w:rsid w:val="00A63A17"/>
    <w:rsid w:val="00A641C1"/>
    <w:rsid w:val="00A64DA9"/>
    <w:rsid w:val="00A65A6E"/>
    <w:rsid w:val="00A65A9C"/>
    <w:rsid w:val="00A6642D"/>
    <w:rsid w:val="00A66841"/>
    <w:rsid w:val="00A66E53"/>
    <w:rsid w:val="00A6734D"/>
    <w:rsid w:val="00A679E4"/>
    <w:rsid w:val="00A7019A"/>
    <w:rsid w:val="00A70DE9"/>
    <w:rsid w:val="00A71B89"/>
    <w:rsid w:val="00A7322A"/>
    <w:rsid w:val="00A7571C"/>
    <w:rsid w:val="00A759B7"/>
    <w:rsid w:val="00A75E44"/>
    <w:rsid w:val="00A75FD2"/>
    <w:rsid w:val="00A77486"/>
    <w:rsid w:val="00A80D2D"/>
    <w:rsid w:val="00A8199B"/>
    <w:rsid w:val="00A821A3"/>
    <w:rsid w:val="00A828CE"/>
    <w:rsid w:val="00A838AF"/>
    <w:rsid w:val="00A83A98"/>
    <w:rsid w:val="00A83D11"/>
    <w:rsid w:val="00A841B8"/>
    <w:rsid w:val="00A84525"/>
    <w:rsid w:val="00A85131"/>
    <w:rsid w:val="00A85CEA"/>
    <w:rsid w:val="00A85EDF"/>
    <w:rsid w:val="00A877FC"/>
    <w:rsid w:val="00A90F92"/>
    <w:rsid w:val="00A9135B"/>
    <w:rsid w:val="00A917BB"/>
    <w:rsid w:val="00A91EA6"/>
    <w:rsid w:val="00A9218B"/>
    <w:rsid w:val="00A92396"/>
    <w:rsid w:val="00A93303"/>
    <w:rsid w:val="00A933C9"/>
    <w:rsid w:val="00A953A7"/>
    <w:rsid w:val="00A95965"/>
    <w:rsid w:val="00A95C31"/>
    <w:rsid w:val="00A96157"/>
    <w:rsid w:val="00A96D04"/>
    <w:rsid w:val="00A97645"/>
    <w:rsid w:val="00A9775D"/>
    <w:rsid w:val="00A97A04"/>
    <w:rsid w:val="00A97D56"/>
    <w:rsid w:val="00AA095C"/>
    <w:rsid w:val="00AA1085"/>
    <w:rsid w:val="00AA11DA"/>
    <w:rsid w:val="00AA142F"/>
    <w:rsid w:val="00AA1783"/>
    <w:rsid w:val="00AA1929"/>
    <w:rsid w:val="00AA1C30"/>
    <w:rsid w:val="00AA1F3D"/>
    <w:rsid w:val="00AA2480"/>
    <w:rsid w:val="00AA2E49"/>
    <w:rsid w:val="00AA33D6"/>
    <w:rsid w:val="00AA3591"/>
    <w:rsid w:val="00AA39E7"/>
    <w:rsid w:val="00AA5A6D"/>
    <w:rsid w:val="00AA5FBF"/>
    <w:rsid w:val="00AA6B2F"/>
    <w:rsid w:val="00AA6CCD"/>
    <w:rsid w:val="00AA6D36"/>
    <w:rsid w:val="00AA6FE7"/>
    <w:rsid w:val="00AB06B7"/>
    <w:rsid w:val="00AB3D3C"/>
    <w:rsid w:val="00AB3F40"/>
    <w:rsid w:val="00AB45FD"/>
    <w:rsid w:val="00AB4CF8"/>
    <w:rsid w:val="00AB51DD"/>
    <w:rsid w:val="00AB54C5"/>
    <w:rsid w:val="00AB5CEE"/>
    <w:rsid w:val="00AB60EF"/>
    <w:rsid w:val="00AB63C6"/>
    <w:rsid w:val="00AB6725"/>
    <w:rsid w:val="00AB6AD1"/>
    <w:rsid w:val="00AB7227"/>
    <w:rsid w:val="00AB79ED"/>
    <w:rsid w:val="00AC045D"/>
    <w:rsid w:val="00AC0587"/>
    <w:rsid w:val="00AC0773"/>
    <w:rsid w:val="00AC2306"/>
    <w:rsid w:val="00AC2B37"/>
    <w:rsid w:val="00AC2FD4"/>
    <w:rsid w:val="00AC38CA"/>
    <w:rsid w:val="00AC3B35"/>
    <w:rsid w:val="00AC3FE6"/>
    <w:rsid w:val="00AC4692"/>
    <w:rsid w:val="00AC4BE4"/>
    <w:rsid w:val="00AC559F"/>
    <w:rsid w:val="00AC5908"/>
    <w:rsid w:val="00AC5A43"/>
    <w:rsid w:val="00AC637C"/>
    <w:rsid w:val="00AC6CFE"/>
    <w:rsid w:val="00AC7511"/>
    <w:rsid w:val="00AD0128"/>
    <w:rsid w:val="00AD054A"/>
    <w:rsid w:val="00AD13D7"/>
    <w:rsid w:val="00AD217A"/>
    <w:rsid w:val="00AD287B"/>
    <w:rsid w:val="00AD2D67"/>
    <w:rsid w:val="00AD3A28"/>
    <w:rsid w:val="00AD405F"/>
    <w:rsid w:val="00AD459F"/>
    <w:rsid w:val="00AD48A3"/>
    <w:rsid w:val="00AD4BC4"/>
    <w:rsid w:val="00AD5286"/>
    <w:rsid w:val="00AD529D"/>
    <w:rsid w:val="00AD5514"/>
    <w:rsid w:val="00AD68D6"/>
    <w:rsid w:val="00AD6BA0"/>
    <w:rsid w:val="00AD719A"/>
    <w:rsid w:val="00AE049D"/>
    <w:rsid w:val="00AE270A"/>
    <w:rsid w:val="00AE3E43"/>
    <w:rsid w:val="00AE58A7"/>
    <w:rsid w:val="00AE5F0E"/>
    <w:rsid w:val="00AE717E"/>
    <w:rsid w:val="00AF16B6"/>
    <w:rsid w:val="00AF1944"/>
    <w:rsid w:val="00AF1B0C"/>
    <w:rsid w:val="00AF1FDA"/>
    <w:rsid w:val="00AF2B0B"/>
    <w:rsid w:val="00AF3561"/>
    <w:rsid w:val="00AF445E"/>
    <w:rsid w:val="00AF4523"/>
    <w:rsid w:val="00AF5BC4"/>
    <w:rsid w:val="00AF6B64"/>
    <w:rsid w:val="00AF6B74"/>
    <w:rsid w:val="00AF6E61"/>
    <w:rsid w:val="00AF758F"/>
    <w:rsid w:val="00AF7C2F"/>
    <w:rsid w:val="00B0073C"/>
    <w:rsid w:val="00B00D29"/>
    <w:rsid w:val="00B03097"/>
    <w:rsid w:val="00B030AA"/>
    <w:rsid w:val="00B03643"/>
    <w:rsid w:val="00B03881"/>
    <w:rsid w:val="00B044AB"/>
    <w:rsid w:val="00B04E54"/>
    <w:rsid w:val="00B0578E"/>
    <w:rsid w:val="00B05F69"/>
    <w:rsid w:val="00B061A5"/>
    <w:rsid w:val="00B066A9"/>
    <w:rsid w:val="00B069AD"/>
    <w:rsid w:val="00B06A6D"/>
    <w:rsid w:val="00B070B3"/>
    <w:rsid w:val="00B112FD"/>
    <w:rsid w:val="00B119E5"/>
    <w:rsid w:val="00B11C9C"/>
    <w:rsid w:val="00B12E84"/>
    <w:rsid w:val="00B1394E"/>
    <w:rsid w:val="00B13DC5"/>
    <w:rsid w:val="00B14602"/>
    <w:rsid w:val="00B15742"/>
    <w:rsid w:val="00B15B85"/>
    <w:rsid w:val="00B162FC"/>
    <w:rsid w:val="00B169D1"/>
    <w:rsid w:val="00B17280"/>
    <w:rsid w:val="00B17936"/>
    <w:rsid w:val="00B17D5D"/>
    <w:rsid w:val="00B17F72"/>
    <w:rsid w:val="00B2059B"/>
    <w:rsid w:val="00B20DED"/>
    <w:rsid w:val="00B21EDF"/>
    <w:rsid w:val="00B223C7"/>
    <w:rsid w:val="00B2261F"/>
    <w:rsid w:val="00B22BAB"/>
    <w:rsid w:val="00B2333E"/>
    <w:rsid w:val="00B23412"/>
    <w:rsid w:val="00B23B16"/>
    <w:rsid w:val="00B23DFC"/>
    <w:rsid w:val="00B24087"/>
    <w:rsid w:val="00B25BF6"/>
    <w:rsid w:val="00B268D5"/>
    <w:rsid w:val="00B26C81"/>
    <w:rsid w:val="00B27A91"/>
    <w:rsid w:val="00B3069F"/>
    <w:rsid w:val="00B30A52"/>
    <w:rsid w:val="00B3106B"/>
    <w:rsid w:val="00B329ED"/>
    <w:rsid w:val="00B32AD4"/>
    <w:rsid w:val="00B33557"/>
    <w:rsid w:val="00B33887"/>
    <w:rsid w:val="00B34125"/>
    <w:rsid w:val="00B34315"/>
    <w:rsid w:val="00B35037"/>
    <w:rsid w:val="00B35D99"/>
    <w:rsid w:val="00B378AD"/>
    <w:rsid w:val="00B403DC"/>
    <w:rsid w:val="00B40943"/>
    <w:rsid w:val="00B41189"/>
    <w:rsid w:val="00B42041"/>
    <w:rsid w:val="00B426B6"/>
    <w:rsid w:val="00B42E1A"/>
    <w:rsid w:val="00B4323F"/>
    <w:rsid w:val="00B4348C"/>
    <w:rsid w:val="00B447FF"/>
    <w:rsid w:val="00B452ED"/>
    <w:rsid w:val="00B45A80"/>
    <w:rsid w:val="00B46EED"/>
    <w:rsid w:val="00B46F72"/>
    <w:rsid w:val="00B46FCF"/>
    <w:rsid w:val="00B50505"/>
    <w:rsid w:val="00B50B27"/>
    <w:rsid w:val="00B514DA"/>
    <w:rsid w:val="00B52327"/>
    <w:rsid w:val="00B52693"/>
    <w:rsid w:val="00B52D1C"/>
    <w:rsid w:val="00B531B3"/>
    <w:rsid w:val="00B53B8A"/>
    <w:rsid w:val="00B54147"/>
    <w:rsid w:val="00B5485A"/>
    <w:rsid w:val="00B54923"/>
    <w:rsid w:val="00B5562E"/>
    <w:rsid w:val="00B56898"/>
    <w:rsid w:val="00B56DD3"/>
    <w:rsid w:val="00B56F72"/>
    <w:rsid w:val="00B57C36"/>
    <w:rsid w:val="00B600E0"/>
    <w:rsid w:val="00B6078B"/>
    <w:rsid w:val="00B614AF"/>
    <w:rsid w:val="00B61538"/>
    <w:rsid w:val="00B61FA9"/>
    <w:rsid w:val="00B6274A"/>
    <w:rsid w:val="00B62AEC"/>
    <w:rsid w:val="00B630A7"/>
    <w:rsid w:val="00B64093"/>
    <w:rsid w:val="00B641AF"/>
    <w:rsid w:val="00B65F19"/>
    <w:rsid w:val="00B66050"/>
    <w:rsid w:val="00B6626D"/>
    <w:rsid w:val="00B66C63"/>
    <w:rsid w:val="00B67542"/>
    <w:rsid w:val="00B67934"/>
    <w:rsid w:val="00B70838"/>
    <w:rsid w:val="00B70C4E"/>
    <w:rsid w:val="00B7116F"/>
    <w:rsid w:val="00B71C27"/>
    <w:rsid w:val="00B72189"/>
    <w:rsid w:val="00B7290E"/>
    <w:rsid w:val="00B73253"/>
    <w:rsid w:val="00B7349C"/>
    <w:rsid w:val="00B73927"/>
    <w:rsid w:val="00B73B7A"/>
    <w:rsid w:val="00B7458A"/>
    <w:rsid w:val="00B747C3"/>
    <w:rsid w:val="00B74C16"/>
    <w:rsid w:val="00B75776"/>
    <w:rsid w:val="00B76463"/>
    <w:rsid w:val="00B770D8"/>
    <w:rsid w:val="00B77295"/>
    <w:rsid w:val="00B77CFE"/>
    <w:rsid w:val="00B800C6"/>
    <w:rsid w:val="00B804F9"/>
    <w:rsid w:val="00B80B46"/>
    <w:rsid w:val="00B80C63"/>
    <w:rsid w:val="00B823F3"/>
    <w:rsid w:val="00B824B4"/>
    <w:rsid w:val="00B8264E"/>
    <w:rsid w:val="00B8332E"/>
    <w:rsid w:val="00B84548"/>
    <w:rsid w:val="00B84600"/>
    <w:rsid w:val="00B84644"/>
    <w:rsid w:val="00B85D87"/>
    <w:rsid w:val="00B869E2"/>
    <w:rsid w:val="00B878F1"/>
    <w:rsid w:val="00B8791A"/>
    <w:rsid w:val="00B90591"/>
    <w:rsid w:val="00B90BE7"/>
    <w:rsid w:val="00B910DF"/>
    <w:rsid w:val="00B91541"/>
    <w:rsid w:val="00B91CBF"/>
    <w:rsid w:val="00B92969"/>
    <w:rsid w:val="00B93708"/>
    <w:rsid w:val="00B93E9B"/>
    <w:rsid w:val="00B94334"/>
    <w:rsid w:val="00B944EF"/>
    <w:rsid w:val="00B95AB0"/>
    <w:rsid w:val="00B9612E"/>
    <w:rsid w:val="00B96286"/>
    <w:rsid w:val="00B96B52"/>
    <w:rsid w:val="00B97109"/>
    <w:rsid w:val="00BA02FC"/>
    <w:rsid w:val="00BA1A78"/>
    <w:rsid w:val="00BA1FB2"/>
    <w:rsid w:val="00BA2749"/>
    <w:rsid w:val="00BA28F7"/>
    <w:rsid w:val="00BA37A6"/>
    <w:rsid w:val="00BA3B49"/>
    <w:rsid w:val="00BA4148"/>
    <w:rsid w:val="00BA4304"/>
    <w:rsid w:val="00BA4F6C"/>
    <w:rsid w:val="00BA4FD0"/>
    <w:rsid w:val="00BA5474"/>
    <w:rsid w:val="00BA54EE"/>
    <w:rsid w:val="00BA590B"/>
    <w:rsid w:val="00BA6BF4"/>
    <w:rsid w:val="00BA74CC"/>
    <w:rsid w:val="00BA7CE4"/>
    <w:rsid w:val="00BB03E1"/>
    <w:rsid w:val="00BB0453"/>
    <w:rsid w:val="00BB0806"/>
    <w:rsid w:val="00BB0858"/>
    <w:rsid w:val="00BB3846"/>
    <w:rsid w:val="00BB3938"/>
    <w:rsid w:val="00BB4404"/>
    <w:rsid w:val="00BB4426"/>
    <w:rsid w:val="00BB4C97"/>
    <w:rsid w:val="00BB5CDB"/>
    <w:rsid w:val="00BB5EEC"/>
    <w:rsid w:val="00BB6201"/>
    <w:rsid w:val="00BB67FA"/>
    <w:rsid w:val="00BB6BC6"/>
    <w:rsid w:val="00BC03C0"/>
    <w:rsid w:val="00BC079B"/>
    <w:rsid w:val="00BC09E8"/>
    <w:rsid w:val="00BC0B50"/>
    <w:rsid w:val="00BC0F31"/>
    <w:rsid w:val="00BC2456"/>
    <w:rsid w:val="00BC32CF"/>
    <w:rsid w:val="00BC453D"/>
    <w:rsid w:val="00BC5E0D"/>
    <w:rsid w:val="00BC666E"/>
    <w:rsid w:val="00BC7918"/>
    <w:rsid w:val="00BD0E3A"/>
    <w:rsid w:val="00BD1A4D"/>
    <w:rsid w:val="00BD1B40"/>
    <w:rsid w:val="00BD22B5"/>
    <w:rsid w:val="00BD3126"/>
    <w:rsid w:val="00BD3504"/>
    <w:rsid w:val="00BD4124"/>
    <w:rsid w:val="00BD49BB"/>
    <w:rsid w:val="00BD4AC7"/>
    <w:rsid w:val="00BD535C"/>
    <w:rsid w:val="00BD5DC3"/>
    <w:rsid w:val="00BD5F43"/>
    <w:rsid w:val="00BD6929"/>
    <w:rsid w:val="00BD695B"/>
    <w:rsid w:val="00BD6E50"/>
    <w:rsid w:val="00BD7390"/>
    <w:rsid w:val="00BE0004"/>
    <w:rsid w:val="00BE284D"/>
    <w:rsid w:val="00BE2E88"/>
    <w:rsid w:val="00BE30F2"/>
    <w:rsid w:val="00BE31C7"/>
    <w:rsid w:val="00BE3A34"/>
    <w:rsid w:val="00BE3D84"/>
    <w:rsid w:val="00BE4068"/>
    <w:rsid w:val="00BE4BFA"/>
    <w:rsid w:val="00BE4C72"/>
    <w:rsid w:val="00BE5102"/>
    <w:rsid w:val="00BE51D2"/>
    <w:rsid w:val="00BE6040"/>
    <w:rsid w:val="00BE6559"/>
    <w:rsid w:val="00BE6BD5"/>
    <w:rsid w:val="00BE77E7"/>
    <w:rsid w:val="00BF1574"/>
    <w:rsid w:val="00BF256D"/>
    <w:rsid w:val="00BF25F4"/>
    <w:rsid w:val="00BF4D5F"/>
    <w:rsid w:val="00BF58DB"/>
    <w:rsid w:val="00BF59B5"/>
    <w:rsid w:val="00BF5B6F"/>
    <w:rsid w:val="00BF6351"/>
    <w:rsid w:val="00BF696E"/>
    <w:rsid w:val="00C0087B"/>
    <w:rsid w:val="00C00D57"/>
    <w:rsid w:val="00C018DF"/>
    <w:rsid w:val="00C01D09"/>
    <w:rsid w:val="00C01D7D"/>
    <w:rsid w:val="00C02574"/>
    <w:rsid w:val="00C02C41"/>
    <w:rsid w:val="00C0433D"/>
    <w:rsid w:val="00C0436D"/>
    <w:rsid w:val="00C04DC5"/>
    <w:rsid w:val="00C060B3"/>
    <w:rsid w:val="00C06F6A"/>
    <w:rsid w:val="00C070A0"/>
    <w:rsid w:val="00C071CC"/>
    <w:rsid w:val="00C102CF"/>
    <w:rsid w:val="00C10768"/>
    <w:rsid w:val="00C1107F"/>
    <w:rsid w:val="00C11720"/>
    <w:rsid w:val="00C119E1"/>
    <w:rsid w:val="00C12519"/>
    <w:rsid w:val="00C128E6"/>
    <w:rsid w:val="00C12E87"/>
    <w:rsid w:val="00C12FEE"/>
    <w:rsid w:val="00C1378F"/>
    <w:rsid w:val="00C1381A"/>
    <w:rsid w:val="00C146E1"/>
    <w:rsid w:val="00C14B8D"/>
    <w:rsid w:val="00C1502D"/>
    <w:rsid w:val="00C152B8"/>
    <w:rsid w:val="00C155BD"/>
    <w:rsid w:val="00C15636"/>
    <w:rsid w:val="00C15852"/>
    <w:rsid w:val="00C159B1"/>
    <w:rsid w:val="00C15AE7"/>
    <w:rsid w:val="00C16539"/>
    <w:rsid w:val="00C166A7"/>
    <w:rsid w:val="00C1672D"/>
    <w:rsid w:val="00C16757"/>
    <w:rsid w:val="00C16D45"/>
    <w:rsid w:val="00C17A1D"/>
    <w:rsid w:val="00C21378"/>
    <w:rsid w:val="00C21493"/>
    <w:rsid w:val="00C21540"/>
    <w:rsid w:val="00C21E5C"/>
    <w:rsid w:val="00C21F61"/>
    <w:rsid w:val="00C2200E"/>
    <w:rsid w:val="00C225AF"/>
    <w:rsid w:val="00C22CFB"/>
    <w:rsid w:val="00C239FD"/>
    <w:rsid w:val="00C23CA0"/>
    <w:rsid w:val="00C24133"/>
    <w:rsid w:val="00C24259"/>
    <w:rsid w:val="00C24A01"/>
    <w:rsid w:val="00C24F8F"/>
    <w:rsid w:val="00C26869"/>
    <w:rsid w:val="00C26C34"/>
    <w:rsid w:val="00C30B7F"/>
    <w:rsid w:val="00C31823"/>
    <w:rsid w:val="00C31904"/>
    <w:rsid w:val="00C31AEE"/>
    <w:rsid w:val="00C31CAB"/>
    <w:rsid w:val="00C3219A"/>
    <w:rsid w:val="00C33279"/>
    <w:rsid w:val="00C333BB"/>
    <w:rsid w:val="00C33463"/>
    <w:rsid w:val="00C33580"/>
    <w:rsid w:val="00C33ABF"/>
    <w:rsid w:val="00C33ACD"/>
    <w:rsid w:val="00C33E19"/>
    <w:rsid w:val="00C34BD1"/>
    <w:rsid w:val="00C3508B"/>
    <w:rsid w:val="00C3563E"/>
    <w:rsid w:val="00C35A62"/>
    <w:rsid w:val="00C36483"/>
    <w:rsid w:val="00C36840"/>
    <w:rsid w:val="00C369E8"/>
    <w:rsid w:val="00C3730F"/>
    <w:rsid w:val="00C374E8"/>
    <w:rsid w:val="00C37706"/>
    <w:rsid w:val="00C377D1"/>
    <w:rsid w:val="00C41154"/>
    <w:rsid w:val="00C42562"/>
    <w:rsid w:val="00C42F34"/>
    <w:rsid w:val="00C42F79"/>
    <w:rsid w:val="00C4374F"/>
    <w:rsid w:val="00C43F52"/>
    <w:rsid w:val="00C443C2"/>
    <w:rsid w:val="00C44677"/>
    <w:rsid w:val="00C45C6C"/>
    <w:rsid w:val="00C45D59"/>
    <w:rsid w:val="00C47367"/>
    <w:rsid w:val="00C507CB"/>
    <w:rsid w:val="00C510F8"/>
    <w:rsid w:val="00C51598"/>
    <w:rsid w:val="00C519BB"/>
    <w:rsid w:val="00C5250B"/>
    <w:rsid w:val="00C52B0C"/>
    <w:rsid w:val="00C52B4B"/>
    <w:rsid w:val="00C52E5D"/>
    <w:rsid w:val="00C532F7"/>
    <w:rsid w:val="00C5542D"/>
    <w:rsid w:val="00C5690A"/>
    <w:rsid w:val="00C6016C"/>
    <w:rsid w:val="00C605C5"/>
    <w:rsid w:val="00C6091E"/>
    <w:rsid w:val="00C60C3A"/>
    <w:rsid w:val="00C60EE2"/>
    <w:rsid w:val="00C61357"/>
    <w:rsid w:val="00C62077"/>
    <w:rsid w:val="00C620B2"/>
    <w:rsid w:val="00C6314B"/>
    <w:rsid w:val="00C6343D"/>
    <w:rsid w:val="00C63C58"/>
    <w:rsid w:val="00C64557"/>
    <w:rsid w:val="00C65B34"/>
    <w:rsid w:val="00C6662B"/>
    <w:rsid w:val="00C6680E"/>
    <w:rsid w:val="00C66E6B"/>
    <w:rsid w:val="00C675FD"/>
    <w:rsid w:val="00C6764C"/>
    <w:rsid w:val="00C677F7"/>
    <w:rsid w:val="00C701C3"/>
    <w:rsid w:val="00C705C9"/>
    <w:rsid w:val="00C714E7"/>
    <w:rsid w:val="00C718D2"/>
    <w:rsid w:val="00C72096"/>
    <w:rsid w:val="00C7299F"/>
    <w:rsid w:val="00C734BE"/>
    <w:rsid w:val="00C7371F"/>
    <w:rsid w:val="00C73ED5"/>
    <w:rsid w:val="00C766BF"/>
    <w:rsid w:val="00C774E1"/>
    <w:rsid w:val="00C77F2A"/>
    <w:rsid w:val="00C8022F"/>
    <w:rsid w:val="00C80DF1"/>
    <w:rsid w:val="00C8124C"/>
    <w:rsid w:val="00C81286"/>
    <w:rsid w:val="00C823C4"/>
    <w:rsid w:val="00C83A22"/>
    <w:rsid w:val="00C842EE"/>
    <w:rsid w:val="00C8442F"/>
    <w:rsid w:val="00C84A85"/>
    <w:rsid w:val="00C84EE0"/>
    <w:rsid w:val="00C857AE"/>
    <w:rsid w:val="00C85A54"/>
    <w:rsid w:val="00C86C0F"/>
    <w:rsid w:val="00C86DF1"/>
    <w:rsid w:val="00C87187"/>
    <w:rsid w:val="00C87277"/>
    <w:rsid w:val="00C87378"/>
    <w:rsid w:val="00C87AC2"/>
    <w:rsid w:val="00C9139A"/>
    <w:rsid w:val="00C913A0"/>
    <w:rsid w:val="00C91415"/>
    <w:rsid w:val="00C914FF"/>
    <w:rsid w:val="00C91607"/>
    <w:rsid w:val="00C91682"/>
    <w:rsid w:val="00C91C7A"/>
    <w:rsid w:val="00C928E1"/>
    <w:rsid w:val="00C92B81"/>
    <w:rsid w:val="00C92EE3"/>
    <w:rsid w:val="00C93544"/>
    <w:rsid w:val="00C935AB"/>
    <w:rsid w:val="00C938D9"/>
    <w:rsid w:val="00C93FDE"/>
    <w:rsid w:val="00C94448"/>
    <w:rsid w:val="00C944EE"/>
    <w:rsid w:val="00C947B5"/>
    <w:rsid w:val="00C95050"/>
    <w:rsid w:val="00C95AFB"/>
    <w:rsid w:val="00C95B79"/>
    <w:rsid w:val="00C95FC5"/>
    <w:rsid w:val="00C96EB7"/>
    <w:rsid w:val="00CA0F7F"/>
    <w:rsid w:val="00CA119E"/>
    <w:rsid w:val="00CA1715"/>
    <w:rsid w:val="00CA1CD7"/>
    <w:rsid w:val="00CA3359"/>
    <w:rsid w:val="00CA4499"/>
    <w:rsid w:val="00CA4F96"/>
    <w:rsid w:val="00CA5CD7"/>
    <w:rsid w:val="00CA626B"/>
    <w:rsid w:val="00CA6B0F"/>
    <w:rsid w:val="00CA6B68"/>
    <w:rsid w:val="00CA6C40"/>
    <w:rsid w:val="00CA7E39"/>
    <w:rsid w:val="00CB03CA"/>
    <w:rsid w:val="00CB07D7"/>
    <w:rsid w:val="00CB0EF0"/>
    <w:rsid w:val="00CB13B7"/>
    <w:rsid w:val="00CB15D6"/>
    <w:rsid w:val="00CB1B01"/>
    <w:rsid w:val="00CB2E87"/>
    <w:rsid w:val="00CB42F0"/>
    <w:rsid w:val="00CB431A"/>
    <w:rsid w:val="00CB4A32"/>
    <w:rsid w:val="00CB4B97"/>
    <w:rsid w:val="00CB52AB"/>
    <w:rsid w:val="00CB533A"/>
    <w:rsid w:val="00CB60F7"/>
    <w:rsid w:val="00CB6185"/>
    <w:rsid w:val="00CB757E"/>
    <w:rsid w:val="00CB766C"/>
    <w:rsid w:val="00CB7AE8"/>
    <w:rsid w:val="00CB7D7B"/>
    <w:rsid w:val="00CB7DEB"/>
    <w:rsid w:val="00CC301E"/>
    <w:rsid w:val="00CC330E"/>
    <w:rsid w:val="00CC4632"/>
    <w:rsid w:val="00CC4920"/>
    <w:rsid w:val="00CC4A12"/>
    <w:rsid w:val="00CC534D"/>
    <w:rsid w:val="00CC6382"/>
    <w:rsid w:val="00CC6FA2"/>
    <w:rsid w:val="00CC7008"/>
    <w:rsid w:val="00CD04CC"/>
    <w:rsid w:val="00CD0F27"/>
    <w:rsid w:val="00CD140D"/>
    <w:rsid w:val="00CD1D67"/>
    <w:rsid w:val="00CD2691"/>
    <w:rsid w:val="00CD2AFD"/>
    <w:rsid w:val="00CD3F7A"/>
    <w:rsid w:val="00CD439E"/>
    <w:rsid w:val="00CD553C"/>
    <w:rsid w:val="00CD5923"/>
    <w:rsid w:val="00CD5D9B"/>
    <w:rsid w:val="00CD62FE"/>
    <w:rsid w:val="00CD6929"/>
    <w:rsid w:val="00CD692D"/>
    <w:rsid w:val="00CD6D00"/>
    <w:rsid w:val="00CD795F"/>
    <w:rsid w:val="00CD7AA3"/>
    <w:rsid w:val="00CE2054"/>
    <w:rsid w:val="00CE209F"/>
    <w:rsid w:val="00CE260C"/>
    <w:rsid w:val="00CE2A6E"/>
    <w:rsid w:val="00CE2CD9"/>
    <w:rsid w:val="00CE34CC"/>
    <w:rsid w:val="00CE3B6C"/>
    <w:rsid w:val="00CE48BA"/>
    <w:rsid w:val="00CE49FF"/>
    <w:rsid w:val="00CE52EC"/>
    <w:rsid w:val="00CE5CF7"/>
    <w:rsid w:val="00CE5D23"/>
    <w:rsid w:val="00CE621F"/>
    <w:rsid w:val="00CE6FFE"/>
    <w:rsid w:val="00CF0010"/>
    <w:rsid w:val="00CF0D43"/>
    <w:rsid w:val="00CF234C"/>
    <w:rsid w:val="00CF260C"/>
    <w:rsid w:val="00CF2AFB"/>
    <w:rsid w:val="00CF39FC"/>
    <w:rsid w:val="00CF3AB1"/>
    <w:rsid w:val="00CF3AC4"/>
    <w:rsid w:val="00CF4470"/>
    <w:rsid w:val="00CF4B97"/>
    <w:rsid w:val="00CF4EAA"/>
    <w:rsid w:val="00CF4FD8"/>
    <w:rsid w:val="00CF5117"/>
    <w:rsid w:val="00CF5589"/>
    <w:rsid w:val="00CF5FF4"/>
    <w:rsid w:val="00CF6021"/>
    <w:rsid w:val="00CF758B"/>
    <w:rsid w:val="00CF76A5"/>
    <w:rsid w:val="00D00324"/>
    <w:rsid w:val="00D00995"/>
    <w:rsid w:val="00D02526"/>
    <w:rsid w:val="00D0379F"/>
    <w:rsid w:val="00D047D2"/>
    <w:rsid w:val="00D04856"/>
    <w:rsid w:val="00D04F24"/>
    <w:rsid w:val="00D052C2"/>
    <w:rsid w:val="00D056C9"/>
    <w:rsid w:val="00D057ED"/>
    <w:rsid w:val="00D06D8C"/>
    <w:rsid w:val="00D0711D"/>
    <w:rsid w:val="00D077F7"/>
    <w:rsid w:val="00D07C23"/>
    <w:rsid w:val="00D07C77"/>
    <w:rsid w:val="00D100CB"/>
    <w:rsid w:val="00D10328"/>
    <w:rsid w:val="00D1052A"/>
    <w:rsid w:val="00D1063C"/>
    <w:rsid w:val="00D10961"/>
    <w:rsid w:val="00D11442"/>
    <w:rsid w:val="00D116C6"/>
    <w:rsid w:val="00D11E0B"/>
    <w:rsid w:val="00D1230D"/>
    <w:rsid w:val="00D12316"/>
    <w:rsid w:val="00D134AF"/>
    <w:rsid w:val="00D13886"/>
    <w:rsid w:val="00D14904"/>
    <w:rsid w:val="00D14E94"/>
    <w:rsid w:val="00D14ECD"/>
    <w:rsid w:val="00D157DF"/>
    <w:rsid w:val="00D1645B"/>
    <w:rsid w:val="00D16988"/>
    <w:rsid w:val="00D16AD5"/>
    <w:rsid w:val="00D17A33"/>
    <w:rsid w:val="00D17A5E"/>
    <w:rsid w:val="00D17F90"/>
    <w:rsid w:val="00D216E2"/>
    <w:rsid w:val="00D21833"/>
    <w:rsid w:val="00D21AA0"/>
    <w:rsid w:val="00D2227D"/>
    <w:rsid w:val="00D228A8"/>
    <w:rsid w:val="00D22DE8"/>
    <w:rsid w:val="00D23B7D"/>
    <w:rsid w:val="00D23FC0"/>
    <w:rsid w:val="00D24407"/>
    <w:rsid w:val="00D2453E"/>
    <w:rsid w:val="00D24E8F"/>
    <w:rsid w:val="00D24F0B"/>
    <w:rsid w:val="00D2671A"/>
    <w:rsid w:val="00D304D4"/>
    <w:rsid w:val="00D306F0"/>
    <w:rsid w:val="00D322A4"/>
    <w:rsid w:val="00D32458"/>
    <w:rsid w:val="00D32B82"/>
    <w:rsid w:val="00D32BC6"/>
    <w:rsid w:val="00D33EB6"/>
    <w:rsid w:val="00D34409"/>
    <w:rsid w:val="00D35983"/>
    <w:rsid w:val="00D360FA"/>
    <w:rsid w:val="00D36536"/>
    <w:rsid w:val="00D36CCE"/>
    <w:rsid w:val="00D36E27"/>
    <w:rsid w:val="00D37105"/>
    <w:rsid w:val="00D37570"/>
    <w:rsid w:val="00D3771C"/>
    <w:rsid w:val="00D41E39"/>
    <w:rsid w:val="00D42788"/>
    <w:rsid w:val="00D4352F"/>
    <w:rsid w:val="00D4386A"/>
    <w:rsid w:val="00D45B9C"/>
    <w:rsid w:val="00D46A3F"/>
    <w:rsid w:val="00D47F5D"/>
    <w:rsid w:val="00D510B7"/>
    <w:rsid w:val="00D51A52"/>
    <w:rsid w:val="00D51EA0"/>
    <w:rsid w:val="00D52065"/>
    <w:rsid w:val="00D521BB"/>
    <w:rsid w:val="00D5223F"/>
    <w:rsid w:val="00D533C5"/>
    <w:rsid w:val="00D53B7E"/>
    <w:rsid w:val="00D53C3E"/>
    <w:rsid w:val="00D561C8"/>
    <w:rsid w:val="00D56E62"/>
    <w:rsid w:val="00D572B5"/>
    <w:rsid w:val="00D5763E"/>
    <w:rsid w:val="00D57D1D"/>
    <w:rsid w:val="00D60E4E"/>
    <w:rsid w:val="00D61B6A"/>
    <w:rsid w:val="00D625AF"/>
    <w:rsid w:val="00D6275B"/>
    <w:rsid w:val="00D62A67"/>
    <w:rsid w:val="00D6361C"/>
    <w:rsid w:val="00D639C6"/>
    <w:rsid w:val="00D640D6"/>
    <w:rsid w:val="00D64398"/>
    <w:rsid w:val="00D6466E"/>
    <w:rsid w:val="00D6467F"/>
    <w:rsid w:val="00D64863"/>
    <w:rsid w:val="00D65095"/>
    <w:rsid w:val="00D67F84"/>
    <w:rsid w:val="00D70C20"/>
    <w:rsid w:val="00D7238E"/>
    <w:rsid w:val="00D7267B"/>
    <w:rsid w:val="00D72800"/>
    <w:rsid w:val="00D72ACA"/>
    <w:rsid w:val="00D72BA0"/>
    <w:rsid w:val="00D72E29"/>
    <w:rsid w:val="00D7388A"/>
    <w:rsid w:val="00D740D9"/>
    <w:rsid w:val="00D743EB"/>
    <w:rsid w:val="00D744D1"/>
    <w:rsid w:val="00D744FC"/>
    <w:rsid w:val="00D74A03"/>
    <w:rsid w:val="00D74F49"/>
    <w:rsid w:val="00D753C3"/>
    <w:rsid w:val="00D76C01"/>
    <w:rsid w:val="00D776FF"/>
    <w:rsid w:val="00D8092C"/>
    <w:rsid w:val="00D80959"/>
    <w:rsid w:val="00D82588"/>
    <w:rsid w:val="00D82604"/>
    <w:rsid w:val="00D82C2E"/>
    <w:rsid w:val="00D8344A"/>
    <w:rsid w:val="00D856FF"/>
    <w:rsid w:val="00D868E0"/>
    <w:rsid w:val="00D86E18"/>
    <w:rsid w:val="00D87438"/>
    <w:rsid w:val="00D87DAC"/>
    <w:rsid w:val="00D90578"/>
    <w:rsid w:val="00D90E86"/>
    <w:rsid w:val="00D912A6"/>
    <w:rsid w:val="00D91A74"/>
    <w:rsid w:val="00D92519"/>
    <w:rsid w:val="00D92C00"/>
    <w:rsid w:val="00D92F70"/>
    <w:rsid w:val="00D93B0F"/>
    <w:rsid w:val="00D9480E"/>
    <w:rsid w:val="00D96C4D"/>
    <w:rsid w:val="00D96D83"/>
    <w:rsid w:val="00DA08AC"/>
    <w:rsid w:val="00DA235D"/>
    <w:rsid w:val="00DA2472"/>
    <w:rsid w:val="00DA29E7"/>
    <w:rsid w:val="00DA3309"/>
    <w:rsid w:val="00DA4430"/>
    <w:rsid w:val="00DA468C"/>
    <w:rsid w:val="00DA4695"/>
    <w:rsid w:val="00DA47B1"/>
    <w:rsid w:val="00DA4F76"/>
    <w:rsid w:val="00DA553E"/>
    <w:rsid w:val="00DA5C56"/>
    <w:rsid w:val="00DA5EFD"/>
    <w:rsid w:val="00DA6233"/>
    <w:rsid w:val="00DA6801"/>
    <w:rsid w:val="00DA71F3"/>
    <w:rsid w:val="00DA75C3"/>
    <w:rsid w:val="00DA7C05"/>
    <w:rsid w:val="00DB00B5"/>
    <w:rsid w:val="00DB0720"/>
    <w:rsid w:val="00DB0A44"/>
    <w:rsid w:val="00DB0E6D"/>
    <w:rsid w:val="00DB1A1B"/>
    <w:rsid w:val="00DB3100"/>
    <w:rsid w:val="00DB3748"/>
    <w:rsid w:val="00DB3D5C"/>
    <w:rsid w:val="00DB3E27"/>
    <w:rsid w:val="00DB432B"/>
    <w:rsid w:val="00DB5978"/>
    <w:rsid w:val="00DB6119"/>
    <w:rsid w:val="00DB67BF"/>
    <w:rsid w:val="00DB6FBA"/>
    <w:rsid w:val="00DB7216"/>
    <w:rsid w:val="00DB7944"/>
    <w:rsid w:val="00DB79C9"/>
    <w:rsid w:val="00DB7AA6"/>
    <w:rsid w:val="00DC00FD"/>
    <w:rsid w:val="00DC0204"/>
    <w:rsid w:val="00DC0DA9"/>
    <w:rsid w:val="00DC1426"/>
    <w:rsid w:val="00DC1570"/>
    <w:rsid w:val="00DC16A7"/>
    <w:rsid w:val="00DC1A82"/>
    <w:rsid w:val="00DC1AEA"/>
    <w:rsid w:val="00DC2840"/>
    <w:rsid w:val="00DC3360"/>
    <w:rsid w:val="00DC3577"/>
    <w:rsid w:val="00DC3BBD"/>
    <w:rsid w:val="00DC4035"/>
    <w:rsid w:val="00DC4DA0"/>
    <w:rsid w:val="00DC71E3"/>
    <w:rsid w:val="00DD136F"/>
    <w:rsid w:val="00DD1EE0"/>
    <w:rsid w:val="00DD26A4"/>
    <w:rsid w:val="00DD2F54"/>
    <w:rsid w:val="00DD369C"/>
    <w:rsid w:val="00DD3D5E"/>
    <w:rsid w:val="00DD427F"/>
    <w:rsid w:val="00DD4503"/>
    <w:rsid w:val="00DD482C"/>
    <w:rsid w:val="00DD49A0"/>
    <w:rsid w:val="00DD5A6D"/>
    <w:rsid w:val="00DD5F22"/>
    <w:rsid w:val="00DD61E7"/>
    <w:rsid w:val="00DD6F01"/>
    <w:rsid w:val="00DD75BA"/>
    <w:rsid w:val="00DD7E57"/>
    <w:rsid w:val="00DE03A3"/>
    <w:rsid w:val="00DE06AB"/>
    <w:rsid w:val="00DE1524"/>
    <w:rsid w:val="00DE26BB"/>
    <w:rsid w:val="00DE3140"/>
    <w:rsid w:val="00DE3A61"/>
    <w:rsid w:val="00DE4632"/>
    <w:rsid w:val="00DE49B9"/>
    <w:rsid w:val="00DE4CD3"/>
    <w:rsid w:val="00DE52BE"/>
    <w:rsid w:val="00DE6367"/>
    <w:rsid w:val="00DE6D5B"/>
    <w:rsid w:val="00DE719E"/>
    <w:rsid w:val="00DE7600"/>
    <w:rsid w:val="00DE7898"/>
    <w:rsid w:val="00DF010C"/>
    <w:rsid w:val="00DF0534"/>
    <w:rsid w:val="00DF069C"/>
    <w:rsid w:val="00DF0EA7"/>
    <w:rsid w:val="00DF18D1"/>
    <w:rsid w:val="00DF371B"/>
    <w:rsid w:val="00DF39B2"/>
    <w:rsid w:val="00DF39BA"/>
    <w:rsid w:val="00DF4238"/>
    <w:rsid w:val="00DF4FF6"/>
    <w:rsid w:val="00DF513F"/>
    <w:rsid w:val="00DF51B5"/>
    <w:rsid w:val="00DF5648"/>
    <w:rsid w:val="00DF5A09"/>
    <w:rsid w:val="00DF5D0F"/>
    <w:rsid w:val="00DF78D2"/>
    <w:rsid w:val="00DF7EE1"/>
    <w:rsid w:val="00E005FD"/>
    <w:rsid w:val="00E01584"/>
    <w:rsid w:val="00E02C8B"/>
    <w:rsid w:val="00E02CC8"/>
    <w:rsid w:val="00E0325E"/>
    <w:rsid w:val="00E036D3"/>
    <w:rsid w:val="00E03AD2"/>
    <w:rsid w:val="00E04212"/>
    <w:rsid w:val="00E04F2F"/>
    <w:rsid w:val="00E0556F"/>
    <w:rsid w:val="00E055BF"/>
    <w:rsid w:val="00E06479"/>
    <w:rsid w:val="00E06D71"/>
    <w:rsid w:val="00E06ECC"/>
    <w:rsid w:val="00E078CC"/>
    <w:rsid w:val="00E10B33"/>
    <w:rsid w:val="00E10D39"/>
    <w:rsid w:val="00E114CC"/>
    <w:rsid w:val="00E11E67"/>
    <w:rsid w:val="00E123DF"/>
    <w:rsid w:val="00E12648"/>
    <w:rsid w:val="00E13B18"/>
    <w:rsid w:val="00E153E2"/>
    <w:rsid w:val="00E154F5"/>
    <w:rsid w:val="00E15B24"/>
    <w:rsid w:val="00E16258"/>
    <w:rsid w:val="00E1714A"/>
    <w:rsid w:val="00E171B6"/>
    <w:rsid w:val="00E177D6"/>
    <w:rsid w:val="00E20243"/>
    <w:rsid w:val="00E2056F"/>
    <w:rsid w:val="00E205BB"/>
    <w:rsid w:val="00E207F0"/>
    <w:rsid w:val="00E20993"/>
    <w:rsid w:val="00E2126A"/>
    <w:rsid w:val="00E21541"/>
    <w:rsid w:val="00E215CC"/>
    <w:rsid w:val="00E231BF"/>
    <w:rsid w:val="00E263AF"/>
    <w:rsid w:val="00E27A39"/>
    <w:rsid w:val="00E3033C"/>
    <w:rsid w:val="00E30608"/>
    <w:rsid w:val="00E31235"/>
    <w:rsid w:val="00E31266"/>
    <w:rsid w:val="00E3272C"/>
    <w:rsid w:val="00E32B9F"/>
    <w:rsid w:val="00E3416A"/>
    <w:rsid w:val="00E3484C"/>
    <w:rsid w:val="00E359B8"/>
    <w:rsid w:val="00E36C84"/>
    <w:rsid w:val="00E37708"/>
    <w:rsid w:val="00E40191"/>
    <w:rsid w:val="00E4021A"/>
    <w:rsid w:val="00E40A8A"/>
    <w:rsid w:val="00E40C73"/>
    <w:rsid w:val="00E40F0A"/>
    <w:rsid w:val="00E41340"/>
    <w:rsid w:val="00E4214A"/>
    <w:rsid w:val="00E42F5F"/>
    <w:rsid w:val="00E43873"/>
    <w:rsid w:val="00E43950"/>
    <w:rsid w:val="00E4496F"/>
    <w:rsid w:val="00E456C4"/>
    <w:rsid w:val="00E45BE1"/>
    <w:rsid w:val="00E45E9B"/>
    <w:rsid w:val="00E46C30"/>
    <w:rsid w:val="00E46F0E"/>
    <w:rsid w:val="00E50112"/>
    <w:rsid w:val="00E526DB"/>
    <w:rsid w:val="00E52AD2"/>
    <w:rsid w:val="00E53132"/>
    <w:rsid w:val="00E53675"/>
    <w:rsid w:val="00E53925"/>
    <w:rsid w:val="00E53D66"/>
    <w:rsid w:val="00E54F69"/>
    <w:rsid w:val="00E550C0"/>
    <w:rsid w:val="00E55251"/>
    <w:rsid w:val="00E55B28"/>
    <w:rsid w:val="00E573D3"/>
    <w:rsid w:val="00E57A77"/>
    <w:rsid w:val="00E57AD6"/>
    <w:rsid w:val="00E60B4B"/>
    <w:rsid w:val="00E60F7C"/>
    <w:rsid w:val="00E612B0"/>
    <w:rsid w:val="00E613F0"/>
    <w:rsid w:val="00E624D8"/>
    <w:rsid w:val="00E62BC4"/>
    <w:rsid w:val="00E638A2"/>
    <w:rsid w:val="00E63E19"/>
    <w:rsid w:val="00E64342"/>
    <w:rsid w:val="00E6446B"/>
    <w:rsid w:val="00E644B0"/>
    <w:rsid w:val="00E645BD"/>
    <w:rsid w:val="00E65B28"/>
    <w:rsid w:val="00E66AD4"/>
    <w:rsid w:val="00E66B89"/>
    <w:rsid w:val="00E67559"/>
    <w:rsid w:val="00E67CF3"/>
    <w:rsid w:val="00E67D25"/>
    <w:rsid w:val="00E70043"/>
    <w:rsid w:val="00E70395"/>
    <w:rsid w:val="00E7075F"/>
    <w:rsid w:val="00E70964"/>
    <w:rsid w:val="00E709C8"/>
    <w:rsid w:val="00E7132B"/>
    <w:rsid w:val="00E7177F"/>
    <w:rsid w:val="00E725EA"/>
    <w:rsid w:val="00E72688"/>
    <w:rsid w:val="00E72A27"/>
    <w:rsid w:val="00E731A6"/>
    <w:rsid w:val="00E73779"/>
    <w:rsid w:val="00E73CA4"/>
    <w:rsid w:val="00E73E9C"/>
    <w:rsid w:val="00E74758"/>
    <w:rsid w:val="00E75D16"/>
    <w:rsid w:val="00E7641E"/>
    <w:rsid w:val="00E765C1"/>
    <w:rsid w:val="00E77766"/>
    <w:rsid w:val="00E77D20"/>
    <w:rsid w:val="00E80BE4"/>
    <w:rsid w:val="00E81003"/>
    <w:rsid w:val="00E81BE1"/>
    <w:rsid w:val="00E81CC6"/>
    <w:rsid w:val="00E820E0"/>
    <w:rsid w:val="00E82A06"/>
    <w:rsid w:val="00E82B54"/>
    <w:rsid w:val="00E82F37"/>
    <w:rsid w:val="00E83E8F"/>
    <w:rsid w:val="00E8516E"/>
    <w:rsid w:val="00E85885"/>
    <w:rsid w:val="00E85B44"/>
    <w:rsid w:val="00E866ED"/>
    <w:rsid w:val="00E86A13"/>
    <w:rsid w:val="00E86F15"/>
    <w:rsid w:val="00E86FD8"/>
    <w:rsid w:val="00E879F4"/>
    <w:rsid w:val="00E90FAD"/>
    <w:rsid w:val="00E9108C"/>
    <w:rsid w:val="00E914A7"/>
    <w:rsid w:val="00E932A8"/>
    <w:rsid w:val="00E9332D"/>
    <w:rsid w:val="00E93350"/>
    <w:rsid w:val="00E93B72"/>
    <w:rsid w:val="00E9437E"/>
    <w:rsid w:val="00E94AF4"/>
    <w:rsid w:val="00E94EA9"/>
    <w:rsid w:val="00E954AD"/>
    <w:rsid w:val="00E95512"/>
    <w:rsid w:val="00E959F0"/>
    <w:rsid w:val="00EA0F37"/>
    <w:rsid w:val="00EA17C6"/>
    <w:rsid w:val="00EA26C8"/>
    <w:rsid w:val="00EA4AA5"/>
    <w:rsid w:val="00EA5E81"/>
    <w:rsid w:val="00EA5F5E"/>
    <w:rsid w:val="00EA630B"/>
    <w:rsid w:val="00EA73BF"/>
    <w:rsid w:val="00EA7939"/>
    <w:rsid w:val="00EB002E"/>
    <w:rsid w:val="00EB00B8"/>
    <w:rsid w:val="00EB0214"/>
    <w:rsid w:val="00EB1936"/>
    <w:rsid w:val="00EB20E1"/>
    <w:rsid w:val="00EB2147"/>
    <w:rsid w:val="00EB2363"/>
    <w:rsid w:val="00EB2A6A"/>
    <w:rsid w:val="00EB2CF9"/>
    <w:rsid w:val="00EB2D26"/>
    <w:rsid w:val="00EB3DE9"/>
    <w:rsid w:val="00EB48CC"/>
    <w:rsid w:val="00EB498E"/>
    <w:rsid w:val="00EB51A2"/>
    <w:rsid w:val="00EB560D"/>
    <w:rsid w:val="00EB6365"/>
    <w:rsid w:val="00EB6A07"/>
    <w:rsid w:val="00EB6DAA"/>
    <w:rsid w:val="00EC0C12"/>
    <w:rsid w:val="00EC0CB7"/>
    <w:rsid w:val="00EC2D01"/>
    <w:rsid w:val="00EC3018"/>
    <w:rsid w:val="00EC3C25"/>
    <w:rsid w:val="00EC4B74"/>
    <w:rsid w:val="00EC4D05"/>
    <w:rsid w:val="00EC4E83"/>
    <w:rsid w:val="00EC55A9"/>
    <w:rsid w:val="00EC5F32"/>
    <w:rsid w:val="00EC7415"/>
    <w:rsid w:val="00EC7EF0"/>
    <w:rsid w:val="00ED0971"/>
    <w:rsid w:val="00ED0D35"/>
    <w:rsid w:val="00ED13EF"/>
    <w:rsid w:val="00ED18FC"/>
    <w:rsid w:val="00ED3787"/>
    <w:rsid w:val="00ED3A6F"/>
    <w:rsid w:val="00ED50BC"/>
    <w:rsid w:val="00ED5255"/>
    <w:rsid w:val="00ED5A86"/>
    <w:rsid w:val="00ED5A9A"/>
    <w:rsid w:val="00ED5B2C"/>
    <w:rsid w:val="00ED5F6A"/>
    <w:rsid w:val="00ED625B"/>
    <w:rsid w:val="00ED6FCA"/>
    <w:rsid w:val="00ED7059"/>
    <w:rsid w:val="00ED75BB"/>
    <w:rsid w:val="00ED7927"/>
    <w:rsid w:val="00EE05C4"/>
    <w:rsid w:val="00EE0711"/>
    <w:rsid w:val="00EE0B9A"/>
    <w:rsid w:val="00EE1095"/>
    <w:rsid w:val="00EE1306"/>
    <w:rsid w:val="00EE19E1"/>
    <w:rsid w:val="00EE2A73"/>
    <w:rsid w:val="00EE2F98"/>
    <w:rsid w:val="00EE3897"/>
    <w:rsid w:val="00EE426E"/>
    <w:rsid w:val="00EE4CD8"/>
    <w:rsid w:val="00EE6E62"/>
    <w:rsid w:val="00EE7107"/>
    <w:rsid w:val="00EE77D1"/>
    <w:rsid w:val="00EE7D3E"/>
    <w:rsid w:val="00EF03C3"/>
    <w:rsid w:val="00EF07B7"/>
    <w:rsid w:val="00EF1788"/>
    <w:rsid w:val="00EF1EF5"/>
    <w:rsid w:val="00EF22D9"/>
    <w:rsid w:val="00EF2C74"/>
    <w:rsid w:val="00EF2EC8"/>
    <w:rsid w:val="00EF31DB"/>
    <w:rsid w:val="00EF4061"/>
    <w:rsid w:val="00EF4612"/>
    <w:rsid w:val="00EF506B"/>
    <w:rsid w:val="00EF54CB"/>
    <w:rsid w:val="00EF5BC7"/>
    <w:rsid w:val="00EF60B7"/>
    <w:rsid w:val="00EF6709"/>
    <w:rsid w:val="00EF776F"/>
    <w:rsid w:val="00F001BD"/>
    <w:rsid w:val="00F00AF4"/>
    <w:rsid w:val="00F01895"/>
    <w:rsid w:val="00F02647"/>
    <w:rsid w:val="00F02896"/>
    <w:rsid w:val="00F02C8A"/>
    <w:rsid w:val="00F03256"/>
    <w:rsid w:val="00F0450A"/>
    <w:rsid w:val="00F0475B"/>
    <w:rsid w:val="00F04D5C"/>
    <w:rsid w:val="00F0527D"/>
    <w:rsid w:val="00F05AFE"/>
    <w:rsid w:val="00F05FBD"/>
    <w:rsid w:val="00F06484"/>
    <w:rsid w:val="00F077ED"/>
    <w:rsid w:val="00F079EB"/>
    <w:rsid w:val="00F10850"/>
    <w:rsid w:val="00F10D68"/>
    <w:rsid w:val="00F114F0"/>
    <w:rsid w:val="00F1254E"/>
    <w:rsid w:val="00F12751"/>
    <w:rsid w:val="00F12B7C"/>
    <w:rsid w:val="00F1302D"/>
    <w:rsid w:val="00F13A70"/>
    <w:rsid w:val="00F13F1C"/>
    <w:rsid w:val="00F1414F"/>
    <w:rsid w:val="00F14509"/>
    <w:rsid w:val="00F1514D"/>
    <w:rsid w:val="00F1554A"/>
    <w:rsid w:val="00F15562"/>
    <w:rsid w:val="00F16231"/>
    <w:rsid w:val="00F16E72"/>
    <w:rsid w:val="00F17156"/>
    <w:rsid w:val="00F2028C"/>
    <w:rsid w:val="00F21143"/>
    <w:rsid w:val="00F2133A"/>
    <w:rsid w:val="00F2182B"/>
    <w:rsid w:val="00F224C1"/>
    <w:rsid w:val="00F2274A"/>
    <w:rsid w:val="00F22C7D"/>
    <w:rsid w:val="00F2300D"/>
    <w:rsid w:val="00F231FE"/>
    <w:rsid w:val="00F23D7A"/>
    <w:rsid w:val="00F2418E"/>
    <w:rsid w:val="00F2421F"/>
    <w:rsid w:val="00F2426F"/>
    <w:rsid w:val="00F24800"/>
    <w:rsid w:val="00F24F0A"/>
    <w:rsid w:val="00F25311"/>
    <w:rsid w:val="00F25566"/>
    <w:rsid w:val="00F25D5E"/>
    <w:rsid w:val="00F25DD5"/>
    <w:rsid w:val="00F26402"/>
    <w:rsid w:val="00F26557"/>
    <w:rsid w:val="00F26B60"/>
    <w:rsid w:val="00F31716"/>
    <w:rsid w:val="00F32191"/>
    <w:rsid w:val="00F33D48"/>
    <w:rsid w:val="00F33F76"/>
    <w:rsid w:val="00F34F8C"/>
    <w:rsid w:val="00F3563A"/>
    <w:rsid w:val="00F362A1"/>
    <w:rsid w:val="00F3643D"/>
    <w:rsid w:val="00F369B5"/>
    <w:rsid w:val="00F40230"/>
    <w:rsid w:val="00F40E35"/>
    <w:rsid w:val="00F410F7"/>
    <w:rsid w:val="00F41588"/>
    <w:rsid w:val="00F41BE3"/>
    <w:rsid w:val="00F41C4E"/>
    <w:rsid w:val="00F423AA"/>
    <w:rsid w:val="00F424F2"/>
    <w:rsid w:val="00F425C7"/>
    <w:rsid w:val="00F42704"/>
    <w:rsid w:val="00F43497"/>
    <w:rsid w:val="00F435AD"/>
    <w:rsid w:val="00F43DA5"/>
    <w:rsid w:val="00F43E0B"/>
    <w:rsid w:val="00F50224"/>
    <w:rsid w:val="00F5045B"/>
    <w:rsid w:val="00F50F65"/>
    <w:rsid w:val="00F513C4"/>
    <w:rsid w:val="00F5156F"/>
    <w:rsid w:val="00F51D6D"/>
    <w:rsid w:val="00F53143"/>
    <w:rsid w:val="00F53145"/>
    <w:rsid w:val="00F536D2"/>
    <w:rsid w:val="00F537C8"/>
    <w:rsid w:val="00F539DF"/>
    <w:rsid w:val="00F54132"/>
    <w:rsid w:val="00F54F63"/>
    <w:rsid w:val="00F55AF1"/>
    <w:rsid w:val="00F56738"/>
    <w:rsid w:val="00F577A7"/>
    <w:rsid w:val="00F57FE7"/>
    <w:rsid w:val="00F6004A"/>
    <w:rsid w:val="00F60219"/>
    <w:rsid w:val="00F60BB4"/>
    <w:rsid w:val="00F60E8C"/>
    <w:rsid w:val="00F61D48"/>
    <w:rsid w:val="00F62BF8"/>
    <w:rsid w:val="00F6312F"/>
    <w:rsid w:val="00F63C2C"/>
    <w:rsid w:val="00F641D4"/>
    <w:rsid w:val="00F6456E"/>
    <w:rsid w:val="00F645FD"/>
    <w:rsid w:val="00F64F61"/>
    <w:rsid w:val="00F6509C"/>
    <w:rsid w:val="00F651FB"/>
    <w:rsid w:val="00F65CEB"/>
    <w:rsid w:val="00F65FF6"/>
    <w:rsid w:val="00F669F2"/>
    <w:rsid w:val="00F66E47"/>
    <w:rsid w:val="00F6727B"/>
    <w:rsid w:val="00F67B59"/>
    <w:rsid w:val="00F70234"/>
    <w:rsid w:val="00F704C3"/>
    <w:rsid w:val="00F70903"/>
    <w:rsid w:val="00F71B79"/>
    <w:rsid w:val="00F71FA3"/>
    <w:rsid w:val="00F72078"/>
    <w:rsid w:val="00F7264D"/>
    <w:rsid w:val="00F73075"/>
    <w:rsid w:val="00F7358B"/>
    <w:rsid w:val="00F73EB3"/>
    <w:rsid w:val="00F745A3"/>
    <w:rsid w:val="00F75022"/>
    <w:rsid w:val="00F75DE0"/>
    <w:rsid w:val="00F763D2"/>
    <w:rsid w:val="00F76481"/>
    <w:rsid w:val="00F767C2"/>
    <w:rsid w:val="00F768A6"/>
    <w:rsid w:val="00F76CA3"/>
    <w:rsid w:val="00F76E95"/>
    <w:rsid w:val="00F778CD"/>
    <w:rsid w:val="00F779E7"/>
    <w:rsid w:val="00F81233"/>
    <w:rsid w:val="00F8149C"/>
    <w:rsid w:val="00F81DB3"/>
    <w:rsid w:val="00F82568"/>
    <w:rsid w:val="00F830C2"/>
    <w:rsid w:val="00F839E3"/>
    <w:rsid w:val="00F843F6"/>
    <w:rsid w:val="00F84705"/>
    <w:rsid w:val="00F84D95"/>
    <w:rsid w:val="00F86C73"/>
    <w:rsid w:val="00F873DB"/>
    <w:rsid w:val="00F87E78"/>
    <w:rsid w:val="00F9041C"/>
    <w:rsid w:val="00F904DF"/>
    <w:rsid w:val="00F908BF"/>
    <w:rsid w:val="00F90AAB"/>
    <w:rsid w:val="00F91052"/>
    <w:rsid w:val="00F91232"/>
    <w:rsid w:val="00F9149E"/>
    <w:rsid w:val="00F91A7F"/>
    <w:rsid w:val="00F91C23"/>
    <w:rsid w:val="00F91C44"/>
    <w:rsid w:val="00F920A9"/>
    <w:rsid w:val="00F9360D"/>
    <w:rsid w:val="00F93CF2"/>
    <w:rsid w:val="00F9409C"/>
    <w:rsid w:val="00F949D2"/>
    <w:rsid w:val="00F94A4B"/>
    <w:rsid w:val="00F94B99"/>
    <w:rsid w:val="00F94BA5"/>
    <w:rsid w:val="00F9564F"/>
    <w:rsid w:val="00F963C9"/>
    <w:rsid w:val="00F97400"/>
    <w:rsid w:val="00FA0363"/>
    <w:rsid w:val="00FA0A54"/>
    <w:rsid w:val="00FA1003"/>
    <w:rsid w:val="00FA12F7"/>
    <w:rsid w:val="00FA23AE"/>
    <w:rsid w:val="00FA2553"/>
    <w:rsid w:val="00FA281C"/>
    <w:rsid w:val="00FA28A7"/>
    <w:rsid w:val="00FA2A89"/>
    <w:rsid w:val="00FA2AB2"/>
    <w:rsid w:val="00FA3A52"/>
    <w:rsid w:val="00FA44E8"/>
    <w:rsid w:val="00FA4C62"/>
    <w:rsid w:val="00FA5D08"/>
    <w:rsid w:val="00FA66CD"/>
    <w:rsid w:val="00FA7103"/>
    <w:rsid w:val="00FA76F5"/>
    <w:rsid w:val="00FA78F3"/>
    <w:rsid w:val="00FA7E19"/>
    <w:rsid w:val="00FB0363"/>
    <w:rsid w:val="00FB05FB"/>
    <w:rsid w:val="00FB0916"/>
    <w:rsid w:val="00FB1444"/>
    <w:rsid w:val="00FB146C"/>
    <w:rsid w:val="00FB1B6B"/>
    <w:rsid w:val="00FB1CB3"/>
    <w:rsid w:val="00FB3D19"/>
    <w:rsid w:val="00FB3F3C"/>
    <w:rsid w:val="00FB459B"/>
    <w:rsid w:val="00FB49B9"/>
    <w:rsid w:val="00FB49C3"/>
    <w:rsid w:val="00FB548B"/>
    <w:rsid w:val="00FB59E7"/>
    <w:rsid w:val="00FB5A45"/>
    <w:rsid w:val="00FB5E45"/>
    <w:rsid w:val="00FB5FF9"/>
    <w:rsid w:val="00FB61BE"/>
    <w:rsid w:val="00FB6C5E"/>
    <w:rsid w:val="00FB6F24"/>
    <w:rsid w:val="00FB716F"/>
    <w:rsid w:val="00FB7188"/>
    <w:rsid w:val="00FC0202"/>
    <w:rsid w:val="00FC0427"/>
    <w:rsid w:val="00FC0A23"/>
    <w:rsid w:val="00FC0A7C"/>
    <w:rsid w:val="00FC102A"/>
    <w:rsid w:val="00FC1C6C"/>
    <w:rsid w:val="00FC2C6E"/>
    <w:rsid w:val="00FC2EAD"/>
    <w:rsid w:val="00FC3153"/>
    <w:rsid w:val="00FC3442"/>
    <w:rsid w:val="00FC34A8"/>
    <w:rsid w:val="00FC35EF"/>
    <w:rsid w:val="00FC3CA9"/>
    <w:rsid w:val="00FC4E78"/>
    <w:rsid w:val="00FC4EAD"/>
    <w:rsid w:val="00FC68EF"/>
    <w:rsid w:val="00FC6A51"/>
    <w:rsid w:val="00FC7BDB"/>
    <w:rsid w:val="00FD04E7"/>
    <w:rsid w:val="00FD06EC"/>
    <w:rsid w:val="00FD0774"/>
    <w:rsid w:val="00FD22A1"/>
    <w:rsid w:val="00FD31E7"/>
    <w:rsid w:val="00FD336F"/>
    <w:rsid w:val="00FD3EC8"/>
    <w:rsid w:val="00FD4568"/>
    <w:rsid w:val="00FD4EB9"/>
    <w:rsid w:val="00FD5A42"/>
    <w:rsid w:val="00FD6E4B"/>
    <w:rsid w:val="00FD7158"/>
    <w:rsid w:val="00FD748D"/>
    <w:rsid w:val="00FD79B9"/>
    <w:rsid w:val="00FD7C20"/>
    <w:rsid w:val="00FE0544"/>
    <w:rsid w:val="00FE1BEC"/>
    <w:rsid w:val="00FE2D9F"/>
    <w:rsid w:val="00FE381C"/>
    <w:rsid w:val="00FE392D"/>
    <w:rsid w:val="00FE3DAD"/>
    <w:rsid w:val="00FE42E4"/>
    <w:rsid w:val="00FE47DF"/>
    <w:rsid w:val="00FE5205"/>
    <w:rsid w:val="00FE58A7"/>
    <w:rsid w:val="00FE78CE"/>
    <w:rsid w:val="00FF0EA0"/>
    <w:rsid w:val="00FF11AA"/>
    <w:rsid w:val="00FF1243"/>
    <w:rsid w:val="00FF1BC7"/>
    <w:rsid w:val="00FF24E6"/>
    <w:rsid w:val="00FF2EC3"/>
    <w:rsid w:val="00FF3F7E"/>
    <w:rsid w:val="00FF4D51"/>
    <w:rsid w:val="00FF4FB9"/>
    <w:rsid w:val="00FF521B"/>
    <w:rsid w:val="00FF5753"/>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75FA"/>
  <w15:chartTrackingRefBased/>
  <w15:docId w15:val="{E6BCF1CB-FEA3-4F98-9912-543B54B6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D4"/>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3074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07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0747A"/>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30747A"/>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1711E7"/>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8205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747A"/>
    <w:rPr>
      <w:rFonts w:asciiTheme="majorHAnsi" w:eastAsiaTheme="majorEastAsia" w:hAnsiTheme="majorHAnsi" w:cstheme="majorBidi"/>
      <w:color w:val="2E74B5" w:themeColor="accent1" w:themeShade="BF"/>
      <w:sz w:val="26"/>
      <w:szCs w:val="26"/>
    </w:rPr>
  </w:style>
  <w:style w:type="paragraph" w:styleId="DipnotMetni">
    <w:name w:val="footnote text"/>
    <w:aliases w:val="ft,Footnote Text Char1,Footnote Text Char Char,Footnote Text Char1 Char Char,Footnote Text Char Char Char Char,Footnote Text Char Char1,Char Char,Sprotna opomba - besedilo Znak1,Sprotna opomba - besedilo Znak Znak2,Tekst przypisu,FOOTNOTES"/>
    <w:basedOn w:val="Normal"/>
    <w:link w:val="DipnotMetniChar"/>
    <w:uiPriority w:val="99"/>
    <w:qFormat/>
    <w:rsid w:val="0030747A"/>
    <w:pPr>
      <w:spacing w:before="100" w:beforeAutospacing="1" w:after="100" w:afterAutospacing="1"/>
    </w:pPr>
    <w:rPr>
      <w:rFonts w:eastAsia="Arial Unicode MS" w:cs="Arial Unicode MS"/>
      <w:color w:val="000000"/>
      <w:sz w:val="20"/>
    </w:rPr>
  </w:style>
  <w:style w:type="character" w:customStyle="1" w:styleId="DipnotMetniChar">
    <w:name w:val="Dipnot Metni Char"/>
    <w:aliases w:val="ft Char,Footnote Text Char1 Char,Footnote Text Char Char Char,Footnote Text Char1 Char Char Char,Footnote Text Char Char Char Char Char,Footnote Text Char Char1 Char,Char Char Char,Sprotna opomba - besedilo Znak1 Char,FOOTNOTES Char"/>
    <w:basedOn w:val="VarsaylanParagrafYazTipi"/>
    <w:link w:val="DipnotMetni"/>
    <w:uiPriority w:val="99"/>
    <w:rsid w:val="0030747A"/>
    <w:rPr>
      <w:rFonts w:ascii="Times New Roman" w:eastAsia="Arial Unicode MS" w:hAnsi="Times New Roman" w:cs="Arial Unicode MS"/>
      <w:color w:val="000000"/>
      <w:sz w:val="20"/>
      <w:szCs w:val="24"/>
    </w:rPr>
  </w:style>
  <w:style w:type="character" w:styleId="DipnotBavurusu">
    <w:name w:val="footnote reference"/>
    <w:aliases w:val="ftref,Footnotes refss,Fussnota,Footnote Reference Superscript,Footnote Reference Number,Footnote Reference_LVL6,Footnote Reference_LVL61,Footnote Reference_LVL62,Footnote Reference_LVL63,Footnote Reference_LVL64,16 Point,Знак сноски-F"/>
    <w:basedOn w:val="VarsaylanParagrafYazTipi"/>
    <w:link w:val="CarattereCarattereCharCharCharCharCharCharZchn"/>
    <w:uiPriority w:val="99"/>
    <w:qFormat/>
    <w:rsid w:val="0030747A"/>
    <w:rPr>
      <w:vertAlign w:val="superscript"/>
    </w:rPr>
  </w:style>
  <w:style w:type="paragraph" w:styleId="stBilgi">
    <w:name w:val="header"/>
    <w:basedOn w:val="Normal"/>
    <w:link w:val="stBilgiChar"/>
    <w:uiPriority w:val="99"/>
    <w:rsid w:val="0030747A"/>
    <w:pPr>
      <w:tabs>
        <w:tab w:val="center" w:pos="4320"/>
        <w:tab w:val="right" w:pos="8640"/>
      </w:tabs>
    </w:pPr>
  </w:style>
  <w:style w:type="character" w:customStyle="1" w:styleId="stBilgiChar">
    <w:name w:val="Üst Bilgi Char"/>
    <w:basedOn w:val="VarsaylanParagrafYazTipi"/>
    <w:link w:val="stBilgi"/>
    <w:uiPriority w:val="99"/>
    <w:rsid w:val="0030747A"/>
    <w:rPr>
      <w:rFonts w:ascii="Times New Roman" w:eastAsia="Times New Roman" w:hAnsi="Times New Roman" w:cs="Times New Roman"/>
      <w:sz w:val="24"/>
      <w:szCs w:val="24"/>
    </w:rPr>
  </w:style>
  <w:style w:type="paragraph" w:styleId="AltBilgi">
    <w:name w:val="footer"/>
    <w:basedOn w:val="Normal"/>
    <w:link w:val="AltBilgiChar"/>
    <w:uiPriority w:val="99"/>
    <w:rsid w:val="0030747A"/>
    <w:pPr>
      <w:tabs>
        <w:tab w:val="center" w:pos="4320"/>
        <w:tab w:val="right" w:pos="8640"/>
      </w:tabs>
    </w:pPr>
  </w:style>
  <w:style w:type="character" w:customStyle="1" w:styleId="AltBilgiChar">
    <w:name w:val="Alt Bilgi Char"/>
    <w:basedOn w:val="VarsaylanParagrafYazTipi"/>
    <w:link w:val="AltBilgi"/>
    <w:uiPriority w:val="99"/>
    <w:rsid w:val="0030747A"/>
    <w:rPr>
      <w:rFonts w:ascii="Times New Roman" w:eastAsia="Times New Roman" w:hAnsi="Times New Roman" w:cs="Times New Roman"/>
      <w:sz w:val="24"/>
      <w:szCs w:val="24"/>
    </w:rPr>
  </w:style>
  <w:style w:type="character" w:styleId="SayfaNumaras">
    <w:name w:val="page number"/>
    <w:basedOn w:val="VarsaylanParagrafYazTipi"/>
    <w:rsid w:val="0030747A"/>
  </w:style>
  <w:style w:type="paragraph" w:styleId="ListeParagraf">
    <w:name w:val="List Paragraph"/>
    <w:aliases w:val="Akapit z listą BS,List Paragraph1,Bullet1,List Paragraph 1,Bullets,NUMBERED PARAGRAPH,Numbered List Paragraph,References,List Paragraph (numbered (a)),List_Paragraph,Multilevel para_II,Main numbered paragraph,Numbered Paragraph,Liste 1"/>
    <w:basedOn w:val="Normal"/>
    <w:link w:val="ListeParagrafChar"/>
    <w:uiPriority w:val="34"/>
    <w:qFormat/>
    <w:rsid w:val="0030747A"/>
    <w:pPr>
      <w:spacing w:after="200" w:line="276" w:lineRule="auto"/>
      <w:ind w:left="720"/>
      <w:contextualSpacing/>
    </w:pPr>
    <w:rPr>
      <w:rFonts w:ascii="Calibri" w:eastAsia="Calibri" w:hAnsi="Calibri"/>
      <w:sz w:val="22"/>
      <w:szCs w:val="22"/>
    </w:rPr>
  </w:style>
  <w:style w:type="table" w:customStyle="1" w:styleId="TableGrid2">
    <w:name w:val="Table Grid2"/>
    <w:basedOn w:val="NormalTablo"/>
    <w:next w:val="TabloKlavuzu"/>
    <w:uiPriority w:val="59"/>
    <w:rsid w:val="0030747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nnexes">
    <w:name w:val="Heading 2 Annexes"/>
    <w:basedOn w:val="Balk2"/>
    <w:link w:val="Heading2AnnexesChar"/>
    <w:rsid w:val="0030747A"/>
    <w:pPr>
      <w:spacing w:before="120" w:after="240"/>
      <w:jc w:val="center"/>
    </w:pPr>
    <w:rPr>
      <w:rFonts w:ascii="Times New Roman" w:eastAsia="Times New Roman" w:hAnsi="Times New Roman" w:cs="Arial"/>
      <w:b/>
      <w:bCs/>
      <w:iCs/>
      <w:smallCaps/>
      <w:color w:val="auto"/>
      <w:sz w:val="24"/>
      <w:szCs w:val="28"/>
    </w:rPr>
  </w:style>
  <w:style w:type="character" w:customStyle="1" w:styleId="Heading2AnnexesChar">
    <w:name w:val="Heading 2 Annexes Char"/>
    <w:basedOn w:val="VarsaylanParagrafYazTipi"/>
    <w:link w:val="Heading2Annexes"/>
    <w:rsid w:val="0030747A"/>
    <w:rPr>
      <w:rFonts w:ascii="Times New Roman" w:eastAsia="Times New Roman" w:hAnsi="Times New Roman" w:cs="Arial"/>
      <w:b/>
      <w:bCs/>
      <w:iCs/>
      <w:smallCaps/>
      <w:sz w:val="24"/>
      <w:szCs w:val="28"/>
    </w:rPr>
  </w:style>
  <w:style w:type="table" w:customStyle="1" w:styleId="TableGrid4">
    <w:name w:val="Table Grid4"/>
    <w:basedOn w:val="NormalTablo"/>
    <w:next w:val="TabloKlavuzu"/>
    <w:uiPriority w:val="59"/>
    <w:rsid w:val="00307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Tablo"/>
    <w:next w:val="TabloKlavuzu"/>
    <w:uiPriority w:val="59"/>
    <w:rsid w:val="0030747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aliases w:val="Table Grid_mod"/>
    <w:basedOn w:val="NormalTablo"/>
    <w:uiPriority w:val="39"/>
    <w:rsid w:val="0030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Akapit z listą BS Char,List Paragraph1 Char,Bullet1 Char,List Paragraph 1 Char,Bullets Char,NUMBERED PARAGRAPH Char,Numbered List Paragraph Char,References Char,List Paragraph (numbered (a)) Char,List_Paragraph Char,Liste 1 Char"/>
    <w:basedOn w:val="VarsaylanParagrafYazTipi"/>
    <w:link w:val="ListeParagraf"/>
    <w:uiPriority w:val="34"/>
    <w:qFormat/>
    <w:locked/>
    <w:rsid w:val="0030747A"/>
    <w:rPr>
      <w:rFonts w:ascii="Calibri" w:eastAsia="Calibri" w:hAnsi="Calibri" w:cs="Times New Roma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DipnotBavurusu"/>
    <w:uiPriority w:val="99"/>
    <w:rsid w:val="0030747A"/>
    <w:pPr>
      <w:spacing w:after="160" w:line="240" w:lineRule="exact"/>
    </w:pPr>
    <w:rPr>
      <w:rFonts w:asciiTheme="minorHAnsi" w:eastAsiaTheme="minorHAnsi" w:hAnsiTheme="minorHAnsi" w:cstheme="minorBidi"/>
      <w:sz w:val="22"/>
      <w:szCs w:val="22"/>
      <w:vertAlign w:val="superscript"/>
    </w:rPr>
  </w:style>
  <w:style w:type="character" w:styleId="AklamaBavurusu">
    <w:name w:val="annotation reference"/>
    <w:basedOn w:val="VarsaylanParagrafYazTipi"/>
    <w:uiPriority w:val="99"/>
    <w:semiHidden/>
    <w:unhideWhenUsed/>
    <w:rsid w:val="0030747A"/>
    <w:rPr>
      <w:sz w:val="16"/>
      <w:szCs w:val="16"/>
    </w:rPr>
  </w:style>
  <w:style w:type="paragraph" w:styleId="AklamaMetni">
    <w:name w:val="annotation text"/>
    <w:basedOn w:val="Normal"/>
    <w:link w:val="AklamaMetniChar"/>
    <w:uiPriority w:val="99"/>
    <w:unhideWhenUsed/>
    <w:rsid w:val="0030747A"/>
    <w:rPr>
      <w:sz w:val="20"/>
      <w:szCs w:val="20"/>
    </w:rPr>
  </w:style>
  <w:style w:type="character" w:customStyle="1" w:styleId="AklamaMetniChar">
    <w:name w:val="Açıklama Metni Char"/>
    <w:basedOn w:val="VarsaylanParagrafYazTipi"/>
    <w:link w:val="AklamaMetni"/>
    <w:uiPriority w:val="99"/>
    <w:rsid w:val="0030747A"/>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0747A"/>
    <w:rPr>
      <w:b/>
      <w:bCs/>
    </w:rPr>
  </w:style>
  <w:style w:type="character" w:customStyle="1" w:styleId="AklamaKonusuChar">
    <w:name w:val="Açıklama Konusu Char"/>
    <w:basedOn w:val="AklamaMetniChar"/>
    <w:link w:val="AklamaKonusu"/>
    <w:uiPriority w:val="99"/>
    <w:semiHidden/>
    <w:rsid w:val="0030747A"/>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3074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747A"/>
    <w:rPr>
      <w:rFonts w:ascii="Segoe UI" w:eastAsia="Times New Roman" w:hAnsi="Segoe UI" w:cs="Segoe UI"/>
      <w:sz w:val="18"/>
      <w:szCs w:val="18"/>
    </w:rPr>
  </w:style>
  <w:style w:type="paragraph" w:styleId="ResimYazs">
    <w:name w:val="caption"/>
    <w:aliases w:val="Table title,Figure Head,Caption Char Char Char,Caption1 Char,Caption1,Figure Head Znak Znak,Figure Head Znak,WB Caption,Caption Char1,Caption Char Char,Table legend,Tab_Überschrift,Figure reference,Tab_†berschrift,Beschriftung Char2"/>
    <w:basedOn w:val="Normal"/>
    <w:next w:val="Normal"/>
    <w:link w:val="ResimYazsChar"/>
    <w:uiPriority w:val="35"/>
    <w:qFormat/>
    <w:rsid w:val="0030747A"/>
    <w:pPr>
      <w:spacing w:after="120"/>
      <w:jc w:val="both"/>
    </w:pPr>
    <w:rPr>
      <w:b/>
      <w:bCs/>
      <w:sz w:val="20"/>
      <w:szCs w:val="20"/>
    </w:rPr>
  </w:style>
  <w:style w:type="table" w:styleId="TabloKlavuzuAk">
    <w:name w:val="Grid Table Light"/>
    <w:basedOn w:val="NormalTablo"/>
    <w:uiPriority w:val="40"/>
    <w:rsid w:val="0030747A"/>
    <w:pPr>
      <w:spacing w:after="0" w:line="240" w:lineRule="auto"/>
    </w:pPr>
    <w:rPr>
      <w:rFonts w:ascii="Times New Roman" w:eastAsiaTheme="minorEastAsia" w:hAnsi="Times New Roman" w:cs="Times New Roman"/>
      <w:spacing w:val="-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imYazsChar">
    <w:name w:val="Resim Yazısı Char"/>
    <w:aliases w:val="Table title Char,Figure Head Char,Caption Char Char Char Char,Caption1 Char Char,Caption1 Char1,Figure Head Znak Znak Char,Figure Head Znak Char,WB Caption Char,Caption Char1 Char,Caption Char Char Char1,Table legend Char"/>
    <w:basedOn w:val="VarsaylanParagrafYazTipi"/>
    <w:link w:val="ResimYazs"/>
    <w:uiPriority w:val="35"/>
    <w:rsid w:val="0030747A"/>
    <w:rPr>
      <w:rFonts w:ascii="Times New Roman" w:eastAsia="Times New Roman" w:hAnsi="Times New Roman" w:cs="Times New Roman"/>
      <w:b/>
      <w:bCs/>
      <w:sz w:val="20"/>
      <w:szCs w:val="20"/>
    </w:rPr>
  </w:style>
  <w:style w:type="table" w:styleId="DzTablo5">
    <w:name w:val="Plain Table 5"/>
    <w:basedOn w:val="NormalTablo"/>
    <w:uiPriority w:val="45"/>
    <w:rsid w:val="0030747A"/>
    <w:pPr>
      <w:spacing w:after="0" w:line="240" w:lineRule="auto"/>
    </w:pPr>
    <w:rPr>
      <w:rFonts w:ascii="Times New Roman" w:eastAsiaTheme="minorEastAsia" w:hAnsi="Times New Roman" w:cs="Times New Roman"/>
      <w:spacing w:val="-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
    <w:name w:val="Normal1"/>
    <w:basedOn w:val="Normal"/>
    <w:link w:val="Normal1Char"/>
    <w:qFormat/>
    <w:rsid w:val="0030747A"/>
    <w:pPr>
      <w:spacing w:after="240"/>
      <w:jc w:val="both"/>
    </w:pPr>
    <w:rPr>
      <w:sz w:val="22"/>
      <w:szCs w:val="22"/>
    </w:rPr>
  </w:style>
  <w:style w:type="character" w:customStyle="1" w:styleId="Normal1Char">
    <w:name w:val="Normal1 Char"/>
    <w:basedOn w:val="VarsaylanParagrafYazTipi"/>
    <w:link w:val="Normal1"/>
    <w:rsid w:val="0030747A"/>
    <w:rPr>
      <w:rFonts w:ascii="Times New Roman" w:eastAsia="Times New Roman" w:hAnsi="Times New Roman" w:cs="Times New Roman"/>
    </w:rPr>
  </w:style>
  <w:style w:type="paragraph" w:customStyle="1" w:styleId="Normail1">
    <w:name w:val="Normail1"/>
    <w:basedOn w:val="Normal1"/>
    <w:qFormat/>
    <w:rsid w:val="0030747A"/>
    <w:pPr>
      <w:numPr>
        <w:numId w:val="1"/>
      </w:numPr>
    </w:pPr>
    <w:rPr>
      <w:bCs/>
      <w:sz w:val="24"/>
      <w:szCs w:val="24"/>
    </w:rPr>
  </w:style>
  <w:style w:type="paragraph" w:customStyle="1" w:styleId="PDSHeading2">
    <w:name w:val="PDS Heading 2"/>
    <w:next w:val="Normal"/>
    <w:qFormat/>
    <w:rsid w:val="0030747A"/>
    <w:pPr>
      <w:keepNext/>
      <w:numPr>
        <w:ilvl w:val="1"/>
        <w:numId w:val="3"/>
      </w:numPr>
      <w:spacing w:before="120" w:after="120" w:line="240" w:lineRule="auto"/>
      <w:ind w:left="432"/>
    </w:pPr>
    <w:rPr>
      <w:rFonts w:ascii="Times New Roman" w:eastAsia="Times New Roman" w:hAnsi="Times New Roman" w:cs="Times New Roman"/>
      <w:b/>
      <w:sz w:val="24"/>
      <w:szCs w:val="20"/>
    </w:rPr>
  </w:style>
  <w:style w:type="paragraph" w:customStyle="1" w:styleId="PDSHeading1">
    <w:name w:val="PDS Heading 1"/>
    <w:next w:val="PDSHeading2"/>
    <w:rsid w:val="0030747A"/>
    <w:pPr>
      <w:keepNext/>
      <w:numPr>
        <w:numId w:val="3"/>
      </w:numPr>
      <w:spacing w:after="0" w:line="240" w:lineRule="auto"/>
      <w:outlineLvl w:val="0"/>
    </w:pPr>
    <w:rPr>
      <w:rFonts w:ascii="Times New Roman" w:eastAsia="Times New Roman" w:hAnsi="Times New Roman" w:cs="Times New Roman"/>
      <w:b/>
      <w:caps/>
      <w:sz w:val="24"/>
      <w:szCs w:val="20"/>
    </w:rPr>
  </w:style>
  <w:style w:type="character" w:styleId="Kpr">
    <w:name w:val="Hyperlink"/>
    <w:basedOn w:val="VarsaylanParagrafYazTipi"/>
    <w:uiPriority w:val="99"/>
    <w:unhideWhenUsed/>
    <w:rsid w:val="0030747A"/>
    <w:rPr>
      <w:color w:val="0563C1" w:themeColor="hyperlink"/>
      <w:u w:val="single"/>
    </w:rPr>
  </w:style>
  <w:style w:type="table" w:styleId="DzTablo2">
    <w:name w:val="Plain Table 2"/>
    <w:basedOn w:val="NormalTablo"/>
    <w:uiPriority w:val="42"/>
    <w:rsid w:val="00307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1Char">
    <w:name w:val="Başlık 1 Char"/>
    <w:basedOn w:val="VarsaylanParagrafYazTipi"/>
    <w:link w:val="Balk1"/>
    <w:rsid w:val="0030747A"/>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30747A"/>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30747A"/>
    <w:rPr>
      <w:rFonts w:asciiTheme="majorHAnsi" w:eastAsiaTheme="majorEastAsia" w:hAnsiTheme="majorHAnsi" w:cstheme="majorBidi"/>
      <w:i/>
      <w:iCs/>
      <w:color w:val="2E74B5" w:themeColor="accent1" w:themeShade="BF"/>
      <w:sz w:val="24"/>
      <w:szCs w:val="24"/>
    </w:rPr>
  </w:style>
  <w:style w:type="paragraph" w:styleId="TBal">
    <w:name w:val="TOC Heading"/>
    <w:basedOn w:val="Balk1"/>
    <w:next w:val="Normal"/>
    <w:uiPriority w:val="39"/>
    <w:unhideWhenUsed/>
    <w:qFormat/>
    <w:rsid w:val="0030747A"/>
    <w:pPr>
      <w:spacing w:line="259" w:lineRule="auto"/>
      <w:outlineLvl w:val="9"/>
    </w:pPr>
  </w:style>
  <w:style w:type="paragraph" w:styleId="T1">
    <w:name w:val="toc 1"/>
    <w:basedOn w:val="Normal"/>
    <w:next w:val="Normal"/>
    <w:autoRedefine/>
    <w:uiPriority w:val="39"/>
    <w:unhideWhenUsed/>
    <w:rsid w:val="00795DC3"/>
    <w:pPr>
      <w:tabs>
        <w:tab w:val="right" w:leader="dot" w:pos="9350"/>
      </w:tabs>
      <w:spacing w:after="100"/>
    </w:pPr>
  </w:style>
  <w:style w:type="paragraph" w:styleId="T2">
    <w:name w:val="toc 2"/>
    <w:basedOn w:val="Normal"/>
    <w:next w:val="Normal"/>
    <w:autoRedefine/>
    <w:uiPriority w:val="39"/>
    <w:unhideWhenUsed/>
    <w:rsid w:val="00DC3577"/>
    <w:pPr>
      <w:tabs>
        <w:tab w:val="left" w:pos="630"/>
        <w:tab w:val="right" w:leader="dot" w:pos="9350"/>
      </w:tabs>
      <w:spacing w:after="100"/>
      <w:ind w:left="240"/>
    </w:pPr>
  </w:style>
  <w:style w:type="paragraph" w:styleId="T3">
    <w:name w:val="toc 3"/>
    <w:basedOn w:val="Normal"/>
    <w:next w:val="Normal"/>
    <w:autoRedefine/>
    <w:uiPriority w:val="39"/>
    <w:unhideWhenUsed/>
    <w:rsid w:val="0030747A"/>
    <w:pPr>
      <w:spacing w:after="100"/>
      <w:ind w:left="480"/>
    </w:pPr>
  </w:style>
  <w:style w:type="paragraph" w:customStyle="1" w:styleId="Default">
    <w:name w:val="Default"/>
    <w:basedOn w:val="Normal"/>
    <w:rsid w:val="00536D0E"/>
    <w:pPr>
      <w:autoSpaceDE w:val="0"/>
      <w:autoSpaceDN w:val="0"/>
    </w:pPr>
    <w:rPr>
      <w:rFonts w:eastAsiaTheme="minorHAnsi"/>
      <w:color w:val="000000"/>
    </w:rPr>
  </w:style>
  <w:style w:type="character" w:customStyle="1" w:styleId="MKcommentsChar">
    <w:name w:val="MKcomments Char"/>
    <w:basedOn w:val="VarsaylanParagrafYazTipi"/>
    <w:link w:val="MKcomments"/>
    <w:locked/>
    <w:rsid w:val="00A031F2"/>
    <w:rPr>
      <w:rFonts w:ascii="Georgia" w:hAnsi="Georgia" w:cs="Times New Roman"/>
      <w:b/>
      <w:color w:val="00B050"/>
      <w:sz w:val="24"/>
    </w:rPr>
  </w:style>
  <w:style w:type="paragraph" w:customStyle="1" w:styleId="MKcomments">
    <w:name w:val="MKcomments"/>
    <w:basedOn w:val="Normal"/>
    <w:next w:val="Normal"/>
    <w:link w:val="MKcommentsChar"/>
    <w:autoRedefine/>
    <w:qFormat/>
    <w:rsid w:val="00A031F2"/>
    <w:rPr>
      <w:rFonts w:ascii="Georgia" w:eastAsiaTheme="minorHAnsi" w:hAnsi="Georgia"/>
      <w:b/>
      <w:color w:val="00B050"/>
      <w:szCs w:val="22"/>
    </w:rPr>
  </w:style>
  <w:style w:type="table" w:styleId="KlavuzuTablo4-Vurgu1">
    <w:name w:val="Grid Table 4 Accent 1"/>
    <w:basedOn w:val="NormalTablo"/>
    <w:uiPriority w:val="49"/>
    <w:rsid w:val="00AF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aliases w:val="My Normal"/>
    <w:basedOn w:val="Normal"/>
    <w:link w:val="AralkYokChar"/>
    <w:uiPriority w:val="1"/>
    <w:qFormat/>
    <w:rsid w:val="00530FA2"/>
    <w:rPr>
      <w:rFonts w:ascii="Calibri" w:eastAsia="Calibri" w:hAnsi="Calibri"/>
      <w:sz w:val="22"/>
      <w:szCs w:val="22"/>
    </w:rPr>
  </w:style>
  <w:style w:type="character" w:customStyle="1" w:styleId="AralkYokChar">
    <w:name w:val="Aralık Yok Char"/>
    <w:aliases w:val="My Normal Char"/>
    <w:link w:val="AralkYok"/>
    <w:uiPriority w:val="1"/>
    <w:rsid w:val="00530FA2"/>
    <w:rPr>
      <w:rFonts w:ascii="Calibri" w:eastAsia="Calibri" w:hAnsi="Calibri" w:cs="Times New Roman"/>
    </w:rPr>
  </w:style>
  <w:style w:type="table" w:customStyle="1" w:styleId="PlainTable31">
    <w:name w:val="Plain Table 31"/>
    <w:basedOn w:val="NormalTablo"/>
    <w:uiPriority w:val="43"/>
    <w:rsid w:val="00806EBF"/>
    <w:pPr>
      <w:spacing w:after="0" w:line="240" w:lineRule="auto"/>
    </w:pPr>
    <w:rPr>
      <w:rFonts w:ascii="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Tablo2-Vurgu3">
    <w:name w:val="List Table 2 Accent 3"/>
    <w:basedOn w:val="NormalTablo"/>
    <w:uiPriority w:val="47"/>
    <w:rsid w:val="009E3E8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4">
    <w:name w:val="Plain Table 4"/>
    <w:basedOn w:val="NormalTablo"/>
    <w:uiPriority w:val="44"/>
    <w:rsid w:val="009E3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5">
    <w:name w:val="Grid Table 5 Dark Accent 5"/>
    <w:basedOn w:val="NormalTablo"/>
    <w:uiPriority w:val="50"/>
    <w:rsid w:val="009E3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eTablo7Renkli-Vurgu5">
    <w:name w:val="List Table 7 Colorful Accent 5"/>
    <w:basedOn w:val="NormalTablo"/>
    <w:uiPriority w:val="52"/>
    <w:rsid w:val="009E3E8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3">
    <w:name w:val="List Table 6 Colorful Accent 3"/>
    <w:basedOn w:val="NormalTablo"/>
    <w:uiPriority w:val="51"/>
    <w:rsid w:val="00A40CB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3-Vurgu1">
    <w:name w:val="Grid Table 3 Accent 1"/>
    <w:basedOn w:val="NormalTablo"/>
    <w:uiPriority w:val="48"/>
    <w:rsid w:val="00A40C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Vurgu">
    <w:name w:val="Emphasis"/>
    <w:basedOn w:val="VarsaylanParagrafYazTipi"/>
    <w:uiPriority w:val="20"/>
    <w:qFormat/>
    <w:rsid w:val="00166BA9"/>
    <w:rPr>
      <w:i/>
      <w:iCs/>
    </w:rPr>
  </w:style>
  <w:style w:type="paragraph" w:styleId="Dzeltme">
    <w:name w:val="Revision"/>
    <w:hidden/>
    <w:uiPriority w:val="99"/>
    <w:semiHidden/>
    <w:rsid w:val="00166A74"/>
    <w:pPr>
      <w:spacing w:after="0" w:line="240" w:lineRule="auto"/>
    </w:pPr>
    <w:rPr>
      <w:rFonts w:ascii="Times New Roman" w:eastAsia="Times New Roman" w:hAnsi="Times New Roman" w:cs="Times New Roman"/>
      <w:sz w:val="24"/>
      <w:szCs w:val="24"/>
    </w:rPr>
  </w:style>
  <w:style w:type="character" w:customStyle="1" w:styleId="Balk9Char">
    <w:name w:val="Başlık 9 Char"/>
    <w:basedOn w:val="VarsaylanParagrafYazTipi"/>
    <w:link w:val="Balk9"/>
    <w:uiPriority w:val="9"/>
    <w:semiHidden/>
    <w:rsid w:val="008205C5"/>
    <w:rPr>
      <w:rFonts w:asciiTheme="majorHAnsi" w:eastAsiaTheme="majorEastAsia" w:hAnsiTheme="majorHAnsi" w:cstheme="majorBidi"/>
      <w:i/>
      <w:iCs/>
      <w:color w:val="272727" w:themeColor="text1" w:themeTint="D8"/>
      <w:sz w:val="21"/>
      <w:szCs w:val="21"/>
    </w:rPr>
  </w:style>
  <w:style w:type="paragraph" w:customStyle="1" w:styleId="HeaderFooter">
    <w:name w:val="Header &amp; Footer"/>
    <w:rsid w:val="008205C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bs-Latn-BA" w:eastAsia="bs-Latn-BA"/>
    </w:rPr>
  </w:style>
  <w:style w:type="numbering" w:customStyle="1" w:styleId="ImportedStyle2">
    <w:name w:val="Imported Style 2"/>
    <w:rsid w:val="008205C5"/>
    <w:pPr>
      <w:numPr>
        <w:numId w:val="5"/>
      </w:numPr>
    </w:pPr>
  </w:style>
  <w:style w:type="numbering" w:customStyle="1" w:styleId="ImportedStyle3">
    <w:name w:val="Imported Style 3"/>
    <w:rsid w:val="008205C5"/>
    <w:pPr>
      <w:numPr>
        <w:numId w:val="6"/>
      </w:numPr>
    </w:pPr>
  </w:style>
  <w:style w:type="numbering" w:customStyle="1" w:styleId="ImportedStyle4">
    <w:name w:val="Imported Style 4"/>
    <w:rsid w:val="008205C5"/>
    <w:pPr>
      <w:numPr>
        <w:numId w:val="7"/>
      </w:numPr>
    </w:pPr>
  </w:style>
  <w:style w:type="numbering" w:customStyle="1" w:styleId="ImportedStyle7">
    <w:name w:val="Imported Style 7"/>
    <w:rsid w:val="008205C5"/>
    <w:pPr>
      <w:numPr>
        <w:numId w:val="8"/>
      </w:numPr>
    </w:pPr>
  </w:style>
  <w:style w:type="numbering" w:customStyle="1" w:styleId="ImportedStyle8">
    <w:name w:val="Imported Style 8"/>
    <w:rsid w:val="008205C5"/>
    <w:pPr>
      <w:numPr>
        <w:numId w:val="9"/>
      </w:numPr>
    </w:pPr>
  </w:style>
  <w:style w:type="numbering" w:customStyle="1" w:styleId="ImportedStyle9">
    <w:name w:val="Imported Style 9"/>
    <w:rsid w:val="008205C5"/>
    <w:pPr>
      <w:numPr>
        <w:numId w:val="10"/>
      </w:numPr>
    </w:pPr>
  </w:style>
  <w:style w:type="paragraph" w:customStyle="1" w:styleId="BodyA">
    <w:name w:val="Body A"/>
    <w:rsid w:val="008205C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bs-Latn-BA" w:eastAsia="bs-Latn-BA"/>
    </w:rPr>
  </w:style>
  <w:style w:type="paragraph" w:customStyle="1" w:styleId="Annex">
    <w:name w:val="Annex"/>
    <w:rsid w:val="008205C5"/>
    <w:pPr>
      <w:pBdr>
        <w:top w:val="nil"/>
        <w:left w:val="nil"/>
        <w:bottom w:val="nil"/>
        <w:right w:val="nil"/>
        <w:between w:val="nil"/>
        <w:bar w:val="nil"/>
      </w:pBdr>
      <w:spacing w:after="240" w:line="240" w:lineRule="auto"/>
      <w:jc w:val="center"/>
    </w:pPr>
    <w:rPr>
      <w:rFonts w:ascii="Times New Roman" w:eastAsia="Arial Unicode MS" w:hAnsi="Times New Roman" w:cs="Arial Unicode MS"/>
      <w:b/>
      <w:bCs/>
      <w:smallCaps/>
      <w:color w:val="000000"/>
      <w:sz w:val="24"/>
      <w:szCs w:val="24"/>
      <w:u w:color="000000"/>
      <w:bdr w:val="nil"/>
      <w:lang w:eastAsia="bs-Latn-BA"/>
    </w:rPr>
  </w:style>
  <w:style w:type="numbering" w:customStyle="1" w:styleId="ImportedStyle11">
    <w:name w:val="Imported Style 11"/>
    <w:rsid w:val="008205C5"/>
    <w:pPr>
      <w:numPr>
        <w:numId w:val="11"/>
      </w:numPr>
    </w:pPr>
  </w:style>
  <w:style w:type="character" w:customStyle="1" w:styleId="None">
    <w:name w:val="None"/>
    <w:rsid w:val="008205C5"/>
  </w:style>
  <w:style w:type="character" w:customStyle="1" w:styleId="Hyperlink0">
    <w:name w:val="Hyperlink.0"/>
    <w:basedOn w:val="None"/>
    <w:rsid w:val="008205C5"/>
    <w:rPr>
      <w:rFonts w:ascii="Times New Roman" w:eastAsia="Times New Roman" w:hAnsi="Times New Roman" w:cs="Times New Roman"/>
      <w:color w:val="0000FF"/>
      <w:sz w:val="18"/>
      <w:szCs w:val="18"/>
      <w:u w:val="single" w:color="0000FF"/>
      <w:lang w:val="en-US"/>
    </w:rPr>
  </w:style>
  <w:style w:type="character" w:styleId="zlenenKpr">
    <w:name w:val="FollowedHyperlink"/>
    <w:basedOn w:val="VarsaylanParagrafYazTipi"/>
    <w:uiPriority w:val="99"/>
    <w:semiHidden/>
    <w:unhideWhenUsed/>
    <w:rsid w:val="00A75E44"/>
    <w:rPr>
      <w:color w:val="800080"/>
      <w:u w:val="single"/>
    </w:rPr>
  </w:style>
  <w:style w:type="paragraph" w:customStyle="1" w:styleId="font5">
    <w:name w:val="font5"/>
    <w:basedOn w:val="Normal"/>
    <w:uiPriority w:val="99"/>
    <w:rsid w:val="00A75E44"/>
    <w:pPr>
      <w:spacing w:before="100" w:beforeAutospacing="1" w:after="100" w:afterAutospacing="1"/>
    </w:pPr>
    <w:rPr>
      <w:sz w:val="16"/>
      <w:szCs w:val="16"/>
    </w:rPr>
  </w:style>
  <w:style w:type="paragraph" w:customStyle="1" w:styleId="font6">
    <w:name w:val="font6"/>
    <w:basedOn w:val="Normal"/>
    <w:rsid w:val="00A75E44"/>
    <w:pPr>
      <w:spacing w:before="100" w:beforeAutospacing="1" w:after="100" w:afterAutospacing="1"/>
    </w:pPr>
    <w:rPr>
      <w:b/>
      <w:bCs/>
      <w:sz w:val="16"/>
      <w:szCs w:val="16"/>
    </w:rPr>
  </w:style>
  <w:style w:type="paragraph" w:customStyle="1" w:styleId="xl622">
    <w:name w:val="xl622"/>
    <w:basedOn w:val="Normal"/>
    <w:rsid w:val="00A75E44"/>
    <w:pPr>
      <w:shd w:val="clear" w:color="000000" w:fill="FFFFFF"/>
      <w:spacing w:before="100" w:beforeAutospacing="1" w:after="100" w:afterAutospacing="1"/>
    </w:pPr>
    <w:rPr>
      <w:sz w:val="16"/>
      <w:szCs w:val="16"/>
    </w:rPr>
  </w:style>
  <w:style w:type="paragraph" w:customStyle="1" w:styleId="xl623">
    <w:name w:val="xl623"/>
    <w:basedOn w:val="Normal"/>
    <w:rsid w:val="00A75E44"/>
    <w:pPr>
      <w:shd w:val="clear" w:color="000000" w:fill="FFFFFF"/>
      <w:spacing w:before="100" w:beforeAutospacing="1" w:after="100" w:afterAutospacing="1"/>
    </w:pPr>
    <w:rPr>
      <w:b/>
      <w:bCs/>
      <w:sz w:val="16"/>
      <w:szCs w:val="16"/>
    </w:rPr>
  </w:style>
  <w:style w:type="paragraph" w:customStyle="1" w:styleId="xl624">
    <w:name w:val="xl624"/>
    <w:basedOn w:val="Normal"/>
    <w:rsid w:val="00A75E44"/>
    <w:pPr>
      <w:pBdr>
        <w:left w:val="single" w:sz="4" w:space="0" w:color="auto"/>
        <w:bottom w:val="single" w:sz="8" w:space="0" w:color="auto"/>
      </w:pBdr>
      <w:shd w:val="clear" w:color="000000" w:fill="C0C0C0"/>
      <w:spacing w:before="100" w:beforeAutospacing="1" w:after="100" w:afterAutospacing="1"/>
    </w:pPr>
    <w:rPr>
      <w:sz w:val="16"/>
      <w:szCs w:val="16"/>
    </w:rPr>
  </w:style>
  <w:style w:type="paragraph" w:customStyle="1" w:styleId="xl625">
    <w:name w:val="xl625"/>
    <w:basedOn w:val="Normal"/>
    <w:rsid w:val="00A75E44"/>
    <w:pPr>
      <w:pBdr>
        <w:bottom w:val="single" w:sz="8" w:space="0" w:color="auto"/>
      </w:pBdr>
      <w:shd w:val="clear" w:color="000000" w:fill="C0C0C0"/>
      <w:spacing w:before="100" w:beforeAutospacing="1" w:after="100" w:afterAutospacing="1"/>
      <w:jc w:val="center"/>
    </w:pPr>
    <w:rPr>
      <w:i/>
      <w:iCs/>
      <w:color w:val="000000"/>
      <w:sz w:val="16"/>
      <w:szCs w:val="16"/>
    </w:rPr>
  </w:style>
  <w:style w:type="paragraph" w:customStyle="1" w:styleId="xl626">
    <w:name w:val="xl626"/>
    <w:basedOn w:val="Normal"/>
    <w:rsid w:val="00A75E44"/>
    <w:pPr>
      <w:shd w:val="clear" w:color="000000" w:fill="FFFFFF"/>
      <w:spacing w:before="100" w:beforeAutospacing="1" w:after="100" w:afterAutospacing="1"/>
      <w:jc w:val="center"/>
    </w:pPr>
    <w:rPr>
      <w:sz w:val="16"/>
      <w:szCs w:val="16"/>
    </w:rPr>
  </w:style>
  <w:style w:type="paragraph" w:customStyle="1" w:styleId="xl627">
    <w:name w:val="xl627"/>
    <w:basedOn w:val="Normal"/>
    <w:rsid w:val="00A75E44"/>
    <w:pPr>
      <w:pBdr>
        <w:left w:val="single" w:sz="4" w:space="0" w:color="auto"/>
      </w:pBdr>
      <w:shd w:val="clear" w:color="000000" w:fill="FFFFFF"/>
      <w:spacing w:before="100" w:beforeAutospacing="1" w:after="100" w:afterAutospacing="1"/>
    </w:pPr>
    <w:rPr>
      <w:b/>
      <w:bCs/>
      <w:color w:val="000000"/>
      <w:sz w:val="16"/>
      <w:szCs w:val="16"/>
    </w:rPr>
  </w:style>
  <w:style w:type="paragraph" w:customStyle="1" w:styleId="xl628">
    <w:name w:val="xl628"/>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29">
    <w:name w:val="xl629"/>
    <w:basedOn w:val="Normal"/>
    <w:rsid w:val="00A75E44"/>
    <w:pPr>
      <w:pBdr>
        <w:left w:val="single" w:sz="4" w:space="0" w:color="auto"/>
      </w:pBdr>
      <w:shd w:val="clear" w:color="000000" w:fill="FFFFFF"/>
      <w:spacing w:before="100" w:beforeAutospacing="1" w:after="100" w:afterAutospacing="1"/>
    </w:pPr>
    <w:rPr>
      <w:sz w:val="16"/>
      <w:szCs w:val="16"/>
    </w:rPr>
  </w:style>
  <w:style w:type="paragraph" w:customStyle="1" w:styleId="xl630">
    <w:name w:val="xl630"/>
    <w:basedOn w:val="Normal"/>
    <w:rsid w:val="00A75E44"/>
    <w:pPr>
      <w:pBdr>
        <w:left w:val="single" w:sz="4" w:space="0" w:color="auto"/>
      </w:pBdr>
      <w:shd w:val="clear" w:color="000000" w:fill="FFFFFF"/>
      <w:spacing w:before="100" w:beforeAutospacing="1" w:after="100" w:afterAutospacing="1"/>
    </w:pPr>
    <w:rPr>
      <w:i/>
      <w:iCs/>
      <w:sz w:val="16"/>
      <w:szCs w:val="16"/>
    </w:rPr>
  </w:style>
  <w:style w:type="paragraph" w:customStyle="1" w:styleId="xl631">
    <w:name w:val="xl631"/>
    <w:basedOn w:val="Normal"/>
    <w:rsid w:val="00A75E44"/>
    <w:pPr>
      <w:pBdr>
        <w:left w:val="single" w:sz="4" w:space="0" w:color="auto"/>
      </w:pBdr>
      <w:shd w:val="clear" w:color="000000" w:fill="FFFFFF"/>
      <w:spacing w:before="100" w:beforeAutospacing="1" w:after="100" w:afterAutospacing="1"/>
    </w:pPr>
    <w:rPr>
      <w:b/>
      <w:bCs/>
      <w:sz w:val="16"/>
      <w:szCs w:val="16"/>
    </w:rPr>
  </w:style>
  <w:style w:type="paragraph" w:customStyle="1" w:styleId="xl632">
    <w:name w:val="xl632"/>
    <w:basedOn w:val="Normal"/>
    <w:rsid w:val="00A75E44"/>
    <w:pPr>
      <w:shd w:val="clear" w:color="000000" w:fill="FFFFFF"/>
      <w:spacing w:before="100" w:beforeAutospacing="1" w:after="100" w:afterAutospacing="1"/>
    </w:pPr>
    <w:rPr>
      <w:sz w:val="16"/>
      <w:szCs w:val="16"/>
    </w:rPr>
  </w:style>
  <w:style w:type="paragraph" w:customStyle="1" w:styleId="xl633">
    <w:name w:val="xl633"/>
    <w:basedOn w:val="Normal"/>
    <w:rsid w:val="00A75E44"/>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34">
    <w:name w:val="xl634"/>
    <w:basedOn w:val="Normal"/>
    <w:rsid w:val="00A75E44"/>
    <w:pPr>
      <w:pBdr>
        <w:bottom w:val="single" w:sz="4" w:space="0" w:color="auto"/>
      </w:pBdr>
      <w:shd w:val="clear" w:color="000000" w:fill="FFFFFF"/>
      <w:spacing w:before="100" w:beforeAutospacing="1" w:after="100" w:afterAutospacing="1"/>
    </w:pPr>
    <w:rPr>
      <w:sz w:val="16"/>
      <w:szCs w:val="16"/>
    </w:rPr>
  </w:style>
  <w:style w:type="paragraph" w:customStyle="1" w:styleId="xl635">
    <w:name w:val="xl635"/>
    <w:basedOn w:val="Normal"/>
    <w:rsid w:val="00A75E44"/>
    <w:pPr>
      <w:shd w:val="clear" w:color="000000" w:fill="FFFFFF"/>
      <w:spacing w:before="100" w:beforeAutospacing="1" w:after="100" w:afterAutospacing="1"/>
    </w:pPr>
    <w:rPr>
      <w:sz w:val="16"/>
      <w:szCs w:val="16"/>
    </w:rPr>
  </w:style>
  <w:style w:type="paragraph" w:customStyle="1" w:styleId="xl636">
    <w:name w:val="xl636"/>
    <w:basedOn w:val="Normal"/>
    <w:rsid w:val="00A75E44"/>
    <w:pPr>
      <w:pBdr>
        <w:top w:val="single" w:sz="8" w:space="0" w:color="auto"/>
        <w:bottom w:val="single" w:sz="8" w:space="0" w:color="auto"/>
      </w:pBdr>
      <w:shd w:val="clear" w:color="000000" w:fill="C0C0C0"/>
      <w:spacing w:before="100" w:beforeAutospacing="1" w:after="100" w:afterAutospacing="1"/>
      <w:jc w:val="center"/>
    </w:pPr>
    <w:rPr>
      <w:i/>
      <w:iCs/>
      <w:color w:val="000000"/>
      <w:sz w:val="16"/>
      <w:szCs w:val="16"/>
    </w:rPr>
  </w:style>
  <w:style w:type="paragraph" w:customStyle="1" w:styleId="xl637">
    <w:name w:val="xl637"/>
    <w:basedOn w:val="Normal"/>
    <w:rsid w:val="00A75E44"/>
    <w:pPr>
      <w:pBdr>
        <w:top w:val="single" w:sz="8" w:space="0" w:color="auto"/>
      </w:pBdr>
      <w:shd w:val="clear" w:color="000000" w:fill="FFFFFF"/>
      <w:spacing w:before="100" w:beforeAutospacing="1" w:after="100" w:afterAutospacing="1"/>
      <w:jc w:val="center"/>
    </w:pPr>
    <w:rPr>
      <w:i/>
      <w:iCs/>
      <w:color w:val="000000"/>
      <w:sz w:val="16"/>
      <w:szCs w:val="16"/>
    </w:rPr>
  </w:style>
  <w:style w:type="paragraph" w:customStyle="1" w:styleId="xl638">
    <w:name w:val="xl638"/>
    <w:basedOn w:val="Normal"/>
    <w:rsid w:val="00A75E44"/>
    <w:pPr>
      <w:pBdr>
        <w:top w:val="single" w:sz="8" w:space="0" w:color="auto"/>
      </w:pBdr>
      <w:shd w:val="clear" w:color="000000" w:fill="FFFFFF"/>
      <w:spacing w:before="100" w:beforeAutospacing="1" w:after="100" w:afterAutospacing="1"/>
      <w:jc w:val="center"/>
    </w:pPr>
    <w:rPr>
      <w:sz w:val="16"/>
      <w:szCs w:val="16"/>
    </w:rPr>
  </w:style>
  <w:style w:type="paragraph" w:customStyle="1" w:styleId="xl639">
    <w:name w:val="xl639"/>
    <w:basedOn w:val="Normal"/>
    <w:rsid w:val="00A75E44"/>
    <w:pPr>
      <w:pBdr>
        <w:top w:val="single" w:sz="4" w:space="0" w:color="auto"/>
        <w:left w:val="single" w:sz="4" w:space="0" w:color="auto"/>
      </w:pBdr>
      <w:shd w:val="clear" w:color="000000" w:fill="C0C0C0"/>
      <w:spacing w:before="100" w:beforeAutospacing="1" w:after="100" w:afterAutospacing="1"/>
    </w:pPr>
    <w:rPr>
      <w:b/>
      <w:bCs/>
      <w:sz w:val="16"/>
      <w:szCs w:val="16"/>
    </w:rPr>
  </w:style>
  <w:style w:type="paragraph" w:customStyle="1" w:styleId="xl640">
    <w:name w:val="xl640"/>
    <w:basedOn w:val="Normal"/>
    <w:rsid w:val="00A75E44"/>
    <w:pPr>
      <w:shd w:val="clear" w:color="000000" w:fill="FFFFFF"/>
      <w:spacing w:before="100" w:beforeAutospacing="1" w:after="100" w:afterAutospacing="1"/>
      <w:jc w:val="center"/>
    </w:pPr>
    <w:rPr>
      <w:color w:val="000000"/>
      <w:sz w:val="16"/>
      <w:szCs w:val="16"/>
    </w:rPr>
  </w:style>
  <w:style w:type="paragraph" w:customStyle="1" w:styleId="xl641">
    <w:name w:val="xl641"/>
    <w:basedOn w:val="Normal"/>
    <w:rsid w:val="00A75E44"/>
    <w:pPr>
      <w:shd w:val="clear" w:color="000000" w:fill="FFFFFF"/>
      <w:spacing w:before="100" w:beforeAutospacing="1" w:after="100" w:afterAutospacing="1"/>
      <w:jc w:val="center"/>
    </w:pPr>
    <w:rPr>
      <w:color w:val="000000"/>
      <w:sz w:val="16"/>
      <w:szCs w:val="16"/>
    </w:rPr>
  </w:style>
  <w:style w:type="paragraph" w:customStyle="1" w:styleId="xl642">
    <w:name w:val="xl642"/>
    <w:basedOn w:val="Normal"/>
    <w:rsid w:val="00A75E44"/>
    <w:pPr>
      <w:shd w:val="clear" w:color="000000" w:fill="FFFFFF"/>
      <w:spacing w:before="100" w:beforeAutospacing="1" w:after="100" w:afterAutospacing="1"/>
      <w:jc w:val="center"/>
    </w:pPr>
    <w:rPr>
      <w:color w:val="000000"/>
      <w:sz w:val="16"/>
      <w:szCs w:val="16"/>
    </w:rPr>
  </w:style>
  <w:style w:type="paragraph" w:customStyle="1" w:styleId="xl643">
    <w:name w:val="xl643"/>
    <w:basedOn w:val="Normal"/>
    <w:rsid w:val="00A75E44"/>
    <w:pPr>
      <w:shd w:val="clear" w:color="000000" w:fill="FFFFFF"/>
      <w:spacing w:before="100" w:beforeAutospacing="1" w:after="100" w:afterAutospacing="1"/>
      <w:jc w:val="center"/>
    </w:pPr>
    <w:rPr>
      <w:color w:val="000000"/>
      <w:sz w:val="16"/>
      <w:szCs w:val="16"/>
    </w:rPr>
  </w:style>
  <w:style w:type="paragraph" w:customStyle="1" w:styleId="xl644">
    <w:name w:val="xl644"/>
    <w:basedOn w:val="Normal"/>
    <w:rsid w:val="00A75E44"/>
    <w:pPr>
      <w:shd w:val="clear" w:color="000000" w:fill="FFFFFF"/>
      <w:spacing w:before="100" w:beforeAutospacing="1" w:after="100" w:afterAutospacing="1"/>
      <w:jc w:val="center"/>
    </w:pPr>
    <w:rPr>
      <w:sz w:val="16"/>
      <w:szCs w:val="16"/>
    </w:rPr>
  </w:style>
  <w:style w:type="paragraph" w:customStyle="1" w:styleId="xl645">
    <w:name w:val="xl645"/>
    <w:basedOn w:val="Normal"/>
    <w:rsid w:val="00A75E44"/>
    <w:pPr>
      <w:shd w:val="clear" w:color="000000" w:fill="FFFFFF"/>
      <w:spacing w:before="100" w:beforeAutospacing="1" w:after="100" w:afterAutospacing="1"/>
      <w:jc w:val="center"/>
    </w:pPr>
    <w:rPr>
      <w:color w:val="000000"/>
      <w:sz w:val="16"/>
      <w:szCs w:val="16"/>
    </w:rPr>
  </w:style>
  <w:style w:type="paragraph" w:customStyle="1" w:styleId="xl646">
    <w:name w:val="xl646"/>
    <w:basedOn w:val="Normal"/>
    <w:rsid w:val="00A75E44"/>
    <w:pPr>
      <w:shd w:val="clear" w:color="000000" w:fill="FFFFFF"/>
      <w:spacing w:before="100" w:beforeAutospacing="1" w:after="100" w:afterAutospacing="1"/>
      <w:jc w:val="center"/>
    </w:pPr>
    <w:rPr>
      <w:sz w:val="16"/>
      <w:szCs w:val="16"/>
    </w:rPr>
  </w:style>
  <w:style w:type="paragraph" w:customStyle="1" w:styleId="xl647">
    <w:name w:val="xl647"/>
    <w:basedOn w:val="Normal"/>
    <w:rsid w:val="00A75E44"/>
    <w:pPr>
      <w:shd w:val="clear" w:color="000000" w:fill="FFFFFF"/>
      <w:spacing w:before="100" w:beforeAutospacing="1" w:after="100" w:afterAutospacing="1"/>
      <w:jc w:val="center"/>
    </w:pPr>
    <w:rPr>
      <w:sz w:val="16"/>
      <w:szCs w:val="16"/>
    </w:rPr>
  </w:style>
  <w:style w:type="paragraph" w:customStyle="1" w:styleId="xl648">
    <w:name w:val="xl648"/>
    <w:basedOn w:val="Normal"/>
    <w:rsid w:val="00A75E44"/>
    <w:pPr>
      <w:shd w:val="clear" w:color="000000" w:fill="FFFFFF"/>
      <w:spacing w:before="100" w:beforeAutospacing="1" w:after="100" w:afterAutospacing="1"/>
      <w:jc w:val="center"/>
    </w:pPr>
    <w:rPr>
      <w:sz w:val="16"/>
      <w:szCs w:val="16"/>
    </w:rPr>
  </w:style>
  <w:style w:type="paragraph" w:customStyle="1" w:styleId="xl649">
    <w:name w:val="xl649"/>
    <w:basedOn w:val="Normal"/>
    <w:rsid w:val="00A75E44"/>
    <w:pPr>
      <w:shd w:val="clear" w:color="000000" w:fill="FFFFFF"/>
      <w:spacing w:before="100" w:beforeAutospacing="1" w:after="100" w:afterAutospacing="1"/>
      <w:jc w:val="center"/>
    </w:pPr>
    <w:rPr>
      <w:sz w:val="16"/>
      <w:szCs w:val="16"/>
    </w:rPr>
  </w:style>
  <w:style w:type="paragraph" w:customStyle="1" w:styleId="xl650">
    <w:name w:val="xl650"/>
    <w:basedOn w:val="Normal"/>
    <w:rsid w:val="00A75E44"/>
    <w:pPr>
      <w:shd w:val="clear" w:color="000000" w:fill="FFFFFF"/>
      <w:spacing w:before="100" w:beforeAutospacing="1" w:after="100" w:afterAutospacing="1"/>
      <w:jc w:val="center"/>
    </w:pPr>
    <w:rPr>
      <w:sz w:val="16"/>
      <w:szCs w:val="16"/>
    </w:rPr>
  </w:style>
  <w:style w:type="paragraph" w:customStyle="1" w:styleId="xl651">
    <w:name w:val="xl651"/>
    <w:basedOn w:val="Normal"/>
    <w:rsid w:val="00A75E44"/>
    <w:pPr>
      <w:shd w:val="clear" w:color="000000" w:fill="FFFFFF"/>
      <w:spacing w:before="100" w:beforeAutospacing="1" w:after="100" w:afterAutospacing="1"/>
      <w:jc w:val="center"/>
    </w:pPr>
    <w:rPr>
      <w:sz w:val="16"/>
      <w:szCs w:val="16"/>
    </w:rPr>
  </w:style>
  <w:style w:type="paragraph" w:customStyle="1" w:styleId="xl652">
    <w:name w:val="xl652"/>
    <w:basedOn w:val="Normal"/>
    <w:rsid w:val="00A75E44"/>
    <w:pPr>
      <w:pBdr>
        <w:bottom w:val="single" w:sz="4" w:space="0" w:color="auto"/>
      </w:pBdr>
      <w:shd w:val="clear" w:color="000000" w:fill="FFFFFF"/>
      <w:spacing w:before="100" w:beforeAutospacing="1" w:after="100" w:afterAutospacing="1"/>
      <w:jc w:val="center"/>
    </w:pPr>
    <w:rPr>
      <w:sz w:val="16"/>
      <w:szCs w:val="16"/>
    </w:rPr>
  </w:style>
  <w:style w:type="paragraph" w:customStyle="1" w:styleId="xl653">
    <w:name w:val="xl653"/>
    <w:basedOn w:val="Normal"/>
    <w:rsid w:val="00A75E44"/>
    <w:pPr>
      <w:shd w:val="clear" w:color="000000" w:fill="FFFFFF"/>
      <w:spacing w:before="100" w:beforeAutospacing="1" w:after="100" w:afterAutospacing="1"/>
      <w:jc w:val="center"/>
    </w:pPr>
    <w:rPr>
      <w:sz w:val="16"/>
      <w:szCs w:val="16"/>
    </w:rPr>
  </w:style>
  <w:style w:type="paragraph" w:customStyle="1" w:styleId="xl654">
    <w:name w:val="xl654"/>
    <w:basedOn w:val="Normal"/>
    <w:rsid w:val="00A75E44"/>
    <w:pPr>
      <w:pBdr>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655">
    <w:name w:val="xl655"/>
    <w:basedOn w:val="Normal"/>
    <w:rsid w:val="00A75E44"/>
    <w:pPr>
      <w:pBdr>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656">
    <w:name w:val="xl656"/>
    <w:basedOn w:val="Normal"/>
    <w:rsid w:val="00A75E44"/>
    <w:pPr>
      <w:pBdr>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657">
    <w:name w:val="xl657"/>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58">
    <w:name w:val="xl658"/>
    <w:basedOn w:val="Normal"/>
    <w:rsid w:val="00A75E44"/>
    <w:pPr>
      <w:pBdr>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659">
    <w:name w:val="xl659"/>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60">
    <w:name w:val="xl660"/>
    <w:basedOn w:val="Normal"/>
    <w:rsid w:val="00A75E44"/>
    <w:pPr>
      <w:pBdr>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661">
    <w:name w:val="xl661"/>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62">
    <w:name w:val="xl662"/>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63">
    <w:name w:val="xl663"/>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64">
    <w:name w:val="xl664"/>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65">
    <w:name w:val="xl665"/>
    <w:basedOn w:val="Normal"/>
    <w:rsid w:val="00A75E44"/>
    <w:pPr>
      <w:pBdr>
        <w:right w:val="single" w:sz="4" w:space="0" w:color="auto"/>
      </w:pBdr>
      <w:shd w:val="clear" w:color="000000" w:fill="FFFFFF"/>
      <w:spacing w:before="100" w:beforeAutospacing="1" w:after="100" w:afterAutospacing="1"/>
      <w:jc w:val="center"/>
    </w:pPr>
    <w:rPr>
      <w:sz w:val="16"/>
      <w:szCs w:val="16"/>
    </w:rPr>
  </w:style>
  <w:style w:type="paragraph" w:customStyle="1" w:styleId="xl666">
    <w:name w:val="xl666"/>
    <w:basedOn w:val="Normal"/>
    <w:rsid w:val="00A75E44"/>
    <w:pPr>
      <w:pBdr>
        <w:top w:val="single" w:sz="4" w:space="0" w:color="auto"/>
        <w:bottom w:val="single" w:sz="8" w:space="0" w:color="auto"/>
      </w:pBdr>
      <w:shd w:val="clear" w:color="000000" w:fill="C0C0C0"/>
      <w:spacing w:before="100" w:beforeAutospacing="1" w:after="100" w:afterAutospacing="1"/>
      <w:jc w:val="center"/>
      <w:textAlignment w:val="center"/>
    </w:pPr>
    <w:rPr>
      <w:b/>
      <w:bCs/>
      <w:i/>
      <w:iCs/>
      <w:color w:val="000000"/>
      <w:sz w:val="16"/>
      <w:szCs w:val="16"/>
    </w:rPr>
  </w:style>
  <w:style w:type="paragraph" w:customStyle="1" w:styleId="xl667">
    <w:name w:val="xl667"/>
    <w:basedOn w:val="Normal"/>
    <w:rsid w:val="00A75E44"/>
    <w:pPr>
      <w:pBdr>
        <w:right w:val="single" w:sz="4" w:space="0" w:color="auto"/>
      </w:pBdr>
      <w:shd w:val="clear" w:color="000000" w:fill="FFFFFF"/>
      <w:spacing w:before="100" w:beforeAutospacing="1" w:after="100" w:afterAutospacing="1"/>
    </w:pPr>
    <w:rPr>
      <w:sz w:val="16"/>
      <w:szCs w:val="16"/>
    </w:rPr>
  </w:style>
  <w:style w:type="paragraph" w:customStyle="1" w:styleId="xl668">
    <w:name w:val="xl668"/>
    <w:basedOn w:val="Normal"/>
    <w:rsid w:val="00A75E44"/>
    <w:pPr>
      <w:pBdr>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669">
    <w:name w:val="xl669"/>
    <w:basedOn w:val="Normal"/>
    <w:rsid w:val="00A75E44"/>
    <w:pPr>
      <w:pBdr>
        <w:top w:val="single" w:sz="8" w:space="0" w:color="auto"/>
        <w:bottom w:val="single" w:sz="8" w:space="0" w:color="auto"/>
        <w:right w:val="single" w:sz="4" w:space="0" w:color="auto"/>
      </w:pBdr>
      <w:shd w:val="clear" w:color="000000" w:fill="C0C0C0"/>
      <w:spacing w:before="100" w:beforeAutospacing="1" w:after="100" w:afterAutospacing="1"/>
      <w:jc w:val="center"/>
    </w:pPr>
    <w:rPr>
      <w:i/>
      <w:iCs/>
      <w:color w:val="000000"/>
      <w:sz w:val="16"/>
      <w:szCs w:val="16"/>
    </w:rPr>
  </w:style>
  <w:style w:type="paragraph" w:customStyle="1" w:styleId="xl670">
    <w:name w:val="xl670"/>
    <w:basedOn w:val="Normal"/>
    <w:rsid w:val="00A75E44"/>
    <w:pPr>
      <w:pBdr>
        <w:top w:val="single" w:sz="4" w:space="0" w:color="auto"/>
        <w:bottom w:val="single" w:sz="8" w:space="0" w:color="auto"/>
      </w:pBdr>
      <w:shd w:val="clear" w:color="000000" w:fill="C0C0C0"/>
      <w:spacing w:before="100" w:beforeAutospacing="1" w:after="100" w:afterAutospacing="1"/>
      <w:jc w:val="center"/>
      <w:textAlignment w:val="center"/>
    </w:pPr>
    <w:rPr>
      <w:b/>
      <w:bCs/>
      <w:i/>
      <w:iCs/>
      <w:sz w:val="16"/>
      <w:szCs w:val="16"/>
    </w:rPr>
  </w:style>
  <w:style w:type="paragraph" w:customStyle="1" w:styleId="xl671">
    <w:name w:val="xl671"/>
    <w:basedOn w:val="Normal"/>
    <w:rsid w:val="00A75E44"/>
    <w:pPr>
      <w:pBdr>
        <w:top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i/>
      <w:iCs/>
      <w:color w:val="000000"/>
      <w:sz w:val="16"/>
      <w:szCs w:val="16"/>
    </w:rPr>
  </w:style>
  <w:style w:type="paragraph" w:customStyle="1" w:styleId="Body">
    <w:name w:val="Body"/>
    <w:rsid w:val="00C6680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Heading">
    <w:name w:val="Heading"/>
    <w:next w:val="Body"/>
    <w:rsid w:val="00C6680E"/>
    <w:pPr>
      <w:keepNext/>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lang w:val="en-GB" w:eastAsia="en-GB"/>
    </w:rPr>
  </w:style>
  <w:style w:type="paragraph" w:styleId="NormalWeb">
    <w:name w:val="Normal (Web)"/>
    <w:basedOn w:val="Normal"/>
    <w:uiPriority w:val="99"/>
    <w:unhideWhenUsed/>
    <w:rsid w:val="004659C3"/>
    <w:pPr>
      <w:spacing w:before="100" w:beforeAutospacing="1" w:after="100" w:afterAutospacing="1"/>
    </w:pPr>
    <w:rPr>
      <w:rFonts w:eastAsiaTheme="minorHAnsi"/>
    </w:rPr>
  </w:style>
  <w:style w:type="paragraph" w:customStyle="1" w:styleId="PADPARANUMBERED">
    <w:name w:val="PAD PARA NUMBERED"/>
    <w:basedOn w:val="AralkYok"/>
    <w:autoRedefine/>
    <w:qFormat/>
    <w:rsid w:val="008B57D1"/>
    <w:pPr>
      <w:tabs>
        <w:tab w:val="left" w:pos="426"/>
      </w:tabs>
      <w:autoSpaceDE w:val="0"/>
      <w:autoSpaceDN w:val="0"/>
      <w:adjustRightInd w:val="0"/>
      <w:jc w:val="both"/>
    </w:pPr>
    <w:rPr>
      <w:rFonts w:ascii="Times New Roman" w:eastAsia="Times New Roman" w:hAnsi="Times New Roman"/>
      <w:b/>
      <w:sz w:val="24"/>
      <w:szCs w:val="24"/>
      <w:lang w:val="en-GB"/>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uiPriority w:val="99"/>
    <w:rsid w:val="00AF4523"/>
    <w:pPr>
      <w:spacing w:after="160" w:line="240" w:lineRule="exact"/>
      <w:jc w:val="both"/>
    </w:pPr>
    <w:rPr>
      <w:rFonts w:asciiTheme="minorHAnsi" w:eastAsiaTheme="minorHAnsi" w:hAnsiTheme="minorHAnsi" w:cstheme="minorBidi"/>
      <w:sz w:val="22"/>
      <w:szCs w:val="22"/>
      <w:vertAlign w:val="superscript"/>
    </w:rPr>
  </w:style>
  <w:style w:type="numbering" w:customStyle="1" w:styleId="ImportedStyle20">
    <w:name w:val="Imported Style 2.0"/>
    <w:rsid w:val="00432601"/>
    <w:pPr>
      <w:numPr>
        <w:numId w:val="12"/>
      </w:numPr>
    </w:pPr>
  </w:style>
  <w:style w:type="numbering" w:customStyle="1" w:styleId="ImportedStyle30">
    <w:name w:val="Imported Style 3.0"/>
    <w:rsid w:val="00432601"/>
    <w:pPr>
      <w:numPr>
        <w:numId w:val="13"/>
      </w:numPr>
    </w:pPr>
  </w:style>
  <w:style w:type="paragraph" w:customStyle="1" w:styleId="Label">
    <w:name w:val="Label"/>
    <w:rsid w:val="00432601"/>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rPr>
  </w:style>
  <w:style w:type="character" w:styleId="Gl">
    <w:name w:val="Strong"/>
    <w:basedOn w:val="VarsaylanParagrafYazTipi"/>
    <w:uiPriority w:val="22"/>
    <w:qFormat/>
    <w:rsid w:val="004D0057"/>
    <w:rPr>
      <w:b/>
      <w:bCs/>
    </w:rPr>
  </w:style>
  <w:style w:type="paragraph" w:styleId="SonNotMetni">
    <w:name w:val="endnote text"/>
    <w:basedOn w:val="Normal"/>
    <w:link w:val="SonNotMetniChar"/>
    <w:uiPriority w:val="99"/>
    <w:semiHidden/>
    <w:unhideWhenUsed/>
    <w:rsid w:val="00B17936"/>
    <w:rPr>
      <w:sz w:val="20"/>
      <w:szCs w:val="20"/>
    </w:rPr>
  </w:style>
  <w:style w:type="character" w:customStyle="1" w:styleId="SonNotMetniChar">
    <w:name w:val="Son Not Metni Char"/>
    <w:basedOn w:val="VarsaylanParagrafYazTipi"/>
    <w:link w:val="SonNotMetni"/>
    <w:uiPriority w:val="99"/>
    <w:semiHidden/>
    <w:rsid w:val="00B17936"/>
    <w:rPr>
      <w:rFonts w:ascii="Times New Roman" w:eastAsia="Times New Roman" w:hAnsi="Times New Roman" w:cs="Times New Roman"/>
      <w:sz w:val="20"/>
      <w:szCs w:val="20"/>
    </w:rPr>
  </w:style>
  <w:style w:type="character" w:styleId="SonNotBavurusu">
    <w:name w:val="endnote reference"/>
    <w:basedOn w:val="VarsaylanParagrafYazTipi"/>
    <w:uiPriority w:val="99"/>
    <w:semiHidden/>
    <w:unhideWhenUsed/>
    <w:rsid w:val="00B17936"/>
    <w:rPr>
      <w:vertAlign w:val="superscript"/>
    </w:rPr>
  </w:style>
  <w:style w:type="paragraph" w:customStyle="1" w:styleId="IEGESBullet">
    <w:name w:val="IEG ES Bullet"/>
    <w:basedOn w:val="Normal"/>
    <w:rsid w:val="003447F7"/>
    <w:pPr>
      <w:numPr>
        <w:numId w:val="14"/>
      </w:numPr>
      <w:tabs>
        <w:tab w:val="left" w:pos="450"/>
      </w:tabs>
      <w:spacing w:after="120"/>
      <w:contextualSpacing/>
    </w:pPr>
    <w:rPr>
      <w:rFonts w:ascii="Garamond" w:eastAsiaTheme="minorHAnsi" w:hAnsi="Garamond" w:cstheme="minorBidi"/>
      <w:sz w:val="22"/>
      <w:szCs w:val="22"/>
    </w:rPr>
  </w:style>
  <w:style w:type="paragraph" w:customStyle="1" w:styleId="ParagraphNumbered">
    <w:name w:val="Paragraph Numbered"/>
    <w:basedOn w:val="Normal"/>
    <w:qFormat/>
    <w:rsid w:val="008F71A4"/>
    <w:pPr>
      <w:numPr>
        <w:numId w:val="15"/>
      </w:numPr>
      <w:spacing w:before="120" w:after="120"/>
      <w:jc w:val="both"/>
    </w:pPr>
    <w:rPr>
      <w:rFonts w:asciiTheme="minorHAnsi" w:eastAsiaTheme="minorEastAsia" w:hAnsiTheme="minorHAnsi"/>
      <w:sz w:val="22"/>
      <w:szCs w:val="22"/>
    </w:rPr>
  </w:style>
  <w:style w:type="character" w:customStyle="1" w:styleId="apple-converted-space">
    <w:name w:val="apple-converted-space"/>
    <w:basedOn w:val="VarsaylanParagrafYazTipi"/>
    <w:rsid w:val="008F71A4"/>
  </w:style>
  <w:style w:type="character" w:customStyle="1" w:styleId="Balk5Char">
    <w:name w:val="Başlık 5 Char"/>
    <w:basedOn w:val="VarsaylanParagrafYazTipi"/>
    <w:link w:val="Balk5"/>
    <w:uiPriority w:val="9"/>
    <w:semiHidden/>
    <w:rsid w:val="001711E7"/>
    <w:rPr>
      <w:rFonts w:asciiTheme="majorHAnsi" w:eastAsiaTheme="majorEastAsia" w:hAnsiTheme="majorHAnsi" w:cstheme="majorBidi"/>
      <w:color w:val="2E74B5" w:themeColor="accent1" w:themeShade="BF"/>
      <w:sz w:val="24"/>
      <w:szCs w:val="24"/>
    </w:rPr>
  </w:style>
  <w:style w:type="paragraph" w:customStyle="1" w:styleId="Heading1a">
    <w:name w:val="Heading 1a"/>
    <w:basedOn w:val="Normal"/>
    <w:next w:val="Normal"/>
    <w:rsid w:val="007616BB"/>
    <w:pPr>
      <w:keepNext/>
      <w:keepLines/>
      <w:numPr>
        <w:numId w:val="18"/>
      </w:numPr>
      <w:spacing w:after="240"/>
      <w:jc w:val="center"/>
      <w:outlineLvl w:val="0"/>
    </w:pPr>
    <w:rPr>
      <w:rFonts w:ascii="Times New Roman Bold" w:hAnsi="Times New Roman Bold"/>
      <w:b/>
      <w:smallCaps/>
      <w:sz w:val="40"/>
      <w:szCs w:val="40"/>
    </w:rPr>
  </w:style>
  <w:style w:type="paragraph" w:customStyle="1" w:styleId="MainParanoChapter">
    <w:name w:val="Main Para no Chapter #"/>
    <w:basedOn w:val="Normal"/>
    <w:rsid w:val="007616BB"/>
    <w:pPr>
      <w:numPr>
        <w:ilvl w:val="1"/>
        <w:numId w:val="18"/>
      </w:numPr>
      <w:spacing w:after="240"/>
      <w:jc w:val="both"/>
      <w:outlineLvl w:val="1"/>
    </w:pPr>
  </w:style>
  <w:style w:type="paragraph" w:customStyle="1" w:styleId="Sub-Para1underXY">
    <w:name w:val="Sub-Para 1 under X.Y"/>
    <w:basedOn w:val="Normal"/>
    <w:rsid w:val="007616BB"/>
    <w:pPr>
      <w:numPr>
        <w:ilvl w:val="2"/>
        <w:numId w:val="18"/>
      </w:numPr>
      <w:spacing w:after="240"/>
      <w:outlineLvl w:val="2"/>
    </w:pPr>
  </w:style>
  <w:style w:type="paragraph" w:customStyle="1" w:styleId="Sub-Para2underXY">
    <w:name w:val="Sub-Para 2 under X.Y"/>
    <w:basedOn w:val="Normal"/>
    <w:rsid w:val="007616BB"/>
    <w:pPr>
      <w:numPr>
        <w:ilvl w:val="3"/>
        <w:numId w:val="18"/>
      </w:numPr>
      <w:spacing w:after="240"/>
      <w:outlineLvl w:val="3"/>
    </w:pPr>
  </w:style>
  <w:style w:type="paragraph" w:customStyle="1" w:styleId="Sub-Para3underXY">
    <w:name w:val="Sub-Para 3 under X.Y"/>
    <w:basedOn w:val="Normal"/>
    <w:rsid w:val="007616BB"/>
    <w:pPr>
      <w:numPr>
        <w:ilvl w:val="4"/>
        <w:numId w:val="18"/>
      </w:numPr>
      <w:spacing w:after="240"/>
      <w:outlineLvl w:val="4"/>
    </w:pPr>
  </w:style>
  <w:style w:type="paragraph" w:styleId="DzMetin">
    <w:name w:val="Plain Text"/>
    <w:basedOn w:val="Normal"/>
    <w:link w:val="DzMetinChar"/>
    <w:uiPriority w:val="99"/>
    <w:unhideWhenUsed/>
    <w:rsid w:val="00D14ECD"/>
    <w:rPr>
      <w:rFonts w:ascii="Calibri" w:eastAsiaTheme="minorHAnsi" w:hAnsi="Calibri"/>
      <w:sz w:val="22"/>
      <w:szCs w:val="22"/>
    </w:rPr>
  </w:style>
  <w:style w:type="character" w:customStyle="1" w:styleId="DzMetinChar">
    <w:name w:val="Düz Metin Char"/>
    <w:basedOn w:val="VarsaylanParagrafYazTipi"/>
    <w:link w:val="DzMetin"/>
    <w:uiPriority w:val="99"/>
    <w:rsid w:val="00D14ECD"/>
    <w:rPr>
      <w:rFonts w:ascii="Calibri" w:hAnsi="Calibri" w:cs="Times New Roman"/>
    </w:rPr>
  </w:style>
  <w:style w:type="character" w:customStyle="1" w:styleId="tgc">
    <w:name w:val="_tgc"/>
    <w:basedOn w:val="VarsaylanParagrafYazTipi"/>
    <w:rsid w:val="00C91415"/>
  </w:style>
  <w:style w:type="numbering" w:customStyle="1" w:styleId="NoList1">
    <w:name w:val="No List1"/>
    <w:next w:val="ListeYok"/>
    <w:uiPriority w:val="99"/>
    <w:semiHidden/>
    <w:unhideWhenUsed/>
    <w:rsid w:val="00747261"/>
  </w:style>
  <w:style w:type="numbering" w:customStyle="1" w:styleId="NoList11">
    <w:name w:val="No List11"/>
    <w:next w:val="ListeYok"/>
    <w:uiPriority w:val="99"/>
    <w:semiHidden/>
    <w:unhideWhenUsed/>
    <w:rsid w:val="00747261"/>
  </w:style>
  <w:style w:type="table" w:customStyle="1" w:styleId="TableGrid1">
    <w:name w:val="Table Grid1"/>
    <w:basedOn w:val="NormalTablo"/>
    <w:next w:val="TabloKlavuzu"/>
    <w:uiPriority w:val="39"/>
    <w:rsid w:val="0074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ListeYok"/>
    <w:uiPriority w:val="99"/>
    <w:semiHidden/>
    <w:unhideWhenUsed/>
    <w:rsid w:val="00747261"/>
  </w:style>
  <w:style w:type="paragraph" w:customStyle="1" w:styleId="xl65">
    <w:name w:val="xl65"/>
    <w:basedOn w:val="Normal"/>
    <w:rsid w:val="00747261"/>
    <w:pPr>
      <w:shd w:val="clear" w:color="FFFFFF" w:fill="FFFFFF"/>
      <w:spacing w:before="100" w:beforeAutospacing="1" w:after="100" w:afterAutospacing="1"/>
    </w:pPr>
    <w:rPr>
      <w:color w:val="333333"/>
      <w:sz w:val="18"/>
      <w:szCs w:val="18"/>
    </w:rPr>
  </w:style>
  <w:style w:type="paragraph" w:customStyle="1" w:styleId="xl66">
    <w:name w:val="xl66"/>
    <w:basedOn w:val="Normal"/>
    <w:rsid w:val="00747261"/>
    <w:pPr>
      <w:shd w:val="clear" w:color="FFFFFF" w:fill="FFFFFF"/>
      <w:spacing w:before="100" w:beforeAutospacing="1" w:after="100" w:afterAutospacing="1"/>
      <w:textAlignment w:val="center"/>
    </w:pPr>
    <w:rPr>
      <w:b/>
      <w:bCs/>
      <w:color w:val="000000"/>
      <w:sz w:val="18"/>
      <w:szCs w:val="18"/>
    </w:rPr>
  </w:style>
  <w:style w:type="paragraph" w:customStyle="1" w:styleId="xl67">
    <w:name w:val="xl67"/>
    <w:basedOn w:val="Normal"/>
    <w:rsid w:val="00747261"/>
    <w:pPr>
      <w:shd w:val="clear" w:color="FFFFFF" w:fill="FFFFFF"/>
      <w:spacing w:before="100" w:beforeAutospacing="1" w:after="100" w:afterAutospacing="1"/>
      <w:jc w:val="center"/>
      <w:textAlignment w:val="center"/>
    </w:pPr>
    <w:rPr>
      <w:b/>
      <w:bCs/>
      <w:color w:val="000000"/>
      <w:sz w:val="18"/>
      <w:szCs w:val="18"/>
      <w:u w:val="single"/>
    </w:rPr>
  </w:style>
  <w:style w:type="paragraph" w:customStyle="1" w:styleId="xl68">
    <w:name w:val="xl68"/>
    <w:basedOn w:val="Normal"/>
    <w:rsid w:val="00747261"/>
    <w:pPr>
      <w:pBdr>
        <w:bottom w:val="double" w:sz="6" w:space="0" w:color="000000"/>
      </w:pBdr>
      <w:shd w:val="clear" w:color="FFFFFF" w:fill="FFFFFF"/>
      <w:spacing w:before="100" w:beforeAutospacing="1" w:after="100" w:afterAutospacing="1"/>
    </w:pPr>
    <w:rPr>
      <w:b/>
      <w:bCs/>
      <w:color w:val="000000"/>
      <w:sz w:val="18"/>
      <w:szCs w:val="18"/>
    </w:rPr>
  </w:style>
  <w:style w:type="paragraph" w:customStyle="1" w:styleId="xl69">
    <w:name w:val="xl69"/>
    <w:basedOn w:val="Normal"/>
    <w:rsid w:val="00747261"/>
    <w:pPr>
      <w:pBdr>
        <w:bottom w:val="double" w:sz="6" w:space="0" w:color="000000"/>
      </w:pBdr>
      <w:shd w:val="clear" w:color="FFFFFF" w:fill="FFFFFF"/>
      <w:spacing w:before="100" w:beforeAutospacing="1" w:after="100" w:afterAutospacing="1"/>
    </w:pPr>
    <w:rPr>
      <w:b/>
      <w:bCs/>
      <w:color w:val="000000"/>
      <w:sz w:val="18"/>
      <w:szCs w:val="18"/>
    </w:rPr>
  </w:style>
  <w:style w:type="paragraph" w:customStyle="1" w:styleId="xl70">
    <w:name w:val="xl70"/>
    <w:basedOn w:val="Normal"/>
    <w:rsid w:val="00747261"/>
    <w:pPr>
      <w:pBdr>
        <w:bottom w:val="double" w:sz="6" w:space="0" w:color="000000"/>
      </w:pBdr>
      <w:shd w:val="clear" w:color="FFFFFF" w:fill="FFFFFF"/>
      <w:spacing w:before="100" w:beforeAutospacing="1" w:after="100" w:afterAutospacing="1"/>
      <w:textAlignment w:val="center"/>
    </w:pPr>
    <w:rPr>
      <w:b/>
      <w:bCs/>
      <w:color w:val="000000"/>
      <w:sz w:val="18"/>
      <w:szCs w:val="18"/>
    </w:rPr>
  </w:style>
  <w:style w:type="paragraph" w:customStyle="1" w:styleId="xl71">
    <w:name w:val="xl71"/>
    <w:basedOn w:val="Normal"/>
    <w:rsid w:val="00747261"/>
    <w:pPr>
      <w:shd w:val="clear" w:color="FFFFFF" w:fill="FFFFFF"/>
      <w:spacing w:before="100" w:beforeAutospacing="1" w:after="100" w:afterAutospacing="1"/>
    </w:pPr>
    <w:rPr>
      <w:color w:val="000000"/>
      <w:sz w:val="18"/>
      <w:szCs w:val="18"/>
    </w:rPr>
  </w:style>
  <w:style w:type="paragraph" w:customStyle="1" w:styleId="xl72">
    <w:name w:val="xl72"/>
    <w:basedOn w:val="Normal"/>
    <w:rsid w:val="00747261"/>
    <w:pPr>
      <w:shd w:val="clear" w:color="FFFFFF" w:fill="FFFFFF"/>
      <w:spacing w:before="100" w:beforeAutospacing="1" w:after="100" w:afterAutospacing="1"/>
      <w:jc w:val="right"/>
    </w:pPr>
    <w:rPr>
      <w:color w:val="000000"/>
      <w:sz w:val="18"/>
      <w:szCs w:val="18"/>
    </w:rPr>
  </w:style>
  <w:style w:type="paragraph" w:customStyle="1" w:styleId="xl73">
    <w:name w:val="xl73"/>
    <w:basedOn w:val="Normal"/>
    <w:rsid w:val="00747261"/>
    <w:pPr>
      <w:shd w:val="clear" w:color="FFFFFF" w:fill="FFFFFF"/>
      <w:spacing w:before="100" w:beforeAutospacing="1" w:after="100" w:afterAutospacing="1"/>
      <w:textAlignment w:val="center"/>
    </w:pPr>
    <w:rPr>
      <w:color w:val="333333"/>
      <w:sz w:val="18"/>
      <w:szCs w:val="18"/>
    </w:rPr>
  </w:style>
  <w:style w:type="paragraph" w:customStyle="1" w:styleId="xl74">
    <w:name w:val="xl74"/>
    <w:basedOn w:val="Normal"/>
    <w:rsid w:val="00747261"/>
    <w:pPr>
      <w:pBdr>
        <w:top w:val="single" w:sz="4" w:space="0" w:color="000000"/>
        <w:bottom w:val="single" w:sz="12" w:space="0" w:color="000000"/>
      </w:pBdr>
      <w:shd w:val="clear" w:color="FFFFFF" w:fill="FFFFFF"/>
      <w:spacing w:before="100" w:beforeAutospacing="1" w:after="100" w:afterAutospacing="1"/>
      <w:jc w:val="right"/>
    </w:pPr>
    <w:rPr>
      <w:b/>
      <w:bCs/>
      <w:color w:val="000000"/>
      <w:sz w:val="18"/>
      <w:szCs w:val="18"/>
    </w:rPr>
  </w:style>
  <w:style w:type="paragraph" w:customStyle="1" w:styleId="xl75">
    <w:name w:val="xl75"/>
    <w:basedOn w:val="Normal"/>
    <w:rsid w:val="00747261"/>
    <w:pPr>
      <w:pBdr>
        <w:top w:val="single" w:sz="4" w:space="0" w:color="000000"/>
        <w:bottom w:val="single" w:sz="12" w:space="0" w:color="000000"/>
      </w:pBdr>
      <w:shd w:val="clear" w:color="FFFFFF" w:fill="FFFFFF"/>
      <w:spacing w:before="100" w:beforeAutospacing="1" w:after="100" w:afterAutospacing="1"/>
      <w:textAlignment w:val="center"/>
    </w:pPr>
    <w:rPr>
      <w:b/>
      <w:bCs/>
      <w:color w:val="333333"/>
      <w:sz w:val="18"/>
      <w:szCs w:val="18"/>
    </w:rPr>
  </w:style>
  <w:style w:type="paragraph" w:customStyle="1" w:styleId="xl76">
    <w:name w:val="xl76"/>
    <w:basedOn w:val="Normal"/>
    <w:rsid w:val="00747261"/>
    <w:pPr>
      <w:pBdr>
        <w:bottom w:val="double" w:sz="6" w:space="0" w:color="000000"/>
      </w:pBdr>
      <w:shd w:val="clear" w:color="FFFFFF" w:fill="FFFFFF"/>
      <w:spacing w:before="100" w:beforeAutospacing="1" w:after="100" w:afterAutospacing="1"/>
    </w:pPr>
    <w:rPr>
      <w:b/>
      <w:bCs/>
      <w:color w:val="000000"/>
      <w:sz w:val="18"/>
      <w:szCs w:val="18"/>
    </w:rPr>
  </w:style>
  <w:style w:type="paragraph" w:customStyle="1" w:styleId="xl77">
    <w:name w:val="xl77"/>
    <w:basedOn w:val="Normal"/>
    <w:rsid w:val="00747261"/>
    <w:pPr>
      <w:pBdr>
        <w:bottom w:val="single" w:sz="4" w:space="0" w:color="000000"/>
      </w:pBdr>
      <w:shd w:val="clear" w:color="FFFFFF" w:fill="FFFFFF"/>
      <w:spacing w:before="100" w:beforeAutospacing="1" w:after="100" w:afterAutospacing="1"/>
      <w:jc w:val="center"/>
    </w:pPr>
    <w:rPr>
      <w:b/>
      <w:bCs/>
      <w:color w:val="000000"/>
      <w:sz w:val="18"/>
      <w:szCs w:val="18"/>
      <w:u w:val="single"/>
    </w:rPr>
  </w:style>
  <w:style w:type="paragraph" w:customStyle="1" w:styleId="xl78">
    <w:name w:val="xl78"/>
    <w:basedOn w:val="Normal"/>
    <w:rsid w:val="00747261"/>
    <w:pPr>
      <w:pBdr>
        <w:top w:val="single" w:sz="4" w:space="0" w:color="000000"/>
        <w:bottom w:val="single" w:sz="12" w:space="0" w:color="000000"/>
      </w:pBdr>
      <w:shd w:val="clear" w:color="FFFFFF" w:fill="FFFFFF"/>
      <w:spacing w:before="100" w:beforeAutospacing="1" w:after="100" w:afterAutospacing="1"/>
    </w:pPr>
    <w:rPr>
      <w:b/>
      <w:bCs/>
      <w:color w:val="000000"/>
      <w:sz w:val="18"/>
      <w:szCs w:val="18"/>
    </w:rPr>
  </w:style>
  <w:style w:type="paragraph" w:customStyle="1" w:styleId="msonormal0">
    <w:name w:val="msonormal"/>
    <w:basedOn w:val="Normal"/>
    <w:rsid w:val="008D31D4"/>
    <w:pPr>
      <w:spacing w:before="100" w:beforeAutospacing="1" w:after="100" w:afterAutospacing="1"/>
    </w:pPr>
  </w:style>
  <w:style w:type="paragraph" w:customStyle="1" w:styleId="xl79">
    <w:name w:val="xl79"/>
    <w:basedOn w:val="Normal"/>
    <w:rsid w:val="008D31D4"/>
    <w:pPr>
      <w:pBdr>
        <w:bottom w:val="double" w:sz="6" w:space="0" w:color="auto"/>
      </w:pBdr>
      <w:shd w:val="clear" w:color="000000" w:fill="C0C0C0"/>
      <w:spacing w:before="100" w:beforeAutospacing="1" w:after="100" w:afterAutospacing="1"/>
      <w:textAlignment w:val="center"/>
    </w:pPr>
    <w:rPr>
      <w:rFonts w:ascii="Calibri" w:hAnsi="Calibri" w:cs="Calibri"/>
      <w:b/>
      <w:bCs/>
      <w:sz w:val="16"/>
      <w:szCs w:val="16"/>
    </w:rPr>
  </w:style>
  <w:style w:type="paragraph" w:customStyle="1" w:styleId="xl80">
    <w:name w:val="xl80"/>
    <w:basedOn w:val="Normal"/>
    <w:rsid w:val="008D31D4"/>
    <w:pPr>
      <w:pBdr>
        <w:top w:val="double" w:sz="6" w:space="0" w:color="auto"/>
        <w:left w:val="single" w:sz="4" w:space="0" w:color="auto"/>
        <w:bottom w:val="single" w:sz="8" w:space="0" w:color="auto"/>
      </w:pBdr>
      <w:spacing w:before="100" w:beforeAutospacing="1" w:after="100" w:afterAutospacing="1"/>
      <w:jc w:val="center"/>
    </w:pPr>
    <w:rPr>
      <w:rFonts w:ascii="Calibri" w:hAnsi="Calibri" w:cs="Calibri"/>
      <w:b/>
      <w:bCs/>
      <w:u w:val="single"/>
    </w:rPr>
  </w:style>
  <w:style w:type="paragraph" w:customStyle="1" w:styleId="xl81">
    <w:name w:val="xl81"/>
    <w:basedOn w:val="Normal"/>
    <w:rsid w:val="008D31D4"/>
    <w:pPr>
      <w:pBdr>
        <w:top w:val="double" w:sz="6" w:space="0" w:color="auto"/>
        <w:bottom w:val="single" w:sz="8" w:space="0" w:color="auto"/>
      </w:pBdr>
      <w:spacing w:before="100" w:beforeAutospacing="1" w:after="100" w:afterAutospacing="1"/>
      <w:jc w:val="center"/>
    </w:pPr>
    <w:rPr>
      <w:rFonts w:ascii="Calibri" w:hAnsi="Calibri" w:cs="Calibri"/>
      <w:b/>
      <w:bCs/>
      <w:u w:val="single"/>
    </w:rPr>
  </w:style>
  <w:style w:type="paragraph" w:customStyle="1" w:styleId="xl82">
    <w:name w:val="xl82"/>
    <w:basedOn w:val="Normal"/>
    <w:rsid w:val="008D31D4"/>
    <w:pPr>
      <w:pBdr>
        <w:top w:val="double" w:sz="6" w:space="0" w:color="auto"/>
        <w:bottom w:val="single" w:sz="8" w:space="0" w:color="auto"/>
        <w:right w:val="single" w:sz="4" w:space="0" w:color="auto"/>
      </w:pBdr>
      <w:spacing w:before="100" w:beforeAutospacing="1" w:after="100" w:afterAutospacing="1"/>
      <w:jc w:val="center"/>
    </w:pPr>
    <w:rPr>
      <w:rFonts w:ascii="Calibri" w:hAnsi="Calibri" w:cs="Calibri"/>
      <w:b/>
      <w:bCs/>
      <w:u w:val="single"/>
    </w:rPr>
  </w:style>
  <w:style w:type="paragraph" w:customStyle="1" w:styleId="xl83">
    <w:name w:val="xl83"/>
    <w:basedOn w:val="Normal"/>
    <w:rsid w:val="008D31D4"/>
    <w:pPr>
      <w:pBdr>
        <w:top w:val="single" w:sz="8"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84">
    <w:name w:val="xl84"/>
    <w:basedOn w:val="Normal"/>
    <w:rsid w:val="008D31D4"/>
    <w:pPr>
      <w:pBdr>
        <w:bottom w:val="single" w:sz="8"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85">
    <w:name w:val="xl85"/>
    <w:basedOn w:val="Normal"/>
    <w:rsid w:val="008D31D4"/>
    <w:pPr>
      <w:pBdr>
        <w:top w:val="single" w:sz="8"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86">
    <w:name w:val="xl86"/>
    <w:basedOn w:val="Normal"/>
    <w:rsid w:val="008D31D4"/>
    <w:pPr>
      <w:pBdr>
        <w:bottom w:val="single" w:sz="8" w:space="0" w:color="auto"/>
      </w:pBdr>
      <w:spacing w:before="100" w:beforeAutospacing="1" w:after="100" w:afterAutospacing="1"/>
      <w:jc w:val="center"/>
      <w:textAlignment w:val="center"/>
    </w:pPr>
    <w:rPr>
      <w:rFonts w:ascii="Calibri" w:hAnsi="Calibri" w:cs="Calibri"/>
      <w:b/>
      <w:bCs/>
      <w:sz w:val="16"/>
      <w:szCs w:val="16"/>
    </w:rPr>
  </w:style>
  <w:style w:type="numbering" w:customStyle="1" w:styleId="NoList3">
    <w:name w:val="No List3"/>
    <w:next w:val="ListeYok"/>
    <w:uiPriority w:val="99"/>
    <w:semiHidden/>
    <w:unhideWhenUsed/>
    <w:rsid w:val="00F16E72"/>
  </w:style>
  <w:style w:type="table" w:customStyle="1" w:styleId="TableGrid21">
    <w:name w:val="Table Grid21"/>
    <w:basedOn w:val="NormalTablo"/>
    <w:next w:val="TabloKlavuzu"/>
    <w:uiPriority w:val="59"/>
    <w:rsid w:val="00F16E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Tablo"/>
    <w:next w:val="TabloKlavuzu"/>
    <w:uiPriority w:val="59"/>
    <w:rsid w:val="00F16E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Tablo"/>
    <w:next w:val="TabloKlavuzu"/>
    <w:uiPriority w:val="59"/>
    <w:rsid w:val="00F16E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1">
    <w:name w:val="Table Grid_mod1"/>
    <w:basedOn w:val="NormalTablo"/>
    <w:next w:val="TabloKlavuzu"/>
    <w:uiPriority w:val="39"/>
    <w:rsid w:val="00F1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NormalTablo"/>
    <w:next w:val="TabloKlavuzuAk"/>
    <w:uiPriority w:val="40"/>
    <w:rsid w:val="00F16E72"/>
    <w:pPr>
      <w:spacing w:after="0" w:line="240" w:lineRule="auto"/>
    </w:pPr>
    <w:rPr>
      <w:rFonts w:ascii="Times New Roman" w:eastAsia="Times New Roman" w:hAnsi="Times New Roman" w:cs="Times New Roman"/>
      <w:spacing w:val="-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NormalTablo"/>
    <w:next w:val="DzTablo5"/>
    <w:uiPriority w:val="45"/>
    <w:rsid w:val="00F16E72"/>
    <w:pPr>
      <w:spacing w:after="0" w:line="240" w:lineRule="auto"/>
    </w:pPr>
    <w:rPr>
      <w:rFonts w:ascii="Times New Roman" w:eastAsia="Times New Roman" w:hAnsi="Times New Roman" w:cs="Times New Roman"/>
      <w:spacing w:val="-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NormalTablo"/>
    <w:next w:val="DzTablo2"/>
    <w:uiPriority w:val="42"/>
    <w:rsid w:val="00F16E7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
    <w:name w:val="Grid Table 4 - Accent 11"/>
    <w:basedOn w:val="NormalTablo"/>
    <w:next w:val="KlavuzuTablo4-Vurgu1"/>
    <w:uiPriority w:val="49"/>
    <w:rsid w:val="00F16E72"/>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311">
    <w:name w:val="Plain Table 311"/>
    <w:basedOn w:val="NormalTablo"/>
    <w:uiPriority w:val="43"/>
    <w:rsid w:val="00F16E72"/>
    <w:pPr>
      <w:spacing w:after="0" w:line="240" w:lineRule="auto"/>
    </w:pPr>
    <w:rPr>
      <w:rFonts w:ascii="Times New Roman" w:hAnsi="Times New Roman"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2-Accent31">
    <w:name w:val="List Table 2 - Accent 31"/>
    <w:basedOn w:val="NormalTablo"/>
    <w:next w:val="ListeTablo2-Vurgu3"/>
    <w:uiPriority w:val="47"/>
    <w:rsid w:val="00F16E72"/>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NormalTablo"/>
    <w:next w:val="DzTablo4"/>
    <w:uiPriority w:val="44"/>
    <w:rsid w:val="00F16E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NormalTablo"/>
    <w:next w:val="KlavuzTablo5Koyu-Vurgu5"/>
    <w:uiPriority w:val="50"/>
    <w:rsid w:val="00F16E7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51">
    <w:name w:val="List Table 7 Colorful - Accent 51"/>
    <w:basedOn w:val="NormalTablo"/>
    <w:next w:val="ListeTablo7Renkli-Vurgu5"/>
    <w:uiPriority w:val="52"/>
    <w:rsid w:val="00F16E72"/>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31">
    <w:name w:val="List Table 6 Colorful - Accent 31"/>
    <w:basedOn w:val="NormalTablo"/>
    <w:next w:val="ListeTablo6Renkli-Vurgu3"/>
    <w:uiPriority w:val="51"/>
    <w:rsid w:val="00F16E72"/>
    <w:pPr>
      <w:spacing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3-Accent11">
    <w:name w:val="Grid Table 3 - Accent 11"/>
    <w:basedOn w:val="NormalTablo"/>
    <w:next w:val="KlavuzTablo3-Vurgu1"/>
    <w:uiPriority w:val="48"/>
    <w:rsid w:val="00F16E72"/>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numbering" w:customStyle="1" w:styleId="ImportedStyle21">
    <w:name w:val="Imported Style 21"/>
    <w:rsid w:val="00F16E72"/>
  </w:style>
  <w:style w:type="numbering" w:customStyle="1" w:styleId="ImportedStyle31">
    <w:name w:val="Imported Style 31"/>
    <w:rsid w:val="00F16E72"/>
  </w:style>
  <w:style w:type="numbering" w:customStyle="1" w:styleId="ImportedStyle41">
    <w:name w:val="Imported Style 41"/>
    <w:rsid w:val="00F16E72"/>
  </w:style>
  <w:style w:type="numbering" w:customStyle="1" w:styleId="ImportedStyle71">
    <w:name w:val="Imported Style 71"/>
    <w:rsid w:val="00F16E72"/>
  </w:style>
  <w:style w:type="numbering" w:customStyle="1" w:styleId="ImportedStyle81">
    <w:name w:val="Imported Style 81"/>
    <w:rsid w:val="00F16E72"/>
  </w:style>
  <w:style w:type="numbering" w:customStyle="1" w:styleId="ImportedStyle91">
    <w:name w:val="Imported Style 91"/>
    <w:rsid w:val="00F16E72"/>
  </w:style>
  <w:style w:type="numbering" w:customStyle="1" w:styleId="ImportedStyle111">
    <w:name w:val="Imported Style 111"/>
    <w:rsid w:val="00F16E72"/>
  </w:style>
  <w:style w:type="numbering" w:customStyle="1" w:styleId="ImportedStyle201">
    <w:name w:val="Imported Style 2.01"/>
    <w:rsid w:val="00F16E72"/>
  </w:style>
  <w:style w:type="numbering" w:customStyle="1" w:styleId="ImportedStyle301">
    <w:name w:val="Imported Style 3.01"/>
    <w:rsid w:val="00F16E72"/>
  </w:style>
  <w:style w:type="numbering" w:customStyle="1" w:styleId="NoList12">
    <w:name w:val="No List12"/>
    <w:next w:val="ListeYok"/>
    <w:uiPriority w:val="99"/>
    <w:semiHidden/>
    <w:unhideWhenUsed/>
    <w:rsid w:val="00F16E72"/>
  </w:style>
  <w:style w:type="numbering" w:customStyle="1" w:styleId="NoList111">
    <w:name w:val="No List111"/>
    <w:next w:val="ListeYok"/>
    <w:uiPriority w:val="99"/>
    <w:semiHidden/>
    <w:unhideWhenUsed/>
    <w:rsid w:val="00F16E72"/>
  </w:style>
  <w:style w:type="table" w:customStyle="1" w:styleId="TableGrid11">
    <w:name w:val="Table Grid11"/>
    <w:basedOn w:val="NormalTablo"/>
    <w:next w:val="TabloKlavuzu"/>
    <w:uiPriority w:val="39"/>
    <w:rsid w:val="00F1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ListeYok"/>
    <w:uiPriority w:val="99"/>
    <w:semiHidden/>
    <w:unhideWhenUsed/>
    <w:rsid w:val="00F16E72"/>
  </w:style>
  <w:style w:type="table" w:customStyle="1" w:styleId="TableNormal1">
    <w:name w:val="Table Normal1"/>
    <w:uiPriority w:val="2"/>
    <w:semiHidden/>
    <w:unhideWhenUsed/>
    <w:qFormat/>
    <w:rsid w:val="00B3412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125"/>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4091">
      <w:bodyDiv w:val="1"/>
      <w:marLeft w:val="0"/>
      <w:marRight w:val="0"/>
      <w:marTop w:val="0"/>
      <w:marBottom w:val="0"/>
      <w:divBdr>
        <w:top w:val="none" w:sz="0" w:space="0" w:color="auto"/>
        <w:left w:val="none" w:sz="0" w:space="0" w:color="auto"/>
        <w:bottom w:val="none" w:sz="0" w:space="0" w:color="auto"/>
        <w:right w:val="none" w:sz="0" w:space="0" w:color="auto"/>
      </w:divBdr>
    </w:div>
    <w:div w:id="82727117">
      <w:bodyDiv w:val="1"/>
      <w:marLeft w:val="0"/>
      <w:marRight w:val="0"/>
      <w:marTop w:val="0"/>
      <w:marBottom w:val="0"/>
      <w:divBdr>
        <w:top w:val="none" w:sz="0" w:space="0" w:color="auto"/>
        <w:left w:val="none" w:sz="0" w:space="0" w:color="auto"/>
        <w:bottom w:val="none" w:sz="0" w:space="0" w:color="auto"/>
        <w:right w:val="none" w:sz="0" w:space="0" w:color="auto"/>
      </w:divBdr>
    </w:div>
    <w:div w:id="86275621">
      <w:bodyDiv w:val="1"/>
      <w:marLeft w:val="0"/>
      <w:marRight w:val="0"/>
      <w:marTop w:val="0"/>
      <w:marBottom w:val="0"/>
      <w:divBdr>
        <w:top w:val="none" w:sz="0" w:space="0" w:color="auto"/>
        <w:left w:val="none" w:sz="0" w:space="0" w:color="auto"/>
        <w:bottom w:val="none" w:sz="0" w:space="0" w:color="auto"/>
        <w:right w:val="none" w:sz="0" w:space="0" w:color="auto"/>
      </w:divBdr>
    </w:div>
    <w:div w:id="103573978">
      <w:bodyDiv w:val="1"/>
      <w:marLeft w:val="0"/>
      <w:marRight w:val="0"/>
      <w:marTop w:val="0"/>
      <w:marBottom w:val="0"/>
      <w:divBdr>
        <w:top w:val="none" w:sz="0" w:space="0" w:color="auto"/>
        <w:left w:val="none" w:sz="0" w:space="0" w:color="auto"/>
        <w:bottom w:val="none" w:sz="0" w:space="0" w:color="auto"/>
        <w:right w:val="none" w:sz="0" w:space="0" w:color="auto"/>
      </w:divBdr>
    </w:div>
    <w:div w:id="103615209">
      <w:bodyDiv w:val="1"/>
      <w:marLeft w:val="0"/>
      <w:marRight w:val="0"/>
      <w:marTop w:val="0"/>
      <w:marBottom w:val="0"/>
      <w:divBdr>
        <w:top w:val="none" w:sz="0" w:space="0" w:color="auto"/>
        <w:left w:val="none" w:sz="0" w:space="0" w:color="auto"/>
        <w:bottom w:val="none" w:sz="0" w:space="0" w:color="auto"/>
        <w:right w:val="none" w:sz="0" w:space="0" w:color="auto"/>
      </w:divBdr>
    </w:div>
    <w:div w:id="118693960">
      <w:bodyDiv w:val="1"/>
      <w:marLeft w:val="0"/>
      <w:marRight w:val="0"/>
      <w:marTop w:val="0"/>
      <w:marBottom w:val="0"/>
      <w:divBdr>
        <w:top w:val="none" w:sz="0" w:space="0" w:color="auto"/>
        <w:left w:val="none" w:sz="0" w:space="0" w:color="auto"/>
        <w:bottom w:val="none" w:sz="0" w:space="0" w:color="auto"/>
        <w:right w:val="none" w:sz="0" w:space="0" w:color="auto"/>
      </w:divBdr>
    </w:div>
    <w:div w:id="137458152">
      <w:bodyDiv w:val="1"/>
      <w:marLeft w:val="0"/>
      <w:marRight w:val="0"/>
      <w:marTop w:val="0"/>
      <w:marBottom w:val="0"/>
      <w:divBdr>
        <w:top w:val="none" w:sz="0" w:space="0" w:color="auto"/>
        <w:left w:val="none" w:sz="0" w:space="0" w:color="auto"/>
        <w:bottom w:val="none" w:sz="0" w:space="0" w:color="auto"/>
        <w:right w:val="none" w:sz="0" w:space="0" w:color="auto"/>
      </w:divBdr>
    </w:div>
    <w:div w:id="153305010">
      <w:bodyDiv w:val="1"/>
      <w:marLeft w:val="0"/>
      <w:marRight w:val="0"/>
      <w:marTop w:val="0"/>
      <w:marBottom w:val="0"/>
      <w:divBdr>
        <w:top w:val="none" w:sz="0" w:space="0" w:color="auto"/>
        <w:left w:val="none" w:sz="0" w:space="0" w:color="auto"/>
        <w:bottom w:val="none" w:sz="0" w:space="0" w:color="auto"/>
        <w:right w:val="none" w:sz="0" w:space="0" w:color="auto"/>
      </w:divBdr>
    </w:div>
    <w:div w:id="161239464">
      <w:bodyDiv w:val="1"/>
      <w:marLeft w:val="0"/>
      <w:marRight w:val="0"/>
      <w:marTop w:val="0"/>
      <w:marBottom w:val="0"/>
      <w:divBdr>
        <w:top w:val="none" w:sz="0" w:space="0" w:color="auto"/>
        <w:left w:val="none" w:sz="0" w:space="0" w:color="auto"/>
        <w:bottom w:val="none" w:sz="0" w:space="0" w:color="auto"/>
        <w:right w:val="none" w:sz="0" w:space="0" w:color="auto"/>
      </w:divBdr>
    </w:div>
    <w:div w:id="202400241">
      <w:bodyDiv w:val="1"/>
      <w:marLeft w:val="0"/>
      <w:marRight w:val="0"/>
      <w:marTop w:val="0"/>
      <w:marBottom w:val="0"/>
      <w:divBdr>
        <w:top w:val="none" w:sz="0" w:space="0" w:color="auto"/>
        <w:left w:val="none" w:sz="0" w:space="0" w:color="auto"/>
        <w:bottom w:val="none" w:sz="0" w:space="0" w:color="auto"/>
        <w:right w:val="none" w:sz="0" w:space="0" w:color="auto"/>
      </w:divBdr>
    </w:div>
    <w:div w:id="202979939">
      <w:bodyDiv w:val="1"/>
      <w:marLeft w:val="0"/>
      <w:marRight w:val="0"/>
      <w:marTop w:val="0"/>
      <w:marBottom w:val="0"/>
      <w:divBdr>
        <w:top w:val="none" w:sz="0" w:space="0" w:color="auto"/>
        <w:left w:val="none" w:sz="0" w:space="0" w:color="auto"/>
        <w:bottom w:val="none" w:sz="0" w:space="0" w:color="auto"/>
        <w:right w:val="none" w:sz="0" w:space="0" w:color="auto"/>
      </w:divBdr>
    </w:div>
    <w:div w:id="220213138">
      <w:bodyDiv w:val="1"/>
      <w:marLeft w:val="0"/>
      <w:marRight w:val="0"/>
      <w:marTop w:val="0"/>
      <w:marBottom w:val="0"/>
      <w:divBdr>
        <w:top w:val="none" w:sz="0" w:space="0" w:color="auto"/>
        <w:left w:val="none" w:sz="0" w:space="0" w:color="auto"/>
        <w:bottom w:val="none" w:sz="0" w:space="0" w:color="auto"/>
        <w:right w:val="none" w:sz="0" w:space="0" w:color="auto"/>
      </w:divBdr>
      <w:divsChild>
        <w:div w:id="11421592">
          <w:marLeft w:val="720"/>
          <w:marRight w:val="0"/>
          <w:marTop w:val="0"/>
          <w:marBottom w:val="0"/>
          <w:divBdr>
            <w:top w:val="none" w:sz="0" w:space="0" w:color="auto"/>
            <w:left w:val="none" w:sz="0" w:space="0" w:color="auto"/>
            <w:bottom w:val="none" w:sz="0" w:space="0" w:color="auto"/>
            <w:right w:val="none" w:sz="0" w:space="0" w:color="auto"/>
          </w:divBdr>
        </w:div>
        <w:div w:id="561060950">
          <w:marLeft w:val="720"/>
          <w:marRight w:val="0"/>
          <w:marTop w:val="0"/>
          <w:marBottom w:val="0"/>
          <w:divBdr>
            <w:top w:val="none" w:sz="0" w:space="0" w:color="auto"/>
            <w:left w:val="none" w:sz="0" w:space="0" w:color="auto"/>
            <w:bottom w:val="none" w:sz="0" w:space="0" w:color="auto"/>
            <w:right w:val="none" w:sz="0" w:space="0" w:color="auto"/>
          </w:divBdr>
        </w:div>
        <w:div w:id="919094187">
          <w:marLeft w:val="720"/>
          <w:marRight w:val="0"/>
          <w:marTop w:val="0"/>
          <w:marBottom w:val="0"/>
          <w:divBdr>
            <w:top w:val="none" w:sz="0" w:space="0" w:color="auto"/>
            <w:left w:val="none" w:sz="0" w:space="0" w:color="auto"/>
            <w:bottom w:val="none" w:sz="0" w:space="0" w:color="auto"/>
            <w:right w:val="none" w:sz="0" w:space="0" w:color="auto"/>
          </w:divBdr>
        </w:div>
        <w:div w:id="1781486251">
          <w:marLeft w:val="720"/>
          <w:marRight w:val="0"/>
          <w:marTop w:val="0"/>
          <w:marBottom w:val="0"/>
          <w:divBdr>
            <w:top w:val="none" w:sz="0" w:space="0" w:color="auto"/>
            <w:left w:val="none" w:sz="0" w:space="0" w:color="auto"/>
            <w:bottom w:val="none" w:sz="0" w:space="0" w:color="auto"/>
            <w:right w:val="none" w:sz="0" w:space="0" w:color="auto"/>
          </w:divBdr>
        </w:div>
        <w:div w:id="1829898121">
          <w:marLeft w:val="720"/>
          <w:marRight w:val="0"/>
          <w:marTop w:val="0"/>
          <w:marBottom w:val="0"/>
          <w:divBdr>
            <w:top w:val="none" w:sz="0" w:space="0" w:color="auto"/>
            <w:left w:val="none" w:sz="0" w:space="0" w:color="auto"/>
            <w:bottom w:val="none" w:sz="0" w:space="0" w:color="auto"/>
            <w:right w:val="none" w:sz="0" w:space="0" w:color="auto"/>
          </w:divBdr>
        </w:div>
      </w:divsChild>
    </w:div>
    <w:div w:id="264004721">
      <w:bodyDiv w:val="1"/>
      <w:marLeft w:val="0"/>
      <w:marRight w:val="0"/>
      <w:marTop w:val="0"/>
      <w:marBottom w:val="0"/>
      <w:divBdr>
        <w:top w:val="none" w:sz="0" w:space="0" w:color="auto"/>
        <w:left w:val="none" w:sz="0" w:space="0" w:color="auto"/>
        <w:bottom w:val="none" w:sz="0" w:space="0" w:color="auto"/>
        <w:right w:val="none" w:sz="0" w:space="0" w:color="auto"/>
      </w:divBdr>
    </w:div>
    <w:div w:id="282813459">
      <w:bodyDiv w:val="1"/>
      <w:marLeft w:val="0"/>
      <w:marRight w:val="0"/>
      <w:marTop w:val="0"/>
      <w:marBottom w:val="0"/>
      <w:divBdr>
        <w:top w:val="none" w:sz="0" w:space="0" w:color="auto"/>
        <w:left w:val="none" w:sz="0" w:space="0" w:color="auto"/>
        <w:bottom w:val="none" w:sz="0" w:space="0" w:color="auto"/>
        <w:right w:val="none" w:sz="0" w:space="0" w:color="auto"/>
      </w:divBdr>
    </w:div>
    <w:div w:id="292372737">
      <w:bodyDiv w:val="1"/>
      <w:marLeft w:val="0"/>
      <w:marRight w:val="0"/>
      <w:marTop w:val="0"/>
      <w:marBottom w:val="0"/>
      <w:divBdr>
        <w:top w:val="none" w:sz="0" w:space="0" w:color="auto"/>
        <w:left w:val="none" w:sz="0" w:space="0" w:color="auto"/>
        <w:bottom w:val="none" w:sz="0" w:space="0" w:color="auto"/>
        <w:right w:val="none" w:sz="0" w:space="0" w:color="auto"/>
      </w:divBdr>
    </w:div>
    <w:div w:id="318577515">
      <w:bodyDiv w:val="1"/>
      <w:marLeft w:val="0"/>
      <w:marRight w:val="0"/>
      <w:marTop w:val="0"/>
      <w:marBottom w:val="0"/>
      <w:divBdr>
        <w:top w:val="none" w:sz="0" w:space="0" w:color="auto"/>
        <w:left w:val="none" w:sz="0" w:space="0" w:color="auto"/>
        <w:bottom w:val="none" w:sz="0" w:space="0" w:color="auto"/>
        <w:right w:val="none" w:sz="0" w:space="0" w:color="auto"/>
      </w:divBdr>
    </w:div>
    <w:div w:id="318848467">
      <w:bodyDiv w:val="1"/>
      <w:marLeft w:val="0"/>
      <w:marRight w:val="0"/>
      <w:marTop w:val="0"/>
      <w:marBottom w:val="0"/>
      <w:divBdr>
        <w:top w:val="none" w:sz="0" w:space="0" w:color="auto"/>
        <w:left w:val="none" w:sz="0" w:space="0" w:color="auto"/>
        <w:bottom w:val="none" w:sz="0" w:space="0" w:color="auto"/>
        <w:right w:val="none" w:sz="0" w:space="0" w:color="auto"/>
      </w:divBdr>
    </w:div>
    <w:div w:id="342632270">
      <w:bodyDiv w:val="1"/>
      <w:marLeft w:val="0"/>
      <w:marRight w:val="0"/>
      <w:marTop w:val="0"/>
      <w:marBottom w:val="0"/>
      <w:divBdr>
        <w:top w:val="none" w:sz="0" w:space="0" w:color="auto"/>
        <w:left w:val="none" w:sz="0" w:space="0" w:color="auto"/>
        <w:bottom w:val="none" w:sz="0" w:space="0" w:color="auto"/>
        <w:right w:val="none" w:sz="0" w:space="0" w:color="auto"/>
      </w:divBdr>
    </w:div>
    <w:div w:id="369231999">
      <w:bodyDiv w:val="1"/>
      <w:marLeft w:val="0"/>
      <w:marRight w:val="0"/>
      <w:marTop w:val="0"/>
      <w:marBottom w:val="0"/>
      <w:divBdr>
        <w:top w:val="none" w:sz="0" w:space="0" w:color="auto"/>
        <w:left w:val="none" w:sz="0" w:space="0" w:color="auto"/>
        <w:bottom w:val="none" w:sz="0" w:space="0" w:color="auto"/>
        <w:right w:val="none" w:sz="0" w:space="0" w:color="auto"/>
      </w:divBdr>
    </w:div>
    <w:div w:id="384790976">
      <w:bodyDiv w:val="1"/>
      <w:marLeft w:val="0"/>
      <w:marRight w:val="0"/>
      <w:marTop w:val="0"/>
      <w:marBottom w:val="0"/>
      <w:divBdr>
        <w:top w:val="none" w:sz="0" w:space="0" w:color="auto"/>
        <w:left w:val="none" w:sz="0" w:space="0" w:color="auto"/>
        <w:bottom w:val="none" w:sz="0" w:space="0" w:color="auto"/>
        <w:right w:val="none" w:sz="0" w:space="0" w:color="auto"/>
      </w:divBdr>
    </w:div>
    <w:div w:id="431555094">
      <w:bodyDiv w:val="1"/>
      <w:marLeft w:val="0"/>
      <w:marRight w:val="0"/>
      <w:marTop w:val="0"/>
      <w:marBottom w:val="0"/>
      <w:divBdr>
        <w:top w:val="none" w:sz="0" w:space="0" w:color="auto"/>
        <w:left w:val="none" w:sz="0" w:space="0" w:color="auto"/>
        <w:bottom w:val="none" w:sz="0" w:space="0" w:color="auto"/>
        <w:right w:val="none" w:sz="0" w:space="0" w:color="auto"/>
      </w:divBdr>
    </w:div>
    <w:div w:id="504248433">
      <w:bodyDiv w:val="1"/>
      <w:marLeft w:val="0"/>
      <w:marRight w:val="0"/>
      <w:marTop w:val="0"/>
      <w:marBottom w:val="0"/>
      <w:divBdr>
        <w:top w:val="none" w:sz="0" w:space="0" w:color="auto"/>
        <w:left w:val="none" w:sz="0" w:space="0" w:color="auto"/>
        <w:bottom w:val="none" w:sz="0" w:space="0" w:color="auto"/>
        <w:right w:val="none" w:sz="0" w:space="0" w:color="auto"/>
      </w:divBdr>
    </w:div>
    <w:div w:id="595290758">
      <w:bodyDiv w:val="1"/>
      <w:marLeft w:val="0"/>
      <w:marRight w:val="0"/>
      <w:marTop w:val="0"/>
      <w:marBottom w:val="0"/>
      <w:divBdr>
        <w:top w:val="none" w:sz="0" w:space="0" w:color="auto"/>
        <w:left w:val="none" w:sz="0" w:space="0" w:color="auto"/>
        <w:bottom w:val="none" w:sz="0" w:space="0" w:color="auto"/>
        <w:right w:val="none" w:sz="0" w:space="0" w:color="auto"/>
      </w:divBdr>
    </w:div>
    <w:div w:id="609357977">
      <w:bodyDiv w:val="1"/>
      <w:marLeft w:val="0"/>
      <w:marRight w:val="0"/>
      <w:marTop w:val="0"/>
      <w:marBottom w:val="0"/>
      <w:divBdr>
        <w:top w:val="none" w:sz="0" w:space="0" w:color="auto"/>
        <w:left w:val="none" w:sz="0" w:space="0" w:color="auto"/>
        <w:bottom w:val="none" w:sz="0" w:space="0" w:color="auto"/>
        <w:right w:val="none" w:sz="0" w:space="0" w:color="auto"/>
      </w:divBdr>
      <w:divsChild>
        <w:div w:id="1297100484">
          <w:marLeft w:val="0"/>
          <w:marRight w:val="0"/>
          <w:marTop w:val="0"/>
          <w:marBottom w:val="0"/>
          <w:divBdr>
            <w:top w:val="none" w:sz="0" w:space="0" w:color="auto"/>
            <w:left w:val="none" w:sz="0" w:space="0" w:color="auto"/>
            <w:bottom w:val="none" w:sz="0" w:space="0" w:color="auto"/>
            <w:right w:val="none" w:sz="0" w:space="0" w:color="auto"/>
          </w:divBdr>
          <w:divsChild>
            <w:div w:id="177893522">
              <w:marLeft w:val="0"/>
              <w:marRight w:val="0"/>
              <w:marTop w:val="0"/>
              <w:marBottom w:val="0"/>
              <w:divBdr>
                <w:top w:val="none" w:sz="0" w:space="0" w:color="auto"/>
                <w:left w:val="none" w:sz="0" w:space="0" w:color="auto"/>
                <w:bottom w:val="none" w:sz="0" w:space="0" w:color="auto"/>
                <w:right w:val="none" w:sz="0" w:space="0" w:color="auto"/>
              </w:divBdr>
              <w:divsChild>
                <w:div w:id="552275122">
                  <w:marLeft w:val="0"/>
                  <w:marRight w:val="0"/>
                  <w:marTop w:val="0"/>
                  <w:marBottom w:val="0"/>
                  <w:divBdr>
                    <w:top w:val="none" w:sz="0" w:space="0" w:color="auto"/>
                    <w:left w:val="none" w:sz="0" w:space="0" w:color="auto"/>
                    <w:bottom w:val="none" w:sz="0" w:space="0" w:color="auto"/>
                    <w:right w:val="none" w:sz="0" w:space="0" w:color="auto"/>
                  </w:divBdr>
                  <w:divsChild>
                    <w:div w:id="1924681364">
                      <w:marLeft w:val="0"/>
                      <w:marRight w:val="0"/>
                      <w:marTop w:val="0"/>
                      <w:marBottom w:val="0"/>
                      <w:divBdr>
                        <w:top w:val="none" w:sz="0" w:space="0" w:color="auto"/>
                        <w:left w:val="none" w:sz="0" w:space="0" w:color="auto"/>
                        <w:bottom w:val="none" w:sz="0" w:space="0" w:color="auto"/>
                        <w:right w:val="none" w:sz="0" w:space="0" w:color="auto"/>
                      </w:divBdr>
                      <w:divsChild>
                        <w:div w:id="1766412660">
                          <w:marLeft w:val="0"/>
                          <w:marRight w:val="0"/>
                          <w:marTop w:val="0"/>
                          <w:marBottom w:val="0"/>
                          <w:divBdr>
                            <w:top w:val="none" w:sz="0" w:space="0" w:color="auto"/>
                            <w:left w:val="none" w:sz="0" w:space="0" w:color="auto"/>
                            <w:bottom w:val="none" w:sz="0" w:space="0" w:color="auto"/>
                            <w:right w:val="none" w:sz="0" w:space="0" w:color="auto"/>
                          </w:divBdr>
                          <w:divsChild>
                            <w:div w:id="1950621521">
                              <w:marLeft w:val="0"/>
                              <w:marRight w:val="0"/>
                              <w:marTop w:val="0"/>
                              <w:marBottom w:val="0"/>
                              <w:divBdr>
                                <w:top w:val="none" w:sz="0" w:space="0" w:color="auto"/>
                                <w:left w:val="none" w:sz="0" w:space="0" w:color="auto"/>
                                <w:bottom w:val="none" w:sz="0" w:space="0" w:color="auto"/>
                                <w:right w:val="none" w:sz="0" w:space="0" w:color="auto"/>
                              </w:divBdr>
                              <w:divsChild>
                                <w:div w:id="1783456664">
                                  <w:marLeft w:val="0"/>
                                  <w:marRight w:val="0"/>
                                  <w:marTop w:val="0"/>
                                  <w:marBottom w:val="0"/>
                                  <w:divBdr>
                                    <w:top w:val="none" w:sz="0" w:space="0" w:color="auto"/>
                                    <w:left w:val="none" w:sz="0" w:space="0" w:color="auto"/>
                                    <w:bottom w:val="none" w:sz="0" w:space="0" w:color="auto"/>
                                    <w:right w:val="none" w:sz="0" w:space="0" w:color="auto"/>
                                  </w:divBdr>
                                  <w:divsChild>
                                    <w:div w:id="1792431453">
                                      <w:marLeft w:val="0"/>
                                      <w:marRight w:val="0"/>
                                      <w:marTop w:val="225"/>
                                      <w:marBottom w:val="0"/>
                                      <w:divBdr>
                                        <w:top w:val="none" w:sz="0" w:space="0" w:color="auto"/>
                                        <w:left w:val="none" w:sz="0" w:space="0" w:color="auto"/>
                                        <w:bottom w:val="none" w:sz="0" w:space="0" w:color="auto"/>
                                        <w:right w:val="none" w:sz="0" w:space="0" w:color="auto"/>
                                      </w:divBdr>
                                      <w:divsChild>
                                        <w:div w:id="17972881">
                                          <w:marLeft w:val="0"/>
                                          <w:marRight w:val="0"/>
                                          <w:marTop w:val="0"/>
                                          <w:marBottom w:val="0"/>
                                          <w:divBdr>
                                            <w:top w:val="none" w:sz="0" w:space="0" w:color="auto"/>
                                            <w:left w:val="none" w:sz="0" w:space="0" w:color="auto"/>
                                            <w:bottom w:val="none" w:sz="0" w:space="0" w:color="auto"/>
                                            <w:right w:val="none" w:sz="0" w:space="0" w:color="auto"/>
                                          </w:divBdr>
                                          <w:divsChild>
                                            <w:div w:id="27335115">
                                              <w:marLeft w:val="-225"/>
                                              <w:marRight w:val="-225"/>
                                              <w:marTop w:val="0"/>
                                              <w:marBottom w:val="0"/>
                                              <w:divBdr>
                                                <w:top w:val="none" w:sz="0" w:space="0" w:color="auto"/>
                                                <w:left w:val="none" w:sz="0" w:space="0" w:color="auto"/>
                                                <w:bottom w:val="none" w:sz="0" w:space="0" w:color="auto"/>
                                                <w:right w:val="none" w:sz="0" w:space="0" w:color="auto"/>
                                              </w:divBdr>
                                              <w:divsChild>
                                                <w:div w:id="414329358">
                                                  <w:marLeft w:val="0"/>
                                                  <w:marRight w:val="0"/>
                                                  <w:marTop w:val="0"/>
                                                  <w:marBottom w:val="0"/>
                                                  <w:divBdr>
                                                    <w:top w:val="single" w:sz="6" w:space="0" w:color="E4E3E3"/>
                                                    <w:left w:val="single" w:sz="6" w:space="0" w:color="E4E3E3"/>
                                                    <w:bottom w:val="single" w:sz="6" w:space="0" w:color="E4E3E3"/>
                                                    <w:right w:val="single" w:sz="6" w:space="0" w:color="E4E3E3"/>
                                                  </w:divBdr>
                                                  <w:divsChild>
                                                    <w:div w:id="1084574212">
                                                      <w:marLeft w:val="-225"/>
                                                      <w:marRight w:val="-225"/>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sChild>
                                                            <w:div w:id="787967331">
                                                              <w:marLeft w:val="0"/>
                                                              <w:marRight w:val="0"/>
                                                              <w:marTop w:val="0"/>
                                                              <w:marBottom w:val="0"/>
                                                              <w:divBdr>
                                                                <w:top w:val="none" w:sz="0" w:space="0" w:color="auto"/>
                                                                <w:left w:val="none" w:sz="0" w:space="0" w:color="auto"/>
                                                                <w:bottom w:val="single" w:sz="6" w:space="23" w:color="DDDDDD"/>
                                                                <w:right w:val="none" w:sz="0" w:space="0" w:color="auto"/>
                                                              </w:divBdr>
                                                              <w:divsChild>
                                                                <w:div w:id="41173401">
                                                                  <w:marLeft w:val="0"/>
                                                                  <w:marRight w:val="0"/>
                                                                  <w:marTop w:val="0"/>
                                                                  <w:marBottom w:val="0"/>
                                                                  <w:divBdr>
                                                                    <w:top w:val="none" w:sz="0" w:space="0" w:color="auto"/>
                                                                    <w:left w:val="none" w:sz="0" w:space="0" w:color="auto"/>
                                                                    <w:bottom w:val="none" w:sz="0" w:space="0" w:color="auto"/>
                                                                    <w:right w:val="none" w:sz="0" w:space="0" w:color="auto"/>
                                                                  </w:divBdr>
                                                                  <w:divsChild>
                                                                    <w:div w:id="951862941">
                                                                      <w:marLeft w:val="0"/>
                                                                      <w:marRight w:val="0"/>
                                                                      <w:marTop w:val="0"/>
                                                                      <w:marBottom w:val="0"/>
                                                                      <w:divBdr>
                                                                        <w:top w:val="none" w:sz="0" w:space="0" w:color="auto"/>
                                                                        <w:left w:val="none" w:sz="0" w:space="0" w:color="auto"/>
                                                                        <w:bottom w:val="none" w:sz="0" w:space="0" w:color="auto"/>
                                                                        <w:right w:val="none" w:sz="0" w:space="0" w:color="auto"/>
                                                                      </w:divBdr>
                                                                      <w:divsChild>
                                                                        <w:div w:id="1558004055">
                                                                          <w:marLeft w:val="0"/>
                                                                          <w:marRight w:val="0"/>
                                                                          <w:marTop w:val="0"/>
                                                                          <w:marBottom w:val="0"/>
                                                                          <w:divBdr>
                                                                            <w:top w:val="none" w:sz="0" w:space="0" w:color="auto"/>
                                                                            <w:left w:val="none" w:sz="0" w:space="0" w:color="auto"/>
                                                                            <w:bottom w:val="none" w:sz="0" w:space="0" w:color="auto"/>
                                                                            <w:right w:val="none" w:sz="0" w:space="0" w:color="auto"/>
                                                                          </w:divBdr>
                                                                          <w:divsChild>
                                                                            <w:div w:id="2021196012">
                                                                              <w:marLeft w:val="0"/>
                                                                              <w:marRight w:val="0"/>
                                                                              <w:marTop w:val="0"/>
                                                                              <w:marBottom w:val="0"/>
                                                                              <w:divBdr>
                                                                                <w:top w:val="none" w:sz="0" w:space="0" w:color="auto"/>
                                                                                <w:left w:val="none" w:sz="0" w:space="0" w:color="auto"/>
                                                                                <w:bottom w:val="none" w:sz="0" w:space="0" w:color="auto"/>
                                                                                <w:right w:val="none" w:sz="0" w:space="0" w:color="auto"/>
                                                                              </w:divBdr>
                                                                              <w:divsChild>
                                                                                <w:div w:id="368998114">
                                                                                  <w:marLeft w:val="0"/>
                                                                                  <w:marRight w:val="0"/>
                                                                                  <w:marTop w:val="0"/>
                                                                                  <w:marBottom w:val="0"/>
                                                                                  <w:divBdr>
                                                                                    <w:top w:val="none" w:sz="0" w:space="0" w:color="auto"/>
                                                                                    <w:left w:val="none" w:sz="0" w:space="0" w:color="auto"/>
                                                                                    <w:bottom w:val="none" w:sz="0" w:space="0" w:color="auto"/>
                                                                                    <w:right w:val="none" w:sz="0" w:space="0" w:color="auto"/>
                                                                                  </w:divBdr>
                                                                                  <w:divsChild>
                                                                                    <w:div w:id="292564565">
                                                                                      <w:marLeft w:val="420"/>
                                                                                      <w:marRight w:val="420"/>
                                                                                      <w:marTop w:val="45"/>
                                                                                      <w:marBottom w:val="300"/>
                                                                                      <w:divBdr>
                                                                                        <w:top w:val="single" w:sz="6" w:space="0" w:color="D6D6D6"/>
                                                                                        <w:left w:val="single" w:sz="6" w:space="8" w:color="D6D6D6"/>
                                                                                        <w:bottom w:val="single" w:sz="6" w:space="0" w:color="D6D6D6"/>
                                                                                        <w:right w:val="single" w:sz="6" w:space="0" w:color="D6D6D6"/>
                                                                                      </w:divBdr>
                                                                                      <w:divsChild>
                                                                                        <w:div w:id="287443429">
                                                                                          <w:marLeft w:val="0"/>
                                                                                          <w:marRight w:val="0"/>
                                                                                          <w:marTop w:val="135"/>
                                                                                          <w:marBottom w:val="0"/>
                                                                                          <w:divBdr>
                                                                                            <w:top w:val="none" w:sz="0" w:space="0" w:color="auto"/>
                                                                                            <w:left w:val="none" w:sz="0" w:space="0" w:color="auto"/>
                                                                                            <w:bottom w:val="none" w:sz="0" w:space="0" w:color="auto"/>
                                                                                            <w:right w:val="none" w:sz="0" w:space="0" w:color="auto"/>
                                                                                          </w:divBdr>
                                                                                          <w:divsChild>
                                                                                            <w:div w:id="751240245">
                                                                                              <w:marLeft w:val="0"/>
                                                                                              <w:marRight w:val="0"/>
                                                                                              <w:marTop w:val="0"/>
                                                                                              <w:marBottom w:val="0"/>
                                                                                              <w:divBdr>
                                                                                                <w:top w:val="none" w:sz="0" w:space="0" w:color="auto"/>
                                                                                                <w:left w:val="none" w:sz="0" w:space="0" w:color="auto"/>
                                                                                                <w:bottom w:val="none" w:sz="0" w:space="0" w:color="auto"/>
                                                                                                <w:right w:val="none" w:sz="0" w:space="0" w:color="auto"/>
                                                                                              </w:divBdr>
                                                                                              <w:divsChild>
                                                                                                <w:div w:id="1109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782096">
      <w:bodyDiv w:val="1"/>
      <w:marLeft w:val="0"/>
      <w:marRight w:val="0"/>
      <w:marTop w:val="0"/>
      <w:marBottom w:val="0"/>
      <w:divBdr>
        <w:top w:val="none" w:sz="0" w:space="0" w:color="auto"/>
        <w:left w:val="none" w:sz="0" w:space="0" w:color="auto"/>
        <w:bottom w:val="none" w:sz="0" w:space="0" w:color="auto"/>
        <w:right w:val="none" w:sz="0" w:space="0" w:color="auto"/>
      </w:divBdr>
    </w:div>
    <w:div w:id="635180972">
      <w:bodyDiv w:val="1"/>
      <w:marLeft w:val="0"/>
      <w:marRight w:val="0"/>
      <w:marTop w:val="0"/>
      <w:marBottom w:val="0"/>
      <w:divBdr>
        <w:top w:val="none" w:sz="0" w:space="0" w:color="auto"/>
        <w:left w:val="none" w:sz="0" w:space="0" w:color="auto"/>
        <w:bottom w:val="none" w:sz="0" w:space="0" w:color="auto"/>
        <w:right w:val="none" w:sz="0" w:space="0" w:color="auto"/>
      </w:divBdr>
    </w:div>
    <w:div w:id="655914144">
      <w:bodyDiv w:val="1"/>
      <w:marLeft w:val="0"/>
      <w:marRight w:val="0"/>
      <w:marTop w:val="0"/>
      <w:marBottom w:val="0"/>
      <w:divBdr>
        <w:top w:val="none" w:sz="0" w:space="0" w:color="auto"/>
        <w:left w:val="none" w:sz="0" w:space="0" w:color="auto"/>
        <w:bottom w:val="none" w:sz="0" w:space="0" w:color="auto"/>
        <w:right w:val="none" w:sz="0" w:space="0" w:color="auto"/>
      </w:divBdr>
    </w:div>
    <w:div w:id="660695698">
      <w:bodyDiv w:val="1"/>
      <w:marLeft w:val="0"/>
      <w:marRight w:val="0"/>
      <w:marTop w:val="0"/>
      <w:marBottom w:val="0"/>
      <w:divBdr>
        <w:top w:val="none" w:sz="0" w:space="0" w:color="auto"/>
        <w:left w:val="none" w:sz="0" w:space="0" w:color="auto"/>
        <w:bottom w:val="none" w:sz="0" w:space="0" w:color="auto"/>
        <w:right w:val="none" w:sz="0" w:space="0" w:color="auto"/>
      </w:divBdr>
    </w:div>
    <w:div w:id="679892699">
      <w:bodyDiv w:val="1"/>
      <w:marLeft w:val="0"/>
      <w:marRight w:val="0"/>
      <w:marTop w:val="0"/>
      <w:marBottom w:val="0"/>
      <w:divBdr>
        <w:top w:val="none" w:sz="0" w:space="0" w:color="auto"/>
        <w:left w:val="none" w:sz="0" w:space="0" w:color="auto"/>
        <w:bottom w:val="none" w:sz="0" w:space="0" w:color="auto"/>
        <w:right w:val="none" w:sz="0" w:space="0" w:color="auto"/>
      </w:divBdr>
    </w:div>
    <w:div w:id="695472787">
      <w:bodyDiv w:val="1"/>
      <w:marLeft w:val="0"/>
      <w:marRight w:val="0"/>
      <w:marTop w:val="0"/>
      <w:marBottom w:val="0"/>
      <w:divBdr>
        <w:top w:val="none" w:sz="0" w:space="0" w:color="auto"/>
        <w:left w:val="none" w:sz="0" w:space="0" w:color="auto"/>
        <w:bottom w:val="none" w:sz="0" w:space="0" w:color="auto"/>
        <w:right w:val="none" w:sz="0" w:space="0" w:color="auto"/>
      </w:divBdr>
      <w:divsChild>
        <w:div w:id="1227644685">
          <w:marLeft w:val="1080"/>
          <w:marRight w:val="0"/>
          <w:marTop w:val="100"/>
          <w:marBottom w:val="0"/>
          <w:divBdr>
            <w:top w:val="none" w:sz="0" w:space="0" w:color="auto"/>
            <w:left w:val="none" w:sz="0" w:space="0" w:color="auto"/>
            <w:bottom w:val="none" w:sz="0" w:space="0" w:color="auto"/>
            <w:right w:val="none" w:sz="0" w:space="0" w:color="auto"/>
          </w:divBdr>
        </w:div>
      </w:divsChild>
    </w:div>
    <w:div w:id="713694343">
      <w:bodyDiv w:val="1"/>
      <w:marLeft w:val="0"/>
      <w:marRight w:val="0"/>
      <w:marTop w:val="0"/>
      <w:marBottom w:val="0"/>
      <w:divBdr>
        <w:top w:val="none" w:sz="0" w:space="0" w:color="auto"/>
        <w:left w:val="none" w:sz="0" w:space="0" w:color="auto"/>
        <w:bottom w:val="none" w:sz="0" w:space="0" w:color="auto"/>
        <w:right w:val="none" w:sz="0" w:space="0" w:color="auto"/>
      </w:divBdr>
    </w:div>
    <w:div w:id="725101547">
      <w:bodyDiv w:val="1"/>
      <w:marLeft w:val="0"/>
      <w:marRight w:val="0"/>
      <w:marTop w:val="0"/>
      <w:marBottom w:val="0"/>
      <w:divBdr>
        <w:top w:val="none" w:sz="0" w:space="0" w:color="auto"/>
        <w:left w:val="none" w:sz="0" w:space="0" w:color="auto"/>
        <w:bottom w:val="none" w:sz="0" w:space="0" w:color="auto"/>
        <w:right w:val="none" w:sz="0" w:space="0" w:color="auto"/>
      </w:divBdr>
    </w:div>
    <w:div w:id="736629910">
      <w:bodyDiv w:val="1"/>
      <w:marLeft w:val="0"/>
      <w:marRight w:val="0"/>
      <w:marTop w:val="0"/>
      <w:marBottom w:val="0"/>
      <w:divBdr>
        <w:top w:val="none" w:sz="0" w:space="0" w:color="auto"/>
        <w:left w:val="none" w:sz="0" w:space="0" w:color="auto"/>
        <w:bottom w:val="none" w:sz="0" w:space="0" w:color="auto"/>
        <w:right w:val="none" w:sz="0" w:space="0" w:color="auto"/>
      </w:divBdr>
    </w:div>
    <w:div w:id="745613935">
      <w:bodyDiv w:val="1"/>
      <w:marLeft w:val="0"/>
      <w:marRight w:val="0"/>
      <w:marTop w:val="0"/>
      <w:marBottom w:val="0"/>
      <w:divBdr>
        <w:top w:val="none" w:sz="0" w:space="0" w:color="auto"/>
        <w:left w:val="none" w:sz="0" w:space="0" w:color="auto"/>
        <w:bottom w:val="none" w:sz="0" w:space="0" w:color="auto"/>
        <w:right w:val="none" w:sz="0" w:space="0" w:color="auto"/>
      </w:divBdr>
    </w:div>
    <w:div w:id="753942844">
      <w:bodyDiv w:val="1"/>
      <w:marLeft w:val="0"/>
      <w:marRight w:val="0"/>
      <w:marTop w:val="0"/>
      <w:marBottom w:val="0"/>
      <w:divBdr>
        <w:top w:val="none" w:sz="0" w:space="0" w:color="auto"/>
        <w:left w:val="none" w:sz="0" w:space="0" w:color="auto"/>
        <w:bottom w:val="none" w:sz="0" w:space="0" w:color="auto"/>
        <w:right w:val="none" w:sz="0" w:space="0" w:color="auto"/>
      </w:divBdr>
    </w:div>
    <w:div w:id="758254257">
      <w:bodyDiv w:val="1"/>
      <w:marLeft w:val="0"/>
      <w:marRight w:val="0"/>
      <w:marTop w:val="0"/>
      <w:marBottom w:val="0"/>
      <w:divBdr>
        <w:top w:val="none" w:sz="0" w:space="0" w:color="auto"/>
        <w:left w:val="none" w:sz="0" w:space="0" w:color="auto"/>
        <w:bottom w:val="none" w:sz="0" w:space="0" w:color="auto"/>
        <w:right w:val="none" w:sz="0" w:space="0" w:color="auto"/>
      </w:divBdr>
    </w:div>
    <w:div w:id="762651310">
      <w:bodyDiv w:val="1"/>
      <w:marLeft w:val="0"/>
      <w:marRight w:val="0"/>
      <w:marTop w:val="0"/>
      <w:marBottom w:val="0"/>
      <w:divBdr>
        <w:top w:val="none" w:sz="0" w:space="0" w:color="auto"/>
        <w:left w:val="none" w:sz="0" w:space="0" w:color="auto"/>
        <w:bottom w:val="none" w:sz="0" w:space="0" w:color="auto"/>
        <w:right w:val="none" w:sz="0" w:space="0" w:color="auto"/>
      </w:divBdr>
    </w:div>
    <w:div w:id="780219920">
      <w:bodyDiv w:val="1"/>
      <w:marLeft w:val="0"/>
      <w:marRight w:val="0"/>
      <w:marTop w:val="0"/>
      <w:marBottom w:val="0"/>
      <w:divBdr>
        <w:top w:val="none" w:sz="0" w:space="0" w:color="auto"/>
        <w:left w:val="none" w:sz="0" w:space="0" w:color="auto"/>
        <w:bottom w:val="none" w:sz="0" w:space="0" w:color="auto"/>
        <w:right w:val="none" w:sz="0" w:space="0" w:color="auto"/>
      </w:divBdr>
    </w:div>
    <w:div w:id="784469417">
      <w:bodyDiv w:val="1"/>
      <w:marLeft w:val="0"/>
      <w:marRight w:val="0"/>
      <w:marTop w:val="0"/>
      <w:marBottom w:val="0"/>
      <w:divBdr>
        <w:top w:val="none" w:sz="0" w:space="0" w:color="auto"/>
        <w:left w:val="none" w:sz="0" w:space="0" w:color="auto"/>
        <w:bottom w:val="none" w:sz="0" w:space="0" w:color="auto"/>
        <w:right w:val="none" w:sz="0" w:space="0" w:color="auto"/>
      </w:divBdr>
    </w:div>
    <w:div w:id="856306435">
      <w:bodyDiv w:val="1"/>
      <w:marLeft w:val="0"/>
      <w:marRight w:val="0"/>
      <w:marTop w:val="0"/>
      <w:marBottom w:val="0"/>
      <w:divBdr>
        <w:top w:val="none" w:sz="0" w:space="0" w:color="auto"/>
        <w:left w:val="none" w:sz="0" w:space="0" w:color="auto"/>
        <w:bottom w:val="none" w:sz="0" w:space="0" w:color="auto"/>
        <w:right w:val="none" w:sz="0" w:space="0" w:color="auto"/>
      </w:divBdr>
    </w:div>
    <w:div w:id="856504583">
      <w:bodyDiv w:val="1"/>
      <w:marLeft w:val="0"/>
      <w:marRight w:val="0"/>
      <w:marTop w:val="0"/>
      <w:marBottom w:val="0"/>
      <w:divBdr>
        <w:top w:val="none" w:sz="0" w:space="0" w:color="auto"/>
        <w:left w:val="none" w:sz="0" w:space="0" w:color="auto"/>
        <w:bottom w:val="none" w:sz="0" w:space="0" w:color="auto"/>
        <w:right w:val="none" w:sz="0" w:space="0" w:color="auto"/>
      </w:divBdr>
    </w:div>
    <w:div w:id="923343328">
      <w:bodyDiv w:val="1"/>
      <w:marLeft w:val="0"/>
      <w:marRight w:val="0"/>
      <w:marTop w:val="0"/>
      <w:marBottom w:val="0"/>
      <w:divBdr>
        <w:top w:val="none" w:sz="0" w:space="0" w:color="auto"/>
        <w:left w:val="none" w:sz="0" w:space="0" w:color="auto"/>
        <w:bottom w:val="none" w:sz="0" w:space="0" w:color="auto"/>
        <w:right w:val="none" w:sz="0" w:space="0" w:color="auto"/>
      </w:divBdr>
    </w:div>
    <w:div w:id="941105415">
      <w:bodyDiv w:val="1"/>
      <w:marLeft w:val="0"/>
      <w:marRight w:val="0"/>
      <w:marTop w:val="0"/>
      <w:marBottom w:val="0"/>
      <w:divBdr>
        <w:top w:val="none" w:sz="0" w:space="0" w:color="auto"/>
        <w:left w:val="none" w:sz="0" w:space="0" w:color="auto"/>
        <w:bottom w:val="none" w:sz="0" w:space="0" w:color="auto"/>
        <w:right w:val="none" w:sz="0" w:space="0" w:color="auto"/>
      </w:divBdr>
    </w:div>
    <w:div w:id="985622270">
      <w:bodyDiv w:val="1"/>
      <w:marLeft w:val="0"/>
      <w:marRight w:val="0"/>
      <w:marTop w:val="0"/>
      <w:marBottom w:val="0"/>
      <w:divBdr>
        <w:top w:val="none" w:sz="0" w:space="0" w:color="auto"/>
        <w:left w:val="none" w:sz="0" w:space="0" w:color="auto"/>
        <w:bottom w:val="none" w:sz="0" w:space="0" w:color="auto"/>
        <w:right w:val="none" w:sz="0" w:space="0" w:color="auto"/>
      </w:divBdr>
      <w:divsChild>
        <w:div w:id="246885511">
          <w:marLeft w:val="720"/>
          <w:marRight w:val="0"/>
          <w:marTop w:val="0"/>
          <w:marBottom w:val="0"/>
          <w:divBdr>
            <w:top w:val="none" w:sz="0" w:space="0" w:color="auto"/>
            <w:left w:val="none" w:sz="0" w:space="0" w:color="auto"/>
            <w:bottom w:val="none" w:sz="0" w:space="0" w:color="auto"/>
            <w:right w:val="none" w:sz="0" w:space="0" w:color="auto"/>
          </w:divBdr>
        </w:div>
        <w:div w:id="450127477">
          <w:marLeft w:val="720"/>
          <w:marRight w:val="0"/>
          <w:marTop w:val="0"/>
          <w:marBottom w:val="0"/>
          <w:divBdr>
            <w:top w:val="none" w:sz="0" w:space="0" w:color="auto"/>
            <w:left w:val="none" w:sz="0" w:space="0" w:color="auto"/>
            <w:bottom w:val="none" w:sz="0" w:space="0" w:color="auto"/>
            <w:right w:val="none" w:sz="0" w:space="0" w:color="auto"/>
          </w:divBdr>
        </w:div>
        <w:div w:id="1211960587">
          <w:marLeft w:val="720"/>
          <w:marRight w:val="0"/>
          <w:marTop w:val="0"/>
          <w:marBottom w:val="0"/>
          <w:divBdr>
            <w:top w:val="none" w:sz="0" w:space="0" w:color="auto"/>
            <w:left w:val="none" w:sz="0" w:space="0" w:color="auto"/>
            <w:bottom w:val="none" w:sz="0" w:space="0" w:color="auto"/>
            <w:right w:val="none" w:sz="0" w:space="0" w:color="auto"/>
          </w:divBdr>
        </w:div>
        <w:div w:id="1977637446">
          <w:marLeft w:val="720"/>
          <w:marRight w:val="0"/>
          <w:marTop w:val="0"/>
          <w:marBottom w:val="0"/>
          <w:divBdr>
            <w:top w:val="none" w:sz="0" w:space="0" w:color="auto"/>
            <w:left w:val="none" w:sz="0" w:space="0" w:color="auto"/>
            <w:bottom w:val="none" w:sz="0" w:space="0" w:color="auto"/>
            <w:right w:val="none" w:sz="0" w:space="0" w:color="auto"/>
          </w:divBdr>
        </w:div>
        <w:div w:id="1994328121">
          <w:marLeft w:val="720"/>
          <w:marRight w:val="0"/>
          <w:marTop w:val="0"/>
          <w:marBottom w:val="0"/>
          <w:divBdr>
            <w:top w:val="none" w:sz="0" w:space="0" w:color="auto"/>
            <w:left w:val="none" w:sz="0" w:space="0" w:color="auto"/>
            <w:bottom w:val="none" w:sz="0" w:space="0" w:color="auto"/>
            <w:right w:val="none" w:sz="0" w:space="0" w:color="auto"/>
          </w:divBdr>
        </w:div>
      </w:divsChild>
    </w:div>
    <w:div w:id="1019351848">
      <w:bodyDiv w:val="1"/>
      <w:marLeft w:val="0"/>
      <w:marRight w:val="0"/>
      <w:marTop w:val="0"/>
      <w:marBottom w:val="0"/>
      <w:divBdr>
        <w:top w:val="none" w:sz="0" w:space="0" w:color="auto"/>
        <w:left w:val="none" w:sz="0" w:space="0" w:color="auto"/>
        <w:bottom w:val="none" w:sz="0" w:space="0" w:color="auto"/>
        <w:right w:val="none" w:sz="0" w:space="0" w:color="auto"/>
      </w:divBdr>
    </w:div>
    <w:div w:id="1052463634">
      <w:bodyDiv w:val="1"/>
      <w:marLeft w:val="0"/>
      <w:marRight w:val="0"/>
      <w:marTop w:val="0"/>
      <w:marBottom w:val="0"/>
      <w:divBdr>
        <w:top w:val="none" w:sz="0" w:space="0" w:color="auto"/>
        <w:left w:val="none" w:sz="0" w:space="0" w:color="auto"/>
        <w:bottom w:val="none" w:sz="0" w:space="0" w:color="auto"/>
        <w:right w:val="none" w:sz="0" w:space="0" w:color="auto"/>
      </w:divBdr>
    </w:div>
    <w:div w:id="1064181689">
      <w:bodyDiv w:val="1"/>
      <w:marLeft w:val="0"/>
      <w:marRight w:val="0"/>
      <w:marTop w:val="0"/>
      <w:marBottom w:val="0"/>
      <w:divBdr>
        <w:top w:val="none" w:sz="0" w:space="0" w:color="auto"/>
        <w:left w:val="none" w:sz="0" w:space="0" w:color="auto"/>
        <w:bottom w:val="none" w:sz="0" w:space="0" w:color="auto"/>
        <w:right w:val="none" w:sz="0" w:space="0" w:color="auto"/>
      </w:divBdr>
    </w:div>
    <w:div w:id="1075006238">
      <w:bodyDiv w:val="1"/>
      <w:marLeft w:val="0"/>
      <w:marRight w:val="0"/>
      <w:marTop w:val="0"/>
      <w:marBottom w:val="0"/>
      <w:divBdr>
        <w:top w:val="none" w:sz="0" w:space="0" w:color="auto"/>
        <w:left w:val="none" w:sz="0" w:space="0" w:color="auto"/>
        <w:bottom w:val="none" w:sz="0" w:space="0" w:color="auto"/>
        <w:right w:val="none" w:sz="0" w:space="0" w:color="auto"/>
      </w:divBdr>
    </w:div>
    <w:div w:id="1076778176">
      <w:bodyDiv w:val="1"/>
      <w:marLeft w:val="0"/>
      <w:marRight w:val="0"/>
      <w:marTop w:val="0"/>
      <w:marBottom w:val="0"/>
      <w:divBdr>
        <w:top w:val="none" w:sz="0" w:space="0" w:color="auto"/>
        <w:left w:val="none" w:sz="0" w:space="0" w:color="auto"/>
        <w:bottom w:val="none" w:sz="0" w:space="0" w:color="auto"/>
        <w:right w:val="none" w:sz="0" w:space="0" w:color="auto"/>
      </w:divBdr>
    </w:div>
    <w:div w:id="1088231021">
      <w:bodyDiv w:val="1"/>
      <w:marLeft w:val="0"/>
      <w:marRight w:val="0"/>
      <w:marTop w:val="0"/>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8768469">
      <w:bodyDiv w:val="1"/>
      <w:marLeft w:val="0"/>
      <w:marRight w:val="0"/>
      <w:marTop w:val="0"/>
      <w:marBottom w:val="0"/>
      <w:divBdr>
        <w:top w:val="none" w:sz="0" w:space="0" w:color="auto"/>
        <w:left w:val="none" w:sz="0" w:space="0" w:color="auto"/>
        <w:bottom w:val="none" w:sz="0" w:space="0" w:color="auto"/>
        <w:right w:val="none" w:sz="0" w:space="0" w:color="auto"/>
      </w:divBdr>
    </w:div>
    <w:div w:id="1188064466">
      <w:bodyDiv w:val="1"/>
      <w:marLeft w:val="0"/>
      <w:marRight w:val="0"/>
      <w:marTop w:val="0"/>
      <w:marBottom w:val="0"/>
      <w:divBdr>
        <w:top w:val="none" w:sz="0" w:space="0" w:color="auto"/>
        <w:left w:val="none" w:sz="0" w:space="0" w:color="auto"/>
        <w:bottom w:val="none" w:sz="0" w:space="0" w:color="auto"/>
        <w:right w:val="none" w:sz="0" w:space="0" w:color="auto"/>
      </w:divBdr>
    </w:div>
    <w:div w:id="1192455078">
      <w:bodyDiv w:val="1"/>
      <w:marLeft w:val="0"/>
      <w:marRight w:val="0"/>
      <w:marTop w:val="0"/>
      <w:marBottom w:val="0"/>
      <w:divBdr>
        <w:top w:val="none" w:sz="0" w:space="0" w:color="auto"/>
        <w:left w:val="none" w:sz="0" w:space="0" w:color="auto"/>
        <w:bottom w:val="none" w:sz="0" w:space="0" w:color="auto"/>
        <w:right w:val="none" w:sz="0" w:space="0" w:color="auto"/>
      </w:divBdr>
    </w:div>
    <w:div w:id="1199010074">
      <w:bodyDiv w:val="1"/>
      <w:marLeft w:val="0"/>
      <w:marRight w:val="0"/>
      <w:marTop w:val="0"/>
      <w:marBottom w:val="0"/>
      <w:divBdr>
        <w:top w:val="none" w:sz="0" w:space="0" w:color="auto"/>
        <w:left w:val="none" w:sz="0" w:space="0" w:color="auto"/>
        <w:bottom w:val="none" w:sz="0" w:space="0" w:color="auto"/>
        <w:right w:val="none" w:sz="0" w:space="0" w:color="auto"/>
      </w:divBdr>
    </w:div>
    <w:div w:id="1207062791">
      <w:bodyDiv w:val="1"/>
      <w:marLeft w:val="0"/>
      <w:marRight w:val="0"/>
      <w:marTop w:val="0"/>
      <w:marBottom w:val="0"/>
      <w:divBdr>
        <w:top w:val="none" w:sz="0" w:space="0" w:color="auto"/>
        <w:left w:val="none" w:sz="0" w:space="0" w:color="auto"/>
        <w:bottom w:val="none" w:sz="0" w:space="0" w:color="auto"/>
        <w:right w:val="none" w:sz="0" w:space="0" w:color="auto"/>
      </w:divBdr>
    </w:div>
    <w:div w:id="1207332886">
      <w:bodyDiv w:val="1"/>
      <w:marLeft w:val="0"/>
      <w:marRight w:val="0"/>
      <w:marTop w:val="0"/>
      <w:marBottom w:val="0"/>
      <w:divBdr>
        <w:top w:val="none" w:sz="0" w:space="0" w:color="auto"/>
        <w:left w:val="none" w:sz="0" w:space="0" w:color="auto"/>
        <w:bottom w:val="none" w:sz="0" w:space="0" w:color="auto"/>
        <w:right w:val="none" w:sz="0" w:space="0" w:color="auto"/>
      </w:divBdr>
    </w:div>
    <w:div w:id="1232619642">
      <w:bodyDiv w:val="1"/>
      <w:marLeft w:val="0"/>
      <w:marRight w:val="0"/>
      <w:marTop w:val="0"/>
      <w:marBottom w:val="0"/>
      <w:divBdr>
        <w:top w:val="none" w:sz="0" w:space="0" w:color="auto"/>
        <w:left w:val="none" w:sz="0" w:space="0" w:color="auto"/>
        <w:bottom w:val="none" w:sz="0" w:space="0" w:color="auto"/>
        <w:right w:val="none" w:sz="0" w:space="0" w:color="auto"/>
      </w:divBdr>
    </w:div>
    <w:div w:id="1250583586">
      <w:bodyDiv w:val="1"/>
      <w:marLeft w:val="0"/>
      <w:marRight w:val="0"/>
      <w:marTop w:val="0"/>
      <w:marBottom w:val="0"/>
      <w:divBdr>
        <w:top w:val="none" w:sz="0" w:space="0" w:color="auto"/>
        <w:left w:val="none" w:sz="0" w:space="0" w:color="auto"/>
        <w:bottom w:val="none" w:sz="0" w:space="0" w:color="auto"/>
        <w:right w:val="none" w:sz="0" w:space="0" w:color="auto"/>
      </w:divBdr>
    </w:div>
    <w:div w:id="1251082474">
      <w:bodyDiv w:val="1"/>
      <w:marLeft w:val="0"/>
      <w:marRight w:val="0"/>
      <w:marTop w:val="0"/>
      <w:marBottom w:val="0"/>
      <w:divBdr>
        <w:top w:val="none" w:sz="0" w:space="0" w:color="auto"/>
        <w:left w:val="none" w:sz="0" w:space="0" w:color="auto"/>
        <w:bottom w:val="none" w:sz="0" w:space="0" w:color="auto"/>
        <w:right w:val="none" w:sz="0" w:space="0" w:color="auto"/>
      </w:divBdr>
      <w:divsChild>
        <w:div w:id="335504339">
          <w:marLeft w:val="0"/>
          <w:marRight w:val="0"/>
          <w:marTop w:val="0"/>
          <w:marBottom w:val="0"/>
          <w:divBdr>
            <w:top w:val="none" w:sz="0" w:space="0" w:color="auto"/>
            <w:left w:val="none" w:sz="0" w:space="0" w:color="auto"/>
            <w:bottom w:val="none" w:sz="0" w:space="0" w:color="auto"/>
            <w:right w:val="none" w:sz="0" w:space="0" w:color="auto"/>
          </w:divBdr>
          <w:divsChild>
            <w:div w:id="2044941211">
              <w:marLeft w:val="0"/>
              <w:marRight w:val="0"/>
              <w:marTop w:val="0"/>
              <w:marBottom w:val="0"/>
              <w:divBdr>
                <w:top w:val="none" w:sz="0" w:space="0" w:color="auto"/>
                <w:left w:val="none" w:sz="0" w:space="0" w:color="auto"/>
                <w:bottom w:val="none" w:sz="0" w:space="0" w:color="auto"/>
                <w:right w:val="none" w:sz="0" w:space="0" w:color="auto"/>
              </w:divBdr>
              <w:divsChild>
                <w:div w:id="672074749">
                  <w:marLeft w:val="0"/>
                  <w:marRight w:val="0"/>
                  <w:marTop w:val="0"/>
                  <w:marBottom w:val="0"/>
                  <w:divBdr>
                    <w:top w:val="none" w:sz="0" w:space="0" w:color="auto"/>
                    <w:left w:val="none" w:sz="0" w:space="0" w:color="auto"/>
                    <w:bottom w:val="none" w:sz="0" w:space="0" w:color="auto"/>
                    <w:right w:val="none" w:sz="0" w:space="0" w:color="auto"/>
                  </w:divBdr>
                  <w:divsChild>
                    <w:div w:id="2124032467">
                      <w:marLeft w:val="0"/>
                      <w:marRight w:val="0"/>
                      <w:marTop w:val="0"/>
                      <w:marBottom w:val="0"/>
                      <w:divBdr>
                        <w:top w:val="none" w:sz="0" w:space="0" w:color="auto"/>
                        <w:left w:val="none" w:sz="0" w:space="0" w:color="auto"/>
                        <w:bottom w:val="none" w:sz="0" w:space="0" w:color="auto"/>
                        <w:right w:val="none" w:sz="0" w:space="0" w:color="auto"/>
                      </w:divBdr>
                      <w:divsChild>
                        <w:div w:id="859053595">
                          <w:marLeft w:val="0"/>
                          <w:marRight w:val="0"/>
                          <w:marTop w:val="0"/>
                          <w:marBottom w:val="0"/>
                          <w:divBdr>
                            <w:top w:val="none" w:sz="0" w:space="0" w:color="auto"/>
                            <w:left w:val="none" w:sz="0" w:space="0" w:color="auto"/>
                            <w:bottom w:val="none" w:sz="0" w:space="0" w:color="auto"/>
                            <w:right w:val="none" w:sz="0" w:space="0" w:color="auto"/>
                          </w:divBdr>
                          <w:divsChild>
                            <w:div w:id="797526776">
                              <w:marLeft w:val="0"/>
                              <w:marRight w:val="0"/>
                              <w:marTop w:val="0"/>
                              <w:marBottom w:val="0"/>
                              <w:divBdr>
                                <w:top w:val="none" w:sz="0" w:space="0" w:color="auto"/>
                                <w:left w:val="none" w:sz="0" w:space="0" w:color="auto"/>
                                <w:bottom w:val="none" w:sz="0" w:space="0" w:color="auto"/>
                                <w:right w:val="none" w:sz="0" w:space="0" w:color="auto"/>
                              </w:divBdr>
                              <w:divsChild>
                                <w:div w:id="1298991229">
                                  <w:marLeft w:val="0"/>
                                  <w:marRight w:val="0"/>
                                  <w:marTop w:val="0"/>
                                  <w:marBottom w:val="0"/>
                                  <w:divBdr>
                                    <w:top w:val="none" w:sz="0" w:space="0" w:color="auto"/>
                                    <w:left w:val="none" w:sz="0" w:space="0" w:color="auto"/>
                                    <w:bottom w:val="none" w:sz="0" w:space="0" w:color="auto"/>
                                    <w:right w:val="none" w:sz="0" w:space="0" w:color="auto"/>
                                  </w:divBdr>
                                  <w:divsChild>
                                    <w:div w:id="911310505">
                                      <w:marLeft w:val="0"/>
                                      <w:marRight w:val="0"/>
                                      <w:marTop w:val="225"/>
                                      <w:marBottom w:val="0"/>
                                      <w:divBdr>
                                        <w:top w:val="none" w:sz="0" w:space="0" w:color="auto"/>
                                        <w:left w:val="none" w:sz="0" w:space="0" w:color="auto"/>
                                        <w:bottom w:val="none" w:sz="0" w:space="0" w:color="auto"/>
                                        <w:right w:val="none" w:sz="0" w:space="0" w:color="auto"/>
                                      </w:divBdr>
                                      <w:divsChild>
                                        <w:div w:id="324360173">
                                          <w:marLeft w:val="0"/>
                                          <w:marRight w:val="0"/>
                                          <w:marTop w:val="0"/>
                                          <w:marBottom w:val="0"/>
                                          <w:divBdr>
                                            <w:top w:val="none" w:sz="0" w:space="0" w:color="auto"/>
                                            <w:left w:val="none" w:sz="0" w:space="0" w:color="auto"/>
                                            <w:bottom w:val="none" w:sz="0" w:space="0" w:color="auto"/>
                                            <w:right w:val="none" w:sz="0" w:space="0" w:color="auto"/>
                                          </w:divBdr>
                                          <w:divsChild>
                                            <w:div w:id="120002846">
                                              <w:marLeft w:val="-225"/>
                                              <w:marRight w:val="-225"/>
                                              <w:marTop w:val="0"/>
                                              <w:marBottom w:val="0"/>
                                              <w:divBdr>
                                                <w:top w:val="none" w:sz="0" w:space="0" w:color="auto"/>
                                                <w:left w:val="none" w:sz="0" w:space="0" w:color="auto"/>
                                                <w:bottom w:val="none" w:sz="0" w:space="0" w:color="auto"/>
                                                <w:right w:val="none" w:sz="0" w:space="0" w:color="auto"/>
                                              </w:divBdr>
                                              <w:divsChild>
                                                <w:div w:id="1014384779">
                                                  <w:marLeft w:val="0"/>
                                                  <w:marRight w:val="0"/>
                                                  <w:marTop w:val="0"/>
                                                  <w:marBottom w:val="0"/>
                                                  <w:divBdr>
                                                    <w:top w:val="single" w:sz="6" w:space="0" w:color="E4E3E3"/>
                                                    <w:left w:val="single" w:sz="6" w:space="0" w:color="E4E3E3"/>
                                                    <w:bottom w:val="single" w:sz="6" w:space="0" w:color="E4E3E3"/>
                                                    <w:right w:val="single" w:sz="6" w:space="0" w:color="E4E3E3"/>
                                                  </w:divBdr>
                                                  <w:divsChild>
                                                    <w:div w:id="1140225908">
                                                      <w:marLeft w:val="-225"/>
                                                      <w:marRight w:val="-225"/>
                                                      <w:marTop w:val="0"/>
                                                      <w:marBottom w:val="0"/>
                                                      <w:divBdr>
                                                        <w:top w:val="none" w:sz="0" w:space="0" w:color="auto"/>
                                                        <w:left w:val="none" w:sz="0" w:space="0" w:color="auto"/>
                                                        <w:bottom w:val="none" w:sz="0" w:space="0" w:color="auto"/>
                                                        <w:right w:val="none" w:sz="0" w:space="0" w:color="auto"/>
                                                      </w:divBdr>
                                                      <w:divsChild>
                                                        <w:div w:id="1497182457">
                                                          <w:marLeft w:val="0"/>
                                                          <w:marRight w:val="0"/>
                                                          <w:marTop w:val="0"/>
                                                          <w:marBottom w:val="0"/>
                                                          <w:divBdr>
                                                            <w:top w:val="none" w:sz="0" w:space="0" w:color="auto"/>
                                                            <w:left w:val="none" w:sz="0" w:space="0" w:color="auto"/>
                                                            <w:bottom w:val="none" w:sz="0" w:space="0" w:color="auto"/>
                                                            <w:right w:val="none" w:sz="0" w:space="0" w:color="auto"/>
                                                          </w:divBdr>
                                                          <w:divsChild>
                                                            <w:div w:id="1932274947">
                                                              <w:marLeft w:val="0"/>
                                                              <w:marRight w:val="0"/>
                                                              <w:marTop w:val="0"/>
                                                              <w:marBottom w:val="0"/>
                                                              <w:divBdr>
                                                                <w:top w:val="none" w:sz="0" w:space="0" w:color="auto"/>
                                                                <w:left w:val="none" w:sz="0" w:space="0" w:color="auto"/>
                                                                <w:bottom w:val="single" w:sz="6" w:space="23" w:color="DDDDDD"/>
                                                                <w:right w:val="none" w:sz="0" w:space="0" w:color="auto"/>
                                                              </w:divBdr>
                                                              <w:divsChild>
                                                                <w:div w:id="1344474806">
                                                                  <w:marLeft w:val="0"/>
                                                                  <w:marRight w:val="0"/>
                                                                  <w:marTop w:val="0"/>
                                                                  <w:marBottom w:val="0"/>
                                                                  <w:divBdr>
                                                                    <w:top w:val="none" w:sz="0" w:space="0" w:color="auto"/>
                                                                    <w:left w:val="none" w:sz="0" w:space="0" w:color="auto"/>
                                                                    <w:bottom w:val="none" w:sz="0" w:space="0" w:color="auto"/>
                                                                    <w:right w:val="none" w:sz="0" w:space="0" w:color="auto"/>
                                                                  </w:divBdr>
                                                                  <w:divsChild>
                                                                    <w:div w:id="1734304964">
                                                                      <w:marLeft w:val="0"/>
                                                                      <w:marRight w:val="0"/>
                                                                      <w:marTop w:val="0"/>
                                                                      <w:marBottom w:val="0"/>
                                                                      <w:divBdr>
                                                                        <w:top w:val="none" w:sz="0" w:space="0" w:color="auto"/>
                                                                        <w:left w:val="none" w:sz="0" w:space="0" w:color="auto"/>
                                                                        <w:bottom w:val="none" w:sz="0" w:space="0" w:color="auto"/>
                                                                        <w:right w:val="none" w:sz="0" w:space="0" w:color="auto"/>
                                                                      </w:divBdr>
                                                                      <w:divsChild>
                                                                        <w:div w:id="775443474">
                                                                          <w:marLeft w:val="0"/>
                                                                          <w:marRight w:val="0"/>
                                                                          <w:marTop w:val="0"/>
                                                                          <w:marBottom w:val="0"/>
                                                                          <w:divBdr>
                                                                            <w:top w:val="none" w:sz="0" w:space="0" w:color="auto"/>
                                                                            <w:left w:val="none" w:sz="0" w:space="0" w:color="auto"/>
                                                                            <w:bottom w:val="none" w:sz="0" w:space="0" w:color="auto"/>
                                                                            <w:right w:val="none" w:sz="0" w:space="0" w:color="auto"/>
                                                                          </w:divBdr>
                                                                          <w:divsChild>
                                                                            <w:div w:id="1328249135">
                                                                              <w:marLeft w:val="0"/>
                                                                              <w:marRight w:val="0"/>
                                                                              <w:marTop w:val="0"/>
                                                                              <w:marBottom w:val="0"/>
                                                                              <w:divBdr>
                                                                                <w:top w:val="none" w:sz="0" w:space="0" w:color="auto"/>
                                                                                <w:left w:val="none" w:sz="0" w:space="0" w:color="auto"/>
                                                                                <w:bottom w:val="none" w:sz="0" w:space="0" w:color="auto"/>
                                                                                <w:right w:val="none" w:sz="0" w:space="0" w:color="auto"/>
                                                                              </w:divBdr>
                                                                              <w:divsChild>
                                                                                <w:div w:id="440535510">
                                                                                  <w:marLeft w:val="0"/>
                                                                                  <w:marRight w:val="0"/>
                                                                                  <w:marTop w:val="0"/>
                                                                                  <w:marBottom w:val="0"/>
                                                                                  <w:divBdr>
                                                                                    <w:top w:val="none" w:sz="0" w:space="0" w:color="auto"/>
                                                                                    <w:left w:val="none" w:sz="0" w:space="0" w:color="auto"/>
                                                                                    <w:bottom w:val="none" w:sz="0" w:space="0" w:color="auto"/>
                                                                                    <w:right w:val="none" w:sz="0" w:space="0" w:color="auto"/>
                                                                                  </w:divBdr>
                                                                                  <w:divsChild>
                                                                                    <w:div w:id="942228645">
                                                                                      <w:marLeft w:val="420"/>
                                                                                      <w:marRight w:val="420"/>
                                                                                      <w:marTop w:val="45"/>
                                                                                      <w:marBottom w:val="300"/>
                                                                                      <w:divBdr>
                                                                                        <w:top w:val="single" w:sz="6" w:space="0" w:color="D6D6D6"/>
                                                                                        <w:left w:val="single" w:sz="6" w:space="8" w:color="D6D6D6"/>
                                                                                        <w:bottom w:val="single" w:sz="6" w:space="0" w:color="D6D6D6"/>
                                                                                        <w:right w:val="single" w:sz="6" w:space="0" w:color="D6D6D6"/>
                                                                                      </w:divBdr>
                                                                                      <w:divsChild>
                                                                                        <w:div w:id="1917281919">
                                                                                          <w:marLeft w:val="0"/>
                                                                                          <w:marRight w:val="0"/>
                                                                                          <w:marTop w:val="135"/>
                                                                                          <w:marBottom w:val="0"/>
                                                                                          <w:divBdr>
                                                                                            <w:top w:val="none" w:sz="0" w:space="0" w:color="auto"/>
                                                                                            <w:left w:val="none" w:sz="0" w:space="0" w:color="auto"/>
                                                                                            <w:bottom w:val="none" w:sz="0" w:space="0" w:color="auto"/>
                                                                                            <w:right w:val="none" w:sz="0" w:space="0" w:color="auto"/>
                                                                                          </w:divBdr>
                                                                                          <w:divsChild>
                                                                                            <w:div w:id="87192275">
                                                                                              <w:marLeft w:val="0"/>
                                                                                              <w:marRight w:val="0"/>
                                                                                              <w:marTop w:val="0"/>
                                                                                              <w:marBottom w:val="0"/>
                                                                                              <w:divBdr>
                                                                                                <w:top w:val="none" w:sz="0" w:space="0" w:color="auto"/>
                                                                                                <w:left w:val="none" w:sz="0" w:space="0" w:color="auto"/>
                                                                                                <w:bottom w:val="none" w:sz="0" w:space="0" w:color="auto"/>
                                                                                                <w:right w:val="none" w:sz="0" w:space="0" w:color="auto"/>
                                                                                              </w:divBdr>
                                                                                              <w:divsChild>
                                                                                                <w:div w:id="3632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901">
      <w:bodyDiv w:val="1"/>
      <w:marLeft w:val="0"/>
      <w:marRight w:val="0"/>
      <w:marTop w:val="0"/>
      <w:marBottom w:val="0"/>
      <w:divBdr>
        <w:top w:val="none" w:sz="0" w:space="0" w:color="auto"/>
        <w:left w:val="none" w:sz="0" w:space="0" w:color="auto"/>
        <w:bottom w:val="none" w:sz="0" w:space="0" w:color="auto"/>
        <w:right w:val="none" w:sz="0" w:space="0" w:color="auto"/>
      </w:divBdr>
    </w:div>
    <w:div w:id="1271006648">
      <w:bodyDiv w:val="1"/>
      <w:marLeft w:val="0"/>
      <w:marRight w:val="0"/>
      <w:marTop w:val="0"/>
      <w:marBottom w:val="0"/>
      <w:divBdr>
        <w:top w:val="none" w:sz="0" w:space="0" w:color="auto"/>
        <w:left w:val="none" w:sz="0" w:space="0" w:color="auto"/>
        <w:bottom w:val="none" w:sz="0" w:space="0" w:color="auto"/>
        <w:right w:val="none" w:sz="0" w:space="0" w:color="auto"/>
      </w:divBdr>
    </w:div>
    <w:div w:id="1273368188">
      <w:bodyDiv w:val="1"/>
      <w:marLeft w:val="0"/>
      <w:marRight w:val="0"/>
      <w:marTop w:val="0"/>
      <w:marBottom w:val="0"/>
      <w:divBdr>
        <w:top w:val="none" w:sz="0" w:space="0" w:color="auto"/>
        <w:left w:val="none" w:sz="0" w:space="0" w:color="auto"/>
        <w:bottom w:val="none" w:sz="0" w:space="0" w:color="auto"/>
        <w:right w:val="none" w:sz="0" w:space="0" w:color="auto"/>
      </w:divBdr>
    </w:div>
    <w:div w:id="1369528812">
      <w:bodyDiv w:val="1"/>
      <w:marLeft w:val="0"/>
      <w:marRight w:val="0"/>
      <w:marTop w:val="0"/>
      <w:marBottom w:val="0"/>
      <w:divBdr>
        <w:top w:val="none" w:sz="0" w:space="0" w:color="auto"/>
        <w:left w:val="none" w:sz="0" w:space="0" w:color="auto"/>
        <w:bottom w:val="none" w:sz="0" w:space="0" w:color="auto"/>
        <w:right w:val="none" w:sz="0" w:space="0" w:color="auto"/>
      </w:divBdr>
    </w:div>
    <w:div w:id="1369529767">
      <w:bodyDiv w:val="1"/>
      <w:marLeft w:val="0"/>
      <w:marRight w:val="0"/>
      <w:marTop w:val="0"/>
      <w:marBottom w:val="0"/>
      <w:divBdr>
        <w:top w:val="none" w:sz="0" w:space="0" w:color="auto"/>
        <w:left w:val="none" w:sz="0" w:space="0" w:color="auto"/>
        <w:bottom w:val="none" w:sz="0" w:space="0" w:color="auto"/>
        <w:right w:val="none" w:sz="0" w:space="0" w:color="auto"/>
      </w:divBdr>
    </w:div>
    <w:div w:id="1378432237">
      <w:bodyDiv w:val="1"/>
      <w:marLeft w:val="0"/>
      <w:marRight w:val="0"/>
      <w:marTop w:val="0"/>
      <w:marBottom w:val="0"/>
      <w:divBdr>
        <w:top w:val="none" w:sz="0" w:space="0" w:color="auto"/>
        <w:left w:val="none" w:sz="0" w:space="0" w:color="auto"/>
        <w:bottom w:val="none" w:sz="0" w:space="0" w:color="auto"/>
        <w:right w:val="none" w:sz="0" w:space="0" w:color="auto"/>
      </w:divBdr>
    </w:div>
    <w:div w:id="1399206392">
      <w:bodyDiv w:val="1"/>
      <w:marLeft w:val="0"/>
      <w:marRight w:val="0"/>
      <w:marTop w:val="0"/>
      <w:marBottom w:val="0"/>
      <w:divBdr>
        <w:top w:val="none" w:sz="0" w:space="0" w:color="auto"/>
        <w:left w:val="none" w:sz="0" w:space="0" w:color="auto"/>
        <w:bottom w:val="none" w:sz="0" w:space="0" w:color="auto"/>
        <w:right w:val="none" w:sz="0" w:space="0" w:color="auto"/>
      </w:divBdr>
    </w:div>
    <w:div w:id="1409375972">
      <w:bodyDiv w:val="1"/>
      <w:marLeft w:val="0"/>
      <w:marRight w:val="0"/>
      <w:marTop w:val="0"/>
      <w:marBottom w:val="0"/>
      <w:divBdr>
        <w:top w:val="none" w:sz="0" w:space="0" w:color="auto"/>
        <w:left w:val="none" w:sz="0" w:space="0" w:color="auto"/>
        <w:bottom w:val="none" w:sz="0" w:space="0" w:color="auto"/>
        <w:right w:val="none" w:sz="0" w:space="0" w:color="auto"/>
      </w:divBdr>
    </w:div>
    <w:div w:id="1411659131">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70131344">
      <w:bodyDiv w:val="1"/>
      <w:marLeft w:val="0"/>
      <w:marRight w:val="0"/>
      <w:marTop w:val="0"/>
      <w:marBottom w:val="0"/>
      <w:divBdr>
        <w:top w:val="none" w:sz="0" w:space="0" w:color="auto"/>
        <w:left w:val="none" w:sz="0" w:space="0" w:color="auto"/>
        <w:bottom w:val="none" w:sz="0" w:space="0" w:color="auto"/>
        <w:right w:val="none" w:sz="0" w:space="0" w:color="auto"/>
      </w:divBdr>
    </w:div>
    <w:div w:id="1497499171">
      <w:bodyDiv w:val="1"/>
      <w:marLeft w:val="0"/>
      <w:marRight w:val="0"/>
      <w:marTop w:val="0"/>
      <w:marBottom w:val="0"/>
      <w:divBdr>
        <w:top w:val="none" w:sz="0" w:space="0" w:color="auto"/>
        <w:left w:val="none" w:sz="0" w:space="0" w:color="auto"/>
        <w:bottom w:val="none" w:sz="0" w:space="0" w:color="auto"/>
        <w:right w:val="none" w:sz="0" w:space="0" w:color="auto"/>
      </w:divBdr>
      <w:divsChild>
        <w:div w:id="944113226">
          <w:marLeft w:val="547"/>
          <w:marRight w:val="0"/>
          <w:marTop w:val="0"/>
          <w:marBottom w:val="0"/>
          <w:divBdr>
            <w:top w:val="none" w:sz="0" w:space="0" w:color="auto"/>
            <w:left w:val="none" w:sz="0" w:space="0" w:color="auto"/>
            <w:bottom w:val="none" w:sz="0" w:space="0" w:color="auto"/>
            <w:right w:val="none" w:sz="0" w:space="0" w:color="auto"/>
          </w:divBdr>
        </w:div>
      </w:divsChild>
    </w:div>
    <w:div w:id="1577518864">
      <w:bodyDiv w:val="1"/>
      <w:marLeft w:val="0"/>
      <w:marRight w:val="0"/>
      <w:marTop w:val="0"/>
      <w:marBottom w:val="0"/>
      <w:divBdr>
        <w:top w:val="none" w:sz="0" w:space="0" w:color="auto"/>
        <w:left w:val="none" w:sz="0" w:space="0" w:color="auto"/>
        <w:bottom w:val="none" w:sz="0" w:space="0" w:color="auto"/>
        <w:right w:val="none" w:sz="0" w:space="0" w:color="auto"/>
      </w:divBdr>
    </w:div>
    <w:div w:id="1578393645">
      <w:bodyDiv w:val="1"/>
      <w:marLeft w:val="0"/>
      <w:marRight w:val="0"/>
      <w:marTop w:val="0"/>
      <w:marBottom w:val="0"/>
      <w:divBdr>
        <w:top w:val="none" w:sz="0" w:space="0" w:color="auto"/>
        <w:left w:val="none" w:sz="0" w:space="0" w:color="auto"/>
        <w:bottom w:val="none" w:sz="0" w:space="0" w:color="auto"/>
        <w:right w:val="none" w:sz="0" w:space="0" w:color="auto"/>
      </w:divBdr>
    </w:div>
    <w:div w:id="1657880564">
      <w:bodyDiv w:val="1"/>
      <w:marLeft w:val="0"/>
      <w:marRight w:val="0"/>
      <w:marTop w:val="0"/>
      <w:marBottom w:val="0"/>
      <w:divBdr>
        <w:top w:val="none" w:sz="0" w:space="0" w:color="auto"/>
        <w:left w:val="none" w:sz="0" w:space="0" w:color="auto"/>
        <w:bottom w:val="none" w:sz="0" w:space="0" w:color="auto"/>
        <w:right w:val="none" w:sz="0" w:space="0" w:color="auto"/>
      </w:divBdr>
    </w:div>
    <w:div w:id="1678847975">
      <w:bodyDiv w:val="1"/>
      <w:marLeft w:val="0"/>
      <w:marRight w:val="0"/>
      <w:marTop w:val="0"/>
      <w:marBottom w:val="0"/>
      <w:divBdr>
        <w:top w:val="none" w:sz="0" w:space="0" w:color="auto"/>
        <w:left w:val="none" w:sz="0" w:space="0" w:color="auto"/>
        <w:bottom w:val="none" w:sz="0" w:space="0" w:color="auto"/>
        <w:right w:val="none" w:sz="0" w:space="0" w:color="auto"/>
      </w:divBdr>
    </w:div>
    <w:div w:id="1681661202">
      <w:bodyDiv w:val="1"/>
      <w:marLeft w:val="0"/>
      <w:marRight w:val="0"/>
      <w:marTop w:val="0"/>
      <w:marBottom w:val="0"/>
      <w:divBdr>
        <w:top w:val="none" w:sz="0" w:space="0" w:color="auto"/>
        <w:left w:val="none" w:sz="0" w:space="0" w:color="auto"/>
        <w:bottom w:val="none" w:sz="0" w:space="0" w:color="auto"/>
        <w:right w:val="none" w:sz="0" w:space="0" w:color="auto"/>
      </w:divBdr>
    </w:div>
    <w:div w:id="1688678131">
      <w:bodyDiv w:val="1"/>
      <w:marLeft w:val="0"/>
      <w:marRight w:val="0"/>
      <w:marTop w:val="0"/>
      <w:marBottom w:val="0"/>
      <w:divBdr>
        <w:top w:val="none" w:sz="0" w:space="0" w:color="auto"/>
        <w:left w:val="none" w:sz="0" w:space="0" w:color="auto"/>
        <w:bottom w:val="none" w:sz="0" w:space="0" w:color="auto"/>
        <w:right w:val="none" w:sz="0" w:space="0" w:color="auto"/>
      </w:divBdr>
    </w:div>
    <w:div w:id="1701272472">
      <w:bodyDiv w:val="1"/>
      <w:marLeft w:val="0"/>
      <w:marRight w:val="0"/>
      <w:marTop w:val="0"/>
      <w:marBottom w:val="0"/>
      <w:divBdr>
        <w:top w:val="none" w:sz="0" w:space="0" w:color="auto"/>
        <w:left w:val="none" w:sz="0" w:space="0" w:color="auto"/>
        <w:bottom w:val="none" w:sz="0" w:space="0" w:color="auto"/>
        <w:right w:val="none" w:sz="0" w:space="0" w:color="auto"/>
      </w:divBdr>
    </w:div>
    <w:div w:id="1706176616">
      <w:bodyDiv w:val="1"/>
      <w:marLeft w:val="0"/>
      <w:marRight w:val="0"/>
      <w:marTop w:val="0"/>
      <w:marBottom w:val="0"/>
      <w:divBdr>
        <w:top w:val="none" w:sz="0" w:space="0" w:color="auto"/>
        <w:left w:val="none" w:sz="0" w:space="0" w:color="auto"/>
        <w:bottom w:val="none" w:sz="0" w:space="0" w:color="auto"/>
        <w:right w:val="none" w:sz="0" w:space="0" w:color="auto"/>
      </w:divBdr>
    </w:div>
    <w:div w:id="1773161726">
      <w:bodyDiv w:val="1"/>
      <w:marLeft w:val="0"/>
      <w:marRight w:val="0"/>
      <w:marTop w:val="0"/>
      <w:marBottom w:val="0"/>
      <w:divBdr>
        <w:top w:val="none" w:sz="0" w:space="0" w:color="auto"/>
        <w:left w:val="none" w:sz="0" w:space="0" w:color="auto"/>
        <w:bottom w:val="none" w:sz="0" w:space="0" w:color="auto"/>
        <w:right w:val="none" w:sz="0" w:space="0" w:color="auto"/>
      </w:divBdr>
    </w:div>
    <w:div w:id="1779567041">
      <w:bodyDiv w:val="1"/>
      <w:marLeft w:val="0"/>
      <w:marRight w:val="0"/>
      <w:marTop w:val="0"/>
      <w:marBottom w:val="0"/>
      <w:divBdr>
        <w:top w:val="none" w:sz="0" w:space="0" w:color="auto"/>
        <w:left w:val="none" w:sz="0" w:space="0" w:color="auto"/>
        <w:bottom w:val="none" w:sz="0" w:space="0" w:color="auto"/>
        <w:right w:val="none" w:sz="0" w:space="0" w:color="auto"/>
      </w:divBdr>
    </w:div>
    <w:div w:id="1837764602">
      <w:bodyDiv w:val="1"/>
      <w:marLeft w:val="0"/>
      <w:marRight w:val="0"/>
      <w:marTop w:val="0"/>
      <w:marBottom w:val="0"/>
      <w:divBdr>
        <w:top w:val="none" w:sz="0" w:space="0" w:color="auto"/>
        <w:left w:val="none" w:sz="0" w:space="0" w:color="auto"/>
        <w:bottom w:val="none" w:sz="0" w:space="0" w:color="auto"/>
        <w:right w:val="none" w:sz="0" w:space="0" w:color="auto"/>
      </w:divBdr>
    </w:div>
    <w:div w:id="1857578493">
      <w:bodyDiv w:val="1"/>
      <w:marLeft w:val="0"/>
      <w:marRight w:val="0"/>
      <w:marTop w:val="0"/>
      <w:marBottom w:val="0"/>
      <w:divBdr>
        <w:top w:val="none" w:sz="0" w:space="0" w:color="auto"/>
        <w:left w:val="none" w:sz="0" w:space="0" w:color="auto"/>
        <w:bottom w:val="none" w:sz="0" w:space="0" w:color="auto"/>
        <w:right w:val="none" w:sz="0" w:space="0" w:color="auto"/>
      </w:divBdr>
    </w:div>
    <w:div w:id="1860195708">
      <w:bodyDiv w:val="1"/>
      <w:marLeft w:val="0"/>
      <w:marRight w:val="0"/>
      <w:marTop w:val="0"/>
      <w:marBottom w:val="0"/>
      <w:divBdr>
        <w:top w:val="none" w:sz="0" w:space="0" w:color="auto"/>
        <w:left w:val="none" w:sz="0" w:space="0" w:color="auto"/>
        <w:bottom w:val="none" w:sz="0" w:space="0" w:color="auto"/>
        <w:right w:val="none" w:sz="0" w:space="0" w:color="auto"/>
      </w:divBdr>
    </w:div>
    <w:div w:id="1863005680">
      <w:bodyDiv w:val="1"/>
      <w:marLeft w:val="0"/>
      <w:marRight w:val="0"/>
      <w:marTop w:val="0"/>
      <w:marBottom w:val="0"/>
      <w:divBdr>
        <w:top w:val="none" w:sz="0" w:space="0" w:color="auto"/>
        <w:left w:val="none" w:sz="0" w:space="0" w:color="auto"/>
        <w:bottom w:val="none" w:sz="0" w:space="0" w:color="auto"/>
        <w:right w:val="none" w:sz="0" w:space="0" w:color="auto"/>
      </w:divBdr>
    </w:div>
    <w:div w:id="1875996008">
      <w:bodyDiv w:val="1"/>
      <w:marLeft w:val="0"/>
      <w:marRight w:val="0"/>
      <w:marTop w:val="0"/>
      <w:marBottom w:val="0"/>
      <w:divBdr>
        <w:top w:val="none" w:sz="0" w:space="0" w:color="auto"/>
        <w:left w:val="none" w:sz="0" w:space="0" w:color="auto"/>
        <w:bottom w:val="none" w:sz="0" w:space="0" w:color="auto"/>
        <w:right w:val="none" w:sz="0" w:space="0" w:color="auto"/>
      </w:divBdr>
    </w:div>
    <w:div w:id="1926721831">
      <w:bodyDiv w:val="1"/>
      <w:marLeft w:val="0"/>
      <w:marRight w:val="0"/>
      <w:marTop w:val="0"/>
      <w:marBottom w:val="0"/>
      <w:divBdr>
        <w:top w:val="none" w:sz="0" w:space="0" w:color="auto"/>
        <w:left w:val="none" w:sz="0" w:space="0" w:color="auto"/>
        <w:bottom w:val="none" w:sz="0" w:space="0" w:color="auto"/>
        <w:right w:val="none" w:sz="0" w:space="0" w:color="auto"/>
      </w:divBdr>
    </w:div>
    <w:div w:id="1988047985">
      <w:bodyDiv w:val="1"/>
      <w:marLeft w:val="0"/>
      <w:marRight w:val="0"/>
      <w:marTop w:val="0"/>
      <w:marBottom w:val="0"/>
      <w:divBdr>
        <w:top w:val="none" w:sz="0" w:space="0" w:color="auto"/>
        <w:left w:val="none" w:sz="0" w:space="0" w:color="auto"/>
        <w:bottom w:val="none" w:sz="0" w:space="0" w:color="auto"/>
        <w:right w:val="none" w:sz="0" w:space="0" w:color="auto"/>
      </w:divBdr>
    </w:div>
    <w:div w:id="2062092615">
      <w:bodyDiv w:val="1"/>
      <w:marLeft w:val="0"/>
      <w:marRight w:val="0"/>
      <w:marTop w:val="0"/>
      <w:marBottom w:val="0"/>
      <w:divBdr>
        <w:top w:val="none" w:sz="0" w:space="0" w:color="auto"/>
        <w:left w:val="none" w:sz="0" w:space="0" w:color="auto"/>
        <w:bottom w:val="none" w:sz="0" w:space="0" w:color="auto"/>
        <w:right w:val="none" w:sz="0" w:space="0" w:color="auto"/>
      </w:divBdr>
    </w:div>
    <w:div w:id="21068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18" Type="http://schemas.openxmlformats.org/officeDocument/2006/relationships/customXml" Target="ink/ink9.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ustomXml" Target="ink/ink12.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customXml" Target="ink/ink8.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customXml" Target="ink/ink1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ink/ink14.xml"/><Relationship Id="rId28" Type="http://schemas.openxmlformats.org/officeDocument/2006/relationships/image" Target="media/image3.png"/><Relationship Id="rId10" Type="http://schemas.openxmlformats.org/officeDocument/2006/relationships/customXml" Target="ink/ink2.xml"/><Relationship Id="rId19" Type="http://schemas.openxmlformats.org/officeDocument/2006/relationships/customXml" Target="ink/ink10.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6.xml"/><Relationship Id="rId22" Type="http://schemas.openxmlformats.org/officeDocument/2006/relationships/customXml" Target="ink/ink13.xml"/><Relationship Id="rId27" Type="http://schemas.openxmlformats.org/officeDocument/2006/relationships/image" Target="media/image2.png"/><Relationship Id="rId30"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24.563"/>
    </inkml:context>
    <inkml:brush xml:id="br0">
      <inkml:brushProperty name="width" value="0.02333" units="cm"/>
      <inkml:brushProperty name="height" value="0.02333" units="cm"/>
    </inkml:brush>
  </inkml:definitions>
  <inkml:trace contextRef="#ctx0" brushRef="#br0">10400 637</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02.464"/>
    </inkml:context>
    <inkml:brush xml:id="br0">
      <inkml:brushProperty name="width" value="0.02333" units="cm"/>
      <inkml:brushProperty name="height" value="0.02333" units="cm"/>
    </inkml:brush>
  </inkml:definitions>
  <inkml:trace contextRef="#ctx0" brushRef="#br0">7078 1673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4:58.940"/>
    </inkml:context>
    <inkml:brush xml:id="br0">
      <inkml:brushProperty name="width" value="0.02333" units="cm"/>
      <inkml:brushProperty name="height" value="0.02333" units="cm"/>
    </inkml:brush>
  </inkml:definitions>
  <inkml:trace contextRef="#ctx0" brushRef="#br0">12555 2803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01.551"/>
    </inkml:context>
    <inkml:brush xml:id="br0">
      <inkml:brushProperty name="width" value="0.02333" units="cm"/>
      <inkml:brushProperty name="height" value="0.02333" units="cm"/>
    </inkml:brush>
  </inkml:definitions>
  <inkml:trace contextRef="#ctx0" brushRef="#br0">4099 3062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00.782"/>
    </inkml:context>
    <inkml:brush xml:id="br0">
      <inkml:brushProperty name="width" value="0.02333" units="cm"/>
      <inkml:brushProperty name="height" value="0.02333" units="cm"/>
    </inkml:brush>
  </inkml:definitions>
  <inkml:trace contextRef="#ctx0" brushRef="#br0">3804 3252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04.115"/>
    </inkml:context>
    <inkml:brush xml:id="br0">
      <inkml:brushProperty name="width" value="0.02333" units="cm"/>
      <inkml:brushProperty name="height" value="0.02333" units="cm"/>
    </inkml:brush>
  </inkml:definitions>
  <inkml:trace contextRef="#ctx0" brushRef="#br0">5994 4864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10.549"/>
    </inkml:context>
    <inkml:brush xml:id="br0">
      <inkml:brushProperty name="width" value="0.02333" units="cm"/>
      <inkml:brushProperty name="height" value="0.02333" units="cm"/>
    </inkml:brush>
  </inkml:definitions>
  <inkml:trace contextRef="#ctx0" brushRef="#br0">11388 1496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10.360"/>
    </inkml:context>
    <inkml:brush xml:id="br0">
      <inkml:brushProperty name="width" value="0.02333" units="cm"/>
      <inkml:brushProperty name="height" value="0.02333" units="cm"/>
    </inkml:brush>
  </inkml:definitions>
  <inkml:trace contextRef="#ctx0" brushRef="#br0">11388 1496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10.029"/>
    </inkml:context>
    <inkml:brush xml:id="br0">
      <inkml:brushProperty name="width" value="0.02333" units="cm"/>
      <inkml:brushProperty name="height" value="0.02333" units="cm"/>
    </inkml:brush>
  </inkml:definitions>
  <inkml:trace contextRef="#ctx0" brushRef="#br0">11388 1496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09.274"/>
    </inkml:context>
    <inkml:brush xml:id="br0">
      <inkml:brushProperty name="width" value="0.02333" units="cm"/>
      <inkml:brushProperty name="height" value="0.02333" units="cm"/>
    </inkml:brush>
  </inkml:definitions>
  <inkml:trace contextRef="#ctx0" brushRef="#br0">10988 1626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18.050"/>
    </inkml:context>
    <inkml:brush xml:id="br0">
      <inkml:brushProperty name="width" value="0.02333" units="cm"/>
      <inkml:brushProperty name="height" value="0.02333" units="cm"/>
    </inkml:brush>
  </inkml:definitions>
  <inkml:trace contextRef="#ctx0" brushRef="#br0">11459 2221,'0'-5,"0"-6,0 0,0 8,0 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17.217"/>
    </inkml:context>
    <inkml:brush xml:id="br0">
      <inkml:brushProperty name="width" value="0.02333" units="cm"/>
      <inkml:brushProperty name="height" value="0.02333" units="cm"/>
    </inkml:brush>
  </inkml:definitions>
  <inkml:trace contextRef="#ctx0" brushRef="#br0">11459 2214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16.966"/>
    </inkml:context>
    <inkml:brush xml:id="br0">
      <inkml:brushProperty name="width" value="0.02333" units="cm"/>
      <inkml:brushProperty name="height" value="0.02333" units="cm"/>
    </inkml:brush>
  </inkml:definitions>
  <inkml:trace contextRef="#ctx0" brushRef="#br0">11459 2214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05T20:15:16.133"/>
    </inkml:context>
    <inkml:brush xml:id="br0">
      <inkml:brushProperty name="width" value="0.02333" units="cm"/>
      <inkml:brushProperty name="height" value="0.02333" units="cm"/>
    </inkml:brush>
  </inkml:definitions>
  <inkml:trace contextRef="#ctx0" brushRef="#br0">11565 2167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FEDD-DCFB-4178-A750-A54C10DC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43439</Words>
  <Characters>245436</Characters>
  <Application>Microsoft Office Word</Application>
  <DocSecurity>0</DocSecurity>
  <Lines>5335</Lines>
  <Paragraphs>1965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Dipanwita Chakraborty</dc:creator>
  <cp:keywords/>
  <dc:description/>
  <cp:lastModifiedBy>Barış Öngel</cp:lastModifiedBy>
  <cp:revision>4</cp:revision>
  <cp:lastPrinted>2017-09-30T10:11:00Z</cp:lastPrinted>
  <dcterms:created xsi:type="dcterms:W3CDTF">2017-11-02T06:22:00Z</dcterms:created>
  <dcterms:modified xsi:type="dcterms:W3CDTF">2017-11-02T06:30:00Z</dcterms:modified>
</cp:coreProperties>
</file>