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header6.xml" ContentType="application/vnd.openxmlformats-officedocument.wordprocessingml.header+xml"/>
  <Override PartName="/word/charts/chart12.xml" ContentType="application/vnd.openxmlformats-officedocument.drawingml.chart+xml"/>
  <Override PartName="/word/theme/themeOverride11.xml" ContentType="application/vnd.openxmlformats-officedocument.themeOverride+xml"/>
  <Override PartName="/word/drawings/drawing2.xml" ContentType="application/vnd.openxmlformats-officedocument.drawingml.chartshapes+xml"/>
  <Override PartName="/word/charts/chart13.xml" ContentType="application/vnd.openxmlformats-officedocument.drawingml.chart+xml"/>
  <Override PartName="/word/theme/themeOverride12.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theme/themeOverride13.xml" ContentType="application/vnd.openxmlformats-officedocument.themeOverride+xml"/>
  <Override PartName="/word/drawings/drawing3.xml" ContentType="application/vnd.openxmlformats-officedocument.drawingml.chartshapes+xml"/>
  <Override PartName="/word/charts/chart18.xml" ContentType="application/vnd.openxmlformats-officedocument.drawingml.chart+xml"/>
  <Override PartName="/word/theme/themeOverride14.xml" ContentType="application/vnd.openxmlformats-officedocument.themeOverride+xml"/>
  <Override PartName="/word/drawings/drawing4.xml" ContentType="application/vnd.openxmlformats-officedocument.drawingml.chartshapes+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theme/themeOverride15.xml" ContentType="application/vnd.openxmlformats-officedocument.themeOverride+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theme/themeOverride16.xml" ContentType="application/vnd.openxmlformats-officedocument.themeOverride+xml"/>
  <Override PartName="/word/charts/chart27.xml" ContentType="application/vnd.openxmlformats-officedocument.drawingml.chart+xml"/>
  <Override PartName="/word/theme/themeOverride17.xml" ContentType="application/vnd.openxmlformats-officedocument.themeOverride+xml"/>
  <Override PartName="/word/header7.xml" ContentType="application/vnd.openxmlformats-officedocument.wordprocessingml.header+xml"/>
  <Override PartName="/word/charts/chart28.xml" ContentType="application/vnd.openxmlformats-officedocument.drawingml.chart+xml"/>
  <Override PartName="/word/theme/themeOverride18.xml" ContentType="application/vnd.openxmlformats-officedocument.themeOverride+xml"/>
  <Override PartName="/word/charts/chart29.xml" ContentType="application/vnd.openxmlformats-officedocument.drawingml.chart+xml"/>
  <Override PartName="/word/theme/themeOverride19.xml" ContentType="application/vnd.openxmlformats-officedocument.themeOverride+xml"/>
  <Override PartName="/word/charts/chart30.xml" ContentType="application/vnd.openxmlformats-officedocument.drawingml.chart+xml"/>
  <Override PartName="/word/theme/themeOverride20.xml" ContentType="application/vnd.openxmlformats-officedocument.themeOverride+xml"/>
  <Override PartName="/word/charts/chart31.xml" ContentType="application/vnd.openxmlformats-officedocument.drawingml.chart+xml"/>
  <Override PartName="/word/theme/themeOverride21.xml" ContentType="application/vnd.openxmlformats-officedocument.themeOverride+xml"/>
  <Override PartName="/word/charts/chart32.xml" ContentType="application/vnd.openxmlformats-officedocument.drawingml.chart+xml"/>
  <Override PartName="/word/theme/themeOverride22.xml" ContentType="application/vnd.openxmlformats-officedocument.themeOverride+xml"/>
  <Override PartName="/word/charts/chart33.xml" ContentType="application/vnd.openxmlformats-officedocument.drawingml.chart+xml"/>
  <Override PartName="/word/theme/themeOverride23.xml" ContentType="application/vnd.openxmlformats-officedocument.themeOverride+xml"/>
  <Override PartName="/word/header8.xml" ContentType="application/vnd.openxmlformats-officedocument.wordprocessingml.header+xml"/>
  <Override PartName="/word/header9.xml" ContentType="application/vnd.openxmlformats-officedocument.wordprocessingml.header+xml"/>
  <Override PartName="/word/charts/chart34.xml" ContentType="application/vnd.openxmlformats-officedocument.drawingml.chart+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401213950"/>
    <w:bookmarkStart w:id="1" w:name="_GoBack"/>
    <w:bookmarkEnd w:id="1"/>
    <w:p w14:paraId="119800EE" w14:textId="1364DA06" w:rsidR="0075137A" w:rsidRDefault="003732A2" w:rsidP="0075137A">
      <w:r>
        <w:rPr>
          <w:noProof/>
        </w:rPr>
        <mc:AlternateContent>
          <mc:Choice Requires="wps">
            <w:drawing>
              <wp:anchor distT="0" distB="0" distL="114300" distR="114300" simplePos="0" relativeHeight="251669504" behindDoc="0" locked="0" layoutInCell="1" allowOverlap="1" wp14:anchorId="1F0CCC8F" wp14:editId="0844DBB3">
                <wp:simplePos x="0" y="0"/>
                <wp:positionH relativeFrom="column">
                  <wp:posOffset>-285750</wp:posOffset>
                </wp:positionH>
                <wp:positionV relativeFrom="paragraph">
                  <wp:posOffset>9526</wp:posOffset>
                </wp:positionV>
                <wp:extent cx="1562100" cy="400050"/>
                <wp:effectExtent l="0" t="0" r="19050" b="19050"/>
                <wp:wrapNone/>
                <wp:docPr id="26" name="Text Box 26"/>
                <wp:cNvGraphicFramePr/>
                <a:graphic xmlns:a="http://schemas.openxmlformats.org/drawingml/2006/main">
                  <a:graphicData uri="http://schemas.microsoft.com/office/word/2010/wordprocessingShape">
                    <wps:wsp>
                      <wps:cNvSpPr txBox="1"/>
                      <wps:spPr>
                        <a:xfrm>
                          <a:off x="0" y="0"/>
                          <a:ext cx="1562100" cy="400050"/>
                        </a:xfrm>
                        <a:prstGeom prst="rect">
                          <a:avLst/>
                        </a:prstGeom>
                        <a:solidFill>
                          <a:srgbClr val="6699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943850" w14:textId="1111E52C" w:rsidR="003732A2" w:rsidRPr="003732A2" w:rsidRDefault="003732A2" w:rsidP="003732A2">
                            <w:pPr>
                              <w:shd w:val="clear" w:color="auto" w:fill="669900"/>
                              <w:rPr>
                                <w:rFonts w:asciiTheme="minorHAnsi" w:hAnsiTheme="minorHAnsi"/>
                                <w:sz w:val="24"/>
                                <w:szCs w:val="24"/>
                              </w:rPr>
                            </w:pPr>
                            <w:r w:rsidRPr="003732A2">
                              <w:rPr>
                                <w:rFonts w:asciiTheme="minorHAnsi" w:hAnsiTheme="minorHAnsi"/>
                                <w:sz w:val="24"/>
                                <w:szCs w:val="24"/>
                              </w:rPr>
                              <w:t xml:space="preserve">Report No. </w:t>
                            </w:r>
                            <w:r w:rsidRPr="003732A2">
                              <w:rPr>
                                <w:rFonts w:asciiTheme="minorHAnsi" w:hAnsiTheme="minorHAnsi" w:cs="Arial"/>
                                <w:sz w:val="24"/>
                                <w:szCs w:val="24"/>
                              </w:rPr>
                              <w:t>97175-ZW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0CCC8F" id="_x0000_t202" coordsize="21600,21600" o:spt="202" path="m,l,21600r21600,l21600,xe">
                <v:stroke joinstyle="miter"/>
                <v:path gradientshapeok="t" o:connecttype="rect"/>
              </v:shapetype>
              <v:shape id="Text Box 26" o:spid="_x0000_s1026" type="#_x0000_t202" style="position:absolute;margin-left:-22.5pt;margin-top:.75pt;width:123pt;height:3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" fillcolor="#690" strokeweight=".5pt">
                <v:textbox>
                  <w:txbxContent>
                    <w:p w14:paraId="53943850" w14:textId="1111E52C" w:rsidR="003732A2" w:rsidRPr="003732A2" w:rsidRDefault="003732A2" w:rsidP="003732A2">
                      <w:pPr>
                        <w:shd w:val="clear" w:color="auto" w:fill="669900"/>
                        <w:rPr>
                          <w:rFonts w:asciiTheme="minorHAnsi" w:hAnsiTheme="minorHAnsi"/>
                          <w:sz w:val="24"/>
                          <w:szCs w:val="24"/>
                        </w:rPr>
                      </w:pPr>
                      <w:r w:rsidRPr="003732A2">
                        <w:rPr>
                          <w:rFonts w:asciiTheme="minorHAnsi" w:hAnsiTheme="minorHAnsi"/>
                          <w:sz w:val="24"/>
                          <w:szCs w:val="24"/>
                        </w:rPr>
                        <w:t xml:space="preserve">Report No. </w:t>
                      </w:r>
                      <w:r w:rsidRPr="003732A2">
                        <w:rPr>
                          <w:rFonts w:asciiTheme="minorHAnsi" w:hAnsiTheme="minorHAnsi" w:cs="Arial"/>
                          <w:sz w:val="24"/>
                          <w:szCs w:val="24"/>
                        </w:rPr>
                        <w:t>97175-ZW</w:t>
                      </w:r>
                    </w:p>
                  </w:txbxContent>
                </v:textbox>
              </v:shape>
            </w:pict>
          </mc:Fallback>
        </mc:AlternateContent>
      </w:r>
      <w:r w:rsidR="0075137A">
        <w:rPr>
          <w:noProof/>
        </w:rPr>
        <mc:AlternateContent>
          <mc:Choice Requires="wps">
            <w:drawing>
              <wp:anchor distT="45720" distB="45720" distL="114300" distR="114300" simplePos="0" relativeHeight="251665408" behindDoc="0" locked="0" layoutInCell="1" allowOverlap="1" wp14:anchorId="0EA3BB8D" wp14:editId="4BE25B6E">
                <wp:simplePos x="0" y="0"/>
                <wp:positionH relativeFrom="page">
                  <wp:posOffset>784060</wp:posOffset>
                </wp:positionH>
                <wp:positionV relativeFrom="paragraph">
                  <wp:posOffset>441770</wp:posOffset>
                </wp:positionV>
                <wp:extent cx="7145019" cy="1526539"/>
                <wp:effectExtent l="0" t="0" r="0" b="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5019" cy="1526539"/>
                        </a:xfrm>
                        <a:prstGeom prst="rect">
                          <a:avLst/>
                        </a:prstGeom>
                        <a:noFill/>
                        <a:ln w="9525">
                          <a:noFill/>
                          <a:miter lim="800000"/>
                          <a:headEnd/>
                          <a:tailEnd/>
                        </a:ln>
                      </wps:spPr>
                      <wps:txbx>
                        <w:txbxContent>
                          <w:p w14:paraId="42AEFB29" w14:textId="77777777" w:rsidR="003732A2" w:rsidRPr="0075137A" w:rsidRDefault="003732A2" w:rsidP="0075137A">
                            <w:pPr>
                              <w:rPr>
                                <w:rFonts w:asciiTheme="minorHAnsi" w:hAnsiTheme="minorHAnsi" w:cs="Aharoni"/>
                                <w:b/>
                                <w:color w:val="FFFFFF" w:themeColor="background1"/>
                                <w:sz w:val="72"/>
                                <w:szCs w:val="76"/>
                                <w14:reflection w14:blurRad="6350" w14:stA="55000" w14:stPos="0" w14:endA="300" w14:endPos="45500" w14:dist="0" w14:dir="5400000" w14:fadeDir="5400000" w14:sx="100000" w14:sy="-100000" w14:kx="0" w14:ky="0" w14:algn="bl"/>
                              </w:rPr>
                            </w:pPr>
                            <w:r w:rsidRPr="0075137A">
                              <w:rPr>
                                <w:rFonts w:asciiTheme="minorHAnsi" w:hAnsiTheme="minorHAnsi" w:cs="Aharoni"/>
                                <w:b/>
                                <w:color w:val="FFFFFF" w:themeColor="background1"/>
                                <w:sz w:val="72"/>
                                <w:szCs w:val="76"/>
                                <w14:reflection w14:blurRad="6350" w14:stA="55000" w14:stPos="0" w14:endA="300" w14:endPos="45500" w14:dist="0" w14:dir="5400000" w14:fadeDir="5400000" w14:sx="100000" w14:sy="-100000" w14:kx="0" w14:ky="0" w14:algn="bl"/>
                              </w:rPr>
                              <w:t>Health Public Expenditure Review Zimbabwe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A3BB8D" id="Text Box 2" o:spid="_x0000_s1027" type="#_x0000_t202" style="position:absolute;margin-left:61.75pt;margin-top:34.8pt;width:562.6pt;height:120.2pt;z-index:25166540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" filled="f" stroked="f">
                <v:textbox style="mso-fit-shape-to-text:t">
                  <w:txbxContent>
                    <w:p w14:paraId="42AEFB29" w14:textId="77777777" w:rsidR="003732A2" w:rsidRPr="0075137A" w:rsidRDefault="003732A2" w:rsidP="0075137A">
                      <w:pPr>
                        <w:rPr>
                          <w:rFonts w:asciiTheme="minorHAnsi" w:hAnsiTheme="minorHAnsi" w:cs="Aharoni"/>
                          <w:b/>
                          <w:color w:val="FFFFFF" w:themeColor="background1"/>
                          <w:sz w:val="72"/>
                          <w:szCs w:val="76"/>
                          <w14:reflection w14:blurRad="6350" w14:stA="55000" w14:stPos="0" w14:endA="300" w14:endPos="45500" w14:dist="0" w14:dir="5400000" w14:fadeDir="5400000" w14:sx="100000" w14:sy="-100000" w14:kx="0" w14:ky="0" w14:algn="bl"/>
                        </w:rPr>
                      </w:pPr>
                      <w:r w:rsidRPr="0075137A">
                        <w:rPr>
                          <w:rFonts w:asciiTheme="minorHAnsi" w:hAnsiTheme="minorHAnsi" w:cs="Aharoni"/>
                          <w:b/>
                          <w:color w:val="FFFFFF" w:themeColor="background1"/>
                          <w:sz w:val="72"/>
                          <w:szCs w:val="76"/>
                          <w14:reflection w14:blurRad="6350" w14:stA="55000" w14:stPos="0" w14:endA="300" w14:endPos="45500" w14:dist="0" w14:dir="5400000" w14:fadeDir="5400000" w14:sx="100000" w14:sy="-100000" w14:kx="0" w14:ky="0" w14:algn="bl"/>
                        </w:rPr>
                        <w:t>Health Public Expenditure Review Zimbabwe</w:t>
                      </w:r>
                    </w:p>
                  </w:txbxContent>
                </v:textbox>
                <w10:wrap anchorx="page"/>
              </v:shape>
            </w:pict>
          </mc:Fallback>
        </mc:AlternateContent>
      </w:r>
      <w:r w:rsidR="0075137A">
        <w:rPr>
          <w:noProof/>
        </w:rPr>
        <w:drawing>
          <wp:anchor distT="0" distB="0" distL="114300" distR="114300" simplePos="0" relativeHeight="251664384" behindDoc="0" locked="0" layoutInCell="1" allowOverlap="1" wp14:anchorId="78CF0939" wp14:editId="78414347">
            <wp:simplePos x="0" y="0"/>
            <wp:positionH relativeFrom="margin">
              <wp:posOffset>-255567</wp:posOffset>
            </wp:positionH>
            <wp:positionV relativeFrom="margin">
              <wp:align>center</wp:align>
            </wp:positionV>
            <wp:extent cx="5129784" cy="80010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BF 066.JPG"/>
                    <pic:cNvPicPr/>
                  </pic:nvPicPr>
                  <pic:blipFill>
                    <a:blip r:embed="rId11" cstate="print">
                      <a:extLst>
                        <a:ext uri="{BEBA8EAE-BF5A-486C-A8C5-ECC9F3942E4B}">
                          <a14:imgProps xmlns:a14="http://schemas.microsoft.com/office/drawing/2010/main">
                            <a14:imgLayer r:embed="rId12">
                              <a14:imgEffect>
                                <a14:brightnessContrast bright="19000"/>
                              </a14:imgEffect>
                            </a14:imgLayer>
                          </a14:imgProps>
                        </a:ext>
                        <a:ext uri="{28A0092B-C50C-407E-A947-70E740481C1C}">
                          <a14:useLocalDpi xmlns:a14="http://schemas.microsoft.com/office/drawing/2010/main" val="0"/>
                        </a:ext>
                      </a:extLst>
                    </a:blip>
                    <a:stretch>
                      <a:fillRect/>
                    </a:stretch>
                  </pic:blipFill>
                  <pic:spPr>
                    <a:xfrm>
                      <a:off x="0" y="0"/>
                      <a:ext cx="5129784" cy="8001000"/>
                    </a:xfrm>
                    <a:prstGeom prst="rect">
                      <a:avLst/>
                    </a:prstGeom>
                  </pic:spPr>
                </pic:pic>
              </a:graphicData>
            </a:graphic>
            <wp14:sizeRelH relativeFrom="page">
              <wp14:pctWidth>0</wp14:pctWidth>
            </wp14:sizeRelH>
            <wp14:sizeRelV relativeFrom="page">
              <wp14:pctHeight>0</wp14:pctHeight>
            </wp14:sizeRelV>
          </wp:anchor>
        </w:drawing>
      </w:r>
      <w:r w:rsidR="0075137A">
        <w:rPr>
          <w:noProof/>
        </w:rPr>
        <mc:AlternateContent>
          <mc:Choice Requires="wps">
            <w:drawing>
              <wp:anchor distT="0" distB="0" distL="114300" distR="114300" simplePos="0" relativeHeight="251659263" behindDoc="0" locked="0" layoutInCell="1" allowOverlap="1" wp14:anchorId="50AD5D12" wp14:editId="60895F80">
                <wp:simplePos x="0" y="0"/>
                <wp:positionH relativeFrom="page">
                  <wp:align>left</wp:align>
                </wp:positionH>
                <wp:positionV relativeFrom="paragraph">
                  <wp:posOffset>-914400</wp:posOffset>
                </wp:positionV>
                <wp:extent cx="7562850" cy="10696575"/>
                <wp:effectExtent l="0" t="0" r="19050" b="28575"/>
                <wp:wrapNone/>
                <wp:docPr id="31" name="Rectangle 31"/>
                <wp:cNvGraphicFramePr/>
                <a:graphic xmlns:a="http://schemas.openxmlformats.org/drawingml/2006/main">
                  <a:graphicData uri="http://schemas.microsoft.com/office/word/2010/wordprocessingShape">
                    <wps:wsp>
                      <wps:cNvSpPr/>
                      <wps:spPr>
                        <a:xfrm>
                          <a:off x="0" y="0"/>
                          <a:ext cx="7562850" cy="10696575"/>
                        </a:xfrm>
                        <a:prstGeom prst="rect">
                          <a:avLst/>
                        </a:prstGeom>
                        <a:solidFill>
                          <a:srgbClr val="538135"/>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B5ACEB" id="Rectangle 31" o:spid="_x0000_s1026" style="position:absolute;margin-left:0;margin-top:-1in;width:595.5pt;height:842.25pt;z-index:251659263;visibility:visible;mso-wrap-style:square;mso-width-percent:0;mso-wrap-distance-left:9pt;mso-wrap-distance-top:0;mso-wrap-distance-right:9pt;mso-wrap-distance-bottom:0;mso-position-horizontal:left;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" fillcolor="#538135" strokecolor="#243f60 [1604]" strokeweight="2pt">
                <w10:wrap anchorx="page"/>
              </v:rect>
            </w:pict>
          </mc:Fallback>
        </mc:AlternateContent>
      </w:r>
      <w:r w:rsidR="0075137A">
        <w:rPr>
          <w:rFonts w:ascii="Verdana" w:hAnsi="Verdana" w:cs="Arial"/>
          <w:noProof/>
          <w:color w:val="000000"/>
          <w:sz w:val="18"/>
          <w:szCs w:val="18"/>
        </w:rPr>
        <w:drawing>
          <wp:inline distT="0" distB="0" distL="0" distR="0" wp14:anchorId="621049FB" wp14:editId="3FD5EB10">
            <wp:extent cx="2138680" cy="976630"/>
            <wp:effectExtent l="0" t="0" r="0" b="0"/>
            <wp:docPr id="29" name="Picture 29" descr="http://intresources.worldbank.org/INTGSDGRAPHICSMAPDESIGN/Resources/WBG_Vertical-RGB-web_225x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resources.worldbank.org/INTGSDGRAPHICSMAPDESIGN/Resources/WBG_Vertical-RGB-web_225x1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38680" cy="976630"/>
                    </a:xfrm>
                    <a:prstGeom prst="rect">
                      <a:avLst/>
                    </a:prstGeom>
                    <a:noFill/>
                    <a:ln>
                      <a:noFill/>
                    </a:ln>
                  </pic:spPr>
                </pic:pic>
              </a:graphicData>
            </a:graphic>
          </wp:inline>
        </w:drawing>
      </w:r>
    </w:p>
    <w:p w14:paraId="4F4D9761" w14:textId="4830857C" w:rsidR="000923F9" w:rsidRDefault="0075137A" w:rsidP="000923F9">
      <w:r>
        <w:rPr>
          <w:noProof/>
        </w:rPr>
        <mc:AlternateContent>
          <mc:Choice Requires="wps">
            <w:drawing>
              <wp:anchor distT="45720" distB="45720" distL="114300" distR="114300" simplePos="0" relativeHeight="251666432" behindDoc="0" locked="0" layoutInCell="1" allowOverlap="1" wp14:anchorId="59E473B6" wp14:editId="04D3CE14">
                <wp:simplePos x="0" y="0"/>
                <wp:positionH relativeFrom="column">
                  <wp:posOffset>4219789</wp:posOffset>
                </wp:positionH>
                <wp:positionV relativeFrom="paragraph">
                  <wp:posOffset>5819140</wp:posOffset>
                </wp:positionV>
                <wp:extent cx="2076450" cy="1404620"/>
                <wp:effectExtent l="0" t="0" r="0" b="635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1404620"/>
                        </a:xfrm>
                        <a:prstGeom prst="rect">
                          <a:avLst/>
                        </a:prstGeom>
                        <a:noFill/>
                        <a:ln w="9525">
                          <a:noFill/>
                          <a:miter lim="800000"/>
                          <a:headEnd/>
                          <a:tailEnd/>
                        </a:ln>
                      </wps:spPr>
                      <wps:txbx>
                        <w:txbxContent>
                          <w:p w14:paraId="6B54A4A9" w14:textId="77777777" w:rsidR="003732A2" w:rsidRPr="0075137A" w:rsidRDefault="003732A2" w:rsidP="0075137A">
                            <w:pPr>
                              <w:rPr>
                                <w:rFonts w:asciiTheme="minorHAnsi" w:hAnsiTheme="minorHAnsi"/>
                                <w:b/>
                                <w:color w:val="FFFFFF" w:themeColor="background1"/>
                                <w:sz w:val="60"/>
                                <w:szCs w:val="60"/>
                                <w14:reflection w14:blurRad="6350" w14:stA="55000" w14:stPos="0" w14:endA="300" w14:endPos="45500" w14:dist="0" w14:dir="5400000" w14:fadeDir="5400000" w14:sx="100000" w14:sy="-100000" w14:kx="0" w14:ky="0" w14:algn="bl"/>
                              </w:rPr>
                            </w:pPr>
                            <w:r w:rsidRPr="0075137A">
                              <w:rPr>
                                <w:rFonts w:asciiTheme="minorHAnsi" w:hAnsiTheme="minorHAnsi"/>
                                <w:b/>
                                <w:color w:val="FFFFFF" w:themeColor="background1"/>
                                <w:sz w:val="60"/>
                                <w:szCs w:val="60"/>
                                <w14:reflection w14:blurRad="6350" w14:stA="55000" w14:stPos="0" w14:endA="300" w14:endPos="45500" w14:dist="0" w14:dir="5400000" w14:fadeDir="5400000" w14:sx="100000" w14:sy="-100000" w14:kx="0" w14:ky="0" w14:algn="bl"/>
                              </w:rPr>
                              <w:t>May 2015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9E473B6" id="Text Box 10" o:spid="_x0000_s1028" type="#_x0000_t202" style="position:absolute;margin-left:332.25pt;margin-top:458.2pt;width:163.5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" filled="f" stroked="f">
                <v:textbox style="mso-fit-shape-to-text:t">
                  <w:txbxContent>
                    <w:p w14:paraId="6B54A4A9" w14:textId="77777777" w:rsidR="003732A2" w:rsidRPr="0075137A" w:rsidRDefault="003732A2" w:rsidP="0075137A">
                      <w:pPr>
                        <w:rPr>
                          <w:rFonts w:asciiTheme="minorHAnsi" w:hAnsiTheme="minorHAnsi"/>
                          <w:b/>
                          <w:color w:val="FFFFFF" w:themeColor="background1"/>
                          <w:sz w:val="60"/>
                          <w:szCs w:val="60"/>
                          <w14:reflection w14:blurRad="6350" w14:stA="55000" w14:stPos="0" w14:endA="300" w14:endPos="45500" w14:dist="0" w14:dir="5400000" w14:fadeDir="5400000" w14:sx="100000" w14:sy="-100000" w14:kx="0" w14:ky="0" w14:algn="bl"/>
                        </w:rPr>
                      </w:pPr>
                      <w:r w:rsidRPr="0075137A">
                        <w:rPr>
                          <w:rFonts w:asciiTheme="minorHAnsi" w:hAnsiTheme="minorHAnsi"/>
                          <w:b/>
                          <w:color w:val="FFFFFF" w:themeColor="background1"/>
                          <w:sz w:val="60"/>
                          <w:szCs w:val="60"/>
                          <w14:reflection w14:blurRad="6350" w14:stA="55000" w14:stPos="0" w14:endA="300" w14:endPos="45500" w14:dist="0" w14:dir="5400000" w14:fadeDir="5400000" w14:sx="100000" w14:sy="-100000" w14:kx="0" w14:ky="0" w14:algn="bl"/>
                        </w:rPr>
                        <w:t>May 2015</w:t>
                      </w:r>
                    </w:p>
                  </w:txbxContent>
                </v:textbox>
                <w10:wrap type="square"/>
              </v:shape>
            </w:pict>
          </mc:Fallback>
        </mc:AlternateContent>
      </w:r>
      <w:r>
        <w:rPr>
          <w:noProof/>
        </w:rPr>
        <w:drawing>
          <wp:anchor distT="0" distB="0" distL="114300" distR="114300" simplePos="0" relativeHeight="251668480" behindDoc="0" locked="0" layoutInCell="1" allowOverlap="1" wp14:anchorId="0F6867E8" wp14:editId="087DBBEB">
            <wp:simplePos x="0" y="0"/>
            <wp:positionH relativeFrom="column">
              <wp:posOffset>4901565</wp:posOffset>
            </wp:positionH>
            <wp:positionV relativeFrom="paragraph">
              <wp:posOffset>7373620</wp:posOffset>
            </wp:positionV>
            <wp:extent cx="1102633" cy="963757"/>
            <wp:effectExtent l="0" t="0" r="2540" b="825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at_of_Arms_of_Zimbabw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02633" cy="963757"/>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0E42F918" wp14:editId="43B83097">
            <wp:simplePos x="0" y="0"/>
            <wp:positionH relativeFrom="column">
              <wp:posOffset>-390525</wp:posOffset>
            </wp:positionH>
            <wp:positionV relativeFrom="paragraph">
              <wp:posOffset>7789545</wp:posOffset>
            </wp:positionV>
            <wp:extent cx="3067685" cy="601980"/>
            <wp:effectExtent l="0" t="0" r="0" b="762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BG_Horizontal-RGB-high.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67685" cy="601980"/>
                    </a:xfrm>
                    <a:prstGeom prst="rect">
                      <a:avLst/>
                    </a:prstGeom>
                  </pic:spPr>
                </pic:pic>
              </a:graphicData>
            </a:graphic>
            <wp14:sizeRelH relativeFrom="page">
              <wp14:pctWidth>0</wp14:pctWidth>
            </wp14:sizeRelH>
            <wp14:sizeRelV relativeFrom="page">
              <wp14:pctHeight>0</wp14:pctHeight>
            </wp14:sizeRelV>
          </wp:anchor>
        </w:drawing>
      </w:r>
    </w:p>
    <w:p w14:paraId="2585CACF" w14:textId="77777777" w:rsidR="000923F9" w:rsidRDefault="000923F9" w:rsidP="00075810">
      <w:pPr>
        <w:pStyle w:val="TitreHorsTOC"/>
        <w:sectPr w:rsidR="000923F9" w:rsidSect="00B50A85">
          <w:headerReference w:type="default" r:id="rId16"/>
          <w:footerReference w:type="even" r:id="rId17"/>
          <w:footerReference w:type="default" r:id="rId18"/>
          <w:endnotePr>
            <w:numFmt w:val="decimal"/>
          </w:endnotePr>
          <w:pgSz w:w="11906" w:h="16838"/>
          <w:pgMar w:top="1440" w:right="1440" w:bottom="1440" w:left="1440" w:header="0" w:footer="720" w:gutter="0"/>
          <w:pgNumType w:fmt="lowerRoman"/>
          <w:cols w:space="720"/>
          <w:titlePg/>
          <w:docGrid w:linePitch="360"/>
        </w:sectPr>
      </w:pPr>
    </w:p>
    <w:p w14:paraId="6D4A78FF" w14:textId="15E24BE2" w:rsidR="009E13B3" w:rsidRPr="00C917E2" w:rsidRDefault="009E13B3" w:rsidP="00075810">
      <w:pPr>
        <w:pStyle w:val="TitreHorsTOC"/>
      </w:pPr>
      <w:r w:rsidRPr="00C917E2">
        <w:lastRenderedPageBreak/>
        <w:t>Acknowledgments</w:t>
      </w:r>
      <w:bookmarkEnd w:id="0"/>
    </w:p>
    <w:p w14:paraId="5D10C625" w14:textId="77777777" w:rsidR="00D50875" w:rsidRPr="00C917E2" w:rsidRDefault="00D50875" w:rsidP="00D50875">
      <w:pPr>
        <w:jc w:val="both"/>
        <w:rPr>
          <w:rFonts w:asciiTheme="minorHAnsi" w:hAnsiTheme="minorHAnsi"/>
          <w:noProof/>
          <w:sz w:val="21"/>
          <w:szCs w:val="21"/>
        </w:rPr>
      </w:pPr>
      <w:r w:rsidRPr="00C917E2">
        <w:rPr>
          <w:rFonts w:asciiTheme="minorHAnsi" w:hAnsiTheme="minorHAnsi"/>
          <w:noProof/>
          <w:sz w:val="21"/>
          <w:szCs w:val="21"/>
        </w:rPr>
        <w:t>This Public Expenditure Review (PER) was financed by the World Bank and developed by the World Bank Health, Nutrition and Population Task Team in collaboration with Zimbabwe’s Ministry of Finance and Economic Development (MOFED) and Ministry of Health and Child Care (MOHCC), with the input of development partners. The PER is a follow-up to the Health Policy Note of August 2013.</w:t>
      </w:r>
    </w:p>
    <w:p w14:paraId="678E6EDA" w14:textId="03E2417C" w:rsidR="00427396" w:rsidRPr="00C917E2" w:rsidRDefault="00CF5AC2" w:rsidP="00427396">
      <w:pPr>
        <w:jc w:val="both"/>
        <w:rPr>
          <w:rFonts w:asciiTheme="minorHAnsi" w:hAnsiTheme="minorHAnsi"/>
          <w:noProof/>
          <w:sz w:val="21"/>
          <w:szCs w:val="21"/>
        </w:rPr>
      </w:pPr>
      <w:r>
        <w:rPr>
          <w:rFonts w:asciiTheme="minorHAnsi" w:hAnsiTheme="minorHAnsi"/>
          <w:noProof/>
          <w:sz w:val="21"/>
          <w:szCs w:val="21"/>
        </w:rPr>
        <w:t>This</w:t>
      </w:r>
      <w:r w:rsidR="00427396" w:rsidRPr="00C917E2">
        <w:rPr>
          <w:rFonts w:asciiTheme="minorHAnsi" w:hAnsiTheme="minorHAnsi"/>
          <w:noProof/>
          <w:sz w:val="21"/>
          <w:szCs w:val="21"/>
        </w:rPr>
        <w:t xml:space="preserve"> PER </w:t>
      </w:r>
      <w:r w:rsidR="006E4DEC" w:rsidRPr="00C917E2">
        <w:rPr>
          <w:rFonts w:asciiTheme="minorHAnsi" w:hAnsiTheme="minorHAnsi"/>
          <w:noProof/>
          <w:sz w:val="21"/>
          <w:szCs w:val="21"/>
        </w:rPr>
        <w:t>was led by Ronald Mutasa (</w:t>
      </w:r>
      <w:r w:rsidR="00C83584" w:rsidRPr="00C917E2">
        <w:rPr>
          <w:rFonts w:asciiTheme="minorHAnsi" w:hAnsiTheme="minorHAnsi"/>
          <w:noProof/>
          <w:sz w:val="21"/>
          <w:szCs w:val="21"/>
        </w:rPr>
        <w:t xml:space="preserve">Senior </w:t>
      </w:r>
      <w:r w:rsidR="00427396" w:rsidRPr="00C917E2">
        <w:rPr>
          <w:rFonts w:asciiTheme="minorHAnsi" w:hAnsiTheme="minorHAnsi"/>
          <w:noProof/>
          <w:sz w:val="21"/>
          <w:szCs w:val="21"/>
        </w:rPr>
        <w:t>Health Specialist)</w:t>
      </w:r>
      <w:r>
        <w:rPr>
          <w:rFonts w:asciiTheme="minorHAnsi" w:hAnsiTheme="minorHAnsi"/>
          <w:noProof/>
          <w:sz w:val="21"/>
          <w:szCs w:val="21"/>
        </w:rPr>
        <w:t>.</w:t>
      </w:r>
      <w:r w:rsidR="00427396" w:rsidRPr="00C917E2">
        <w:rPr>
          <w:rFonts w:asciiTheme="minorHAnsi" w:hAnsiTheme="minorHAnsi"/>
          <w:noProof/>
          <w:sz w:val="21"/>
          <w:szCs w:val="21"/>
        </w:rPr>
        <w:t xml:space="preserve"> World Bank team members included: Ha</w:t>
      </w:r>
      <w:r>
        <w:rPr>
          <w:rFonts w:asciiTheme="minorHAnsi" w:hAnsiTheme="minorHAnsi"/>
          <w:noProof/>
          <w:sz w:val="21"/>
          <w:szCs w:val="21"/>
        </w:rPr>
        <w:t> </w:t>
      </w:r>
      <w:r w:rsidR="00C62C96" w:rsidRPr="00C917E2">
        <w:rPr>
          <w:rFonts w:asciiTheme="minorHAnsi" w:hAnsiTheme="minorHAnsi"/>
          <w:noProof/>
          <w:sz w:val="21"/>
          <w:szCs w:val="21"/>
        </w:rPr>
        <w:t>Thi Hong</w:t>
      </w:r>
      <w:r w:rsidR="00427396" w:rsidRPr="00C917E2">
        <w:rPr>
          <w:rFonts w:asciiTheme="minorHAnsi" w:hAnsiTheme="minorHAnsi"/>
          <w:noProof/>
          <w:sz w:val="21"/>
          <w:szCs w:val="21"/>
        </w:rPr>
        <w:t xml:space="preserve"> Nguyen (</w:t>
      </w:r>
      <w:r w:rsidR="00C83584" w:rsidRPr="00C917E2">
        <w:rPr>
          <w:rFonts w:asciiTheme="minorHAnsi" w:hAnsiTheme="minorHAnsi"/>
          <w:noProof/>
          <w:sz w:val="21"/>
          <w:szCs w:val="21"/>
        </w:rPr>
        <w:t xml:space="preserve">Senior </w:t>
      </w:r>
      <w:r w:rsidR="00427396" w:rsidRPr="00C917E2">
        <w:rPr>
          <w:rFonts w:asciiTheme="minorHAnsi" w:hAnsiTheme="minorHAnsi"/>
          <w:noProof/>
          <w:sz w:val="21"/>
          <w:szCs w:val="21"/>
        </w:rPr>
        <w:t>Health Economist), Chenjerai Sisima</w:t>
      </w:r>
      <w:r w:rsidR="006E4DEC" w:rsidRPr="00C917E2">
        <w:rPr>
          <w:rFonts w:asciiTheme="minorHAnsi" w:hAnsiTheme="minorHAnsi"/>
          <w:noProof/>
          <w:sz w:val="21"/>
          <w:szCs w:val="21"/>
        </w:rPr>
        <w:t xml:space="preserve">yi (Epidemiologist), </w:t>
      </w:r>
      <w:r w:rsidR="00427396" w:rsidRPr="00C917E2">
        <w:rPr>
          <w:rFonts w:asciiTheme="minorHAnsi" w:hAnsiTheme="minorHAnsi"/>
          <w:noProof/>
          <w:sz w:val="21"/>
          <w:szCs w:val="21"/>
        </w:rPr>
        <w:t>Sy</w:t>
      </w:r>
      <w:r w:rsidR="00094370">
        <w:rPr>
          <w:rFonts w:asciiTheme="minorHAnsi" w:hAnsiTheme="minorHAnsi"/>
          <w:noProof/>
          <w:sz w:val="21"/>
          <w:szCs w:val="21"/>
        </w:rPr>
        <w:t>lvestre Gaudin (Technical Adviso</w:t>
      </w:r>
      <w:r w:rsidR="00427396" w:rsidRPr="00C917E2">
        <w:rPr>
          <w:rFonts w:asciiTheme="minorHAnsi" w:hAnsiTheme="minorHAnsi"/>
          <w:noProof/>
          <w:sz w:val="21"/>
          <w:szCs w:val="21"/>
        </w:rPr>
        <w:t>r Health Economics/Consultant), Shepherd Shamu (Health Economist/Consultant), Seedwell Hove (Country Economist), Johannes Herderschee (Senior Country Economist)</w:t>
      </w:r>
      <w:r w:rsidR="00C83584" w:rsidRPr="00C917E2">
        <w:rPr>
          <w:rFonts w:asciiTheme="minorHAnsi" w:hAnsiTheme="minorHAnsi"/>
          <w:noProof/>
          <w:sz w:val="21"/>
          <w:szCs w:val="21"/>
        </w:rPr>
        <w:t>, Francesca Branch (Health Specialist/Consultant)</w:t>
      </w:r>
      <w:r w:rsidR="00655FCA" w:rsidRPr="00C917E2">
        <w:rPr>
          <w:rFonts w:asciiTheme="minorHAnsi" w:hAnsiTheme="minorHAnsi"/>
          <w:noProof/>
          <w:sz w:val="21"/>
          <w:szCs w:val="21"/>
        </w:rPr>
        <w:t>,</w:t>
      </w:r>
      <w:r w:rsidR="00427396" w:rsidRPr="00C917E2">
        <w:rPr>
          <w:rFonts w:asciiTheme="minorHAnsi" w:hAnsiTheme="minorHAnsi"/>
          <w:noProof/>
          <w:sz w:val="21"/>
          <w:szCs w:val="21"/>
        </w:rPr>
        <w:t xml:space="preserve"> Leah Jones (Knowledge Management Consultant)</w:t>
      </w:r>
      <w:r>
        <w:rPr>
          <w:rFonts w:asciiTheme="minorHAnsi" w:hAnsiTheme="minorHAnsi"/>
          <w:noProof/>
          <w:sz w:val="21"/>
          <w:szCs w:val="21"/>
        </w:rPr>
        <w:t>,</w:t>
      </w:r>
      <w:r w:rsidR="006A1949" w:rsidRPr="00C917E2">
        <w:rPr>
          <w:rFonts w:asciiTheme="minorHAnsi" w:hAnsiTheme="minorHAnsi"/>
          <w:noProof/>
          <w:sz w:val="21"/>
          <w:szCs w:val="21"/>
        </w:rPr>
        <w:t xml:space="preserve"> and Jonathan Aspi</w:t>
      </w:r>
      <w:r w:rsidR="00655FCA" w:rsidRPr="00C917E2">
        <w:rPr>
          <w:rFonts w:asciiTheme="minorHAnsi" w:hAnsiTheme="minorHAnsi"/>
          <w:noProof/>
          <w:sz w:val="21"/>
          <w:szCs w:val="21"/>
        </w:rPr>
        <w:t>n (Editor)</w:t>
      </w:r>
      <w:r w:rsidR="00427396" w:rsidRPr="00C917E2">
        <w:rPr>
          <w:rFonts w:asciiTheme="minorHAnsi" w:hAnsiTheme="minorHAnsi"/>
          <w:noProof/>
          <w:sz w:val="21"/>
          <w:szCs w:val="21"/>
        </w:rPr>
        <w:t xml:space="preserve">. The team gratefully acknowledges technical input by Edit Velenyi (Health Economist) in the formative stages of the study. The team also appreciates the administrative and management support of Farai Sekeramayi-Noble (Program Assistant, Harare) and Yvette Atkins (Senior Program Assistant, Washington, DC). </w:t>
      </w:r>
    </w:p>
    <w:p w14:paraId="5E3F933C" w14:textId="77777777" w:rsidR="00427396" w:rsidRPr="00C917E2" w:rsidRDefault="00427396" w:rsidP="00427396">
      <w:pPr>
        <w:jc w:val="both"/>
        <w:rPr>
          <w:rFonts w:asciiTheme="minorHAnsi" w:hAnsiTheme="minorHAnsi"/>
          <w:noProof/>
          <w:sz w:val="21"/>
          <w:szCs w:val="21"/>
        </w:rPr>
      </w:pPr>
      <w:r w:rsidRPr="00C917E2">
        <w:rPr>
          <w:rFonts w:asciiTheme="minorHAnsi" w:hAnsiTheme="minorHAnsi"/>
          <w:noProof/>
          <w:sz w:val="21"/>
          <w:szCs w:val="21"/>
        </w:rPr>
        <w:t>The team acknowledges the guidance of Olusoji Adeyi (Director, Health Nutrition and Population Global Practice), Abdo Yazbeck (Acting Practice Manager, Health Nutrition and Population Global Practice), Nginya Mungai Lenneiye (former Country Manager for Zimbabwe), Camille Lampart Nuamah (Country Manager for Zimbabwe)</w:t>
      </w:r>
      <w:r w:rsidR="00C83584" w:rsidRPr="00C917E2">
        <w:rPr>
          <w:rFonts w:asciiTheme="minorHAnsi" w:hAnsiTheme="minorHAnsi"/>
          <w:noProof/>
          <w:sz w:val="21"/>
          <w:szCs w:val="21"/>
        </w:rPr>
        <w:t xml:space="preserve"> and</w:t>
      </w:r>
      <w:r w:rsidRPr="00C917E2">
        <w:rPr>
          <w:rFonts w:asciiTheme="minorHAnsi" w:hAnsiTheme="minorHAnsi"/>
          <w:noProof/>
          <w:sz w:val="21"/>
          <w:szCs w:val="21"/>
        </w:rPr>
        <w:t xml:space="preserve"> Vijay Pillai (Country Program Coordinator for Zimbabwe)</w:t>
      </w:r>
      <w:r w:rsidR="00C83584" w:rsidRPr="00C917E2">
        <w:rPr>
          <w:rFonts w:asciiTheme="minorHAnsi" w:hAnsiTheme="minorHAnsi"/>
          <w:noProof/>
          <w:sz w:val="21"/>
          <w:szCs w:val="21"/>
        </w:rPr>
        <w:t>.</w:t>
      </w:r>
      <w:r w:rsidRPr="00C917E2">
        <w:rPr>
          <w:rFonts w:asciiTheme="minorHAnsi" w:hAnsiTheme="minorHAnsi"/>
          <w:noProof/>
          <w:sz w:val="21"/>
          <w:szCs w:val="21"/>
        </w:rPr>
        <w:t xml:space="preserve"> The team could not have completed this analysis without the leadership and ownership demonstrated by the MOHCC through Brigadier General Dr. Gwinji (Permanent Secretary). The team likewise appreciates the guidance and input from the MOFED’s </w:t>
      </w:r>
      <w:r w:rsidR="00C83584" w:rsidRPr="00C917E2">
        <w:rPr>
          <w:rFonts w:asciiTheme="minorHAnsi" w:hAnsiTheme="minorHAnsi"/>
          <w:noProof/>
          <w:sz w:val="21"/>
          <w:szCs w:val="21"/>
        </w:rPr>
        <w:t xml:space="preserve">Mr. Churu (Principal Director for Budgets), </w:t>
      </w:r>
      <w:r w:rsidRPr="00C917E2">
        <w:rPr>
          <w:rFonts w:asciiTheme="minorHAnsi" w:hAnsiTheme="minorHAnsi"/>
          <w:noProof/>
          <w:sz w:val="21"/>
          <w:szCs w:val="21"/>
        </w:rPr>
        <w:t>Mr. Vela-Moyo (Director for Budgets), Ms. Matenda (Sr. Economist), Mr. Masiyanise (Deputy Accountant General), and Ms. Mudzi (Chief Accountant). The team wishes to acknowledge the following technical and senior staff from the MOHCC for their technical input and support: Ms. Ma</w:t>
      </w:r>
      <w:r w:rsidR="00C83584" w:rsidRPr="00C917E2">
        <w:rPr>
          <w:rFonts w:asciiTheme="minorHAnsi" w:hAnsiTheme="minorHAnsi"/>
          <w:noProof/>
          <w:sz w:val="21"/>
          <w:szCs w:val="21"/>
        </w:rPr>
        <w:t>chamire</w:t>
      </w:r>
      <w:r w:rsidRPr="00C917E2">
        <w:rPr>
          <w:rFonts w:asciiTheme="minorHAnsi" w:hAnsiTheme="minorHAnsi"/>
          <w:noProof/>
          <w:sz w:val="21"/>
          <w:szCs w:val="21"/>
        </w:rPr>
        <w:t xml:space="preserve"> (Director of Finance and Administration)</w:t>
      </w:r>
      <w:r w:rsidR="00A3411F" w:rsidRPr="00C917E2">
        <w:rPr>
          <w:rFonts w:asciiTheme="minorHAnsi" w:hAnsiTheme="minorHAnsi"/>
          <w:noProof/>
          <w:sz w:val="21"/>
          <w:szCs w:val="21"/>
        </w:rPr>
        <w:t>, Mr</w:t>
      </w:r>
      <w:r w:rsidRPr="00C917E2">
        <w:rPr>
          <w:rFonts w:asciiTheme="minorHAnsi" w:hAnsiTheme="minorHAnsi"/>
          <w:noProof/>
          <w:sz w:val="21"/>
          <w:szCs w:val="21"/>
        </w:rPr>
        <w:t>. Mutyambizi (Chief Accountant), Dr. Mhlanga (Principal Director), Dr. Dhlakama (Principal Director), Mr. Gwati (Economist)</w:t>
      </w:r>
      <w:r w:rsidR="00CF5AC2">
        <w:rPr>
          <w:rFonts w:asciiTheme="minorHAnsi" w:hAnsiTheme="minorHAnsi"/>
          <w:noProof/>
          <w:sz w:val="21"/>
          <w:szCs w:val="21"/>
        </w:rPr>
        <w:t>,</w:t>
      </w:r>
      <w:r w:rsidR="00094370">
        <w:rPr>
          <w:rFonts w:asciiTheme="minorHAnsi" w:hAnsiTheme="minorHAnsi"/>
          <w:noProof/>
          <w:sz w:val="21"/>
          <w:szCs w:val="21"/>
        </w:rPr>
        <w:t xml:space="preserve"> and Mr. Banda (Acting</w:t>
      </w:r>
      <w:r w:rsidRPr="00C917E2">
        <w:rPr>
          <w:rFonts w:asciiTheme="minorHAnsi" w:hAnsiTheme="minorHAnsi"/>
          <w:noProof/>
          <w:sz w:val="21"/>
          <w:szCs w:val="21"/>
        </w:rPr>
        <w:t xml:space="preserve"> Director).</w:t>
      </w:r>
    </w:p>
    <w:p w14:paraId="4800502B" w14:textId="77777777" w:rsidR="00427396" w:rsidRPr="00C917E2" w:rsidRDefault="00427396" w:rsidP="00427396">
      <w:pPr>
        <w:jc w:val="both"/>
        <w:rPr>
          <w:rFonts w:asciiTheme="minorHAnsi" w:hAnsiTheme="minorHAnsi"/>
          <w:noProof/>
          <w:sz w:val="21"/>
          <w:szCs w:val="21"/>
        </w:rPr>
      </w:pPr>
      <w:r w:rsidRPr="00C917E2">
        <w:rPr>
          <w:rFonts w:asciiTheme="minorHAnsi" w:hAnsiTheme="minorHAnsi"/>
          <w:noProof/>
          <w:sz w:val="21"/>
          <w:szCs w:val="21"/>
        </w:rPr>
        <w:t xml:space="preserve">The team gratefully acknowledges external partners who provided data and made time for interviews, including: the Department </w:t>
      </w:r>
      <w:r w:rsidR="00CF5AC2" w:rsidRPr="00C917E2">
        <w:rPr>
          <w:rFonts w:asciiTheme="minorHAnsi" w:hAnsiTheme="minorHAnsi"/>
          <w:noProof/>
          <w:sz w:val="21"/>
          <w:szCs w:val="21"/>
        </w:rPr>
        <w:t xml:space="preserve">for </w:t>
      </w:r>
      <w:r w:rsidRPr="00C917E2">
        <w:rPr>
          <w:rFonts w:asciiTheme="minorHAnsi" w:hAnsiTheme="minorHAnsi"/>
          <w:noProof/>
          <w:sz w:val="21"/>
          <w:szCs w:val="21"/>
        </w:rPr>
        <w:t xml:space="preserve">International Development (DFID); IrishAid; the United States Agency for International Development (USAID) and USAID’s Maternal and Child Health Integrated Program; the U.S. President’s Emergency Plan for AIDS Relief (PEPFAR); the European Commission; UNICEF; </w:t>
      </w:r>
      <w:r w:rsidRPr="00C917E2">
        <w:rPr>
          <w:rFonts w:asciiTheme="minorHAnsi" w:hAnsiTheme="minorHAnsi"/>
          <w:bCs/>
          <w:noProof/>
          <w:sz w:val="21"/>
          <w:szCs w:val="21"/>
        </w:rPr>
        <w:t>Deutsche Gesellschaft für Internationale Zusammenarbeit (GIZ)</w:t>
      </w:r>
      <w:r w:rsidRPr="00C917E2">
        <w:rPr>
          <w:rFonts w:asciiTheme="minorHAnsi" w:hAnsiTheme="minorHAnsi"/>
          <w:noProof/>
          <w:sz w:val="21"/>
          <w:szCs w:val="21"/>
        </w:rPr>
        <w:t xml:space="preserve">; </w:t>
      </w:r>
      <w:r w:rsidR="00CF5AC2">
        <w:rPr>
          <w:rFonts w:asciiTheme="minorHAnsi" w:hAnsiTheme="minorHAnsi"/>
          <w:noProof/>
          <w:sz w:val="21"/>
          <w:szCs w:val="21"/>
        </w:rPr>
        <w:t xml:space="preserve">the </w:t>
      </w:r>
      <w:r w:rsidR="00C83584" w:rsidRPr="00C917E2">
        <w:rPr>
          <w:rFonts w:asciiTheme="minorHAnsi" w:hAnsiTheme="minorHAnsi"/>
          <w:noProof/>
          <w:sz w:val="21"/>
          <w:szCs w:val="21"/>
        </w:rPr>
        <w:t>Embassy of Norway</w:t>
      </w:r>
      <w:r w:rsidRPr="00C917E2">
        <w:rPr>
          <w:rFonts w:asciiTheme="minorHAnsi" w:hAnsiTheme="minorHAnsi"/>
          <w:noProof/>
          <w:sz w:val="21"/>
          <w:szCs w:val="21"/>
        </w:rPr>
        <w:t xml:space="preserve">; the World Health Organization (WHO); and the Global Fund </w:t>
      </w:r>
      <w:r w:rsidR="00CB1495" w:rsidRPr="00C917E2">
        <w:rPr>
          <w:rFonts w:asciiTheme="minorHAnsi" w:hAnsiTheme="minorHAnsi"/>
          <w:noProof/>
          <w:sz w:val="21"/>
          <w:szCs w:val="21"/>
        </w:rPr>
        <w:t xml:space="preserve">to </w:t>
      </w:r>
      <w:r w:rsidRPr="00C917E2">
        <w:rPr>
          <w:rFonts w:asciiTheme="minorHAnsi" w:hAnsiTheme="minorHAnsi"/>
          <w:noProof/>
          <w:sz w:val="21"/>
          <w:szCs w:val="21"/>
        </w:rPr>
        <w:t xml:space="preserve">Fight AIDS, </w:t>
      </w:r>
      <w:r w:rsidR="00ED5269" w:rsidRPr="00C917E2">
        <w:rPr>
          <w:rFonts w:asciiTheme="minorHAnsi" w:hAnsiTheme="minorHAnsi"/>
          <w:noProof/>
          <w:sz w:val="21"/>
          <w:szCs w:val="21"/>
        </w:rPr>
        <w:t>Tuberculosis</w:t>
      </w:r>
      <w:r w:rsidRPr="00C917E2">
        <w:rPr>
          <w:rFonts w:asciiTheme="minorHAnsi" w:hAnsiTheme="minorHAnsi"/>
          <w:noProof/>
          <w:sz w:val="21"/>
          <w:szCs w:val="21"/>
        </w:rPr>
        <w:t xml:space="preserve"> and Malaria. Local partner input and data </w:t>
      </w:r>
      <w:r w:rsidR="00CF5AC2">
        <w:rPr>
          <w:rFonts w:asciiTheme="minorHAnsi" w:hAnsiTheme="minorHAnsi"/>
          <w:noProof/>
          <w:sz w:val="21"/>
          <w:szCs w:val="21"/>
        </w:rPr>
        <w:t xml:space="preserve">were </w:t>
      </w:r>
      <w:r w:rsidRPr="00C917E2">
        <w:rPr>
          <w:rFonts w:asciiTheme="minorHAnsi" w:hAnsiTheme="minorHAnsi"/>
          <w:noProof/>
          <w:sz w:val="21"/>
          <w:szCs w:val="21"/>
        </w:rPr>
        <w:t>made possible by the Organization for Public Health Interventions and Development, Premier Service Medical Aid Society and Econet Wireless.</w:t>
      </w:r>
    </w:p>
    <w:p w14:paraId="4F1066A0" w14:textId="77777777" w:rsidR="00BB3435" w:rsidRPr="00C917E2" w:rsidRDefault="00427396" w:rsidP="00427396">
      <w:pPr>
        <w:jc w:val="both"/>
        <w:rPr>
          <w:rFonts w:asciiTheme="minorHAnsi" w:hAnsiTheme="minorHAnsi"/>
          <w:noProof/>
          <w:sz w:val="21"/>
          <w:szCs w:val="21"/>
        </w:rPr>
      </w:pPr>
      <w:r w:rsidRPr="00C917E2">
        <w:rPr>
          <w:rFonts w:asciiTheme="minorHAnsi" w:hAnsiTheme="minorHAnsi"/>
          <w:noProof/>
          <w:sz w:val="21"/>
          <w:szCs w:val="21"/>
        </w:rPr>
        <w:t>The report benefited from</w:t>
      </w:r>
      <w:r w:rsidR="00C83584" w:rsidRPr="00C917E2">
        <w:rPr>
          <w:rFonts w:asciiTheme="minorHAnsi" w:hAnsiTheme="minorHAnsi"/>
          <w:noProof/>
          <w:sz w:val="21"/>
          <w:szCs w:val="21"/>
        </w:rPr>
        <w:t xml:space="preserve"> internal</w:t>
      </w:r>
      <w:r w:rsidRPr="00C917E2">
        <w:rPr>
          <w:rFonts w:asciiTheme="minorHAnsi" w:hAnsiTheme="minorHAnsi"/>
          <w:noProof/>
          <w:sz w:val="21"/>
          <w:szCs w:val="21"/>
        </w:rPr>
        <w:t xml:space="preserve"> peer review comments by Owen Smith (Senior Health Economist)</w:t>
      </w:r>
      <w:r w:rsidR="00502962">
        <w:rPr>
          <w:rFonts w:asciiTheme="minorHAnsi" w:hAnsiTheme="minorHAnsi"/>
          <w:noProof/>
          <w:sz w:val="21"/>
          <w:szCs w:val="21"/>
        </w:rPr>
        <w:t>,</w:t>
      </w:r>
      <w:r w:rsidRPr="00C917E2">
        <w:rPr>
          <w:rFonts w:asciiTheme="minorHAnsi" w:hAnsiTheme="minorHAnsi"/>
          <w:noProof/>
          <w:sz w:val="21"/>
          <w:szCs w:val="21"/>
        </w:rPr>
        <w:t xml:space="preserve"> Gayle M</w:t>
      </w:r>
      <w:r w:rsidR="00502962">
        <w:rPr>
          <w:rFonts w:asciiTheme="minorHAnsi" w:hAnsiTheme="minorHAnsi"/>
          <w:noProof/>
          <w:sz w:val="21"/>
          <w:szCs w:val="21"/>
        </w:rPr>
        <w:t>artin (Senior Health Economist),</w:t>
      </w:r>
      <w:r w:rsidRPr="00C917E2">
        <w:rPr>
          <w:rFonts w:asciiTheme="minorHAnsi" w:hAnsiTheme="minorHAnsi"/>
          <w:noProof/>
          <w:sz w:val="21"/>
          <w:szCs w:val="21"/>
        </w:rPr>
        <w:t xml:space="preserve"> and Okore Okorafor (Senior Health </w:t>
      </w:r>
      <w:r w:rsidR="00C83584" w:rsidRPr="00C917E2">
        <w:rPr>
          <w:rFonts w:asciiTheme="minorHAnsi" w:hAnsiTheme="minorHAnsi"/>
          <w:noProof/>
          <w:sz w:val="21"/>
          <w:szCs w:val="21"/>
        </w:rPr>
        <w:t>Economist</w:t>
      </w:r>
      <w:r w:rsidRPr="00C917E2">
        <w:rPr>
          <w:rFonts w:asciiTheme="minorHAnsi" w:hAnsiTheme="minorHAnsi"/>
          <w:noProof/>
          <w:sz w:val="21"/>
          <w:szCs w:val="21"/>
        </w:rPr>
        <w:t xml:space="preserve">) from the Health, Nutrition and Population Global Practice. </w:t>
      </w:r>
    </w:p>
    <w:p w14:paraId="433DDC45" w14:textId="50777A7B" w:rsidR="00BB3435" w:rsidRPr="00C917E2" w:rsidRDefault="00BB3435" w:rsidP="00427396">
      <w:pPr>
        <w:jc w:val="both"/>
        <w:rPr>
          <w:noProof/>
          <w:sz w:val="21"/>
          <w:szCs w:val="21"/>
        </w:rPr>
      </w:pPr>
      <w:r w:rsidRPr="00C917E2">
        <w:rPr>
          <w:rFonts w:asciiTheme="minorHAnsi" w:hAnsiTheme="minorHAnsi"/>
          <w:noProof/>
          <w:sz w:val="21"/>
          <w:szCs w:val="21"/>
        </w:rPr>
        <w:t xml:space="preserve">The team gratefully acknowledges input </w:t>
      </w:r>
      <w:r w:rsidR="00C230DF" w:rsidRPr="00C917E2">
        <w:rPr>
          <w:rFonts w:asciiTheme="minorHAnsi" w:hAnsiTheme="minorHAnsi"/>
          <w:noProof/>
          <w:sz w:val="21"/>
          <w:szCs w:val="21"/>
        </w:rPr>
        <w:t>from e</w:t>
      </w:r>
      <w:r w:rsidRPr="00C917E2">
        <w:rPr>
          <w:rFonts w:asciiTheme="minorHAnsi" w:hAnsiTheme="minorHAnsi"/>
          <w:noProof/>
          <w:sz w:val="21"/>
          <w:szCs w:val="21"/>
        </w:rPr>
        <w:t>xternal peer reviewers</w:t>
      </w:r>
      <w:r w:rsidR="00502962">
        <w:rPr>
          <w:rFonts w:asciiTheme="minorHAnsi" w:hAnsiTheme="minorHAnsi"/>
          <w:noProof/>
          <w:sz w:val="21"/>
          <w:szCs w:val="21"/>
        </w:rPr>
        <w:t>:</w:t>
      </w:r>
      <w:r w:rsidRPr="00C917E2">
        <w:rPr>
          <w:rFonts w:asciiTheme="minorHAnsi" w:hAnsiTheme="minorHAnsi"/>
          <w:noProof/>
          <w:sz w:val="21"/>
          <w:szCs w:val="21"/>
        </w:rPr>
        <w:t xml:space="preserve"> Antony Daly (Deputy Basic Services Team Leader, DFID); Patron Mafaune (Provincial Medical Director, MOHCC); Nyasha Masuka (Provincial Medical Director, MOHCC); </w:t>
      </w:r>
      <w:r w:rsidR="00BD675D">
        <w:rPr>
          <w:rFonts w:asciiTheme="minorHAnsi" w:hAnsiTheme="minorHAnsi"/>
          <w:noProof/>
          <w:sz w:val="21"/>
          <w:szCs w:val="21"/>
        </w:rPr>
        <w:t xml:space="preserve"> and </w:t>
      </w:r>
      <w:r w:rsidRPr="00C917E2">
        <w:rPr>
          <w:rFonts w:asciiTheme="minorHAnsi" w:hAnsiTheme="minorHAnsi"/>
          <w:noProof/>
          <w:sz w:val="21"/>
          <w:szCs w:val="21"/>
        </w:rPr>
        <w:t>Paolo Barduagni</w:t>
      </w:r>
      <w:r w:rsidR="00502962">
        <w:rPr>
          <w:rFonts w:asciiTheme="minorHAnsi" w:hAnsiTheme="minorHAnsi"/>
          <w:noProof/>
          <w:sz w:val="21"/>
          <w:szCs w:val="21"/>
        </w:rPr>
        <w:t>,</w:t>
      </w:r>
      <w:r w:rsidR="00BD675D">
        <w:rPr>
          <w:rFonts w:asciiTheme="minorHAnsi" w:hAnsiTheme="minorHAnsi"/>
          <w:noProof/>
          <w:sz w:val="21"/>
          <w:szCs w:val="21"/>
        </w:rPr>
        <w:t xml:space="preserve"> Advisor, European Commission).</w:t>
      </w:r>
      <w:r w:rsidRPr="00C917E2">
        <w:rPr>
          <w:rFonts w:asciiTheme="minorHAnsi" w:hAnsiTheme="minorHAnsi"/>
          <w:noProof/>
          <w:sz w:val="21"/>
          <w:szCs w:val="21"/>
        </w:rPr>
        <w:t xml:space="preserve"> </w:t>
      </w:r>
    </w:p>
    <w:p w14:paraId="37381C3B" w14:textId="77777777" w:rsidR="002346CD" w:rsidRPr="00C917E2" w:rsidRDefault="002346CD" w:rsidP="00E73060">
      <w:pPr>
        <w:rPr>
          <w:rFonts w:eastAsia="MS Gothic"/>
          <w:color w:val="17365D"/>
          <w:spacing w:val="5"/>
          <w:kern w:val="28"/>
          <w:sz w:val="40"/>
          <w:szCs w:val="40"/>
          <w:lang w:eastAsia="ja-JP"/>
        </w:rPr>
      </w:pPr>
      <w:r w:rsidRPr="00C917E2">
        <w:br w:type="page"/>
      </w:r>
    </w:p>
    <w:sdt>
      <w:sdtPr>
        <w:rPr>
          <w:rFonts w:ascii="Cambria" w:eastAsia="MS Mincho" w:hAnsi="Cambria" w:cs="Times New Roman"/>
          <w:b/>
          <w:bCs/>
          <w:color w:val="auto"/>
          <w:spacing w:val="0"/>
          <w:kern w:val="0"/>
          <w:sz w:val="24"/>
          <w:szCs w:val="24"/>
          <w:lang w:eastAsia="en-US"/>
        </w:rPr>
        <w:id w:val="23533581"/>
        <w:docPartObj>
          <w:docPartGallery w:val="Table of Contents"/>
          <w:docPartUnique/>
        </w:docPartObj>
      </w:sdtPr>
      <w:sdtEndPr>
        <w:rPr>
          <w:rFonts w:ascii="Tahoma" w:hAnsi="Tahoma" w:cs="Tahoma"/>
          <w:b w:val="0"/>
          <w:bCs w:val="0"/>
          <w:sz w:val="22"/>
          <w:szCs w:val="22"/>
        </w:rPr>
      </w:sdtEndPr>
      <w:sdtContent>
        <w:bookmarkStart w:id="2" w:name="_Toc401213951" w:displacedByCustomXml="prev"/>
        <w:p w14:paraId="7E9FE31D" w14:textId="77777777" w:rsidR="00404D98" w:rsidRPr="00C917E2" w:rsidRDefault="000F65D4" w:rsidP="00075810">
          <w:pPr>
            <w:pStyle w:val="TitreHorsTOC"/>
          </w:pPr>
          <w:r w:rsidRPr="00C917E2">
            <w:t>C</w:t>
          </w:r>
          <w:r w:rsidR="00404D98" w:rsidRPr="00C917E2">
            <w:t>ontents</w:t>
          </w:r>
          <w:bookmarkEnd w:id="2"/>
        </w:p>
        <w:p w14:paraId="56CC3B54" w14:textId="77777777" w:rsidR="00E22400" w:rsidRDefault="00C713A9">
          <w:pPr>
            <w:pStyle w:val="TOC1"/>
            <w:rPr>
              <w:rFonts w:eastAsiaTheme="minorEastAsia" w:cstheme="minorBidi"/>
              <w:b w:val="0"/>
              <w:bCs w:val="0"/>
              <w:caps w:val="0"/>
              <w:noProof/>
              <w:sz w:val="22"/>
              <w:szCs w:val="22"/>
            </w:rPr>
          </w:pPr>
          <w:r w:rsidRPr="00C917E2">
            <w:fldChar w:fldCharType="begin"/>
          </w:r>
          <w:r w:rsidR="000E7398" w:rsidRPr="00C917E2">
            <w:instrText xml:space="preserve"> TOC \o "1-3" \h \z \t "Titre;1;titre 4a;4" </w:instrText>
          </w:r>
          <w:r w:rsidRPr="00C917E2">
            <w:fldChar w:fldCharType="separate"/>
          </w:r>
          <w:hyperlink w:anchor="_Toc419003990" w:history="1">
            <w:r w:rsidR="00E22400" w:rsidRPr="00941937">
              <w:rPr>
                <w:rStyle w:val="Hyperlink"/>
                <w:noProof/>
              </w:rPr>
              <w:t>Executive Summary</w:t>
            </w:r>
            <w:r w:rsidR="00E22400">
              <w:rPr>
                <w:noProof/>
                <w:webHidden/>
              </w:rPr>
              <w:tab/>
            </w:r>
            <w:r w:rsidR="00E22400">
              <w:rPr>
                <w:noProof/>
                <w:webHidden/>
              </w:rPr>
              <w:fldChar w:fldCharType="begin"/>
            </w:r>
            <w:r w:rsidR="00E22400">
              <w:rPr>
                <w:noProof/>
                <w:webHidden/>
              </w:rPr>
              <w:instrText xml:space="preserve"> PAGEREF _Toc419003990 \h </w:instrText>
            </w:r>
            <w:r w:rsidR="00E22400">
              <w:rPr>
                <w:noProof/>
                <w:webHidden/>
              </w:rPr>
            </w:r>
            <w:r w:rsidR="00E22400">
              <w:rPr>
                <w:noProof/>
                <w:webHidden/>
              </w:rPr>
              <w:fldChar w:fldCharType="separate"/>
            </w:r>
            <w:r w:rsidR="003732A2">
              <w:rPr>
                <w:noProof/>
                <w:webHidden/>
              </w:rPr>
              <w:t>viii</w:t>
            </w:r>
            <w:r w:rsidR="00E22400">
              <w:rPr>
                <w:noProof/>
                <w:webHidden/>
              </w:rPr>
              <w:fldChar w:fldCharType="end"/>
            </w:r>
          </w:hyperlink>
        </w:p>
        <w:p w14:paraId="740CF1A2" w14:textId="77777777" w:rsidR="00E22400" w:rsidRDefault="00113462">
          <w:pPr>
            <w:pStyle w:val="TOC1"/>
            <w:rPr>
              <w:rFonts w:eastAsiaTheme="minorEastAsia" w:cstheme="minorBidi"/>
              <w:b w:val="0"/>
              <w:bCs w:val="0"/>
              <w:caps w:val="0"/>
              <w:noProof/>
              <w:sz w:val="22"/>
              <w:szCs w:val="22"/>
            </w:rPr>
          </w:pPr>
          <w:hyperlink w:anchor="_Toc419003991" w:history="1">
            <w:r w:rsidR="00E22400" w:rsidRPr="00941937">
              <w:rPr>
                <w:rStyle w:val="Hyperlink"/>
                <w:noProof/>
              </w:rPr>
              <w:t>1. Background and Scope of the Public Expenditure Review</w:t>
            </w:r>
            <w:r w:rsidR="00E22400">
              <w:rPr>
                <w:noProof/>
                <w:webHidden/>
              </w:rPr>
              <w:tab/>
            </w:r>
            <w:r w:rsidR="00E22400">
              <w:rPr>
                <w:noProof/>
                <w:webHidden/>
              </w:rPr>
              <w:fldChar w:fldCharType="begin"/>
            </w:r>
            <w:r w:rsidR="00E22400">
              <w:rPr>
                <w:noProof/>
                <w:webHidden/>
              </w:rPr>
              <w:instrText xml:space="preserve"> PAGEREF _Toc419003991 \h </w:instrText>
            </w:r>
            <w:r w:rsidR="00E22400">
              <w:rPr>
                <w:noProof/>
                <w:webHidden/>
              </w:rPr>
            </w:r>
            <w:r w:rsidR="00E22400">
              <w:rPr>
                <w:noProof/>
                <w:webHidden/>
              </w:rPr>
              <w:fldChar w:fldCharType="separate"/>
            </w:r>
            <w:r w:rsidR="003732A2">
              <w:rPr>
                <w:noProof/>
                <w:webHidden/>
              </w:rPr>
              <w:t>1</w:t>
            </w:r>
            <w:r w:rsidR="00E22400">
              <w:rPr>
                <w:noProof/>
                <w:webHidden/>
              </w:rPr>
              <w:fldChar w:fldCharType="end"/>
            </w:r>
          </w:hyperlink>
        </w:p>
        <w:p w14:paraId="2F9ED82D" w14:textId="77777777" w:rsidR="00E22400" w:rsidRDefault="00113462">
          <w:pPr>
            <w:pStyle w:val="TOC2"/>
            <w:tabs>
              <w:tab w:val="right" w:leader="dot" w:pos="9016"/>
            </w:tabs>
            <w:rPr>
              <w:rFonts w:eastAsiaTheme="minorEastAsia" w:cstheme="minorBidi"/>
              <w:smallCaps w:val="0"/>
              <w:noProof/>
              <w:sz w:val="22"/>
              <w:szCs w:val="22"/>
            </w:rPr>
          </w:pPr>
          <w:hyperlink w:anchor="_Toc419003992" w:history="1">
            <w:r w:rsidR="00E22400" w:rsidRPr="00941937">
              <w:rPr>
                <w:rStyle w:val="Hyperlink"/>
                <w:noProof/>
              </w:rPr>
              <w:t>1.1 Background</w:t>
            </w:r>
            <w:r w:rsidR="00E22400">
              <w:rPr>
                <w:noProof/>
                <w:webHidden/>
              </w:rPr>
              <w:tab/>
            </w:r>
            <w:r w:rsidR="00E22400">
              <w:rPr>
                <w:noProof/>
                <w:webHidden/>
              </w:rPr>
              <w:fldChar w:fldCharType="begin"/>
            </w:r>
            <w:r w:rsidR="00E22400">
              <w:rPr>
                <w:noProof/>
                <w:webHidden/>
              </w:rPr>
              <w:instrText xml:space="preserve"> PAGEREF _Toc419003992 \h </w:instrText>
            </w:r>
            <w:r w:rsidR="00E22400">
              <w:rPr>
                <w:noProof/>
                <w:webHidden/>
              </w:rPr>
            </w:r>
            <w:r w:rsidR="00E22400">
              <w:rPr>
                <w:noProof/>
                <w:webHidden/>
              </w:rPr>
              <w:fldChar w:fldCharType="separate"/>
            </w:r>
            <w:r w:rsidR="003732A2">
              <w:rPr>
                <w:noProof/>
                <w:webHidden/>
              </w:rPr>
              <w:t>1</w:t>
            </w:r>
            <w:r w:rsidR="00E22400">
              <w:rPr>
                <w:noProof/>
                <w:webHidden/>
              </w:rPr>
              <w:fldChar w:fldCharType="end"/>
            </w:r>
          </w:hyperlink>
        </w:p>
        <w:p w14:paraId="7BD807CB" w14:textId="77777777" w:rsidR="00E22400" w:rsidRDefault="00113462">
          <w:pPr>
            <w:pStyle w:val="TOC2"/>
            <w:tabs>
              <w:tab w:val="right" w:leader="dot" w:pos="9016"/>
            </w:tabs>
            <w:rPr>
              <w:rFonts w:eastAsiaTheme="minorEastAsia" w:cstheme="minorBidi"/>
              <w:smallCaps w:val="0"/>
              <w:noProof/>
              <w:sz w:val="22"/>
              <w:szCs w:val="22"/>
            </w:rPr>
          </w:pPr>
          <w:hyperlink w:anchor="_Toc419003993" w:history="1">
            <w:r w:rsidR="00E22400" w:rsidRPr="00941937">
              <w:rPr>
                <w:rStyle w:val="Hyperlink"/>
                <w:noProof/>
              </w:rPr>
              <w:t>1.2 Scope</w:t>
            </w:r>
            <w:r w:rsidR="00E22400">
              <w:rPr>
                <w:noProof/>
                <w:webHidden/>
              </w:rPr>
              <w:tab/>
            </w:r>
            <w:r w:rsidR="00E22400">
              <w:rPr>
                <w:noProof/>
                <w:webHidden/>
              </w:rPr>
              <w:fldChar w:fldCharType="begin"/>
            </w:r>
            <w:r w:rsidR="00E22400">
              <w:rPr>
                <w:noProof/>
                <w:webHidden/>
              </w:rPr>
              <w:instrText xml:space="preserve"> PAGEREF _Toc419003993 \h </w:instrText>
            </w:r>
            <w:r w:rsidR="00E22400">
              <w:rPr>
                <w:noProof/>
                <w:webHidden/>
              </w:rPr>
            </w:r>
            <w:r w:rsidR="00E22400">
              <w:rPr>
                <w:noProof/>
                <w:webHidden/>
              </w:rPr>
              <w:fldChar w:fldCharType="separate"/>
            </w:r>
            <w:r w:rsidR="003732A2">
              <w:rPr>
                <w:noProof/>
                <w:webHidden/>
              </w:rPr>
              <w:t>1</w:t>
            </w:r>
            <w:r w:rsidR="00E22400">
              <w:rPr>
                <w:noProof/>
                <w:webHidden/>
              </w:rPr>
              <w:fldChar w:fldCharType="end"/>
            </w:r>
          </w:hyperlink>
        </w:p>
        <w:p w14:paraId="29AFE198" w14:textId="77777777" w:rsidR="00E22400" w:rsidRDefault="00113462">
          <w:pPr>
            <w:pStyle w:val="TOC1"/>
            <w:rPr>
              <w:rFonts w:eastAsiaTheme="minorEastAsia" w:cstheme="minorBidi"/>
              <w:b w:val="0"/>
              <w:bCs w:val="0"/>
              <w:caps w:val="0"/>
              <w:noProof/>
              <w:sz w:val="22"/>
              <w:szCs w:val="22"/>
            </w:rPr>
          </w:pPr>
          <w:hyperlink w:anchor="_Toc419003994" w:history="1">
            <w:r w:rsidR="00E22400" w:rsidRPr="00941937">
              <w:rPr>
                <w:rStyle w:val="Hyperlink"/>
                <w:noProof/>
              </w:rPr>
              <w:t>2. Overview of Health Outcomes and Needs</w:t>
            </w:r>
            <w:r w:rsidR="00E22400">
              <w:rPr>
                <w:noProof/>
                <w:webHidden/>
              </w:rPr>
              <w:tab/>
            </w:r>
            <w:r w:rsidR="00E22400">
              <w:rPr>
                <w:noProof/>
                <w:webHidden/>
              </w:rPr>
              <w:fldChar w:fldCharType="begin"/>
            </w:r>
            <w:r w:rsidR="00E22400">
              <w:rPr>
                <w:noProof/>
                <w:webHidden/>
              </w:rPr>
              <w:instrText xml:space="preserve"> PAGEREF _Toc419003994 \h </w:instrText>
            </w:r>
            <w:r w:rsidR="00E22400">
              <w:rPr>
                <w:noProof/>
                <w:webHidden/>
              </w:rPr>
            </w:r>
            <w:r w:rsidR="00E22400">
              <w:rPr>
                <w:noProof/>
                <w:webHidden/>
              </w:rPr>
              <w:fldChar w:fldCharType="separate"/>
            </w:r>
            <w:r w:rsidR="003732A2">
              <w:rPr>
                <w:noProof/>
                <w:webHidden/>
              </w:rPr>
              <w:t>4</w:t>
            </w:r>
            <w:r w:rsidR="00E22400">
              <w:rPr>
                <w:noProof/>
                <w:webHidden/>
              </w:rPr>
              <w:fldChar w:fldCharType="end"/>
            </w:r>
          </w:hyperlink>
        </w:p>
        <w:p w14:paraId="5B6E5EF5" w14:textId="77777777" w:rsidR="00E22400" w:rsidRDefault="00113462">
          <w:pPr>
            <w:pStyle w:val="TOC2"/>
            <w:tabs>
              <w:tab w:val="right" w:leader="dot" w:pos="9016"/>
            </w:tabs>
            <w:rPr>
              <w:rFonts w:eastAsiaTheme="minorEastAsia" w:cstheme="minorBidi"/>
              <w:smallCaps w:val="0"/>
              <w:noProof/>
              <w:sz w:val="22"/>
              <w:szCs w:val="22"/>
            </w:rPr>
          </w:pPr>
          <w:hyperlink w:anchor="_Toc419003995" w:history="1">
            <w:r w:rsidR="00E22400" w:rsidRPr="00941937">
              <w:rPr>
                <w:rStyle w:val="Hyperlink"/>
                <w:noProof/>
              </w:rPr>
              <w:t>2.1 Health Status and Health Risks</w:t>
            </w:r>
            <w:r w:rsidR="00E22400">
              <w:rPr>
                <w:noProof/>
                <w:webHidden/>
              </w:rPr>
              <w:tab/>
            </w:r>
            <w:r w:rsidR="00E22400">
              <w:rPr>
                <w:noProof/>
                <w:webHidden/>
              </w:rPr>
              <w:fldChar w:fldCharType="begin"/>
            </w:r>
            <w:r w:rsidR="00E22400">
              <w:rPr>
                <w:noProof/>
                <w:webHidden/>
              </w:rPr>
              <w:instrText xml:space="preserve"> PAGEREF _Toc419003995 \h </w:instrText>
            </w:r>
            <w:r w:rsidR="00E22400">
              <w:rPr>
                <w:noProof/>
                <w:webHidden/>
              </w:rPr>
            </w:r>
            <w:r w:rsidR="00E22400">
              <w:rPr>
                <w:noProof/>
                <w:webHidden/>
              </w:rPr>
              <w:fldChar w:fldCharType="separate"/>
            </w:r>
            <w:r w:rsidR="003732A2">
              <w:rPr>
                <w:noProof/>
                <w:webHidden/>
              </w:rPr>
              <w:t>4</w:t>
            </w:r>
            <w:r w:rsidR="00E22400">
              <w:rPr>
                <w:noProof/>
                <w:webHidden/>
              </w:rPr>
              <w:fldChar w:fldCharType="end"/>
            </w:r>
          </w:hyperlink>
        </w:p>
        <w:p w14:paraId="343DB592" w14:textId="77777777" w:rsidR="00E22400" w:rsidRDefault="00113462">
          <w:pPr>
            <w:pStyle w:val="TOC3"/>
            <w:tabs>
              <w:tab w:val="right" w:leader="dot" w:pos="9016"/>
            </w:tabs>
            <w:rPr>
              <w:rFonts w:eastAsiaTheme="minorEastAsia" w:cstheme="minorBidi"/>
              <w:i w:val="0"/>
              <w:iCs w:val="0"/>
              <w:noProof/>
              <w:sz w:val="22"/>
              <w:szCs w:val="22"/>
            </w:rPr>
          </w:pPr>
          <w:hyperlink w:anchor="_Toc419003996" w:history="1">
            <w:r w:rsidR="00E22400" w:rsidRPr="00941937">
              <w:rPr>
                <w:rStyle w:val="Hyperlink"/>
                <w:noProof/>
              </w:rPr>
              <w:t>Key Health Indicators</w:t>
            </w:r>
            <w:r w:rsidR="00E22400">
              <w:rPr>
                <w:noProof/>
                <w:webHidden/>
              </w:rPr>
              <w:tab/>
            </w:r>
            <w:r w:rsidR="00E22400">
              <w:rPr>
                <w:noProof/>
                <w:webHidden/>
              </w:rPr>
              <w:fldChar w:fldCharType="begin"/>
            </w:r>
            <w:r w:rsidR="00E22400">
              <w:rPr>
                <w:noProof/>
                <w:webHidden/>
              </w:rPr>
              <w:instrText xml:space="preserve"> PAGEREF _Toc419003996 \h </w:instrText>
            </w:r>
            <w:r w:rsidR="00E22400">
              <w:rPr>
                <w:noProof/>
                <w:webHidden/>
              </w:rPr>
            </w:r>
            <w:r w:rsidR="00E22400">
              <w:rPr>
                <w:noProof/>
                <w:webHidden/>
              </w:rPr>
              <w:fldChar w:fldCharType="separate"/>
            </w:r>
            <w:r w:rsidR="003732A2">
              <w:rPr>
                <w:noProof/>
                <w:webHidden/>
              </w:rPr>
              <w:t>4</w:t>
            </w:r>
            <w:r w:rsidR="00E22400">
              <w:rPr>
                <w:noProof/>
                <w:webHidden/>
              </w:rPr>
              <w:fldChar w:fldCharType="end"/>
            </w:r>
          </w:hyperlink>
        </w:p>
        <w:p w14:paraId="3E6B7057" w14:textId="77777777" w:rsidR="00E22400" w:rsidRDefault="00113462">
          <w:pPr>
            <w:pStyle w:val="TOC3"/>
            <w:tabs>
              <w:tab w:val="right" w:leader="dot" w:pos="9016"/>
            </w:tabs>
            <w:rPr>
              <w:rFonts w:eastAsiaTheme="minorEastAsia" w:cstheme="minorBidi"/>
              <w:i w:val="0"/>
              <w:iCs w:val="0"/>
              <w:noProof/>
              <w:sz w:val="22"/>
              <w:szCs w:val="22"/>
            </w:rPr>
          </w:pPr>
          <w:hyperlink w:anchor="_Toc419003997" w:history="1">
            <w:r w:rsidR="00E22400" w:rsidRPr="00941937">
              <w:rPr>
                <w:rStyle w:val="Hyperlink"/>
                <w:noProof/>
              </w:rPr>
              <w:t>Lifestyle and Risky Health Behaviors</w:t>
            </w:r>
            <w:r w:rsidR="00E22400">
              <w:rPr>
                <w:noProof/>
                <w:webHidden/>
              </w:rPr>
              <w:tab/>
            </w:r>
            <w:r w:rsidR="00E22400">
              <w:rPr>
                <w:noProof/>
                <w:webHidden/>
              </w:rPr>
              <w:fldChar w:fldCharType="begin"/>
            </w:r>
            <w:r w:rsidR="00E22400">
              <w:rPr>
                <w:noProof/>
                <w:webHidden/>
              </w:rPr>
              <w:instrText xml:space="preserve"> PAGEREF _Toc419003997 \h </w:instrText>
            </w:r>
            <w:r w:rsidR="00E22400">
              <w:rPr>
                <w:noProof/>
                <w:webHidden/>
              </w:rPr>
            </w:r>
            <w:r w:rsidR="00E22400">
              <w:rPr>
                <w:noProof/>
                <w:webHidden/>
              </w:rPr>
              <w:fldChar w:fldCharType="separate"/>
            </w:r>
            <w:r w:rsidR="003732A2">
              <w:rPr>
                <w:noProof/>
                <w:webHidden/>
              </w:rPr>
              <w:t>8</w:t>
            </w:r>
            <w:r w:rsidR="00E22400">
              <w:rPr>
                <w:noProof/>
                <w:webHidden/>
              </w:rPr>
              <w:fldChar w:fldCharType="end"/>
            </w:r>
          </w:hyperlink>
        </w:p>
        <w:p w14:paraId="3AC18C54" w14:textId="77777777" w:rsidR="00E22400" w:rsidRDefault="00113462">
          <w:pPr>
            <w:pStyle w:val="TOC3"/>
            <w:tabs>
              <w:tab w:val="right" w:leader="dot" w:pos="9016"/>
            </w:tabs>
            <w:rPr>
              <w:rFonts w:eastAsiaTheme="minorEastAsia" w:cstheme="minorBidi"/>
              <w:i w:val="0"/>
              <w:iCs w:val="0"/>
              <w:noProof/>
              <w:sz w:val="22"/>
              <w:szCs w:val="22"/>
            </w:rPr>
          </w:pPr>
          <w:hyperlink w:anchor="_Toc419003998" w:history="1">
            <w:r w:rsidR="00E22400" w:rsidRPr="00941937">
              <w:rPr>
                <w:rStyle w:val="Hyperlink"/>
                <w:noProof/>
              </w:rPr>
              <w:t>Distribution of Health Status</w:t>
            </w:r>
            <w:r w:rsidR="00E22400">
              <w:rPr>
                <w:noProof/>
                <w:webHidden/>
              </w:rPr>
              <w:tab/>
            </w:r>
            <w:r w:rsidR="00E22400">
              <w:rPr>
                <w:noProof/>
                <w:webHidden/>
              </w:rPr>
              <w:fldChar w:fldCharType="begin"/>
            </w:r>
            <w:r w:rsidR="00E22400">
              <w:rPr>
                <w:noProof/>
                <w:webHidden/>
              </w:rPr>
              <w:instrText xml:space="preserve"> PAGEREF _Toc419003998 \h </w:instrText>
            </w:r>
            <w:r w:rsidR="00E22400">
              <w:rPr>
                <w:noProof/>
                <w:webHidden/>
              </w:rPr>
            </w:r>
            <w:r w:rsidR="00E22400">
              <w:rPr>
                <w:noProof/>
                <w:webHidden/>
              </w:rPr>
              <w:fldChar w:fldCharType="separate"/>
            </w:r>
            <w:r w:rsidR="003732A2">
              <w:rPr>
                <w:noProof/>
                <w:webHidden/>
              </w:rPr>
              <w:t>9</w:t>
            </w:r>
            <w:r w:rsidR="00E22400">
              <w:rPr>
                <w:noProof/>
                <w:webHidden/>
              </w:rPr>
              <w:fldChar w:fldCharType="end"/>
            </w:r>
          </w:hyperlink>
        </w:p>
        <w:p w14:paraId="2E313A60" w14:textId="77777777" w:rsidR="00E22400" w:rsidRDefault="00113462">
          <w:pPr>
            <w:pStyle w:val="TOC2"/>
            <w:tabs>
              <w:tab w:val="right" w:leader="dot" w:pos="9016"/>
            </w:tabs>
            <w:rPr>
              <w:rFonts w:eastAsiaTheme="minorEastAsia" w:cstheme="minorBidi"/>
              <w:smallCaps w:val="0"/>
              <w:noProof/>
              <w:sz w:val="22"/>
              <w:szCs w:val="22"/>
            </w:rPr>
          </w:pPr>
          <w:hyperlink w:anchor="_Toc419003999" w:history="1">
            <w:r w:rsidR="00E22400" w:rsidRPr="00941937">
              <w:rPr>
                <w:rStyle w:val="Hyperlink"/>
                <w:noProof/>
              </w:rPr>
              <w:t>2.2 Service Utilization and Health-Seeking Behavior</w:t>
            </w:r>
            <w:r w:rsidR="00E22400">
              <w:rPr>
                <w:noProof/>
                <w:webHidden/>
              </w:rPr>
              <w:tab/>
            </w:r>
            <w:r w:rsidR="00E22400">
              <w:rPr>
                <w:noProof/>
                <w:webHidden/>
              </w:rPr>
              <w:fldChar w:fldCharType="begin"/>
            </w:r>
            <w:r w:rsidR="00E22400">
              <w:rPr>
                <w:noProof/>
                <w:webHidden/>
              </w:rPr>
              <w:instrText xml:space="preserve"> PAGEREF _Toc419003999 \h </w:instrText>
            </w:r>
            <w:r w:rsidR="00E22400">
              <w:rPr>
                <w:noProof/>
                <w:webHidden/>
              </w:rPr>
            </w:r>
            <w:r w:rsidR="00E22400">
              <w:rPr>
                <w:noProof/>
                <w:webHidden/>
              </w:rPr>
              <w:fldChar w:fldCharType="separate"/>
            </w:r>
            <w:r w:rsidR="003732A2">
              <w:rPr>
                <w:noProof/>
                <w:webHidden/>
              </w:rPr>
              <w:t>10</w:t>
            </w:r>
            <w:r w:rsidR="00E22400">
              <w:rPr>
                <w:noProof/>
                <w:webHidden/>
              </w:rPr>
              <w:fldChar w:fldCharType="end"/>
            </w:r>
          </w:hyperlink>
        </w:p>
        <w:p w14:paraId="31992FC5" w14:textId="77777777" w:rsidR="00E22400" w:rsidRDefault="00113462">
          <w:pPr>
            <w:pStyle w:val="TOC2"/>
            <w:tabs>
              <w:tab w:val="right" w:leader="dot" w:pos="9016"/>
            </w:tabs>
            <w:rPr>
              <w:rFonts w:eastAsiaTheme="minorEastAsia" w:cstheme="minorBidi"/>
              <w:smallCaps w:val="0"/>
              <w:noProof/>
              <w:sz w:val="22"/>
              <w:szCs w:val="22"/>
            </w:rPr>
          </w:pPr>
          <w:hyperlink w:anchor="_Toc419004000" w:history="1">
            <w:r w:rsidR="00E22400" w:rsidRPr="00941937">
              <w:rPr>
                <w:rStyle w:val="Hyperlink"/>
                <w:noProof/>
              </w:rPr>
              <w:t>2.3 Health Inputs</w:t>
            </w:r>
            <w:r w:rsidR="00E22400">
              <w:rPr>
                <w:noProof/>
                <w:webHidden/>
              </w:rPr>
              <w:tab/>
            </w:r>
            <w:r w:rsidR="00E22400">
              <w:rPr>
                <w:noProof/>
                <w:webHidden/>
              </w:rPr>
              <w:fldChar w:fldCharType="begin"/>
            </w:r>
            <w:r w:rsidR="00E22400">
              <w:rPr>
                <w:noProof/>
                <w:webHidden/>
              </w:rPr>
              <w:instrText xml:space="preserve"> PAGEREF _Toc419004000 \h </w:instrText>
            </w:r>
            <w:r w:rsidR="00E22400">
              <w:rPr>
                <w:noProof/>
                <w:webHidden/>
              </w:rPr>
            </w:r>
            <w:r w:rsidR="00E22400">
              <w:rPr>
                <w:noProof/>
                <w:webHidden/>
              </w:rPr>
              <w:fldChar w:fldCharType="separate"/>
            </w:r>
            <w:r w:rsidR="003732A2">
              <w:rPr>
                <w:noProof/>
                <w:webHidden/>
              </w:rPr>
              <w:t>14</w:t>
            </w:r>
            <w:r w:rsidR="00E22400">
              <w:rPr>
                <w:noProof/>
                <w:webHidden/>
              </w:rPr>
              <w:fldChar w:fldCharType="end"/>
            </w:r>
          </w:hyperlink>
        </w:p>
        <w:p w14:paraId="5CCA6990" w14:textId="77777777" w:rsidR="00E22400" w:rsidRDefault="00113462">
          <w:pPr>
            <w:pStyle w:val="TOC3"/>
            <w:tabs>
              <w:tab w:val="right" w:leader="dot" w:pos="9016"/>
            </w:tabs>
            <w:rPr>
              <w:rFonts w:eastAsiaTheme="minorEastAsia" w:cstheme="minorBidi"/>
              <w:i w:val="0"/>
              <w:iCs w:val="0"/>
              <w:noProof/>
              <w:sz w:val="22"/>
              <w:szCs w:val="22"/>
            </w:rPr>
          </w:pPr>
          <w:hyperlink w:anchor="_Toc419004001" w:history="1">
            <w:r w:rsidR="00E22400" w:rsidRPr="00941937">
              <w:rPr>
                <w:rStyle w:val="Hyperlink"/>
                <w:noProof/>
              </w:rPr>
              <w:t>Distribution of Inputs to Service Delivery</w:t>
            </w:r>
            <w:r w:rsidR="00E22400">
              <w:rPr>
                <w:noProof/>
                <w:webHidden/>
              </w:rPr>
              <w:tab/>
            </w:r>
            <w:r w:rsidR="00E22400">
              <w:rPr>
                <w:noProof/>
                <w:webHidden/>
              </w:rPr>
              <w:fldChar w:fldCharType="begin"/>
            </w:r>
            <w:r w:rsidR="00E22400">
              <w:rPr>
                <w:noProof/>
                <w:webHidden/>
              </w:rPr>
              <w:instrText xml:space="preserve"> PAGEREF _Toc419004001 \h </w:instrText>
            </w:r>
            <w:r w:rsidR="00E22400">
              <w:rPr>
                <w:noProof/>
                <w:webHidden/>
              </w:rPr>
            </w:r>
            <w:r w:rsidR="00E22400">
              <w:rPr>
                <w:noProof/>
                <w:webHidden/>
              </w:rPr>
              <w:fldChar w:fldCharType="separate"/>
            </w:r>
            <w:r w:rsidR="003732A2">
              <w:rPr>
                <w:noProof/>
                <w:webHidden/>
              </w:rPr>
              <w:t>14</w:t>
            </w:r>
            <w:r w:rsidR="00E22400">
              <w:rPr>
                <w:noProof/>
                <w:webHidden/>
              </w:rPr>
              <w:fldChar w:fldCharType="end"/>
            </w:r>
          </w:hyperlink>
        </w:p>
        <w:p w14:paraId="5C40A0B6" w14:textId="77777777" w:rsidR="00E22400" w:rsidRDefault="00113462">
          <w:pPr>
            <w:pStyle w:val="TOC3"/>
            <w:tabs>
              <w:tab w:val="right" w:leader="dot" w:pos="9016"/>
            </w:tabs>
            <w:rPr>
              <w:rFonts w:eastAsiaTheme="minorEastAsia" w:cstheme="minorBidi"/>
              <w:i w:val="0"/>
              <w:iCs w:val="0"/>
              <w:noProof/>
              <w:sz w:val="22"/>
              <w:szCs w:val="22"/>
            </w:rPr>
          </w:pPr>
          <w:hyperlink w:anchor="_Toc419004002" w:history="1">
            <w:r w:rsidR="00E22400" w:rsidRPr="00941937">
              <w:rPr>
                <w:rStyle w:val="Hyperlink"/>
                <w:noProof/>
              </w:rPr>
              <w:t>Staffing</w:t>
            </w:r>
            <w:r w:rsidR="00E22400">
              <w:rPr>
                <w:noProof/>
                <w:webHidden/>
              </w:rPr>
              <w:tab/>
            </w:r>
            <w:r w:rsidR="00E22400">
              <w:rPr>
                <w:noProof/>
                <w:webHidden/>
              </w:rPr>
              <w:fldChar w:fldCharType="begin"/>
            </w:r>
            <w:r w:rsidR="00E22400">
              <w:rPr>
                <w:noProof/>
                <w:webHidden/>
              </w:rPr>
              <w:instrText xml:space="preserve"> PAGEREF _Toc419004002 \h </w:instrText>
            </w:r>
            <w:r w:rsidR="00E22400">
              <w:rPr>
                <w:noProof/>
                <w:webHidden/>
              </w:rPr>
            </w:r>
            <w:r w:rsidR="00E22400">
              <w:rPr>
                <w:noProof/>
                <w:webHidden/>
              </w:rPr>
              <w:fldChar w:fldCharType="separate"/>
            </w:r>
            <w:r w:rsidR="003732A2">
              <w:rPr>
                <w:noProof/>
                <w:webHidden/>
              </w:rPr>
              <w:t>16</w:t>
            </w:r>
            <w:r w:rsidR="00E22400">
              <w:rPr>
                <w:noProof/>
                <w:webHidden/>
              </w:rPr>
              <w:fldChar w:fldCharType="end"/>
            </w:r>
          </w:hyperlink>
        </w:p>
        <w:p w14:paraId="3662596F" w14:textId="77777777" w:rsidR="00E22400" w:rsidRDefault="00113462">
          <w:pPr>
            <w:pStyle w:val="TOC3"/>
            <w:tabs>
              <w:tab w:val="right" w:leader="dot" w:pos="9016"/>
            </w:tabs>
            <w:rPr>
              <w:rFonts w:eastAsiaTheme="minorEastAsia" w:cstheme="minorBidi"/>
              <w:i w:val="0"/>
              <w:iCs w:val="0"/>
              <w:noProof/>
              <w:sz w:val="22"/>
              <w:szCs w:val="22"/>
            </w:rPr>
          </w:pPr>
          <w:hyperlink w:anchor="_Toc419004003" w:history="1">
            <w:r w:rsidR="00E22400" w:rsidRPr="00941937">
              <w:rPr>
                <w:rStyle w:val="Hyperlink"/>
                <w:noProof/>
              </w:rPr>
              <w:t>Quality of Care</w:t>
            </w:r>
            <w:r w:rsidR="00E22400">
              <w:rPr>
                <w:noProof/>
                <w:webHidden/>
              </w:rPr>
              <w:tab/>
            </w:r>
            <w:r w:rsidR="00E22400">
              <w:rPr>
                <w:noProof/>
                <w:webHidden/>
              </w:rPr>
              <w:fldChar w:fldCharType="begin"/>
            </w:r>
            <w:r w:rsidR="00E22400">
              <w:rPr>
                <w:noProof/>
                <w:webHidden/>
              </w:rPr>
              <w:instrText xml:space="preserve"> PAGEREF _Toc419004003 \h </w:instrText>
            </w:r>
            <w:r w:rsidR="00E22400">
              <w:rPr>
                <w:noProof/>
                <w:webHidden/>
              </w:rPr>
            </w:r>
            <w:r w:rsidR="00E22400">
              <w:rPr>
                <w:noProof/>
                <w:webHidden/>
              </w:rPr>
              <w:fldChar w:fldCharType="separate"/>
            </w:r>
            <w:r w:rsidR="003732A2">
              <w:rPr>
                <w:noProof/>
                <w:webHidden/>
              </w:rPr>
              <w:t>17</w:t>
            </w:r>
            <w:r w:rsidR="00E22400">
              <w:rPr>
                <w:noProof/>
                <w:webHidden/>
              </w:rPr>
              <w:fldChar w:fldCharType="end"/>
            </w:r>
          </w:hyperlink>
        </w:p>
        <w:p w14:paraId="760DBFB4" w14:textId="77777777" w:rsidR="00E22400" w:rsidRDefault="00113462">
          <w:pPr>
            <w:pStyle w:val="TOC2"/>
            <w:tabs>
              <w:tab w:val="right" w:leader="dot" w:pos="9016"/>
            </w:tabs>
            <w:rPr>
              <w:rFonts w:eastAsiaTheme="minorEastAsia" w:cstheme="minorBidi"/>
              <w:smallCaps w:val="0"/>
              <w:noProof/>
              <w:sz w:val="22"/>
              <w:szCs w:val="22"/>
            </w:rPr>
          </w:pPr>
          <w:hyperlink w:anchor="_Toc419004004" w:history="1">
            <w:r w:rsidR="00E22400" w:rsidRPr="00941937">
              <w:rPr>
                <w:rStyle w:val="Hyperlink"/>
                <w:noProof/>
              </w:rPr>
              <w:t>2.4 Coverage of Important Public Health Programs</w:t>
            </w:r>
            <w:r w:rsidR="00E22400">
              <w:rPr>
                <w:noProof/>
                <w:webHidden/>
              </w:rPr>
              <w:tab/>
            </w:r>
            <w:r w:rsidR="00E22400">
              <w:rPr>
                <w:noProof/>
                <w:webHidden/>
              </w:rPr>
              <w:fldChar w:fldCharType="begin"/>
            </w:r>
            <w:r w:rsidR="00E22400">
              <w:rPr>
                <w:noProof/>
                <w:webHidden/>
              </w:rPr>
              <w:instrText xml:space="preserve"> PAGEREF _Toc419004004 \h </w:instrText>
            </w:r>
            <w:r w:rsidR="00E22400">
              <w:rPr>
                <w:noProof/>
                <w:webHidden/>
              </w:rPr>
            </w:r>
            <w:r w:rsidR="00E22400">
              <w:rPr>
                <w:noProof/>
                <w:webHidden/>
              </w:rPr>
              <w:fldChar w:fldCharType="separate"/>
            </w:r>
            <w:r w:rsidR="003732A2">
              <w:rPr>
                <w:noProof/>
                <w:webHidden/>
              </w:rPr>
              <w:t>18</w:t>
            </w:r>
            <w:r w:rsidR="00E22400">
              <w:rPr>
                <w:noProof/>
                <w:webHidden/>
              </w:rPr>
              <w:fldChar w:fldCharType="end"/>
            </w:r>
          </w:hyperlink>
        </w:p>
        <w:p w14:paraId="08804811" w14:textId="77777777" w:rsidR="00E22400" w:rsidRDefault="00113462">
          <w:pPr>
            <w:pStyle w:val="TOC3"/>
            <w:tabs>
              <w:tab w:val="right" w:leader="dot" w:pos="9016"/>
            </w:tabs>
            <w:rPr>
              <w:rFonts w:eastAsiaTheme="minorEastAsia" w:cstheme="minorBidi"/>
              <w:i w:val="0"/>
              <w:iCs w:val="0"/>
              <w:noProof/>
              <w:sz w:val="22"/>
              <w:szCs w:val="22"/>
            </w:rPr>
          </w:pPr>
          <w:hyperlink w:anchor="_Toc419004005" w:history="1">
            <w:r w:rsidR="00E22400" w:rsidRPr="00941937">
              <w:rPr>
                <w:rStyle w:val="Hyperlink"/>
                <w:noProof/>
              </w:rPr>
              <w:t>Immunization</w:t>
            </w:r>
            <w:r w:rsidR="00E22400">
              <w:rPr>
                <w:noProof/>
                <w:webHidden/>
              </w:rPr>
              <w:tab/>
            </w:r>
            <w:r w:rsidR="00E22400">
              <w:rPr>
                <w:noProof/>
                <w:webHidden/>
              </w:rPr>
              <w:fldChar w:fldCharType="begin"/>
            </w:r>
            <w:r w:rsidR="00E22400">
              <w:rPr>
                <w:noProof/>
                <w:webHidden/>
              </w:rPr>
              <w:instrText xml:space="preserve"> PAGEREF _Toc419004005 \h </w:instrText>
            </w:r>
            <w:r w:rsidR="00E22400">
              <w:rPr>
                <w:noProof/>
                <w:webHidden/>
              </w:rPr>
            </w:r>
            <w:r w:rsidR="00E22400">
              <w:rPr>
                <w:noProof/>
                <w:webHidden/>
              </w:rPr>
              <w:fldChar w:fldCharType="separate"/>
            </w:r>
            <w:r w:rsidR="003732A2">
              <w:rPr>
                <w:noProof/>
                <w:webHidden/>
              </w:rPr>
              <w:t>19</w:t>
            </w:r>
            <w:r w:rsidR="00E22400">
              <w:rPr>
                <w:noProof/>
                <w:webHidden/>
              </w:rPr>
              <w:fldChar w:fldCharType="end"/>
            </w:r>
          </w:hyperlink>
        </w:p>
        <w:p w14:paraId="3C596867" w14:textId="77777777" w:rsidR="00E22400" w:rsidRDefault="00113462">
          <w:pPr>
            <w:pStyle w:val="TOC3"/>
            <w:tabs>
              <w:tab w:val="right" w:leader="dot" w:pos="9016"/>
            </w:tabs>
            <w:rPr>
              <w:rFonts w:eastAsiaTheme="minorEastAsia" w:cstheme="minorBidi"/>
              <w:i w:val="0"/>
              <w:iCs w:val="0"/>
              <w:noProof/>
              <w:sz w:val="22"/>
              <w:szCs w:val="22"/>
            </w:rPr>
          </w:pPr>
          <w:hyperlink w:anchor="_Toc419004006" w:history="1">
            <w:r w:rsidR="00E22400" w:rsidRPr="00941937">
              <w:rPr>
                <w:rStyle w:val="Hyperlink"/>
                <w:noProof/>
              </w:rPr>
              <w:t>Maternal and Reproductive Health</w:t>
            </w:r>
            <w:r w:rsidR="00E22400">
              <w:rPr>
                <w:noProof/>
                <w:webHidden/>
              </w:rPr>
              <w:tab/>
            </w:r>
            <w:r w:rsidR="00E22400">
              <w:rPr>
                <w:noProof/>
                <w:webHidden/>
              </w:rPr>
              <w:fldChar w:fldCharType="begin"/>
            </w:r>
            <w:r w:rsidR="00E22400">
              <w:rPr>
                <w:noProof/>
                <w:webHidden/>
              </w:rPr>
              <w:instrText xml:space="preserve"> PAGEREF _Toc419004006 \h </w:instrText>
            </w:r>
            <w:r w:rsidR="00E22400">
              <w:rPr>
                <w:noProof/>
                <w:webHidden/>
              </w:rPr>
            </w:r>
            <w:r w:rsidR="00E22400">
              <w:rPr>
                <w:noProof/>
                <w:webHidden/>
              </w:rPr>
              <w:fldChar w:fldCharType="separate"/>
            </w:r>
            <w:r w:rsidR="003732A2">
              <w:rPr>
                <w:noProof/>
                <w:webHidden/>
              </w:rPr>
              <w:t>19</w:t>
            </w:r>
            <w:r w:rsidR="00E22400">
              <w:rPr>
                <w:noProof/>
                <w:webHidden/>
              </w:rPr>
              <w:fldChar w:fldCharType="end"/>
            </w:r>
          </w:hyperlink>
        </w:p>
        <w:p w14:paraId="4D07020C" w14:textId="77777777" w:rsidR="00E22400" w:rsidRDefault="00113462">
          <w:pPr>
            <w:pStyle w:val="TOC3"/>
            <w:tabs>
              <w:tab w:val="right" w:leader="dot" w:pos="9016"/>
            </w:tabs>
            <w:rPr>
              <w:rFonts w:eastAsiaTheme="minorEastAsia" w:cstheme="minorBidi"/>
              <w:i w:val="0"/>
              <w:iCs w:val="0"/>
              <w:noProof/>
              <w:sz w:val="22"/>
              <w:szCs w:val="22"/>
            </w:rPr>
          </w:pPr>
          <w:hyperlink w:anchor="_Toc419004007" w:history="1">
            <w:r w:rsidR="00E22400" w:rsidRPr="00941937">
              <w:rPr>
                <w:rStyle w:val="Hyperlink"/>
                <w:noProof/>
              </w:rPr>
              <w:t>Infectious Diseases</w:t>
            </w:r>
            <w:r w:rsidR="00E22400">
              <w:rPr>
                <w:noProof/>
                <w:webHidden/>
              </w:rPr>
              <w:tab/>
            </w:r>
            <w:r w:rsidR="00E22400">
              <w:rPr>
                <w:noProof/>
                <w:webHidden/>
              </w:rPr>
              <w:fldChar w:fldCharType="begin"/>
            </w:r>
            <w:r w:rsidR="00E22400">
              <w:rPr>
                <w:noProof/>
                <w:webHidden/>
              </w:rPr>
              <w:instrText xml:space="preserve"> PAGEREF _Toc419004007 \h </w:instrText>
            </w:r>
            <w:r w:rsidR="00E22400">
              <w:rPr>
                <w:noProof/>
                <w:webHidden/>
              </w:rPr>
            </w:r>
            <w:r w:rsidR="00E22400">
              <w:rPr>
                <w:noProof/>
                <w:webHidden/>
              </w:rPr>
              <w:fldChar w:fldCharType="separate"/>
            </w:r>
            <w:r w:rsidR="003732A2">
              <w:rPr>
                <w:noProof/>
                <w:webHidden/>
              </w:rPr>
              <w:t>20</w:t>
            </w:r>
            <w:r w:rsidR="00E22400">
              <w:rPr>
                <w:noProof/>
                <w:webHidden/>
              </w:rPr>
              <w:fldChar w:fldCharType="end"/>
            </w:r>
          </w:hyperlink>
        </w:p>
        <w:p w14:paraId="20E65CE7" w14:textId="77777777" w:rsidR="00E22400" w:rsidRDefault="00113462">
          <w:pPr>
            <w:pStyle w:val="TOC3"/>
            <w:tabs>
              <w:tab w:val="right" w:leader="dot" w:pos="9016"/>
            </w:tabs>
            <w:rPr>
              <w:rFonts w:eastAsiaTheme="minorEastAsia" w:cstheme="minorBidi"/>
              <w:i w:val="0"/>
              <w:iCs w:val="0"/>
              <w:noProof/>
              <w:sz w:val="22"/>
              <w:szCs w:val="22"/>
            </w:rPr>
          </w:pPr>
          <w:hyperlink w:anchor="_Toc419004008" w:history="1">
            <w:r w:rsidR="00E22400" w:rsidRPr="00941937">
              <w:rPr>
                <w:rStyle w:val="Hyperlink"/>
                <w:noProof/>
              </w:rPr>
              <w:t>NCDs</w:t>
            </w:r>
            <w:r w:rsidR="00E22400">
              <w:rPr>
                <w:noProof/>
                <w:webHidden/>
              </w:rPr>
              <w:tab/>
            </w:r>
            <w:r w:rsidR="00E22400">
              <w:rPr>
                <w:noProof/>
                <w:webHidden/>
              </w:rPr>
              <w:fldChar w:fldCharType="begin"/>
            </w:r>
            <w:r w:rsidR="00E22400">
              <w:rPr>
                <w:noProof/>
                <w:webHidden/>
              </w:rPr>
              <w:instrText xml:space="preserve"> PAGEREF _Toc419004008 \h </w:instrText>
            </w:r>
            <w:r w:rsidR="00E22400">
              <w:rPr>
                <w:noProof/>
                <w:webHidden/>
              </w:rPr>
            </w:r>
            <w:r w:rsidR="00E22400">
              <w:rPr>
                <w:noProof/>
                <w:webHidden/>
              </w:rPr>
              <w:fldChar w:fldCharType="separate"/>
            </w:r>
            <w:r w:rsidR="003732A2">
              <w:rPr>
                <w:noProof/>
                <w:webHidden/>
              </w:rPr>
              <w:t>20</w:t>
            </w:r>
            <w:r w:rsidR="00E22400">
              <w:rPr>
                <w:noProof/>
                <w:webHidden/>
              </w:rPr>
              <w:fldChar w:fldCharType="end"/>
            </w:r>
          </w:hyperlink>
        </w:p>
        <w:p w14:paraId="4086DBE4" w14:textId="77777777" w:rsidR="00E22400" w:rsidRDefault="00113462">
          <w:pPr>
            <w:pStyle w:val="TOC1"/>
            <w:rPr>
              <w:rFonts w:eastAsiaTheme="minorEastAsia" w:cstheme="minorBidi"/>
              <w:b w:val="0"/>
              <w:bCs w:val="0"/>
              <w:caps w:val="0"/>
              <w:noProof/>
              <w:sz w:val="22"/>
              <w:szCs w:val="22"/>
            </w:rPr>
          </w:pPr>
          <w:hyperlink w:anchor="_Toc419004009" w:history="1">
            <w:r w:rsidR="00E22400" w:rsidRPr="00941937">
              <w:rPr>
                <w:rStyle w:val="Hyperlink"/>
                <w:noProof/>
              </w:rPr>
              <w:t>3. Health Expenditures</w:t>
            </w:r>
            <w:r w:rsidR="00E22400">
              <w:rPr>
                <w:noProof/>
                <w:webHidden/>
              </w:rPr>
              <w:tab/>
            </w:r>
            <w:r w:rsidR="00E22400">
              <w:rPr>
                <w:noProof/>
                <w:webHidden/>
              </w:rPr>
              <w:fldChar w:fldCharType="begin"/>
            </w:r>
            <w:r w:rsidR="00E22400">
              <w:rPr>
                <w:noProof/>
                <w:webHidden/>
              </w:rPr>
              <w:instrText xml:space="preserve"> PAGEREF _Toc419004009 \h </w:instrText>
            </w:r>
            <w:r w:rsidR="00E22400">
              <w:rPr>
                <w:noProof/>
                <w:webHidden/>
              </w:rPr>
            </w:r>
            <w:r w:rsidR="00E22400">
              <w:rPr>
                <w:noProof/>
                <w:webHidden/>
              </w:rPr>
              <w:fldChar w:fldCharType="separate"/>
            </w:r>
            <w:r w:rsidR="003732A2">
              <w:rPr>
                <w:noProof/>
                <w:webHidden/>
              </w:rPr>
              <w:t>21</w:t>
            </w:r>
            <w:r w:rsidR="00E22400">
              <w:rPr>
                <w:noProof/>
                <w:webHidden/>
              </w:rPr>
              <w:fldChar w:fldCharType="end"/>
            </w:r>
          </w:hyperlink>
        </w:p>
        <w:p w14:paraId="10AE88BB" w14:textId="77777777" w:rsidR="00E22400" w:rsidRDefault="00113462">
          <w:pPr>
            <w:pStyle w:val="TOC2"/>
            <w:tabs>
              <w:tab w:val="right" w:leader="dot" w:pos="9016"/>
            </w:tabs>
            <w:rPr>
              <w:rFonts w:eastAsiaTheme="minorEastAsia" w:cstheme="minorBidi"/>
              <w:smallCaps w:val="0"/>
              <w:noProof/>
              <w:sz w:val="22"/>
              <w:szCs w:val="22"/>
            </w:rPr>
          </w:pPr>
          <w:hyperlink w:anchor="_Toc419004010" w:history="1">
            <w:r w:rsidR="00E22400" w:rsidRPr="00941937">
              <w:rPr>
                <w:rStyle w:val="Hyperlink"/>
                <w:noProof/>
              </w:rPr>
              <w:t>3.1 Government Health Expenditures</w:t>
            </w:r>
            <w:r w:rsidR="00E22400">
              <w:rPr>
                <w:noProof/>
                <w:webHidden/>
              </w:rPr>
              <w:tab/>
            </w:r>
            <w:r w:rsidR="00E22400">
              <w:rPr>
                <w:noProof/>
                <w:webHidden/>
              </w:rPr>
              <w:fldChar w:fldCharType="begin"/>
            </w:r>
            <w:r w:rsidR="00E22400">
              <w:rPr>
                <w:noProof/>
                <w:webHidden/>
              </w:rPr>
              <w:instrText xml:space="preserve"> PAGEREF _Toc419004010 \h </w:instrText>
            </w:r>
            <w:r w:rsidR="00E22400">
              <w:rPr>
                <w:noProof/>
                <w:webHidden/>
              </w:rPr>
            </w:r>
            <w:r w:rsidR="00E22400">
              <w:rPr>
                <w:noProof/>
                <w:webHidden/>
              </w:rPr>
              <w:fldChar w:fldCharType="separate"/>
            </w:r>
            <w:r w:rsidR="003732A2">
              <w:rPr>
                <w:noProof/>
                <w:webHidden/>
              </w:rPr>
              <w:t>22</w:t>
            </w:r>
            <w:r w:rsidR="00E22400">
              <w:rPr>
                <w:noProof/>
                <w:webHidden/>
              </w:rPr>
              <w:fldChar w:fldCharType="end"/>
            </w:r>
          </w:hyperlink>
        </w:p>
        <w:p w14:paraId="12C02BAD" w14:textId="77777777" w:rsidR="00E22400" w:rsidRDefault="00113462">
          <w:pPr>
            <w:pStyle w:val="TOC3"/>
            <w:tabs>
              <w:tab w:val="right" w:leader="dot" w:pos="9016"/>
            </w:tabs>
            <w:rPr>
              <w:rFonts w:eastAsiaTheme="minorEastAsia" w:cstheme="minorBidi"/>
              <w:i w:val="0"/>
              <w:iCs w:val="0"/>
              <w:noProof/>
              <w:sz w:val="22"/>
              <w:szCs w:val="22"/>
            </w:rPr>
          </w:pPr>
          <w:hyperlink w:anchor="_Toc419004011" w:history="1">
            <w:r w:rsidR="00E22400" w:rsidRPr="00941937">
              <w:rPr>
                <w:rStyle w:val="Hyperlink"/>
                <w:noProof/>
              </w:rPr>
              <w:t>Overview</w:t>
            </w:r>
            <w:r w:rsidR="00E22400">
              <w:rPr>
                <w:noProof/>
                <w:webHidden/>
              </w:rPr>
              <w:tab/>
            </w:r>
            <w:r w:rsidR="00E22400">
              <w:rPr>
                <w:noProof/>
                <w:webHidden/>
              </w:rPr>
              <w:fldChar w:fldCharType="begin"/>
            </w:r>
            <w:r w:rsidR="00E22400">
              <w:rPr>
                <w:noProof/>
                <w:webHidden/>
              </w:rPr>
              <w:instrText xml:space="preserve"> PAGEREF _Toc419004011 \h </w:instrText>
            </w:r>
            <w:r w:rsidR="00E22400">
              <w:rPr>
                <w:noProof/>
                <w:webHidden/>
              </w:rPr>
            </w:r>
            <w:r w:rsidR="00E22400">
              <w:rPr>
                <w:noProof/>
                <w:webHidden/>
              </w:rPr>
              <w:fldChar w:fldCharType="separate"/>
            </w:r>
            <w:r w:rsidR="003732A2">
              <w:rPr>
                <w:noProof/>
                <w:webHidden/>
              </w:rPr>
              <w:t>22</w:t>
            </w:r>
            <w:r w:rsidR="00E22400">
              <w:rPr>
                <w:noProof/>
                <w:webHidden/>
              </w:rPr>
              <w:fldChar w:fldCharType="end"/>
            </w:r>
          </w:hyperlink>
        </w:p>
        <w:p w14:paraId="71585919" w14:textId="77777777" w:rsidR="00E22400" w:rsidRDefault="00113462">
          <w:pPr>
            <w:pStyle w:val="TOC3"/>
            <w:tabs>
              <w:tab w:val="right" w:leader="dot" w:pos="9016"/>
            </w:tabs>
            <w:rPr>
              <w:rFonts w:eastAsiaTheme="minorEastAsia" w:cstheme="minorBidi"/>
              <w:i w:val="0"/>
              <w:iCs w:val="0"/>
              <w:noProof/>
              <w:sz w:val="22"/>
              <w:szCs w:val="22"/>
            </w:rPr>
          </w:pPr>
          <w:hyperlink w:anchor="_Toc419004012" w:history="1">
            <w:r w:rsidR="00E22400" w:rsidRPr="00941937">
              <w:rPr>
                <w:rStyle w:val="Hyperlink"/>
                <w:noProof/>
              </w:rPr>
              <w:t>MOHCC: Health Expenditure Analysis</w:t>
            </w:r>
            <w:r w:rsidR="00E22400">
              <w:rPr>
                <w:noProof/>
                <w:webHidden/>
              </w:rPr>
              <w:tab/>
            </w:r>
            <w:r w:rsidR="00E22400">
              <w:rPr>
                <w:noProof/>
                <w:webHidden/>
              </w:rPr>
              <w:fldChar w:fldCharType="begin"/>
            </w:r>
            <w:r w:rsidR="00E22400">
              <w:rPr>
                <w:noProof/>
                <w:webHidden/>
              </w:rPr>
              <w:instrText xml:space="preserve"> PAGEREF _Toc419004012 \h </w:instrText>
            </w:r>
            <w:r w:rsidR="00E22400">
              <w:rPr>
                <w:noProof/>
                <w:webHidden/>
              </w:rPr>
            </w:r>
            <w:r w:rsidR="00E22400">
              <w:rPr>
                <w:noProof/>
                <w:webHidden/>
              </w:rPr>
              <w:fldChar w:fldCharType="separate"/>
            </w:r>
            <w:r w:rsidR="003732A2">
              <w:rPr>
                <w:noProof/>
                <w:webHidden/>
              </w:rPr>
              <w:t>24</w:t>
            </w:r>
            <w:r w:rsidR="00E22400">
              <w:rPr>
                <w:noProof/>
                <w:webHidden/>
              </w:rPr>
              <w:fldChar w:fldCharType="end"/>
            </w:r>
          </w:hyperlink>
        </w:p>
        <w:p w14:paraId="655EF856" w14:textId="77777777" w:rsidR="00E22400" w:rsidRDefault="00113462">
          <w:pPr>
            <w:pStyle w:val="TOC3"/>
            <w:tabs>
              <w:tab w:val="right" w:leader="dot" w:pos="9016"/>
            </w:tabs>
            <w:rPr>
              <w:rFonts w:eastAsiaTheme="minorEastAsia" w:cstheme="minorBidi"/>
              <w:i w:val="0"/>
              <w:iCs w:val="0"/>
              <w:noProof/>
              <w:sz w:val="22"/>
              <w:szCs w:val="22"/>
            </w:rPr>
          </w:pPr>
          <w:hyperlink w:anchor="_Toc419004013" w:history="1">
            <w:r w:rsidR="00E22400" w:rsidRPr="00941937">
              <w:rPr>
                <w:rStyle w:val="Hyperlink"/>
                <w:noProof/>
              </w:rPr>
              <w:t>GHE through the NAC</w:t>
            </w:r>
            <w:r w:rsidR="00E22400">
              <w:rPr>
                <w:noProof/>
                <w:webHidden/>
              </w:rPr>
              <w:tab/>
            </w:r>
            <w:r w:rsidR="00E22400">
              <w:rPr>
                <w:noProof/>
                <w:webHidden/>
              </w:rPr>
              <w:fldChar w:fldCharType="begin"/>
            </w:r>
            <w:r w:rsidR="00E22400">
              <w:rPr>
                <w:noProof/>
                <w:webHidden/>
              </w:rPr>
              <w:instrText xml:space="preserve"> PAGEREF _Toc419004013 \h </w:instrText>
            </w:r>
            <w:r w:rsidR="00E22400">
              <w:rPr>
                <w:noProof/>
                <w:webHidden/>
              </w:rPr>
            </w:r>
            <w:r w:rsidR="00E22400">
              <w:rPr>
                <w:noProof/>
                <w:webHidden/>
              </w:rPr>
              <w:fldChar w:fldCharType="separate"/>
            </w:r>
            <w:r w:rsidR="003732A2">
              <w:rPr>
                <w:noProof/>
                <w:webHidden/>
              </w:rPr>
              <w:t>32</w:t>
            </w:r>
            <w:r w:rsidR="00E22400">
              <w:rPr>
                <w:noProof/>
                <w:webHidden/>
              </w:rPr>
              <w:fldChar w:fldCharType="end"/>
            </w:r>
          </w:hyperlink>
        </w:p>
        <w:p w14:paraId="0769D695" w14:textId="77777777" w:rsidR="00E22400" w:rsidRDefault="00113462">
          <w:pPr>
            <w:pStyle w:val="TOC2"/>
            <w:tabs>
              <w:tab w:val="right" w:leader="dot" w:pos="9016"/>
            </w:tabs>
            <w:rPr>
              <w:rFonts w:eastAsiaTheme="minorEastAsia" w:cstheme="minorBidi"/>
              <w:smallCaps w:val="0"/>
              <w:noProof/>
              <w:sz w:val="22"/>
              <w:szCs w:val="22"/>
            </w:rPr>
          </w:pPr>
          <w:hyperlink w:anchor="_Toc419004014" w:history="1">
            <w:r w:rsidR="00E22400" w:rsidRPr="00941937">
              <w:rPr>
                <w:rStyle w:val="Hyperlink"/>
                <w:noProof/>
              </w:rPr>
              <w:t>3.2 Donor Financing of Health Expenditure</w:t>
            </w:r>
            <w:r w:rsidR="00E22400">
              <w:rPr>
                <w:noProof/>
                <w:webHidden/>
              </w:rPr>
              <w:tab/>
            </w:r>
            <w:r w:rsidR="00E22400">
              <w:rPr>
                <w:noProof/>
                <w:webHidden/>
              </w:rPr>
              <w:fldChar w:fldCharType="begin"/>
            </w:r>
            <w:r w:rsidR="00E22400">
              <w:rPr>
                <w:noProof/>
                <w:webHidden/>
              </w:rPr>
              <w:instrText xml:space="preserve"> PAGEREF _Toc419004014 \h </w:instrText>
            </w:r>
            <w:r w:rsidR="00E22400">
              <w:rPr>
                <w:noProof/>
                <w:webHidden/>
              </w:rPr>
            </w:r>
            <w:r w:rsidR="00E22400">
              <w:rPr>
                <w:noProof/>
                <w:webHidden/>
              </w:rPr>
              <w:fldChar w:fldCharType="separate"/>
            </w:r>
            <w:r w:rsidR="003732A2">
              <w:rPr>
                <w:noProof/>
                <w:webHidden/>
              </w:rPr>
              <w:t>34</w:t>
            </w:r>
            <w:r w:rsidR="00E22400">
              <w:rPr>
                <w:noProof/>
                <w:webHidden/>
              </w:rPr>
              <w:fldChar w:fldCharType="end"/>
            </w:r>
          </w:hyperlink>
        </w:p>
        <w:p w14:paraId="0259D5B8" w14:textId="77777777" w:rsidR="00E22400" w:rsidRDefault="00113462">
          <w:pPr>
            <w:pStyle w:val="TOC3"/>
            <w:tabs>
              <w:tab w:val="right" w:leader="dot" w:pos="9016"/>
            </w:tabs>
            <w:rPr>
              <w:rFonts w:eastAsiaTheme="minorEastAsia" w:cstheme="minorBidi"/>
              <w:i w:val="0"/>
              <w:iCs w:val="0"/>
              <w:noProof/>
              <w:sz w:val="22"/>
              <w:szCs w:val="22"/>
            </w:rPr>
          </w:pPr>
          <w:hyperlink w:anchor="_Toc419004015" w:history="1">
            <w:r w:rsidR="00E22400" w:rsidRPr="00941937">
              <w:rPr>
                <w:rStyle w:val="Hyperlink"/>
                <w:noProof/>
              </w:rPr>
              <w:t>Trends and International Comparisons</w:t>
            </w:r>
            <w:r w:rsidR="00E22400">
              <w:rPr>
                <w:noProof/>
                <w:webHidden/>
              </w:rPr>
              <w:tab/>
            </w:r>
            <w:r w:rsidR="00E22400">
              <w:rPr>
                <w:noProof/>
                <w:webHidden/>
              </w:rPr>
              <w:fldChar w:fldCharType="begin"/>
            </w:r>
            <w:r w:rsidR="00E22400">
              <w:rPr>
                <w:noProof/>
                <w:webHidden/>
              </w:rPr>
              <w:instrText xml:space="preserve"> PAGEREF _Toc419004015 \h </w:instrText>
            </w:r>
            <w:r w:rsidR="00E22400">
              <w:rPr>
                <w:noProof/>
                <w:webHidden/>
              </w:rPr>
            </w:r>
            <w:r w:rsidR="00E22400">
              <w:rPr>
                <w:noProof/>
                <w:webHidden/>
              </w:rPr>
              <w:fldChar w:fldCharType="separate"/>
            </w:r>
            <w:r w:rsidR="003732A2">
              <w:rPr>
                <w:noProof/>
                <w:webHidden/>
              </w:rPr>
              <w:t>34</w:t>
            </w:r>
            <w:r w:rsidR="00E22400">
              <w:rPr>
                <w:noProof/>
                <w:webHidden/>
              </w:rPr>
              <w:fldChar w:fldCharType="end"/>
            </w:r>
          </w:hyperlink>
        </w:p>
        <w:p w14:paraId="4B68A12D" w14:textId="77777777" w:rsidR="00E22400" w:rsidRDefault="00113462">
          <w:pPr>
            <w:pStyle w:val="TOC3"/>
            <w:tabs>
              <w:tab w:val="right" w:leader="dot" w:pos="9016"/>
            </w:tabs>
            <w:rPr>
              <w:rFonts w:eastAsiaTheme="minorEastAsia" w:cstheme="minorBidi"/>
              <w:i w:val="0"/>
              <w:iCs w:val="0"/>
              <w:noProof/>
              <w:sz w:val="22"/>
              <w:szCs w:val="22"/>
            </w:rPr>
          </w:pPr>
          <w:hyperlink w:anchor="_Toc419004016" w:history="1">
            <w:r w:rsidR="00E22400" w:rsidRPr="00941937">
              <w:rPr>
                <w:rStyle w:val="Hyperlink"/>
                <w:noProof/>
              </w:rPr>
              <w:t>Programmatic Allocation of Donor-financed Health Expenditure</w:t>
            </w:r>
            <w:r w:rsidR="00E22400">
              <w:rPr>
                <w:noProof/>
                <w:webHidden/>
              </w:rPr>
              <w:tab/>
            </w:r>
            <w:r w:rsidR="00E22400">
              <w:rPr>
                <w:noProof/>
                <w:webHidden/>
              </w:rPr>
              <w:fldChar w:fldCharType="begin"/>
            </w:r>
            <w:r w:rsidR="00E22400">
              <w:rPr>
                <w:noProof/>
                <w:webHidden/>
              </w:rPr>
              <w:instrText xml:space="preserve"> PAGEREF _Toc419004016 \h </w:instrText>
            </w:r>
            <w:r w:rsidR="00E22400">
              <w:rPr>
                <w:noProof/>
                <w:webHidden/>
              </w:rPr>
            </w:r>
            <w:r w:rsidR="00E22400">
              <w:rPr>
                <w:noProof/>
                <w:webHidden/>
              </w:rPr>
              <w:fldChar w:fldCharType="separate"/>
            </w:r>
            <w:r w:rsidR="003732A2">
              <w:rPr>
                <w:noProof/>
                <w:webHidden/>
              </w:rPr>
              <w:t>35</w:t>
            </w:r>
            <w:r w:rsidR="00E22400">
              <w:rPr>
                <w:noProof/>
                <w:webHidden/>
              </w:rPr>
              <w:fldChar w:fldCharType="end"/>
            </w:r>
          </w:hyperlink>
        </w:p>
        <w:p w14:paraId="07FC1112" w14:textId="77777777" w:rsidR="00E22400" w:rsidRDefault="00113462">
          <w:pPr>
            <w:pStyle w:val="TOC3"/>
            <w:tabs>
              <w:tab w:val="right" w:leader="dot" w:pos="9016"/>
            </w:tabs>
            <w:rPr>
              <w:rFonts w:eastAsiaTheme="minorEastAsia" w:cstheme="minorBidi"/>
              <w:i w:val="0"/>
              <w:iCs w:val="0"/>
              <w:noProof/>
              <w:sz w:val="22"/>
              <w:szCs w:val="22"/>
            </w:rPr>
          </w:pPr>
          <w:hyperlink w:anchor="_Toc419004017" w:history="1">
            <w:r w:rsidR="00E22400" w:rsidRPr="00941937">
              <w:rPr>
                <w:rStyle w:val="Hyperlink"/>
                <w:noProof/>
              </w:rPr>
              <w:t>Two Donor-Funded Programs</w:t>
            </w:r>
            <w:r w:rsidR="00E22400">
              <w:rPr>
                <w:noProof/>
                <w:webHidden/>
              </w:rPr>
              <w:tab/>
            </w:r>
            <w:r w:rsidR="00E22400">
              <w:rPr>
                <w:noProof/>
                <w:webHidden/>
              </w:rPr>
              <w:fldChar w:fldCharType="begin"/>
            </w:r>
            <w:r w:rsidR="00E22400">
              <w:rPr>
                <w:noProof/>
                <w:webHidden/>
              </w:rPr>
              <w:instrText xml:space="preserve"> PAGEREF _Toc419004017 \h </w:instrText>
            </w:r>
            <w:r w:rsidR="00E22400">
              <w:rPr>
                <w:noProof/>
                <w:webHidden/>
              </w:rPr>
            </w:r>
            <w:r w:rsidR="00E22400">
              <w:rPr>
                <w:noProof/>
                <w:webHidden/>
              </w:rPr>
              <w:fldChar w:fldCharType="separate"/>
            </w:r>
            <w:r w:rsidR="003732A2">
              <w:rPr>
                <w:noProof/>
                <w:webHidden/>
              </w:rPr>
              <w:t>37</w:t>
            </w:r>
            <w:r w:rsidR="00E22400">
              <w:rPr>
                <w:noProof/>
                <w:webHidden/>
              </w:rPr>
              <w:fldChar w:fldCharType="end"/>
            </w:r>
          </w:hyperlink>
        </w:p>
        <w:p w14:paraId="6C27A239" w14:textId="77777777" w:rsidR="00E22400" w:rsidRDefault="00113462">
          <w:pPr>
            <w:pStyle w:val="TOC2"/>
            <w:tabs>
              <w:tab w:val="right" w:leader="dot" w:pos="9016"/>
            </w:tabs>
            <w:rPr>
              <w:rFonts w:eastAsiaTheme="minorEastAsia" w:cstheme="minorBidi"/>
              <w:smallCaps w:val="0"/>
              <w:noProof/>
              <w:sz w:val="22"/>
              <w:szCs w:val="22"/>
            </w:rPr>
          </w:pPr>
          <w:hyperlink w:anchor="_Toc419004018" w:history="1">
            <w:r w:rsidR="00E22400" w:rsidRPr="00941937">
              <w:rPr>
                <w:rStyle w:val="Hyperlink"/>
                <w:noProof/>
              </w:rPr>
              <w:t>3.3 Private Health Expenditure</w:t>
            </w:r>
            <w:r w:rsidR="00E22400">
              <w:rPr>
                <w:noProof/>
                <w:webHidden/>
              </w:rPr>
              <w:tab/>
            </w:r>
            <w:r w:rsidR="00E22400">
              <w:rPr>
                <w:noProof/>
                <w:webHidden/>
              </w:rPr>
              <w:fldChar w:fldCharType="begin"/>
            </w:r>
            <w:r w:rsidR="00E22400">
              <w:rPr>
                <w:noProof/>
                <w:webHidden/>
              </w:rPr>
              <w:instrText xml:space="preserve"> PAGEREF _Toc419004018 \h </w:instrText>
            </w:r>
            <w:r w:rsidR="00E22400">
              <w:rPr>
                <w:noProof/>
                <w:webHidden/>
              </w:rPr>
            </w:r>
            <w:r w:rsidR="00E22400">
              <w:rPr>
                <w:noProof/>
                <w:webHidden/>
              </w:rPr>
              <w:fldChar w:fldCharType="separate"/>
            </w:r>
            <w:r w:rsidR="003732A2">
              <w:rPr>
                <w:noProof/>
                <w:webHidden/>
              </w:rPr>
              <w:t>39</w:t>
            </w:r>
            <w:r w:rsidR="00E22400">
              <w:rPr>
                <w:noProof/>
                <w:webHidden/>
              </w:rPr>
              <w:fldChar w:fldCharType="end"/>
            </w:r>
          </w:hyperlink>
        </w:p>
        <w:p w14:paraId="478757DF" w14:textId="77777777" w:rsidR="00E22400" w:rsidRDefault="00113462">
          <w:pPr>
            <w:pStyle w:val="TOC3"/>
            <w:tabs>
              <w:tab w:val="right" w:leader="dot" w:pos="9016"/>
            </w:tabs>
            <w:rPr>
              <w:rFonts w:eastAsiaTheme="minorEastAsia" w:cstheme="minorBidi"/>
              <w:i w:val="0"/>
              <w:iCs w:val="0"/>
              <w:noProof/>
              <w:sz w:val="22"/>
              <w:szCs w:val="22"/>
            </w:rPr>
          </w:pPr>
          <w:hyperlink w:anchor="_Toc419004019" w:history="1">
            <w:r w:rsidR="00E22400" w:rsidRPr="00941937">
              <w:rPr>
                <w:rStyle w:val="Hyperlink"/>
                <w:noProof/>
              </w:rPr>
              <w:t>Household OOP Spending</w:t>
            </w:r>
            <w:r w:rsidR="00E22400">
              <w:rPr>
                <w:noProof/>
                <w:webHidden/>
              </w:rPr>
              <w:tab/>
            </w:r>
            <w:r w:rsidR="00E22400">
              <w:rPr>
                <w:noProof/>
                <w:webHidden/>
              </w:rPr>
              <w:fldChar w:fldCharType="begin"/>
            </w:r>
            <w:r w:rsidR="00E22400">
              <w:rPr>
                <w:noProof/>
                <w:webHidden/>
              </w:rPr>
              <w:instrText xml:space="preserve"> PAGEREF _Toc419004019 \h </w:instrText>
            </w:r>
            <w:r w:rsidR="00E22400">
              <w:rPr>
                <w:noProof/>
                <w:webHidden/>
              </w:rPr>
            </w:r>
            <w:r w:rsidR="00E22400">
              <w:rPr>
                <w:noProof/>
                <w:webHidden/>
              </w:rPr>
              <w:fldChar w:fldCharType="separate"/>
            </w:r>
            <w:r w:rsidR="003732A2">
              <w:rPr>
                <w:noProof/>
                <w:webHidden/>
              </w:rPr>
              <w:t>39</w:t>
            </w:r>
            <w:r w:rsidR="00E22400">
              <w:rPr>
                <w:noProof/>
                <w:webHidden/>
              </w:rPr>
              <w:fldChar w:fldCharType="end"/>
            </w:r>
          </w:hyperlink>
        </w:p>
        <w:p w14:paraId="2E42E6E5" w14:textId="77777777" w:rsidR="00E22400" w:rsidRDefault="00113462">
          <w:pPr>
            <w:pStyle w:val="TOC3"/>
            <w:tabs>
              <w:tab w:val="right" w:leader="dot" w:pos="9016"/>
            </w:tabs>
            <w:rPr>
              <w:rFonts w:eastAsiaTheme="minorEastAsia" w:cstheme="minorBidi"/>
              <w:i w:val="0"/>
              <w:iCs w:val="0"/>
              <w:noProof/>
              <w:sz w:val="22"/>
              <w:szCs w:val="22"/>
            </w:rPr>
          </w:pPr>
          <w:hyperlink w:anchor="_Toc419004020" w:history="1">
            <w:r w:rsidR="00E22400" w:rsidRPr="00941937">
              <w:rPr>
                <w:rStyle w:val="Hyperlink"/>
                <w:noProof/>
              </w:rPr>
              <w:t>Private Prepayment Schemes</w:t>
            </w:r>
            <w:r w:rsidR="00E22400">
              <w:rPr>
                <w:noProof/>
                <w:webHidden/>
              </w:rPr>
              <w:tab/>
            </w:r>
            <w:r w:rsidR="00E22400">
              <w:rPr>
                <w:noProof/>
                <w:webHidden/>
              </w:rPr>
              <w:fldChar w:fldCharType="begin"/>
            </w:r>
            <w:r w:rsidR="00E22400">
              <w:rPr>
                <w:noProof/>
                <w:webHidden/>
              </w:rPr>
              <w:instrText xml:space="preserve"> PAGEREF _Toc419004020 \h </w:instrText>
            </w:r>
            <w:r w:rsidR="00E22400">
              <w:rPr>
                <w:noProof/>
                <w:webHidden/>
              </w:rPr>
            </w:r>
            <w:r w:rsidR="00E22400">
              <w:rPr>
                <w:noProof/>
                <w:webHidden/>
              </w:rPr>
              <w:fldChar w:fldCharType="separate"/>
            </w:r>
            <w:r w:rsidR="003732A2">
              <w:rPr>
                <w:noProof/>
                <w:webHidden/>
              </w:rPr>
              <w:t>42</w:t>
            </w:r>
            <w:r w:rsidR="00E22400">
              <w:rPr>
                <w:noProof/>
                <w:webHidden/>
              </w:rPr>
              <w:fldChar w:fldCharType="end"/>
            </w:r>
          </w:hyperlink>
        </w:p>
        <w:p w14:paraId="57A0B3B6" w14:textId="77777777" w:rsidR="00E22400" w:rsidRDefault="00113462">
          <w:pPr>
            <w:pStyle w:val="TOC2"/>
            <w:tabs>
              <w:tab w:val="right" w:leader="dot" w:pos="9016"/>
            </w:tabs>
            <w:rPr>
              <w:rFonts w:eastAsiaTheme="minorEastAsia" w:cstheme="minorBidi"/>
              <w:smallCaps w:val="0"/>
              <w:noProof/>
              <w:sz w:val="22"/>
              <w:szCs w:val="22"/>
            </w:rPr>
          </w:pPr>
          <w:hyperlink w:anchor="_Toc419004021" w:history="1">
            <w:r w:rsidR="00E22400" w:rsidRPr="00941937">
              <w:rPr>
                <w:rStyle w:val="Hyperlink"/>
                <w:noProof/>
              </w:rPr>
              <w:t>3.4 Efficiency Analysis: Linking Public Spending to Health Outcomes</w:t>
            </w:r>
            <w:r w:rsidR="00E22400">
              <w:rPr>
                <w:noProof/>
                <w:webHidden/>
              </w:rPr>
              <w:tab/>
            </w:r>
            <w:r w:rsidR="00E22400">
              <w:rPr>
                <w:noProof/>
                <w:webHidden/>
              </w:rPr>
              <w:fldChar w:fldCharType="begin"/>
            </w:r>
            <w:r w:rsidR="00E22400">
              <w:rPr>
                <w:noProof/>
                <w:webHidden/>
              </w:rPr>
              <w:instrText xml:space="preserve"> PAGEREF _Toc419004021 \h </w:instrText>
            </w:r>
            <w:r w:rsidR="00E22400">
              <w:rPr>
                <w:noProof/>
                <w:webHidden/>
              </w:rPr>
            </w:r>
            <w:r w:rsidR="00E22400">
              <w:rPr>
                <w:noProof/>
                <w:webHidden/>
              </w:rPr>
              <w:fldChar w:fldCharType="separate"/>
            </w:r>
            <w:r w:rsidR="003732A2">
              <w:rPr>
                <w:noProof/>
                <w:webHidden/>
              </w:rPr>
              <w:t>43</w:t>
            </w:r>
            <w:r w:rsidR="00E22400">
              <w:rPr>
                <w:noProof/>
                <w:webHidden/>
              </w:rPr>
              <w:fldChar w:fldCharType="end"/>
            </w:r>
          </w:hyperlink>
        </w:p>
        <w:p w14:paraId="4B1B22C3" w14:textId="77777777" w:rsidR="00E22400" w:rsidRDefault="00113462">
          <w:pPr>
            <w:pStyle w:val="TOC3"/>
            <w:tabs>
              <w:tab w:val="right" w:leader="dot" w:pos="9016"/>
            </w:tabs>
            <w:rPr>
              <w:rFonts w:eastAsiaTheme="minorEastAsia" w:cstheme="minorBidi"/>
              <w:i w:val="0"/>
              <w:iCs w:val="0"/>
              <w:noProof/>
              <w:sz w:val="22"/>
              <w:szCs w:val="22"/>
            </w:rPr>
          </w:pPr>
          <w:hyperlink w:anchor="_Toc419004022" w:history="1">
            <w:r w:rsidR="00E22400" w:rsidRPr="00941937">
              <w:rPr>
                <w:rStyle w:val="Hyperlink"/>
                <w:noProof/>
              </w:rPr>
              <w:t>Methodology and Terms</w:t>
            </w:r>
            <w:r w:rsidR="00E22400">
              <w:rPr>
                <w:noProof/>
                <w:webHidden/>
              </w:rPr>
              <w:tab/>
            </w:r>
            <w:r w:rsidR="00E22400">
              <w:rPr>
                <w:noProof/>
                <w:webHidden/>
              </w:rPr>
              <w:fldChar w:fldCharType="begin"/>
            </w:r>
            <w:r w:rsidR="00E22400">
              <w:rPr>
                <w:noProof/>
                <w:webHidden/>
              </w:rPr>
              <w:instrText xml:space="preserve"> PAGEREF _Toc419004022 \h </w:instrText>
            </w:r>
            <w:r w:rsidR="00E22400">
              <w:rPr>
                <w:noProof/>
                <w:webHidden/>
              </w:rPr>
            </w:r>
            <w:r w:rsidR="00E22400">
              <w:rPr>
                <w:noProof/>
                <w:webHidden/>
              </w:rPr>
              <w:fldChar w:fldCharType="separate"/>
            </w:r>
            <w:r w:rsidR="003732A2">
              <w:rPr>
                <w:noProof/>
                <w:webHidden/>
              </w:rPr>
              <w:t>43</w:t>
            </w:r>
            <w:r w:rsidR="00E22400">
              <w:rPr>
                <w:noProof/>
                <w:webHidden/>
              </w:rPr>
              <w:fldChar w:fldCharType="end"/>
            </w:r>
          </w:hyperlink>
        </w:p>
        <w:p w14:paraId="6B115DEA" w14:textId="77777777" w:rsidR="00E22400" w:rsidRDefault="00113462">
          <w:pPr>
            <w:pStyle w:val="TOC3"/>
            <w:tabs>
              <w:tab w:val="right" w:leader="dot" w:pos="9016"/>
            </w:tabs>
            <w:rPr>
              <w:rFonts w:eastAsiaTheme="minorEastAsia" w:cstheme="minorBidi"/>
              <w:i w:val="0"/>
              <w:iCs w:val="0"/>
              <w:noProof/>
              <w:sz w:val="22"/>
              <w:szCs w:val="22"/>
            </w:rPr>
          </w:pPr>
          <w:hyperlink w:anchor="_Toc419004023" w:history="1">
            <w:r w:rsidR="00E22400" w:rsidRPr="00941937">
              <w:rPr>
                <w:rStyle w:val="Hyperlink"/>
                <w:noProof/>
              </w:rPr>
              <w:t>Results</w:t>
            </w:r>
            <w:r w:rsidR="00E22400">
              <w:rPr>
                <w:noProof/>
                <w:webHidden/>
              </w:rPr>
              <w:tab/>
            </w:r>
            <w:r w:rsidR="00E22400">
              <w:rPr>
                <w:noProof/>
                <w:webHidden/>
              </w:rPr>
              <w:fldChar w:fldCharType="begin"/>
            </w:r>
            <w:r w:rsidR="00E22400">
              <w:rPr>
                <w:noProof/>
                <w:webHidden/>
              </w:rPr>
              <w:instrText xml:space="preserve"> PAGEREF _Toc419004023 \h </w:instrText>
            </w:r>
            <w:r w:rsidR="00E22400">
              <w:rPr>
                <w:noProof/>
                <w:webHidden/>
              </w:rPr>
            </w:r>
            <w:r w:rsidR="00E22400">
              <w:rPr>
                <w:noProof/>
                <w:webHidden/>
              </w:rPr>
              <w:fldChar w:fldCharType="separate"/>
            </w:r>
            <w:r w:rsidR="003732A2">
              <w:rPr>
                <w:noProof/>
                <w:webHidden/>
              </w:rPr>
              <w:t>44</w:t>
            </w:r>
            <w:r w:rsidR="00E22400">
              <w:rPr>
                <w:noProof/>
                <w:webHidden/>
              </w:rPr>
              <w:fldChar w:fldCharType="end"/>
            </w:r>
          </w:hyperlink>
        </w:p>
        <w:p w14:paraId="144CDA5D" w14:textId="77777777" w:rsidR="00E22400" w:rsidRDefault="00113462">
          <w:pPr>
            <w:pStyle w:val="TOC1"/>
            <w:rPr>
              <w:rFonts w:eastAsiaTheme="minorEastAsia" w:cstheme="minorBidi"/>
              <w:b w:val="0"/>
              <w:bCs w:val="0"/>
              <w:caps w:val="0"/>
              <w:noProof/>
              <w:sz w:val="22"/>
              <w:szCs w:val="22"/>
            </w:rPr>
          </w:pPr>
          <w:hyperlink w:anchor="_Toc419004024" w:history="1">
            <w:r w:rsidR="00E22400" w:rsidRPr="00941937">
              <w:rPr>
                <w:rStyle w:val="Hyperlink"/>
                <w:noProof/>
              </w:rPr>
              <w:t>4. Prospects for Additional Financing for Health</w:t>
            </w:r>
            <w:r w:rsidR="00E22400">
              <w:rPr>
                <w:noProof/>
                <w:webHidden/>
              </w:rPr>
              <w:tab/>
            </w:r>
            <w:r w:rsidR="00E22400">
              <w:rPr>
                <w:noProof/>
                <w:webHidden/>
              </w:rPr>
              <w:fldChar w:fldCharType="begin"/>
            </w:r>
            <w:r w:rsidR="00E22400">
              <w:rPr>
                <w:noProof/>
                <w:webHidden/>
              </w:rPr>
              <w:instrText xml:space="preserve"> PAGEREF _Toc419004024 \h </w:instrText>
            </w:r>
            <w:r w:rsidR="00E22400">
              <w:rPr>
                <w:noProof/>
                <w:webHidden/>
              </w:rPr>
            </w:r>
            <w:r w:rsidR="00E22400">
              <w:rPr>
                <w:noProof/>
                <w:webHidden/>
              </w:rPr>
              <w:fldChar w:fldCharType="separate"/>
            </w:r>
            <w:r w:rsidR="003732A2">
              <w:rPr>
                <w:noProof/>
                <w:webHidden/>
              </w:rPr>
              <w:t>47</w:t>
            </w:r>
            <w:r w:rsidR="00E22400">
              <w:rPr>
                <w:noProof/>
                <w:webHidden/>
              </w:rPr>
              <w:fldChar w:fldCharType="end"/>
            </w:r>
          </w:hyperlink>
        </w:p>
        <w:p w14:paraId="6361DB1A" w14:textId="77777777" w:rsidR="00E22400" w:rsidRDefault="00113462">
          <w:pPr>
            <w:pStyle w:val="TOC2"/>
            <w:tabs>
              <w:tab w:val="right" w:leader="dot" w:pos="9016"/>
            </w:tabs>
            <w:rPr>
              <w:rFonts w:eastAsiaTheme="minorEastAsia" w:cstheme="minorBidi"/>
              <w:smallCaps w:val="0"/>
              <w:noProof/>
              <w:sz w:val="22"/>
              <w:szCs w:val="22"/>
            </w:rPr>
          </w:pPr>
          <w:hyperlink w:anchor="_Toc419004025" w:history="1">
            <w:r w:rsidR="00E22400" w:rsidRPr="00941937">
              <w:rPr>
                <w:rStyle w:val="Hyperlink"/>
                <w:noProof/>
              </w:rPr>
              <w:t>4.1 Fiscal Space for Health?</w:t>
            </w:r>
            <w:r w:rsidR="00E22400">
              <w:rPr>
                <w:noProof/>
                <w:webHidden/>
              </w:rPr>
              <w:tab/>
            </w:r>
            <w:r w:rsidR="00E22400">
              <w:rPr>
                <w:noProof/>
                <w:webHidden/>
              </w:rPr>
              <w:fldChar w:fldCharType="begin"/>
            </w:r>
            <w:r w:rsidR="00E22400">
              <w:rPr>
                <w:noProof/>
                <w:webHidden/>
              </w:rPr>
              <w:instrText xml:space="preserve"> PAGEREF _Toc419004025 \h </w:instrText>
            </w:r>
            <w:r w:rsidR="00E22400">
              <w:rPr>
                <w:noProof/>
                <w:webHidden/>
              </w:rPr>
            </w:r>
            <w:r w:rsidR="00E22400">
              <w:rPr>
                <w:noProof/>
                <w:webHidden/>
              </w:rPr>
              <w:fldChar w:fldCharType="separate"/>
            </w:r>
            <w:r w:rsidR="003732A2">
              <w:rPr>
                <w:noProof/>
                <w:webHidden/>
              </w:rPr>
              <w:t>47</w:t>
            </w:r>
            <w:r w:rsidR="00E22400">
              <w:rPr>
                <w:noProof/>
                <w:webHidden/>
              </w:rPr>
              <w:fldChar w:fldCharType="end"/>
            </w:r>
          </w:hyperlink>
        </w:p>
        <w:p w14:paraId="3C1F72ED" w14:textId="77777777" w:rsidR="00E22400" w:rsidRDefault="00113462">
          <w:pPr>
            <w:pStyle w:val="TOC3"/>
            <w:tabs>
              <w:tab w:val="right" w:leader="dot" w:pos="9016"/>
            </w:tabs>
            <w:rPr>
              <w:rFonts w:eastAsiaTheme="minorEastAsia" w:cstheme="minorBidi"/>
              <w:i w:val="0"/>
              <w:iCs w:val="0"/>
              <w:noProof/>
              <w:sz w:val="22"/>
              <w:szCs w:val="22"/>
            </w:rPr>
          </w:pPr>
          <w:hyperlink w:anchor="_Toc419004026" w:history="1">
            <w:r w:rsidR="00E22400" w:rsidRPr="00941937">
              <w:rPr>
                <w:rStyle w:val="Hyperlink"/>
                <w:noProof/>
              </w:rPr>
              <w:t>Macroeconomic Developments and Fiscal Revenues</w:t>
            </w:r>
            <w:r w:rsidR="00E22400">
              <w:rPr>
                <w:noProof/>
                <w:webHidden/>
              </w:rPr>
              <w:tab/>
            </w:r>
            <w:r w:rsidR="00E22400">
              <w:rPr>
                <w:noProof/>
                <w:webHidden/>
              </w:rPr>
              <w:fldChar w:fldCharType="begin"/>
            </w:r>
            <w:r w:rsidR="00E22400">
              <w:rPr>
                <w:noProof/>
                <w:webHidden/>
              </w:rPr>
              <w:instrText xml:space="preserve"> PAGEREF _Toc419004026 \h </w:instrText>
            </w:r>
            <w:r w:rsidR="00E22400">
              <w:rPr>
                <w:noProof/>
                <w:webHidden/>
              </w:rPr>
            </w:r>
            <w:r w:rsidR="00E22400">
              <w:rPr>
                <w:noProof/>
                <w:webHidden/>
              </w:rPr>
              <w:fldChar w:fldCharType="separate"/>
            </w:r>
            <w:r w:rsidR="003732A2">
              <w:rPr>
                <w:noProof/>
                <w:webHidden/>
              </w:rPr>
              <w:t>47</w:t>
            </w:r>
            <w:r w:rsidR="00E22400">
              <w:rPr>
                <w:noProof/>
                <w:webHidden/>
              </w:rPr>
              <w:fldChar w:fldCharType="end"/>
            </w:r>
          </w:hyperlink>
        </w:p>
        <w:p w14:paraId="1D88B8F4" w14:textId="77777777" w:rsidR="00E22400" w:rsidRDefault="00113462">
          <w:pPr>
            <w:pStyle w:val="TOC3"/>
            <w:tabs>
              <w:tab w:val="right" w:leader="dot" w:pos="9016"/>
            </w:tabs>
            <w:rPr>
              <w:rFonts w:eastAsiaTheme="minorEastAsia" w:cstheme="minorBidi"/>
              <w:i w:val="0"/>
              <w:iCs w:val="0"/>
              <w:noProof/>
              <w:sz w:val="22"/>
              <w:szCs w:val="22"/>
            </w:rPr>
          </w:pPr>
          <w:hyperlink w:anchor="_Toc419004027" w:history="1">
            <w:r w:rsidR="00E22400" w:rsidRPr="00941937">
              <w:rPr>
                <w:rStyle w:val="Hyperlink"/>
                <w:noProof/>
              </w:rPr>
              <w:t>General Trends in Expenditure Allocation</w:t>
            </w:r>
            <w:r w:rsidR="00E22400">
              <w:rPr>
                <w:noProof/>
                <w:webHidden/>
              </w:rPr>
              <w:tab/>
            </w:r>
            <w:r w:rsidR="00E22400">
              <w:rPr>
                <w:noProof/>
                <w:webHidden/>
              </w:rPr>
              <w:fldChar w:fldCharType="begin"/>
            </w:r>
            <w:r w:rsidR="00E22400">
              <w:rPr>
                <w:noProof/>
                <w:webHidden/>
              </w:rPr>
              <w:instrText xml:space="preserve"> PAGEREF _Toc419004027 \h </w:instrText>
            </w:r>
            <w:r w:rsidR="00E22400">
              <w:rPr>
                <w:noProof/>
                <w:webHidden/>
              </w:rPr>
            </w:r>
            <w:r w:rsidR="00E22400">
              <w:rPr>
                <w:noProof/>
                <w:webHidden/>
              </w:rPr>
              <w:fldChar w:fldCharType="separate"/>
            </w:r>
            <w:r w:rsidR="003732A2">
              <w:rPr>
                <w:noProof/>
                <w:webHidden/>
              </w:rPr>
              <w:t>49</w:t>
            </w:r>
            <w:r w:rsidR="00E22400">
              <w:rPr>
                <w:noProof/>
                <w:webHidden/>
              </w:rPr>
              <w:fldChar w:fldCharType="end"/>
            </w:r>
          </w:hyperlink>
        </w:p>
        <w:p w14:paraId="212C2DBA" w14:textId="77777777" w:rsidR="00E22400" w:rsidRDefault="00113462">
          <w:pPr>
            <w:pStyle w:val="TOC2"/>
            <w:tabs>
              <w:tab w:val="right" w:leader="dot" w:pos="9016"/>
            </w:tabs>
            <w:rPr>
              <w:rFonts w:eastAsiaTheme="minorEastAsia" w:cstheme="minorBidi"/>
              <w:smallCaps w:val="0"/>
              <w:noProof/>
              <w:sz w:val="22"/>
              <w:szCs w:val="22"/>
            </w:rPr>
          </w:pPr>
          <w:hyperlink w:anchor="_Toc419004028" w:history="1">
            <w:r w:rsidR="00E22400" w:rsidRPr="00941937">
              <w:rPr>
                <w:rStyle w:val="Hyperlink"/>
                <w:noProof/>
              </w:rPr>
              <w:t>4.2 Prospects for Domestic Generation of Funds for Health</w:t>
            </w:r>
            <w:r w:rsidR="00E22400">
              <w:rPr>
                <w:noProof/>
                <w:webHidden/>
              </w:rPr>
              <w:tab/>
            </w:r>
            <w:r w:rsidR="00E22400">
              <w:rPr>
                <w:noProof/>
                <w:webHidden/>
              </w:rPr>
              <w:fldChar w:fldCharType="begin"/>
            </w:r>
            <w:r w:rsidR="00E22400">
              <w:rPr>
                <w:noProof/>
                <w:webHidden/>
              </w:rPr>
              <w:instrText xml:space="preserve"> PAGEREF _Toc419004028 \h </w:instrText>
            </w:r>
            <w:r w:rsidR="00E22400">
              <w:rPr>
                <w:noProof/>
                <w:webHidden/>
              </w:rPr>
            </w:r>
            <w:r w:rsidR="00E22400">
              <w:rPr>
                <w:noProof/>
                <w:webHidden/>
              </w:rPr>
              <w:fldChar w:fldCharType="separate"/>
            </w:r>
            <w:r w:rsidR="003732A2">
              <w:rPr>
                <w:noProof/>
                <w:webHidden/>
              </w:rPr>
              <w:t>51</w:t>
            </w:r>
            <w:r w:rsidR="00E22400">
              <w:rPr>
                <w:noProof/>
                <w:webHidden/>
              </w:rPr>
              <w:fldChar w:fldCharType="end"/>
            </w:r>
          </w:hyperlink>
        </w:p>
        <w:p w14:paraId="36E2FE2E" w14:textId="77777777" w:rsidR="00E22400" w:rsidRDefault="00113462">
          <w:pPr>
            <w:pStyle w:val="TOC3"/>
            <w:tabs>
              <w:tab w:val="right" w:leader="dot" w:pos="9016"/>
            </w:tabs>
            <w:rPr>
              <w:rFonts w:eastAsiaTheme="minorEastAsia" w:cstheme="minorBidi"/>
              <w:i w:val="0"/>
              <w:iCs w:val="0"/>
              <w:noProof/>
              <w:sz w:val="22"/>
              <w:szCs w:val="22"/>
            </w:rPr>
          </w:pPr>
          <w:hyperlink w:anchor="_Toc419004029" w:history="1">
            <w:r w:rsidR="00E22400" w:rsidRPr="00941937">
              <w:rPr>
                <w:rStyle w:val="Hyperlink"/>
                <w:noProof/>
              </w:rPr>
              <w:t>General Tax Revenue</w:t>
            </w:r>
            <w:r w:rsidR="00E22400">
              <w:rPr>
                <w:noProof/>
                <w:webHidden/>
              </w:rPr>
              <w:tab/>
            </w:r>
            <w:r w:rsidR="00E22400">
              <w:rPr>
                <w:noProof/>
                <w:webHidden/>
              </w:rPr>
              <w:fldChar w:fldCharType="begin"/>
            </w:r>
            <w:r w:rsidR="00E22400">
              <w:rPr>
                <w:noProof/>
                <w:webHidden/>
              </w:rPr>
              <w:instrText xml:space="preserve"> PAGEREF _Toc419004029 \h </w:instrText>
            </w:r>
            <w:r w:rsidR="00E22400">
              <w:rPr>
                <w:noProof/>
                <w:webHidden/>
              </w:rPr>
            </w:r>
            <w:r w:rsidR="00E22400">
              <w:rPr>
                <w:noProof/>
                <w:webHidden/>
              </w:rPr>
              <w:fldChar w:fldCharType="separate"/>
            </w:r>
            <w:r w:rsidR="003732A2">
              <w:rPr>
                <w:noProof/>
                <w:webHidden/>
              </w:rPr>
              <w:t>51</w:t>
            </w:r>
            <w:r w:rsidR="00E22400">
              <w:rPr>
                <w:noProof/>
                <w:webHidden/>
              </w:rPr>
              <w:fldChar w:fldCharType="end"/>
            </w:r>
          </w:hyperlink>
        </w:p>
        <w:p w14:paraId="3D3DFABC" w14:textId="77777777" w:rsidR="00E22400" w:rsidRDefault="00113462">
          <w:pPr>
            <w:pStyle w:val="TOC3"/>
            <w:tabs>
              <w:tab w:val="right" w:leader="dot" w:pos="9016"/>
            </w:tabs>
            <w:rPr>
              <w:rFonts w:eastAsiaTheme="minorEastAsia" w:cstheme="minorBidi"/>
              <w:i w:val="0"/>
              <w:iCs w:val="0"/>
              <w:noProof/>
              <w:sz w:val="22"/>
              <w:szCs w:val="22"/>
            </w:rPr>
          </w:pPr>
          <w:hyperlink w:anchor="_Toc419004030" w:history="1">
            <w:r w:rsidR="00E22400" w:rsidRPr="00941937">
              <w:rPr>
                <w:rStyle w:val="Hyperlink"/>
                <w:noProof/>
              </w:rPr>
              <w:t>Earmarked Taxes</w:t>
            </w:r>
            <w:r w:rsidR="00E22400">
              <w:rPr>
                <w:noProof/>
                <w:webHidden/>
              </w:rPr>
              <w:tab/>
            </w:r>
            <w:r w:rsidR="00E22400">
              <w:rPr>
                <w:noProof/>
                <w:webHidden/>
              </w:rPr>
              <w:fldChar w:fldCharType="begin"/>
            </w:r>
            <w:r w:rsidR="00E22400">
              <w:rPr>
                <w:noProof/>
                <w:webHidden/>
              </w:rPr>
              <w:instrText xml:space="preserve"> PAGEREF _Toc419004030 \h </w:instrText>
            </w:r>
            <w:r w:rsidR="00E22400">
              <w:rPr>
                <w:noProof/>
                <w:webHidden/>
              </w:rPr>
            </w:r>
            <w:r w:rsidR="00E22400">
              <w:rPr>
                <w:noProof/>
                <w:webHidden/>
              </w:rPr>
              <w:fldChar w:fldCharType="separate"/>
            </w:r>
            <w:r w:rsidR="003732A2">
              <w:rPr>
                <w:noProof/>
                <w:webHidden/>
              </w:rPr>
              <w:t>51</w:t>
            </w:r>
            <w:r w:rsidR="00E22400">
              <w:rPr>
                <w:noProof/>
                <w:webHidden/>
              </w:rPr>
              <w:fldChar w:fldCharType="end"/>
            </w:r>
          </w:hyperlink>
        </w:p>
        <w:p w14:paraId="0DC8D7D7" w14:textId="77777777" w:rsidR="00E22400" w:rsidRDefault="00113462">
          <w:pPr>
            <w:pStyle w:val="TOC3"/>
            <w:tabs>
              <w:tab w:val="right" w:leader="dot" w:pos="9016"/>
            </w:tabs>
            <w:rPr>
              <w:rFonts w:eastAsiaTheme="minorEastAsia" w:cstheme="minorBidi"/>
              <w:i w:val="0"/>
              <w:iCs w:val="0"/>
              <w:noProof/>
              <w:sz w:val="22"/>
              <w:szCs w:val="22"/>
            </w:rPr>
          </w:pPr>
          <w:hyperlink w:anchor="_Toc419004031" w:history="1">
            <w:r w:rsidR="00E22400" w:rsidRPr="00941937">
              <w:rPr>
                <w:rStyle w:val="Hyperlink"/>
                <w:noProof/>
              </w:rPr>
              <w:t>AIDS Levy</w:t>
            </w:r>
            <w:r w:rsidR="00E22400">
              <w:rPr>
                <w:noProof/>
                <w:webHidden/>
              </w:rPr>
              <w:tab/>
            </w:r>
            <w:r w:rsidR="00E22400">
              <w:rPr>
                <w:noProof/>
                <w:webHidden/>
              </w:rPr>
              <w:fldChar w:fldCharType="begin"/>
            </w:r>
            <w:r w:rsidR="00E22400">
              <w:rPr>
                <w:noProof/>
                <w:webHidden/>
              </w:rPr>
              <w:instrText xml:space="preserve"> PAGEREF _Toc419004031 \h </w:instrText>
            </w:r>
            <w:r w:rsidR="00E22400">
              <w:rPr>
                <w:noProof/>
                <w:webHidden/>
              </w:rPr>
            </w:r>
            <w:r w:rsidR="00E22400">
              <w:rPr>
                <w:noProof/>
                <w:webHidden/>
              </w:rPr>
              <w:fldChar w:fldCharType="separate"/>
            </w:r>
            <w:r w:rsidR="003732A2">
              <w:rPr>
                <w:noProof/>
                <w:webHidden/>
              </w:rPr>
              <w:t>52</w:t>
            </w:r>
            <w:r w:rsidR="00E22400">
              <w:rPr>
                <w:noProof/>
                <w:webHidden/>
              </w:rPr>
              <w:fldChar w:fldCharType="end"/>
            </w:r>
          </w:hyperlink>
        </w:p>
        <w:p w14:paraId="6D0D08E7" w14:textId="77777777" w:rsidR="00E22400" w:rsidRDefault="00113462">
          <w:pPr>
            <w:pStyle w:val="TOC3"/>
            <w:tabs>
              <w:tab w:val="right" w:leader="dot" w:pos="9016"/>
            </w:tabs>
            <w:rPr>
              <w:rFonts w:eastAsiaTheme="minorEastAsia" w:cstheme="minorBidi"/>
              <w:i w:val="0"/>
              <w:iCs w:val="0"/>
              <w:noProof/>
              <w:sz w:val="22"/>
              <w:szCs w:val="22"/>
            </w:rPr>
          </w:pPr>
          <w:hyperlink w:anchor="_Toc419004032" w:history="1">
            <w:r w:rsidR="00E22400" w:rsidRPr="00941937">
              <w:rPr>
                <w:rStyle w:val="Hyperlink"/>
                <w:noProof/>
              </w:rPr>
              <w:t>Excise Taxes</w:t>
            </w:r>
            <w:r w:rsidR="00E22400">
              <w:rPr>
                <w:noProof/>
                <w:webHidden/>
              </w:rPr>
              <w:tab/>
            </w:r>
            <w:r w:rsidR="00E22400">
              <w:rPr>
                <w:noProof/>
                <w:webHidden/>
              </w:rPr>
              <w:fldChar w:fldCharType="begin"/>
            </w:r>
            <w:r w:rsidR="00E22400">
              <w:rPr>
                <w:noProof/>
                <w:webHidden/>
              </w:rPr>
              <w:instrText xml:space="preserve"> PAGEREF _Toc419004032 \h </w:instrText>
            </w:r>
            <w:r w:rsidR="00E22400">
              <w:rPr>
                <w:noProof/>
                <w:webHidden/>
              </w:rPr>
            </w:r>
            <w:r w:rsidR="00E22400">
              <w:rPr>
                <w:noProof/>
                <w:webHidden/>
              </w:rPr>
              <w:fldChar w:fldCharType="separate"/>
            </w:r>
            <w:r w:rsidR="003732A2">
              <w:rPr>
                <w:noProof/>
                <w:webHidden/>
              </w:rPr>
              <w:t>52</w:t>
            </w:r>
            <w:r w:rsidR="00E22400">
              <w:rPr>
                <w:noProof/>
                <w:webHidden/>
              </w:rPr>
              <w:fldChar w:fldCharType="end"/>
            </w:r>
          </w:hyperlink>
        </w:p>
        <w:p w14:paraId="281B6FCB" w14:textId="77777777" w:rsidR="00E22400" w:rsidRDefault="00113462">
          <w:pPr>
            <w:pStyle w:val="TOC3"/>
            <w:tabs>
              <w:tab w:val="right" w:leader="dot" w:pos="9016"/>
            </w:tabs>
            <w:rPr>
              <w:rFonts w:eastAsiaTheme="minorEastAsia" w:cstheme="minorBidi"/>
              <w:i w:val="0"/>
              <w:iCs w:val="0"/>
              <w:noProof/>
              <w:sz w:val="22"/>
              <w:szCs w:val="22"/>
            </w:rPr>
          </w:pPr>
          <w:hyperlink w:anchor="_Toc419004033" w:history="1">
            <w:r w:rsidR="00E22400" w:rsidRPr="00941937">
              <w:rPr>
                <w:rStyle w:val="Hyperlink"/>
                <w:noProof/>
              </w:rPr>
              <w:t>Public–Private Partnerships</w:t>
            </w:r>
            <w:r w:rsidR="00E22400">
              <w:rPr>
                <w:noProof/>
                <w:webHidden/>
              </w:rPr>
              <w:tab/>
            </w:r>
            <w:r w:rsidR="00E22400">
              <w:rPr>
                <w:noProof/>
                <w:webHidden/>
              </w:rPr>
              <w:fldChar w:fldCharType="begin"/>
            </w:r>
            <w:r w:rsidR="00E22400">
              <w:rPr>
                <w:noProof/>
                <w:webHidden/>
              </w:rPr>
              <w:instrText xml:space="preserve"> PAGEREF _Toc419004033 \h </w:instrText>
            </w:r>
            <w:r w:rsidR="00E22400">
              <w:rPr>
                <w:noProof/>
                <w:webHidden/>
              </w:rPr>
            </w:r>
            <w:r w:rsidR="00E22400">
              <w:rPr>
                <w:noProof/>
                <w:webHidden/>
              </w:rPr>
              <w:fldChar w:fldCharType="separate"/>
            </w:r>
            <w:r w:rsidR="003732A2">
              <w:rPr>
                <w:noProof/>
                <w:webHidden/>
              </w:rPr>
              <w:t>53</w:t>
            </w:r>
            <w:r w:rsidR="00E22400">
              <w:rPr>
                <w:noProof/>
                <w:webHidden/>
              </w:rPr>
              <w:fldChar w:fldCharType="end"/>
            </w:r>
          </w:hyperlink>
        </w:p>
        <w:p w14:paraId="3F9C8B8C" w14:textId="77777777" w:rsidR="00E22400" w:rsidRDefault="00113462">
          <w:pPr>
            <w:pStyle w:val="TOC2"/>
            <w:tabs>
              <w:tab w:val="right" w:leader="dot" w:pos="9016"/>
            </w:tabs>
            <w:rPr>
              <w:rFonts w:eastAsiaTheme="minorEastAsia" w:cstheme="minorBidi"/>
              <w:smallCaps w:val="0"/>
              <w:noProof/>
              <w:sz w:val="22"/>
              <w:szCs w:val="22"/>
            </w:rPr>
          </w:pPr>
          <w:hyperlink w:anchor="_Toc419004034" w:history="1">
            <w:r w:rsidR="00E22400" w:rsidRPr="00941937">
              <w:rPr>
                <w:rStyle w:val="Hyperlink"/>
                <w:noProof/>
              </w:rPr>
              <w:t>4.3 Mobilizing External Funding</w:t>
            </w:r>
            <w:r w:rsidR="00E22400">
              <w:rPr>
                <w:noProof/>
                <w:webHidden/>
              </w:rPr>
              <w:tab/>
            </w:r>
            <w:r w:rsidR="00E22400">
              <w:rPr>
                <w:noProof/>
                <w:webHidden/>
              </w:rPr>
              <w:fldChar w:fldCharType="begin"/>
            </w:r>
            <w:r w:rsidR="00E22400">
              <w:rPr>
                <w:noProof/>
                <w:webHidden/>
              </w:rPr>
              <w:instrText xml:space="preserve"> PAGEREF _Toc419004034 \h </w:instrText>
            </w:r>
            <w:r w:rsidR="00E22400">
              <w:rPr>
                <w:noProof/>
                <w:webHidden/>
              </w:rPr>
            </w:r>
            <w:r w:rsidR="00E22400">
              <w:rPr>
                <w:noProof/>
                <w:webHidden/>
              </w:rPr>
              <w:fldChar w:fldCharType="separate"/>
            </w:r>
            <w:r w:rsidR="003732A2">
              <w:rPr>
                <w:noProof/>
                <w:webHidden/>
              </w:rPr>
              <w:t>53</w:t>
            </w:r>
            <w:r w:rsidR="00E22400">
              <w:rPr>
                <w:noProof/>
                <w:webHidden/>
              </w:rPr>
              <w:fldChar w:fldCharType="end"/>
            </w:r>
          </w:hyperlink>
        </w:p>
        <w:p w14:paraId="73A25AAA" w14:textId="77777777" w:rsidR="00E22400" w:rsidRDefault="00113462">
          <w:pPr>
            <w:pStyle w:val="TOC1"/>
            <w:rPr>
              <w:rFonts w:eastAsiaTheme="minorEastAsia" w:cstheme="minorBidi"/>
              <w:b w:val="0"/>
              <w:bCs w:val="0"/>
              <w:caps w:val="0"/>
              <w:noProof/>
              <w:sz w:val="22"/>
              <w:szCs w:val="22"/>
            </w:rPr>
          </w:pPr>
          <w:hyperlink w:anchor="_Toc419004035" w:history="1">
            <w:r w:rsidR="00E22400" w:rsidRPr="00941937">
              <w:rPr>
                <w:rStyle w:val="Hyperlink"/>
                <w:noProof/>
              </w:rPr>
              <w:t>5. Conclusions and Recommendations</w:t>
            </w:r>
            <w:r w:rsidR="00E22400">
              <w:rPr>
                <w:noProof/>
                <w:webHidden/>
              </w:rPr>
              <w:tab/>
            </w:r>
            <w:r w:rsidR="00E22400">
              <w:rPr>
                <w:noProof/>
                <w:webHidden/>
              </w:rPr>
              <w:fldChar w:fldCharType="begin"/>
            </w:r>
            <w:r w:rsidR="00E22400">
              <w:rPr>
                <w:noProof/>
                <w:webHidden/>
              </w:rPr>
              <w:instrText xml:space="preserve"> PAGEREF _Toc419004035 \h </w:instrText>
            </w:r>
            <w:r w:rsidR="00E22400">
              <w:rPr>
                <w:noProof/>
                <w:webHidden/>
              </w:rPr>
            </w:r>
            <w:r w:rsidR="00E22400">
              <w:rPr>
                <w:noProof/>
                <w:webHidden/>
              </w:rPr>
              <w:fldChar w:fldCharType="separate"/>
            </w:r>
            <w:r w:rsidR="003732A2">
              <w:rPr>
                <w:noProof/>
                <w:webHidden/>
              </w:rPr>
              <w:t>56</w:t>
            </w:r>
            <w:r w:rsidR="00E22400">
              <w:rPr>
                <w:noProof/>
                <w:webHidden/>
              </w:rPr>
              <w:fldChar w:fldCharType="end"/>
            </w:r>
          </w:hyperlink>
        </w:p>
        <w:p w14:paraId="367D1FAC" w14:textId="77777777" w:rsidR="00E22400" w:rsidRDefault="00113462">
          <w:pPr>
            <w:pStyle w:val="TOC2"/>
            <w:tabs>
              <w:tab w:val="right" w:leader="dot" w:pos="9016"/>
            </w:tabs>
            <w:rPr>
              <w:rFonts w:eastAsiaTheme="minorEastAsia" w:cstheme="minorBidi"/>
              <w:smallCaps w:val="0"/>
              <w:noProof/>
              <w:sz w:val="22"/>
              <w:szCs w:val="22"/>
            </w:rPr>
          </w:pPr>
          <w:hyperlink w:anchor="_Toc419004036" w:history="1">
            <w:r w:rsidR="00E22400" w:rsidRPr="00941937">
              <w:rPr>
                <w:rStyle w:val="Hyperlink"/>
                <w:noProof/>
              </w:rPr>
              <w:t>5.1 Conclusions</w:t>
            </w:r>
            <w:r w:rsidR="00E22400">
              <w:rPr>
                <w:noProof/>
                <w:webHidden/>
              </w:rPr>
              <w:tab/>
            </w:r>
            <w:r w:rsidR="00E22400">
              <w:rPr>
                <w:noProof/>
                <w:webHidden/>
              </w:rPr>
              <w:fldChar w:fldCharType="begin"/>
            </w:r>
            <w:r w:rsidR="00E22400">
              <w:rPr>
                <w:noProof/>
                <w:webHidden/>
              </w:rPr>
              <w:instrText xml:space="preserve"> PAGEREF _Toc419004036 \h </w:instrText>
            </w:r>
            <w:r w:rsidR="00E22400">
              <w:rPr>
                <w:noProof/>
                <w:webHidden/>
              </w:rPr>
            </w:r>
            <w:r w:rsidR="00E22400">
              <w:rPr>
                <w:noProof/>
                <w:webHidden/>
              </w:rPr>
              <w:fldChar w:fldCharType="separate"/>
            </w:r>
            <w:r w:rsidR="003732A2">
              <w:rPr>
                <w:noProof/>
                <w:webHidden/>
              </w:rPr>
              <w:t>56</w:t>
            </w:r>
            <w:r w:rsidR="00E22400">
              <w:rPr>
                <w:noProof/>
                <w:webHidden/>
              </w:rPr>
              <w:fldChar w:fldCharType="end"/>
            </w:r>
          </w:hyperlink>
        </w:p>
        <w:p w14:paraId="7934E352" w14:textId="77777777" w:rsidR="00E22400" w:rsidRDefault="00113462">
          <w:pPr>
            <w:pStyle w:val="TOC2"/>
            <w:tabs>
              <w:tab w:val="right" w:leader="dot" w:pos="9016"/>
            </w:tabs>
            <w:rPr>
              <w:rFonts w:eastAsiaTheme="minorEastAsia" w:cstheme="minorBidi"/>
              <w:smallCaps w:val="0"/>
              <w:noProof/>
              <w:sz w:val="22"/>
              <w:szCs w:val="22"/>
            </w:rPr>
          </w:pPr>
          <w:hyperlink w:anchor="_Toc419004037" w:history="1">
            <w:r w:rsidR="00E22400" w:rsidRPr="00941937">
              <w:rPr>
                <w:rStyle w:val="Hyperlink"/>
                <w:noProof/>
              </w:rPr>
              <w:t>5.2 Recommendations</w:t>
            </w:r>
            <w:r w:rsidR="00E22400">
              <w:rPr>
                <w:noProof/>
                <w:webHidden/>
              </w:rPr>
              <w:tab/>
            </w:r>
            <w:r w:rsidR="00E22400">
              <w:rPr>
                <w:noProof/>
                <w:webHidden/>
              </w:rPr>
              <w:fldChar w:fldCharType="begin"/>
            </w:r>
            <w:r w:rsidR="00E22400">
              <w:rPr>
                <w:noProof/>
                <w:webHidden/>
              </w:rPr>
              <w:instrText xml:space="preserve"> PAGEREF _Toc419004037 \h </w:instrText>
            </w:r>
            <w:r w:rsidR="00E22400">
              <w:rPr>
                <w:noProof/>
                <w:webHidden/>
              </w:rPr>
            </w:r>
            <w:r w:rsidR="00E22400">
              <w:rPr>
                <w:noProof/>
                <w:webHidden/>
              </w:rPr>
              <w:fldChar w:fldCharType="separate"/>
            </w:r>
            <w:r w:rsidR="003732A2">
              <w:rPr>
                <w:noProof/>
                <w:webHidden/>
              </w:rPr>
              <w:t>56</w:t>
            </w:r>
            <w:r w:rsidR="00E22400">
              <w:rPr>
                <w:noProof/>
                <w:webHidden/>
              </w:rPr>
              <w:fldChar w:fldCharType="end"/>
            </w:r>
          </w:hyperlink>
        </w:p>
        <w:p w14:paraId="7D01B8D2" w14:textId="77777777" w:rsidR="00E22400" w:rsidRDefault="00113462">
          <w:pPr>
            <w:pStyle w:val="TOC1"/>
            <w:rPr>
              <w:rFonts w:eastAsiaTheme="minorEastAsia" w:cstheme="minorBidi"/>
              <w:b w:val="0"/>
              <w:bCs w:val="0"/>
              <w:caps w:val="0"/>
              <w:noProof/>
              <w:sz w:val="22"/>
              <w:szCs w:val="22"/>
            </w:rPr>
          </w:pPr>
          <w:hyperlink w:anchor="_Toc419004038" w:history="1">
            <w:r w:rsidR="00E22400" w:rsidRPr="00941937">
              <w:rPr>
                <w:rStyle w:val="Hyperlink"/>
                <w:noProof/>
              </w:rPr>
              <w:t>Annex 1. Additional Tables and Figures</w:t>
            </w:r>
            <w:r w:rsidR="00E22400">
              <w:rPr>
                <w:noProof/>
                <w:webHidden/>
              </w:rPr>
              <w:tab/>
            </w:r>
            <w:r w:rsidR="00E22400">
              <w:rPr>
                <w:noProof/>
                <w:webHidden/>
              </w:rPr>
              <w:fldChar w:fldCharType="begin"/>
            </w:r>
            <w:r w:rsidR="00E22400">
              <w:rPr>
                <w:noProof/>
                <w:webHidden/>
              </w:rPr>
              <w:instrText xml:space="preserve"> PAGEREF _Toc419004038 \h </w:instrText>
            </w:r>
            <w:r w:rsidR="00E22400">
              <w:rPr>
                <w:noProof/>
                <w:webHidden/>
              </w:rPr>
            </w:r>
            <w:r w:rsidR="00E22400">
              <w:rPr>
                <w:noProof/>
                <w:webHidden/>
              </w:rPr>
              <w:fldChar w:fldCharType="separate"/>
            </w:r>
            <w:r w:rsidR="003732A2">
              <w:rPr>
                <w:noProof/>
                <w:webHidden/>
              </w:rPr>
              <w:t>59</w:t>
            </w:r>
            <w:r w:rsidR="00E22400">
              <w:rPr>
                <w:noProof/>
                <w:webHidden/>
              </w:rPr>
              <w:fldChar w:fldCharType="end"/>
            </w:r>
          </w:hyperlink>
        </w:p>
        <w:p w14:paraId="461C5031" w14:textId="77777777" w:rsidR="00E22400" w:rsidRDefault="00113462">
          <w:pPr>
            <w:pStyle w:val="TOC1"/>
            <w:rPr>
              <w:rFonts w:eastAsiaTheme="minorEastAsia" w:cstheme="minorBidi"/>
              <w:b w:val="0"/>
              <w:bCs w:val="0"/>
              <w:caps w:val="0"/>
              <w:noProof/>
              <w:sz w:val="22"/>
              <w:szCs w:val="22"/>
            </w:rPr>
          </w:pPr>
          <w:hyperlink w:anchor="_Toc419004039" w:history="1">
            <w:r w:rsidR="00E22400" w:rsidRPr="00941937">
              <w:rPr>
                <w:rStyle w:val="Hyperlink"/>
                <w:noProof/>
              </w:rPr>
              <w:t>Annex 2. Institutional Background and Budget Procedures</w:t>
            </w:r>
            <w:r w:rsidR="00E22400">
              <w:rPr>
                <w:noProof/>
                <w:webHidden/>
              </w:rPr>
              <w:tab/>
            </w:r>
            <w:r w:rsidR="00E22400">
              <w:rPr>
                <w:noProof/>
                <w:webHidden/>
              </w:rPr>
              <w:fldChar w:fldCharType="begin"/>
            </w:r>
            <w:r w:rsidR="00E22400">
              <w:rPr>
                <w:noProof/>
                <w:webHidden/>
              </w:rPr>
              <w:instrText xml:space="preserve"> PAGEREF _Toc419004039 \h </w:instrText>
            </w:r>
            <w:r w:rsidR="00E22400">
              <w:rPr>
                <w:noProof/>
                <w:webHidden/>
              </w:rPr>
            </w:r>
            <w:r w:rsidR="00E22400">
              <w:rPr>
                <w:noProof/>
                <w:webHidden/>
              </w:rPr>
              <w:fldChar w:fldCharType="separate"/>
            </w:r>
            <w:r w:rsidR="003732A2">
              <w:rPr>
                <w:noProof/>
                <w:webHidden/>
              </w:rPr>
              <w:t>60</w:t>
            </w:r>
            <w:r w:rsidR="00E22400">
              <w:rPr>
                <w:noProof/>
                <w:webHidden/>
              </w:rPr>
              <w:fldChar w:fldCharType="end"/>
            </w:r>
          </w:hyperlink>
        </w:p>
        <w:p w14:paraId="473D440A" w14:textId="77777777" w:rsidR="00E22400" w:rsidRDefault="00113462">
          <w:pPr>
            <w:pStyle w:val="TOC2"/>
            <w:tabs>
              <w:tab w:val="right" w:leader="dot" w:pos="9016"/>
            </w:tabs>
            <w:rPr>
              <w:rFonts w:eastAsiaTheme="minorEastAsia" w:cstheme="minorBidi"/>
              <w:smallCaps w:val="0"/>
              <w:noProof/>
              <w:sz w:val="22"/>
              <w:szCs w:val="22"/>
            </w:rPr>
          </w:pPr>
          <w:hyperlink w:anchor="_Toc419004040" w:history="1">
            <w:r w:rsidR="00E22400" w:rsidRPr="00941937">
              <w:rPr>
                <w:rStyle w:val="Hyperlink"/>
                <w:noProof/>
              </w:rPr>
              <w:t>Institutional Background</w:t>
            </w:r>
            <w:r w:rsidR="00E22400">
              <w:rPr>
                <w:noProof/>
                <w:webHidden/>
              </w:rPr>
              <w:tab/>
            </w:r>
            <w:r w:rsidR="00E22400">
              <w:rPr>
                <w:noProof/>
                <w:webHidden/>
              </w:rPr>
              <w:fldChar w:fldCharType="begin"/>
            </w:r>
            <w:r w:rsidR="00E22400">
              <w:rPr>
                <w:noProof/>
                <w:webHidden/>
              </w:rPr>
              <w:instrText xml:space="preserve"> PAGEREF _Toc419004040 \h </w:instrText>
            </w:r>
            <w:r w:rsidR="00E22400">
              <w:rPr>
                <w:noProof/>
                <w:webHidden/>
              </w:rPr>
            </w:r>
            <w:r w:rsidR="00E22400">
              <w:rPr>
                <w:noProof/>
                <w:webHidden/>
              </w:rPr>
              <w:fldChar w:fldCharType="separate"/>
            </w:r>
            <w:r w:rsidR="003732A2">
              <w:rPr>
                <w:noProof/>
                <w:webHidden/>
              </w:rPr>
              <w:t>60</w:t>
            </w:r>
            <w:r w:rsidR="00E22400">
              <w:rPr>
                <w:noProof/>
                <w:webHidden/>
              </w:rPr>
              <w:fldChar w:fldCharType="end"/>
            </w:r>
          </w:hyperlink>
        </w:p>
        <w:p w14:paraId="1467FE1D" w14:textId="77777777" w:rsidR="00E22400" w:rsidRDefault="00113462">
          <w:pPr>
            <w:pStyle w:val="TOC2"/>
            <w:tabs>
              <w:tab w:val="right" w:leader="dot" w:pos="9016"/>
            </w:tabs>
            <w:rPr>
              <w:rFonts w:eastAsiaTheme="minorEastAsia" w:cstheme="minorBidi"/>
              <w:smallCaps w:val="0"/>
              <w:noProof/>
              <w:sz w:val="22"/>
              <w:szCs w:val="22"/>
            </w:rPr>
          </w:pPr>
          <w:hyperlink w:anchor="_Toc419004041" w:history="1">
            <w:r w:rsidR="00E22400" w:rsidRPr="00941937">
              <w:rPr>
                <w:rStyle w:val="Hyperlink"/>
                <w:noProof/>
              </w:rPr>
              <w:t>Overview of Zimbabwe’s Current Budget Procedures</w:t>
            </w:r>
            <w:r w:rsidR="00E22400">
              <w:rPr>
                <w:noProof/>
                <w:webHidden/>
              </w:rPr>
              <w:tab/>
            </w:r>
            <w:r w:rsidR="00E22400">
              <w:rPr>
                <w:noProof/>
                <w:webHidden/>
              </w:rPr>
              <w:fldChar w:fldCharType="begin"/>
            </w:r>
            <w:r w:rsidR="00E22400">
              <w:rPr>
                <w:noProof/>
                <w:webHidden/>
              </w:rPr>
              <w:instrText xml:space="preserve"> PAGEREF _Toc419004041 \h </w:instrText>
            </w:r>
            <w:r w:rsidR="00E22400">
              <w:rPr>
                <w:noProof/>
                <w:webHidden/>
              </w:rPr>
            </w:r>
            <w:r w:rsidR="00E22400">
              <w:rPr>
                <w:noProof/>
                <w:webHidden/>
              </w:rPr>
              <w:fldChar w:fldCharType="separate"/>
            </w:r>
            <w:r w:rsidR="003732A2">
              <w:rPr>
                <w:noProof/>
                <w:webHidden/>
              </w:rPr>
              <w:t>60</w:t>
            </w:r>
            <w:r w:rsidR="00E22400">
              <w:rPr>
                <w:noProof/>
                <w:webHidden/>
              </w:rPr>
              <w:fldChar w:fldCharType="end"/>
            </w:r>
          </w:hyperlink>
        </w:p>
        <w:p w14:paraId="748C6723" w14:textId="77777777" w:rsidR="00E22400" w:rsidRDefault="00113462">
          <w:pPr>
            <w:pStyle w:val="TOC3"/>
            <w:tabs>
              <w:tab w:val="right" w:leader="dot" w:pos="9016"/>
            </w:tabs>
            <w:rPr>
              <w:rFonts w:eastAsiaTheme="minorEastAsia" w:cstheme="minorBidi"/>
              <w:i w:val="0"/>
              <w:iCs w:val="0"/>
              <w:noProof/>
              <w:sz w:val="22"/>
              <w:szCs w:val="22"/>
            </w:rPr>
          </w:pPr>
          <w:hyperlink w:anchor="_Toc419004042" w:history="1">
            <w:r w:rsidR="00E22400" w:rsidRPr="00941937">
              <w:rPr>
                <w:rStyle w:val="Hyperlink"/>
                <w:noProof/>
              </w:rPr>
              <w:t>Zimbabwe’s Reengineered Budget Process</w:t>
            </w:r>
            <w:r w:rsidR="00E22400">
              <w:rPr>
                <w:noProof/>
                <w:webHidden/>
              </w:rPr>
              <w:tab/>
            </w:r>
            <w:r w:rsidR="00E22400">
              <w:rPr>
                <w:noProof/>
                <w:webHidden/>
              </w:rPr>
              <w:fldChar w:fldCharType="begin"/>
            </w:r>
            <w:r w:rsidR="00E22400">
              <w:rPr>
                <w:noProof/>
                <w:webHidden/>
              </w:rPr>
              <w:instrText xml:space="preserve"> PAGEREF _Toc419004042 \h </w:instrText>
            </w:r>
            <w:r w:rsidR="00E22400">
              <w:rPr>
                <w:noProof/>
                <w:webHidden/>
              </w:rPr>
            </w:r>
            <w:r w:rsidR="00E22400">
              <w:rPr>
                <w:noProof/>
                <w:webHidden/>
              </w:rPr>
              <w:fldChar w:fldCharType="separate"/>
            </w:r>
            <w:r w:rsidR="003732A2">
              <w:rPr>
                <w:noProof/>
                <w:webHidden/>
              </w:rPr>
              <w:t>60</w:t>
            </w:r>
            <w:r w:rsidR="00E22400">
              <w:rPr>
                <w:noProof/>
                <w:webHidden/>
              </w:rPr>
              <w:fldChar w:fldCharType="end"/>
            </w:r>
          </w:hyperlink>
        </w:p>
        <w:p w14:paraId="495DAA4B" w14:textId="77777777" w:rsidR="00E22400" w:rsidRDefault="00113462">
          <w:pPr>
            <w:pStyle w:val="TOC3"/>
            <w:tabs>
              <w:tab w:val="right" w:leader="dot" w:pos="9016"/>
            </w:tabs>
            <w:rPr>
              <w:rFonts w:eastAsiaTheme="minorEastAsia" w:cstheme="minorBidi"/>
              <w:i w:val="0"/>
              <w:iCs w:val="0"/>
              <w:noProof/>
              <w:sz w:val="22"/>
              <w:szCs w:val="22"/>
            </w:rPr>
          </w:pPr>
          <w:hyperlink w:anchor="_Toc419004043" w:history="1">
            <w:r w:rsidR="00E22400" w:rsidRPr="00941937">
              <w:rPr>
                <w:rStyle w:val="Hyperlink"/>
                <w:noProof/>
              </w:rPr>
              <w:t>Centralization</w:t>
            </w:r>
            <w:r w:rsidR="00E22400">
              <w:rPr>
                <w:noProof/>
                <w:webHidden/>
              </w:rPr>
              <w:tab/>
            </w:r>
            <w:r w:rsidR="00E22400">
              <w:rPr>
                <w:noProof/>
                <w:webHidden/>
              </w:rPr>
              <w:fldChar w:fldCharType="begin"/>
            </w:r>
            <w:r w:rsidR="00E22400">
              <w:rPr>
                <w:noProof/>
                <w:webHidden/>
              </w:rPr>
              <w:instrText xml:space="preserve"> PAGEREF _Toc419004043 \h </w:instrText>
            </w:r>
            <w:r w:rsidR="00E22400">
              <w:rPr>
                <w:noProof/>
                <w:webHidden/>
              </w:rPr>
            </w:r>
            <w:r w:rsidR="00E22400">
              <w:rPr>
                <w:noProof/>
                <w:webHidden/>
              </w:rPr>
              <w:fldChar w:fldCharType="separate"/>
            </w:r>
            <w:r w:rsidR="003732A2">
              <w:rPr>
                <w:noProof/>
                <w:webHidden/>
              </w:rPr>
              <w:t>61</w:t>
            </w:r>
            <w:r w:rsidR="00E22400">
              <w:rPr>
                <w:noProof/>
                <w:webHidden/>
              </w:rPr>
              <w:fldChar w:fldCharType="end"/>
            </w:r>
          </w:hyperlink>
        </w:p>
        <w:p w14:paraId="295ACD66" w14:textId="77777777" w:rsidR="00E22400" w:rsidRDefault="00113462">
          <w:pPr>
            <w:pStyle w:val="TOC3"/>
            <w:tabs>
              <w:tab w:val="right" w:leader="dot" w:pos="9016"/>
            </w:tabs>
            <w:rPr>
              <w:rFonts w:eastAsiaTheme="minorEastAsia" w:cstheme="minorBidi"/>
              <w:i w:val="0"/>
              <w:iCs w:val="0"/>
              <w:noProof/>
              <w:sz w:val="22"/>
              <w:szCs w:val="22"/>
            </w:rPr>
          </w:pPr>
          <w:hyperlink w:anchor="_Toc419004044" w:history="1">
            <w:r w:rsidR="00E22400" w:rsidRPr="00941937">
              <w:rPr>
                <w:rStyle w:val="Hyperlink"/>
                <w:noProof/>
              </w:rPr>
              <w:t>Fungibility</w:t>
            </w:r>
            <w:r w:rsidR="00E22400">
              <w:rPr>
                <w:noProof/>
                <w:webHidden/>
              </w:rPr>
              <w:tab/>
            </w:r>
            <w:r w:rsidR="00E22400">
              <w:rPr>
                <w:noProof/>
                <w:webHidden/>
              </w:rPr>
              <w:fldChar w:fldCharType="begin"/>
            </w:r>
            <w:r w:rsidR="00E22400">
              <w:rPr>
                <w:noProof/>
                <w:webHidden/>
              </w:rPr>
              <w:instrText xml:space="preserve"> PAGEREF _Toc419004044 \h </w:instrText>
            </w:r>
            <w:r w:rsidR="00E22400">
              <w:rPr>
                <w:noProof/>
                <w:webHidden/>
              </w:rPr>
            </w:r>
            <w:r w:rsidR="00E22400">
              <w:rPr>
                <w:noProof/>
                <w:webHidden/>
              </w:rPr>
              <w:fldChar w:fldCharType="separate"/>
            </w:r>
            <w:r w:rsidR="003732A2">
              <w:rPr>
                <w:noProof/>
                <w:webHidden/>
              </w:rPr>
              <w:t>61</w:t>
            </w:r>
            <w:r w:rsidR="00E22400">
              <w:rPr>
                <w:noProof/>
                <w:webHidden/>
              </w:rPr>
              <w:fldChar w:fldCharType="end"/>
            </w:r>
          </w:hyperlink>
        </w:p>
        <w:p w14:paraId="1B8686D7" w14:textId="77777777" w:rsidR="00E22400" w:rsidRDefault="00113462">
          <w:pPr>
            <w:pStyle w:val="TOC1"/>
            <w:rPr>
              <w:rFonts w:eastAsiaTheme="minorEastAsia" w:cstheme="minorBidi"/>
              <w:b w:val="0"/>
              <w:bCs w:val="0"/>
              <w:caps w:val="0"/>
              <w:noProof/>
              <w:sz w:val="22"/>
              <w:szCs w:val="22"/>
            </w:rPr>
          </w:pPr>
          <w:hyperlink w:anchor="_Toc419004045" w:history="1">
            <w:r w:rsidR="00E22400" w:rsidRPr="00941937">
              <w:rPr>
                <w:rStyle w:val="Hyperlink"/>
                <w:noProof/>
              </w:rPr>
              <w:t>Annex 3. Efficiency Analysis of Public Health Expenditures</w:t>
            </w:r>
            <w:r w:rsidR="00E22400">
              <w:rPr>
                <w:noProof/>
                <w:webHidden/>
              </w:rPr>
              <w:tab/>
            </w:r>
            <w:r w:rsidR="00E22400">
              <w:rPr>
                <w:noProof/>
                <w:webHidden/>
              </w:rPr>
              <w:fldChar w:fldCharType="begin"/>
            </w:r>
            <w:r w:rsidR="00E22400">
              <w:rPr>
                <w:noProof/>
                <w:webHidden/>
              </w:rPr>
              <w:instrText xml:space="preserve"> PAGEREF _Toc419004045 \h </w:instrText>
            </w:r>
            <w:r w:rsidR="00E22400">
              <w:rPr>
                <w:noProof/>
                <w:webHidden/>
              </w:rPr>
            </w:r>
            <w:r w:rsidR="00E22400">
              <w:rPr>
                <w:noProof/>
                <w:webHidden/>
              </w:rPr>
              <w:fldChar w:fldCharType="separate"/>
            </w:r>
            <w:r w:rsidR="003732A2">
              <w:rPr>
                <w:noProof/>
                <w:webHidden/>
              </w:rPr>
              <w:t>62</w:t>
            </w:r>
            <w:r w:rsidR="00E22400">
              <w:rPr>
                <w:noProof/>
                <w:webHidden/>
              </w:rPr>
              <w:fldChar w:fldCharType="end"/>
            </w:r>
          </w:hyperlink>
        </w:p>
        <w:p w14:paraId="12EFB635" w14:textId="77777777" w:rsidR="00E22400" w:rsidRDefault="00113462">
          <w:pPr>
            <w:pStyle w:val="TOC3"/>
            <w:tabs>
              <w:tab w:val="right" w:leader="dot" w:pos="9016"/>
            </w:tabs>
            <w:rPr>
              <w:rFonts w:eastAsiaTheme="minorEastAsia" w:cstheme="minorBidi"/>
              <w:i w:val="0"/>
              <w:iCs w:val="0"/>
              <w:noProof/>
              <w:sz w:val="22"/>
              <w:szCs w:val="22"/>
            </w:rPr>
          </w:pPr>
          <w:hyperlink w:anchor="_Toc419004046" w:history="1">
            <w:r w:rsidR="00E22400" w:rsidRPr="00941937">
              <w:rPr>
                <w:rStyle w:val="Hyperlink"/>
                <w:noProof/>
              </w:rPr>
              <w:t>General Methodology</w:t>
            </w:r>
            <w:r w:rsidR="00E22400">
              <w:rPr>
                <w:noProof/>
                <w:webHidden/>
              </w:rPr>
              <w:tab/>
            </w:r>
            <w:r w:rsidR="00E22400">
              <w:rPr>
                <w:noProof/>
                <w:webHidden/>
              </w:rPr>
              <w:fldChar w:fldCharType="begin"/>
            </w:r>
            <w:r w:rsidR="00E22400">
              <w:rPr>
                <w:noProof/>
                <w:webHidden/>
              </w:rPr>
              <w:instrText xml:space="preserve"> PAGEREF _Toc419004046 \h </w:instrText>
            </w:r>
            <w:r w:rsidR="00E22400">
              <w:rPr>
                <w:noProof/>
                <w:webHidden/>
              </w:rPr>
            </w:r>
            <w:r w:rsidR="00E22400">
              <w:rPr>
                <w:noProof/>
                <w:webHidden/>
              </w:rPr>
              <w:fldChar w:fldCharType="separate"/>
            </w:r>
            <w:r w:rsidR="003732A2">
              <w:rPr>
                <w:noProof/>
                <w:webHidden/>
              </w:rPr>
              <w:t>62</w:t>
            </w:r>
            <w:r w:rsidR="00E22400">
              <w:rPr>
                <w:noProof/>
                <w:webHidden/>
              </w:rPr>
              <w:fldChar w:fldCharType="end"/>
            </w:r>
          </w:hyperlink>
        </w:p>
        <w:p w14:paraId="112DC967" w14:textId="77777777" w:rsidR="00E22400" w:rsidRDefault="00113462">
          <w:pPr>
            <w:pStyle w:val="TOC3"/>
            <w:tabs>
              <w:tab w:val="right" w:leader="dot" w:pos="9016"/>
            </w:tabs>
            <w:rPr>
              <w:rFonts w:eastAsiaTheme="minorEastAsia" w:cstheme="minorBidi"/>
              <w:i w:val="0"/>
              <w:iCs w:val="0"/>
              <w:noProof/>
              <w:sz w:val="22"/>
              <w:szCs w:val="22"/>
            </w:rPr>
          </w:pPr>
          <w:hyperlink w:anchor="_Toc419004047" w:history="1">
            <w:r w:rsidR="00E22400" w:rsidRPr="00941937">
              <w:rPr>
                <w:rStyle w:val="Hyperlink"/>
                <w:noProof/>
              </w:rPr>
              <w:t>Structural Efficiency Analysis—Methodology and Graphical Results</w:t>
            </w:r>
            <w:r w:rsidR="00E22400">
              <w:rPr>
                <w:noProof/>
                <w:webHidden/>
              </w:rPr>
              <w:tab/>
            </w:r>
            <w:r w:rsidR="00E22400">
              <w:rPr>
                <w:noProof/>
                <w:webHidden/>
              </w:rPr>
              <w:fldChar w:fldCharType="begin"/>
            </w:r>
            <w:r w:rsidR="00E22400">
              <w:rPr>
                <w:noProof/>
                <w:webHidden/>
              </w:rPr>
              <w:instrText xml:space="preserve"> PAGEREF _Toc419004047 \h </w:instrText>
            </w:r>
            <w:r w:rsidR="00E22400">
              <w:rPr>
                <w:noProof/>
                <w:webHidden/>
              </w:rPr>
            </w:r>
            <w:r w:rsidR="00E22400">
              <w:rPr>
                <w:noProof/>
                <w:webHidden/>
              </w:rPr>
              <w:fldChar w:fldCharType="separate"/>
            </w:r>
            <w:r w:rsidR="003732A2">
              <w:rPr>
                <w:noProof/>
                <w:webHidden/>
              </w:rPr>
              <w:t>63</w:t>
            </w:r>
            <w:r w:rsidR="00E22400">
              <w:rPr>
                <w:noProof/>
                <w:webHidden/>
              </w:rPr>
              <w:fldChar w:fldCharType="end"/>
            </w:r>
          </w:hyperlink>
        </w:p>
        <w:p w14:paraId="24942619" w14:textId="77777777" w:rsidR="00E22400" w:rsidRDefault="00113462">
          <w:pPr>
            <w:pStyle w:val="TOC3"/>
            <w:tabs>
              <w:tab w:val="right" w:leader="dot" w:pos="9016"/>
            </w:tabs>
            <w:rPr>
              <w:rFonts w:eastAsiaTheme="minorEastAsia" w:cstheme="minorBidi"/>
              <w:i w:val="0"/>
              <w:iCs w:val="0"/>
              <w:noProof/>
              <w:sz w:val="22"/>
              <w:szCs w:val="22"/>
            </w:rPr>
          </w:pPr>
          <w:hyperlink w:anchor="_Toc419004048" w:history="1">
            <w:r w:rsidR="00E22400" w:rsidRPr="00941937">
              <w:rPr>
                <w:rStyle w:val="Hyperlink"/>
                <w:noProof/>
              </w:rPr>
              <w:t>Current Efficiency: 2000–01 versus 2010–12 Expenditure Performance</w:t>
            </w:r>
            <w:r w:rsidR="00E22400">
              <w:rPr>
                <w:noProof/>
                <w:webHidden/>
              </w:rPr>
              <w:tab/>
            </w:r>
            <w:r w:rsidR="00E22400">
              <w:rPr>
                <w:noProof/>
                <w:webHidden/>
              </w:rPr>
              <w:fldChar w:fldCharType="begin"/>
            </w:r>
            <w:r w:rsidR="00E22400">
              <w:rPr>
                <w:noProof/>
                <w:webHidden/>
              </w:rPr>
              <w:instrText xml:space="preserve"> PAGEREF _Toc419004048 \h </w:instrText>
            </w:r>
            <w:r w:rsidR="00E22400">
              <w:rPr>
                <w:noProof/>
                <w:webHidden/>
              </w:rPr>
            </w:r>
            <w:r w:rsidR="00E22400">
              <w:rPr>
                <w:noProof/>
                <w:webHidden/>
              </w:rPr>
              <w:fldChar w:fldCharType="separate"/>
            </w:r>
            <w:r w:rsidR="003732A2">
              <w:rPr>
                <w:noProof/>
                <w:webHidden/>
              </w:rPr>
              <w:t>66</w:t>
            </w:r>
            <w:r w:rsidR="00E22400">
              <w:rPr>
                <w:noProof/>
                <w:webHidden/>
              </w:rPr>
              <w:fldChar w:fldCharType="end"/>
            </w:r>
          </w:hyperlink>
        </w:p>
        <w:p w14:paraId="628650F7" w14:textId="77777777" w:rsidR="00E22400" w:rsidRDefault="00113462">
          <w:pPr>
            <w:pStyle w:val="TOC3"/>
            <w:tabs>
              <w:tab w:val="right" w:leader="dot" w:pos="9016"/>
            </w:tabs>
            <w:rPr>
              <w:rFonts w:eastAsiaTheme="minorEastAsia" w:cstheme="minorBidi"/>
              <w:i w:val="0"/>
              <w:iCs w:val="0"/>
              <w:noProof/>
              <w:sz w:val="22"/>
              <w:szCs w:val="22"/>
            </w:rPr>
          </w:pPr>
          <w:hyperlink w:anchor="_Toc419004049" w:history="1">
            <w:r w:rsidR="00E22400" w:rsidRPr="00941937">
              <w:rPr>
                <w:rStyle w:val="Hyperlink"/>
                <w:noProof/>
              </w:rPr>
              <w:t>Sample Regression Results</w:t>
            </w:r>
            <w:r w:rsidR="00E22400">
              <w:rPr>
                <w:noProof/>
                <w:webHidden/>
              </w:rPr>
              <w:tab/>
            </w:r>
            <w:r w:rsidR="00E22400">
              <w:rPr>
                <w:noProof/>
                <w:webHidden/>
              </w:rPr>
              <w:fldChar w:fldCharType="begin"/>
            </w:r>
            <w:r w:rsidR="00E22400">
              <w:rPr>
                <w:noProof/>
                <w:webHidden/>
              </w:rPr>
              <w:instrText xml:space="preserve"> PAGEREF _Toc419004049 \h </w:instrText>
            </w:r>
            <w:r w:rsidR="00E22400">
              <w:rPr>
                <w:noProof/>
                <w:webHidden/>
              </w:rPr>
            </w:r>
            <w:r w:rsidR="00E22400">
              <w:rPr>
                <w:noProof/>
                <w:webHidden/>
              </w:rPr>
              <w:fldChar w:fldCharType="separate"/>
            </w:r>
            <w:r w:rsidR="003732A2">
              <w:rPr>
                <w:noProof/>
                <w:webHidden/>
              </w:rPr>
              <w:t>67</w:t>
            </w:r>
            <w:r w:rsidR="00E22400">
              <w:rPr>
                <w:noProof/>
                <w:webHidden/>
              </w:rPr>
              <w:fldChar w:fldCharType="end"/>
            </w:r>
          </w:hyperlink>
        </w:p>
        <w:p w14:paraId="55DD034C" w14:textId="77777777" w:rsidR="00E22400" w:rsidRDefault="00113462">
          <w:pPr>
            <w:pStyle w:val="TOC1"/>
            <w:rPr>
              <w:rFonts w:eastAsiaTheme="minorEastAsia" w:cstheme="minorBidi"/>
              <w:b w:val="0"/>
              <w:bCs w:val="0"/>
              <w:caps w:val="0"/>
              <w:noProof/>
              <w:sz w:val="22"/>
              <w:szCs w:val="22"/>
            </w:rPr>
          </w:pPr>
          <w:hyperlink w:anchor="_Toc419004050" w:history="1">
            <w:r w:rsidR="00E22400" w:rsidRPr="00941937">
              <w:rPr>
                <w:rStyle w:val="Hyperlink"/>
                <w:noProof/>
              </w:rPr>
              <w:t>Endnotes</w:t>
            </w:r>
            <w:r w:rsidR="00E22400">
              <w:rPr>
                <w:noProof/>
                <w:webHidden/>
              </w:rPr>
              <w:tab/>
            </w:r>
            <w:r w:rsidR="00E22400">
              <w:rPr>
                <w:noProof/>
                <w:webHidden/>
              </w:rPr>
              <w:fldChar w:fldCharType="begin"/>
            </w:r>
            <w:r w:rsidR="00E22400">
              <w:rPr>
                <w:noProof/>
                <w:webHidden/>
              </w:rPr>
              <w:instrText xml:space="preserve"> PAGEREF _Toc419004050 \h </w:instrText>
            </w:r>
            <w:r w:rsidR="00E22400">
              <w:rPr>
                <w:noProof/>
                <w:webHidden/>
              </w:rPr>
            </w:r>
            <w:r w:rsidR="00E22400">
              <w:rPr>
                <w:noProof/>
                <w:webHidden/>
              </w:rPr>
              <w:fldChar w:fldCharType="separate"/>
            </w:r>
            <w:r w:rsidR="003732A2">
              <w:rPr>
                <w:noProof/>
                <w:webHidden/>
              </w:rPr>
              <w:t>71</w:t>
            </w:r>
            <w:r w:rsidR="00E22400">
              <w:rPr>
                <w:noProof/>
                <w:webHidden/>
              </w:rPr>
              <w:fldChar w:fldCharType="end"/>
            </w:r>
          </w:hyperlink>
        </w:p>
        <w:p w14:paraId="5779D2C4" w14:textId="77777777" w:rsidR="000F16D0" w:rsidRPr="00C917E2" w:rsidRDefault="00C713A9" w:rsidP="00E73060">
          <w:r w:rsidRPr="00C917E2">
            <w:rPr>
              <w:rFonts w:asciiTheme="minorHAnsi" w:hAnsiTheme="minorHAnsi"/>
              <w:sz w:val="20"/>
              <w:szCs w:val="20"/>
            </w:rPr>
            <w:fldChar w:fldCharType="end"/>
          </w:r>
        </w:p>
      </w:sdtContent>
    </w:sdt>
    <w:p w14:paraId="779795EC" w14:textId="77777777" w:rsidR="006F20CF" w:rsidRPr="00C917E2" w:rsidRDefault="006F20CF" w:rsidP="00E73060"/>
    <w:p w14:paraId="0D5F6E15" w14:textId="77777777" w:rsidR="006F20CF" w:rsidRPr="00C917E2" w:rsidRDefault="006102AE" w:rsidP="00075810">
      <w:pPr>
        <w:pStyle w:val="TitreHorsTOC"/>
      </w:pPr>
      <w:r w:rsidRPr="00C917E2">
        <w:t>Boxes</w:t>
      </w:r>
    </w:p>
    <w:p w14:paraId="2A6E34E7" w14:textId="77777777" w:rsidR="00E22400" w:rsidRDefault="00C713A9">
      <w:pPr>
        <w:pStyle w:val="TableofFigures"/>
        <w:tabs>
          <w:tab w:val="right" w:leader="dot" w:pos="9016"/>
        </w:tabs>
        <w:rPr>
          <w:rFonts w:eastAsiaTheme="minorEastAsia" w:cstheme="minorBidi"/>
          <w:noProof/>
          <w:sz w:val="22"/>
          <w:szCs w:val="22"/>
        </w:rPr>
      </w:pPr>
      <w:r w:rsidRPr="00C917E2">
        <w:rPr>
          <w:rFonts w:ascii="Tahoma" w:hAnsi="Tahoma"/>
          <w:sz w:val="22"/>
          <w:szCs w:val="22"/>
        </w:rPr>
        <w:fldChar w:fldCharType="begin"/>
      </w:r>
      <w:r w:rsidR="00404D98" w:rsidRPr="00C917E2">
        <w:rPr>
          <w:rFonts w:ascii="Tahoma" w:hAnsi="Tahoma"/>
          <w:sz w:val="22"/>
          <w:szCs w:val="22"/>
        </w:rPr>
        <w:instrText xml:space="preserve"> TOC \h \z \t "BOX" \c </w:instrText>
      </w:r>
      <w:r w:rsidRPr="00C917E2">
        <w:rPr>
          <w:rFonts w:ascii="Tahoma" w:hAnsi="Tahoma"/>
          <w:sz w:val="22"/>
          <w:szCs w:val="22"/>
        </w:rPr>
        <w:fldChar w:fldCharType="separate"/>
      </w:r>
      <w:hyperlink w:anchor="_Toc419004051" w:history="1">
        <w:r w:rsidR="00E22400" w:rsidRPr="00E04ABB">
          <w:rPr>
            <w:rStyle w:val="Hyperlink"/>
            <w:noProof/>
          </w:rPr>
          <w:t>Box 1 Constraints to Quality of Health Services</w:t>
        </w:r>
        <w:r w:rsidR="00E22400">
          <w:rPr>
            <w:noProof/>
            <w:webHidden/>
          </w:rPr>
          <w:tab/>
        </w:r>
        <w:r w:rsidR="00E22400">
          <w:rPr>
            <w:noProof/>
            <w:webHidden/>
          </w:rPr>
          <w:fldChar w:fldCharType="begin"/>
        </w:r>
        <w:r w:rsidR="00E22400">
          <w:rPr>
            <w:noProof/>
            <w:webHidden/>
          </w:rPr>
          <w:instrText xml:space="preserve"> PAGEREF _Toc419004051 \h </w:instrText>
        </w:r>
        <w:r w:rsidR="00E22400">
          <w:rPr>
            <w:noProof/>
            <w:webHidden/>
          </w:rPr>
        </w:r>
        <w:r w:rsidR="00E22400">
          <w:rPr>
            <w:noProof/>
            <w:webHidden/>
          </w:rPr>
          <w:fldChar w:fldCharType="separate"/>
        </w:r>
        <w:r w:rsidR="003732A2">
          <w:rPr>
            <w:noProof/>
            <w:webHidden/>
          </w:rPr>
          <w:t>18</w:t>
        </w:r>
        <w:r w:rsidR="00E22400">
          <w:rPr>
            <w:noProof/>
            <w:webHidden/>
          </w:rPr>
          <w:fldChar w:fldCharType="end"/>
        </w:r>
      </w:hyperlink>
    </w:p>
    <w:p w14:paraId="60F047F9" w14:textId="77777777" w:rsidR="00E22400" w:rsidRDefault="00113462">
      <w:pPr>
        <w:pStyle w:val="TableofFigures"/>
        <w:tabs>
          <w:tab w:val="right" w:leader="dot" w:pos="9016"/>
        </w:tabs>
        <w:rPr>
          <w:rFonts w:eastAsiaTheme="minorEastAsia" w:cstheme="minorBidi"/>
          <w:noProof/>
          <w:sz w:val="22"/>
          <w:szCs w:val="22"/>
        </w:rPr>
      </w:pPr>
      <w:hyperlink w:anchor="_Toc419004052" w:history="1">
        <w:r w:rsidR="00E22400" w:rsidRPr="00E04ABB">
          <w:rPr>
            <w:rStyle w:val="Hyperlink"/>
            <w:noProof/>
          </w:rPr>
          <w:t>Box 2 Practical Moves to Ease the Flow of Finance</w:t>
        </w:r>
        <w:r w:rsidR="00E22400">
          <w:rPr>
            <w:noProof/>
            <w:webHidden/>
          </w:rPr>
          <w:tab/>
        </w:r>
        <w:r w:rsidR="00E22400">
          <w:rPr>
            <w:noProof/>
            <w:webHidden/>
          </w:rPr>
          <w:fldChar w:fldCharType="begin"/>
        </w:r>
        <w:r w:rsidR="00E22400">
          <w:rPr>
            <w:noProof/>
            <w:webHidden/>
          </w:rPr>
          <w:instrText xml:space="preserve"> PAGEREF _Toc419004052 \h </w:instrText>
        </w:r>
        <w:r w:rsidR="00E22400">
          <w:rPr>
            <w:noProof/>
            <w:webHidden/>
          </w:rPr>
        </w:r>
        <w:r w:rsidR="00E22400">
          <w:rPr>
            <w:noProof/>
            <w:webHidden/>
          </w:rPr>
          <w:fldChar w:fldCharType="separate"/>
        </w:r>
        <w:r w:rsidR="003732A2">
          <w:rPr>
            <w:noProof/>
            <w:webHidden/>
          </w:rPr>
          <w:t>25</w:t>
        </w:r>
        <w:r w:rsidR="00E22400">
          <w:rPr>
            <w:noProof/>
            <w:webHidden/>
          </w:rPr>
          <w:fldChar w:fldCharType="end"/>
        </w:r>
      </w:hyperlink>
    </w:p>
    <w:p w14:paraId="7D061549" w14:textId="77777777" w:rsidR="00E22400" w:rsidRDefault="00113462">
      <w:pPr>
        <w:pStyle w:val="TableofFigures"/>
        <w:tabs>
          <w:tab w:val="right" w:leader="dot" w:pos="9016"/>
        </w:tabs>
        <w:rPr>
          <w:rFonts w:eastAsiaTheme="minorEastAsia" w:cstheme="minorBidi"/>
          <w:noProof/>
          <w:sz w:val="22"/>
          <w:szCs w:val="22"/>
        </w:rPr>
      </w:pPr>
      <w:hyperlink w:anchor="_Toc419004053" w:history="1">
        <w:r w:rsidR="00E22400" w:rsidRPr="00E04ABB">
          <w:rPr>
            <w:rStyle w:val="Hyperlink"/>
            <w:noProof/>
          </w:rPr>
          <w:t>Box 3 Allocative Efficiency Analysis Using Functional Allocations of Health Expenditure</w:t>
        </w:r>
        <w:r w:rsidR="00E22400">
          <w:rPr>
            <w:noProof/>
            <w:webHidden/>
          </w:rPr>
          <w:tab/>
        </w:r>
        <w:r w:rsidR="00E22400">
          <w:rPr>
            <w:noProof/>
            <w:webHidden/>
          </w:rPr>
          <w:fldChar w:fldCharType="begin"/>
        </w:r>
        <w:r w:rsidR="00E22400">
          <w:rPr>
            <w:noProof/>
            <w:webHidden/>
          </w:rPr>
          <w:instrText xml:space="preserve"> PAGEREF _Toc419004053 \h </w:instrText>
        </w:r>
        <w:r w:rsidR="00E22400">
          <w:rPr>
            <w:noProof/>
            <w:webHidden/>
          </w:rPr>
        </w:r>
        <w:r w:rsidR="00E22400">
          <w:rPr>
            <w:noProof/>
            <w:webHidden/>
          </w:rPr>
          <w:fldChar w:fldCharType="separate"/>
        </w:r>
        <w:r w:rsidR="003732A2">
          <w:rPr>
            <w:noProof/>
            <w:webHidden/>
          </w:rPr>
          <w:t>26</w:t>
        </w:r>
        <w:r w:rsidR="00E22400">
          <w:rPr>
            <w:noProof/>
            <w:webHidden/>
          </w:rPr>
          <w:fldChar w:fldCharType="end"/>
        </w:r>
      </w:hyperlink>
    </w:p>
    <w:p w14:paraId="6D6B9F0E" w14:textId="77777777" w:rsidR="00E22400" w:rsidRDefault="00113462">
      <w:pPr>
        <w:pStyle w:val="TableofFigures"/>
        <w:tabs>
          <w:tab w:val="right" w:leader="dot" w:pos="9016"/>
        </w:tabs>
        <w:rPr>
          <w:rFonts w:eastAsiaTheme="minorEastAsia" w:cstheme="minorBidi"/>
          <w:noProof/>
          <w:sz w:val="22"/>
          <w:szCs w:val="22"/>
        </w:rPr>
      </w:pPr>
      <w:hyperlink w:anchor="_Toc419004054" w:history="1">
        <w:r w:rsidR="00E22400" w:rsidRPr="00E04ABB">
          <w:rPr>
            <w:rStyle w:val="Hyperlink"/>
            <w:noProof/>
          </w:rPr>
          <w:t>Box 4 Constraints in the 2011/12 PICES and the 2014 RBF Midline Survey for Calculating OOP Spending</w:t>
        </w:r>
        <w:r w:rsidR="00E22400">
          <w:rPr>
            <w:noProof/>
            <w:webHidden/>
          </w:rPr>
          <w:tab/>
        </w:r>
        <w:r w:rsidR="00E22400">
          <w:rPr>
            <w:noProof/>
            <w:webHidden/>
          </w:rPr>
          <w:fldChar w:fldCharType="begin"/>
        </w:r>
        <w:r w:rsidR="00E22400">
          <w:rPr>
            <w:noProof/>
            <w:webHidden/>
          </w:rPr>
          <w:instrText xml:space="preserve"> PAGEREF _Toc419004054 \h </w:instrText>
        </w:r>
        <w:r w:rsidR="00E22400">
          <w:rPr>
            <w:noProof/>
            <w:webHidden/>
          </w:rPr>
        </w:r>
        <w:r w:rsidR="00E22400">
          <w:rPr>
            <w:noProof/>
            <w:webHidden/>
          </w:rPr>
          <w:fldChar w:fldCharType="separate"/>
        </w:r>
        <w:r w:rsidR="003732A2">
          <w:rPr>
            <w:noProof/>
            <w:webHidden/>
          </w:rPr>
          <w:t>39</w:t>
        </w:r>
        <w:r w:rsidR="00E22400">
          <w:rPr>
            <w:noProof/>
            <w:webHidden/>
          </w:rPr>
          <w:fldChar w:fldCharType="end"/>
        </w:r>
      </w:hyperlink>
    </w:p>
    <w:p w14:paraId="54C1E0EF" w14:textId="77777777" w:rsidR="00E22400" w:rsidRDefault="00113462">
      <w:pPr>
        <w:pStyle w:val="TableofFigures"/>
        <w:tabs>
          <w:tab w:val="right" w:leader="dot" w:pos="9016"/>
        </w:tabs>
        <w:rPr>
          <w:rFonts w:eastAsiaTheme="minorEastAsia" w:cstheme="minorBidi"/>
          <w:noProof/>
          <w:sz w:val="22"/>
          <w:szCs w:val="22"/>
        </w:rPr>
      </w:pPr>
      <w:hyperlink w:anchor="_Toc419004055" w:history="1">
        <w:r w:rsidR="00E22400" w:rsidRPr="00E04ABB">
          <w:rPr>
            <w:rStyle w:val="Hyperlink"/>
            <w:noProof/>
          </w:rPr>
          <w:t>Box 5 Donor Spending Plans</w:t>
        </w:r>
        <w:r w:rsidR="00E22400">
          <w:rPr>
            <w:noProof/>
            <w:webHidden/>
          </w:rPr>
          <w:tab/>
        </w:r>
        <w:r w:rsidR="00E22400">
          <w:rPr>
            <w:noProof/>
            <w:webHidden/>
          </w:rPr>
          <w:fldChar w:fldCharType="begin"/>
        </w:r>
        <w:r w:rsidR="00E22400">
          <w:rPr>
            <w:noProof/>
            <w:webHidden/>
          </w:rPr>
          <w:instrText xml:space="preserve"> PAGEREF _Toc419004055 \h </w:instrText>
        </w:r>
        <w:r w:rsidR="00E22400">
          <w:rPr>
            <w:noProof/>
            <w:webHidden/>
          </w:rPr>
        </w:r>
        <w:r w:rsidR="00E22400">
          <w:rPr>
            <w:noProof/>
            <w:webHidden/>
          </w:rPr>
          <w:fldChar w:fldCharType="separate"/>
        </w:r>
        <w:r w:rsidR="003732A2">
          <w:rPr>
            <w:noProof/>
            <w:webHidden/>
          </w:rPr>
          <w:t>55</w:t>
        </w:r>
        <w:r w:rsidR="00E22400">
          <w:rPr>
            <w:noProof/>
            <w:webHidden/>
          </w:rPr>
          <w:fldChar w:fldCharType="end"/>
        </w:r>
      </w:hyperlink>
    </w:p>
    <w:p w14:paraId="278910BF" w14:textId="77777777" w:rsidR="006F20CF" w:rsidRPr="00C917E2" w:rsidRDefault="00C713A9" w:rsidP="00E73060">
      <w:r w:rsidRPr="00C917E2">
        <w:fldChar w:fldCharType="end"/>
      </w:r>
    </w:p>
    <w:p w14:paraId="50543734" w14:textId="77777777" w:rsidR="006F20CF" w:rsidRPr="00C917E2" w:rsidRDefault="006F20CF" w:rsidP="00E73060"/>
    <w:p w14:paraId="49D69FD7" w14:textId="77777777" w:rsidR="000F16D0" w:rsidRPr="00C917E2" w:rsidRDefault="000F16D0" w:rsidP="00A35D0E">
      <w:pPr>
        <w:pStyle w:val="TitreHorsTOC"/>
        <w:keepNext/>
      </w:pPr>
      <w:r w:rsidRPr="00C917E2">
        <w:lastRenderedPageBreak/>
        <w:t>Tables</w:t>
      </w:r>
    </w:p>
    <w:p w14:paraId="347060E2" w14:textId="77777777" w:rsidR="00E22400" w:rsidRDefault="00C713A9">
      <w:pPr>
        <w:pStyle w:val="TableofFigures"/>
        <w:tabs>
          <w:tab w:val="right" w:leader="dot" w:pos="9016"/>
        </w:tabs>
        <w:rPr>
          <w:rFonts w:eastAsiaTheme="minorEastAsia" w:cstheme="minorBidi"/>
          <w:noProof/>
          <w:sz w:val="22"/>
          <w:szCs w:val="22"/>
        </w:rPr>
      </w:pPr>
      <w:r w:rsidRPr="00C917E2">
        <w:rPr>
          <w:lang w:eastAsia="ja-JP"/>
        </w:rPr>
        <w:fldChar w:fldCharType="begin"/>
      </w:r>
      <w:r w:rsidR="00327479" w:rsidRPr="00C917E2">
        <w:rPr>
          <w:lang w:eastAsia="ja-JP"/>
        </w:rPr>
        <w:instrText xml:space="preserve"> TOC \h \z \t "Table" \c "Table" </w:instrText>
      </w:r>
      <w:r w:rsidRPr="00C917E2">
        <w:rPr>
          <w:lang w:eastAsia="ja-JP"/>
        </w:rPr>
        <w:fldChar w:fldCharType="separate"/>
      </w:r>
      <w:hyperlink w:anchor="_Toc419004069" w:history="1">
        <w:r w:rsidR="00E22400" w:rsidRPr="00DA0377">
          <w:rPr>
            <w:rStyle w:val="Hyperlink"/>
            <w:noProof/>
          </w:rPr>
          <w:t>Table 1 Socioeconomic Inequalities in MCH Services Utilization by Women, 15–19 Years (%)</w:t>
        </w:r>
        <w:r w:rsidR="00E22400">
          <w:rPr>
            <w:noProof/>
            <w:webHidden/>
          </w:rPr>
          <w:tab/>
        </w:r>
        <w:r w:rsidR="00E22400">
          <w:rPr>
            <w:noProof/>
            <w:webHidden/>
          </w:rPr>
          <w:fldChar w:fldCharType="begin"/>
        </w:r>
        <w:r w:rsidR="00E22400">
          <w:rPr>
            <w:noProof/>
            <w:webHidden/>
          </w:rPr>
          <w:instrText xml:space="preserve"> PAGEREF _Toc419004069 \h </w:instrText>
        </w:r>
        <w:r w:rsidR="00E22400">
          <w:rPr>
            <w:noProof/>
            <w:webHidden/>
          </w:rPr>
        </w:r>
        <w:r w:rsidR="00E22400">
          <w:rPr>
            <w:noProof/>
            <w:webHidden/>
          </w:rPr>
          <w:fldChar w:fldCharType="separate"/>
        </w:r>
        <w:r w:rsidR="003732A2">
          <w:rPr>
            <w:noProof/>
            <w:webHidden/>
          </w:rPr>
          <w:t>11</w:t>
        </w:r>
        <w:r w:rsidR="00E22400">
          <w:rPr>
            <w:noProof/>
            <w:webHidden/>
          </w:rPr>
          <w:fldChar w:fldCharType="end"/>
        </w:r>
      </w:hyperlink>
    </w:p>
    <w:p w14:paraId="56418462" w14:textId="77777777" w:rsidR="00E22400" w:rsidRDefault="00113462">
      <w:pPr>
        <w:pStyle w:val="TableofFigures"/>
        <w:tabs>
          <w:tab w:val="right" w:leader="dot" w:pos="9016"/>
        </w:tabs>
        <w:rPr>
          <w:rFonts w:eastAsiaTheme="minorEastAsia" w:cstheme="minorBidi"/>
          <w:noProof/>
          <w:sz w:val="22"/>
          <w:szCs w:val="22"/>
        </w:rPr>
      </w:pPr>
      <w:hyperlink w:anchor="_Toc419004070" w:history="1">
        <w:r w:rsidR="00E22400" w:rsidRPr="00DA0377">
          <w:rPr>
            <w:rStyle w:val="Hyperlink"/>
            <w:noProof/>
          </w:rPr>
          <w:t>Table 2 Staffing Levels for Select Critical Cadres, December 2014</w:t>
        </w:r>
        <w:r w:rsidR="00E22400">
          <w:rPr>
            <w:noProof/>
            <w:webHidden/>
          </w:rPr>
          <w:tab/>
        </w:r>
        <w:r w:rsidR="00E22400">
          <w:rPr>
            <w:noProof/>
            <w:webHidden/>
          </w:rPr>
          <w:fldChar w:fldCharType="begin"/>
        </w:r>
        <w:r w:rsidR="00E22400">
          <w:rPr>
            <w:noProof/>
            <w:webHidden/>
          </w:rPr>
          <w:instrText xml:space="preserve"> PAGEREF _Toc419004070 \h </w:instrText>
        </w:r>
        <w:r w:rsidR="00E22400">
          <w:rPr>
            <w:noProof/>
            <w:webHidden/>
          </w:rPr>
        </w:r>
        <w:r w:rsidR="00E22400">
          <w:rPr>
            <w:noProof/>
            <w:webHidden/>
          </w:rPr>
          <w:fldChar w:fldCharType="separate"/>
        </w:r>
        <w:r w:rsidR="003732A2">
          <w:rPr>
            <w:noProof/>
            <w:webHidden/>
          </w:rPr>
          <w:t>16</w:t>
        </w:r>
        <w:r w:rsidR="00E22400">
          <w:rPr>
            <w:noProof/>
            <w:webHidden/>
          </w:rPr>
          <w:fldChar w:fldCharType="end"/>
        </w:r>
      </w:hyperlink>
    </w:p>
    <w:p w14:paraId="2A808BFA" w14:textId="77777777" w:rsidR="00E22400" w:rsidRDefault="00113462">
      <w:pPr>
        <w:pStyle w:val="TableofFigures"/>
        <w:tabs>
          <w:tab w:val="right" w:leader="dot" w:pos="9016"/>
        </w:tabs>
        <w:rPr>
          <w:rFonts w:eastAsiaTheme="minorEastAsia" w:cstheme="minorBidi"/>
          <w:noProof/>
          <w:sz w:val="22"/>
          <w:szCs w:val="22"/>
        </w:rPr>
      </w:pPr>
      <w:hyperlink w:anchor="_Toc419004071" w:history="1">
        <w:r w:rsidR="00E22400" w:rsidRPr="00DA0377">
          <w:rPr>
            <w:rStyle w:val="Hyperlink"/>
            <w:noProof/>
          </w:rPr>
          <w:t>Table 3 GHE in General Government Expenditures, 2012</w:t>
        </w:r>
        <w:r w:rsidR="00E22400">
          <w:rPr>
            <w:noProof/>
            <w:webHidden/>
          </w:rPr>
          <w:tab/>
        </w:r>
        <w:r w:rsidR="00E22400">
          <w:rPr>
            <w:noProof/>
            <w:webHidden/>
          </w:rPr>
          <w:fldChar w:fldCharType="begin"/>
        </w:r>
        <w:r w:rsidR="00E22400">
          <w:rPr>
            <w:noProof/>
            <w:webHidden/>
          </w:rPr>
          <w:instrText xml:space="preserve"> PAGEREF _Toc419004071 \h </w:instrText>
        </w:r>
        <w:r w:rsidR="00E22400">
          <w:rPr>
            <w:noProof/>
            <w:webHidden/>
          </w:rPr>
        </w:r>
        <w:r w:rsidR="00E22400">
          <w:rPr>
            <w:noProof/>
            <w:webHidden/>
          </w:rPr>
          <w:fldChar w:fldCharType="separate"/>
        </w:r>
        <w:r w:rsidR="003732A2">
          <w:rPr>
            <w:noProof/>
            <w:webHidden/>
          </w:rPr>
          <w:t>26</w:t>
        </w:r>
        <w:r w:rsidR="00E22400">
          <w:rPr>
            <w:noProof/>
            <w:webHidden/>
          </w:rPr>
          <w:fldChar w:fldCharType="end"/>
        </w:r>
      </w:hyperlink>
    </w:p>
    <w:p w14:paraId="2086D0A3" w14:textId="77777777" w:rsidR="00E22400" w:rsidRDefault="00113462">
      <w:pPr>
        <w:pStyle w:val="TableofFigures"/>
        <w:tabs>
          <w:tab w:val="right" w:leader="dot" w:pos="9016"/>
        </w:tabs>
        <w:rPr>
          <w:rFonts w:eastAsiaTheme="minorEastAsia" w:cstheme="minorBidi"/>
          <w:noProof/>
          <w:sz w:val="22"/>
          <w:szCs w:val="22"/>
        </w:rPr>
      </w:pPr>
      <w:hyperlink w:anchor="_Toc419004072" w:history="1">
        <w:r w:rsidR="00E22400" w:rsidRPr="00DA0377">
          <w:rPr>
            <w:rStyle w:val="Hyperlink"/>
            <w:noProof/>
          </w:rPr>
          <w:t>Table 4 MOHCC Spending on Public Health Programs, 2009–13 (US$ thousand)</w:t>
        </w:r>
        <w:r w:rsidR="00E22400">
          <w:rPr>
            <w:noProof/>
            <w:webHidden/>
          </w:rPr>
          <w:tab/>
        </w:r>
        <w:r w:rsidR="00E22400">
          <w:rPr>
            <w:noProof/>
            <w:webHidden/>
          </w:rPr>
          <w:fldChar w:fldCharType="begin"/>
        </w:r>
        <w:r w:rsidR="00E22400">
          <w:rPr>
            <w:noProof/>
            <w:webHidden/>
          </w:rPr>
          <w:instrText xml:space="preserve"> PAGEREF _Toc419004072 \h </w:instrText>
        </w:r>
        <w:r w:rsidR="00E22400">
          <w:rPr>
            <w:noProof/>
            <w:webHidden/>
          </w:rPr>
        </w:r>
        <w:r w:rsidR="00E22400">
          <w:rPr>
            <w:noProof/>
            <w:webHidden/>
          </w:rPr>
          <w:fldChar w:fldCharType="separate"/>
        </w:r>
        <w:r w:rsidR="003732A2">
          <w:rPr>
            <w:noProof/>
            <w:webHidden/>
          </w:rPr>
          <w:t>28</w:t>
        </w:r>
        <w:r w:rsidR="00E22400">
          <w:rPr>
            <w:noProof/>
            <w:webHidden/>
          </w:rPr>
          <w:fldChar w:fldCharType="end"/>
        </w:r>
      </w:hyperlink>
    </w:p>
    <w:p w14:paraId="6EFEB662" w14:textId="77777777" w:rsidR="00E22400" w:rsidRDefault="00113462">
      <w:pPr>
        <w:pStyle w:val="TableofFigures"/>
        <w:tabs>
          <w:tab w:val="right" w:leader="dot" w:pos="9016"/>
        </w:tabs>
        <w:rPr>
          <w:rFonts w:eastAsiaTheme="minorEastAsia" w:cstheme="minorBidi"/>
          <w:noProof/>
          <w:sz w:val="22"/>
          <w:szCs w:val="22"/>
        </w:rPr>
      </w:pPr>
      <w:hyperlink w:anchor="_Toc419004073" w:history="1">
        <w:r w:rsidR="00E22400" w:rsidRPr="00DA0377">
          <w:rPr>
            <w:rStyle w:val="Hyperlink"/>
            <w:noProof/>
          </w:rPr>
          <w:t>Table 5 Donors’ Health Expenditure Shares by Program Area, 2012</w:t>
        </w:r>
        <w:r w:rsidR="00E22400">
          <w:rPr>
            <w:noProof/>
            <w:webHidden/>
          </w:rPr>
          <w:tab/>
        </w:r>
        <w:r w:rsidR="00E22400">
          <w:rPr>
            <w:noProof/>
            <w:webHidden/>
          </w:rPr>
          <w:fldChar w:fldCharType="begin"/>
        </w:r>
        <w:r w:rsidR="00E22400">
          <w:rPr>
            <w:noProof/>
            <w:webHidden/>
          </w:rPr>
          <w:instrText xml:space="preserve"> PAGEREF _Toc419004073 \h </w:instrText>
        </w:r>
        <w:r w:rsidR="00E22400">
          <w:rPr>
            <w:noProof/>
            <w:webHidden/>
          </w:rPr>
        </w:r>
        <w:r w:rsidR="00E22400">
          <w:rPr>
            <w:noProof/>
            <w:webHidden/>
          </w:rPr>
          <w:fldChar w:fldCharType="separate"/>
        </w:r>
        <w:r w:rsidR="003732A2">
          <w:rPr>
            <w:noProof/>
            <w:webHidden/>
          </w:rPr>
          <w:t>36</w:t>
        </w:r>
        <w:r w:rsidR="00E22400">
          <w:rPr>
            <w:noProof/>
            <w:webHidden/>
          </w:rPr>
          <w:fldChar w:fldCharType="end"/>
        </w:r>
      </w:hyperlink>
    </w:p>
    <w:p w14:paraId="3CA7BE25" w14:textId="77777777" w:rsidR="00E22400" w:rsidRDefault="00113462">
      <w:pPr>
        <w:pStyle w:val="TableofFigures"/>
        <w:tabs>
          <w:tab w:val="right" w:leader="dot" w:pos="9016"/>
        </w:tabs>
        <w:rPr>
          <w:rFonts w:eastAsiaTheme="minorEastAsia" w:cstheme="minorBidi"/>
          <w:noProof/>
          <w:sz w:val="22"/>
          <w:szCs w:val="22"/>
        </w:rPr>
      </w:pPr>
      <w:hyperlink w:anchor="_Toc419004074" w:history="1">
        <w:r w:rsidR="00E22400" w:rsidRPr="00DA0377">
          <w:rPr>
            <w:rStyle w:val="Hyperlink"/>
            <w:noProof/>
          </w:rPr>
          <w:t>Table 6 HTF Expenditure, April–December 2013 (US$ million)</w:t>
        </w:r>
        <w:r w:rsidR="00E22400">
          <w:rPr>
            <w:noProof/>
            <w:webHidden/>
          </w:rPr>
          <w:tab/>
        </w:r>
        <w:r w:rsidR="00E22400">
          <w:rPr>
            <w:noProof/>
            <w:webHidden/>
          </w:rPr>
          <w:fldChar w:fldCharType="begin"/>
        </w:r>
        <w:r w:rsidR="00E22400">
          <w:rPr>
            <w:noProof/>
            <w:webHidden/>
          </w:rPr>
          <w:instrText xml:space="preserve"> PAGEREF _Toc419004074 \h </w:instrText>
        </w:r>
        <w:r w:rsidR="00E22400">
          <w:rPr>
            <w:noProof/>
            <w:webHidden/>
          </w:rPr>
        </w:r>
        <w:r w:rsidR="00E22400">
          <w:rPr>
            <w:noProof/>
            <w:webHidden/>
          </w:rPr>
          <w:fldChar w:fldCharType="separate"/>
        </w:r>
        <w:r w:rsidR="003732A2">
          <w:rPr>
            <w:noProof/>
            <w:webHidden/>
          </w:rPr>
          <w:t>37</w:t>
        </w:r>
        <w:r w:rsidR="00E22400">
          <w:rPr>
            <w:noProof/>
            <w:webHidden/>
          </w:rPr>
          <w:fldChar w:fldCharType="end"/>
        </w:r>
      </w:hyperlink>
    </w:p>
    <w:p w14:paraId="0A3664B1" w14:textId="77777777" w:rsidR="00E22400" w:rsidRDefault="00113462">
      <w:pPr>
        <w:pStyle w:val="TableofFigures"/>
        <w:tabs>
          <w:tab w:val="right" w:leader="dot" w:pos="9016"/>
        </w:tabs>
        <w:rPr>
          <w:rFonts w:eastAsiaTheme="minorEastAsia" w:cstheme="minorBidi"/>
          <w:noProof/>
          <w:sz w:val="22"/>
          <w:szCs w:val="22"/>
        </w:rPr>
      </w:pPr>
      <w:hyperlink w:anchor="_Toc419004075" w:history="1">
        <w:r w:rsidR="00E22400" w:rsidRPr="00DA0377">
          <w:rPr>
            <w:rStyle w:val="Hyperlink"/>
            <w:noProof/>
          </w:rPr>
          <w:t>Table 7 Impact of RBF Pilot on Key Maternal Health Care Services</w:t>
        </w:r>
        <w:r w:rsidR="00E22400">
          <w:rPr>
            <w:noProof/>
            <w:webHidden/>
          </w:rPr>
          <w:tab/>
        </w:r>
        <w:r w:rsidR="00E22400">
          <w:rPr>
            <w:noProof/>
            <w:webHidden/>
          </w:rPr>
          <w:fldChar w:fldCharType="begin"/>
        </w:r>
        <w:r w:rsidR="00E22400">
          <w:rPr>
            <w:noProof/>
            <w:webHidden/>
          </w:rPr>
          <w:instrText xml:space="preserve"> PAGEREF _Toc419004075 \h </w:instrText>
        </w:r>
        <w:r w:rsidR="00E22400">
          <w:rPr>
            <w:noProof/>
            <w:webHidden/>
          </w:rPr>
        </w:r>
        <w:r w:rsidR="00E22400">
          <w:rPr>
            <w:noProof/>
            <w:webHidden/>
          </w:rPr>
          <w:fldChar w:fldCharType="separate"/>
        </w:r>
        <w:r w:rsidR="003732A2">
          <w:rPr>
            <w:noProof/>
            <w:webHidden/>
          </w:rPr>
          <w:t>38</w:t>
        </w:r>
        <w:r w:rsidR="00E22400">
          <w:rPr>
            <w:noProof/>
            <w:webHidden/>
          </w:rPr>
          <w:fldChar w:fldCharType="end"/>
        </w:r>
      </w:hyperlink>
    </w:p>
    <w:p w14:paraId="63C18635" w14:textId="77777777" w:rsidR="00E22400" w:rsidRDefault="00113462">
      <w:pPr>
        <w:pStyle w:val="TableofFigures"/>
        <w:tabs>
          <w:tab w:val="right" w:leader="dot" w:pos="9016"/>
        </w:tabs>
        <w:rPr>
          <w:rFonts w:eastAsiaTheme="minorEastAsia" w:cstheme="minorBidi"/>
          <w:noProof/>
          <w:sz w:val="22"/>
          <w:szCs w:val="22"/>
        </w:rPr>
      </w:pPr>
      <w:hyperlink w:anchor="_Toc419004076" w:history="1">
        <w:r w:rsidR="00E22400" w:rsidRPr="00DA0377">
          <w:rPr>
            <w:rStyle w:val="Hyperlink"/>
            <w:noProof/>
          </w:rPr>
          <w:t>Table 8 Mean OOP Spending by Expenditure Quintile</w:t>
        </w:r>
        <w:r w:rsidR="00E22400">
          <w:rPr>
            <w:noProof/>
            <w:webHidden/>
          </w:rPr>
          <w:tab/>
        </w:r>
        <w:r w:rsidR="00E22400">
          <w:rPr>
            <w:noProof/>
            <w:webHidden/>
          </w:rPr>
          <w:fldChar w:fldCharType="begin"/>
        </w:r>
        <w:r w:rsidR="00E22400">
          <w:rPr>
            <w:noProof/>
            <w:webHidden/>
          </w:rPr>
          <w:instrText xml:space="preserve"> PAGEREF _Toc419004076 \h </w:instrText>
        </w:r>
        <w:r w:rsidR="00E22400">
          <w:rPr>
            <w:noProof/>
            <w:webHidden/>
          </w:rPr>
        </w:r>
        <w:r w:rsidR="00E22400">
          <w:rPr>
            <w:noProof/>
            <w:webHidden/>
          </w:rPr>
          <w:fldChar w:fldCharType="separate"/>
        </w:r>
        <w:r w:rsidR="003732A2">
          <w:rPr>
            <w:noProof/>
            <w:webHidden/>
          </w:rPr>
          <w:t>40</w:t>
        </w:r>
        <w:r w:rsidR="00E22400">
          <w:rPr>
            <w:noProof/>
            <w:webHidden/>
          </w:rPr>
          <w:fldChar w:fldCharType="end"/>
        </w:r>
      </w:hyperlink>
    </w:p>
    <w:p w14:paraId="12468A08" w14:textId="77777777" w:rsidR="00E22400" w:rsidRDefault="00113462">
      <w:pPr>
        <w:pStyle w:val="TableofFigures"/>
        <w:tabs>
          <w:tab w:val="right" w:leader="dot" w:pos="9016"/>
        </w:tabs>
        <w:rPr>
          <w:rFonts w:eastAsiaTheme="minorEastAsia" w:cstheme="minorBidi"/>
          <w:noProof/>
          <w:sz w:val="22"/>
          <w:szCs w:val="22"/>
        </w:rPr>
      </w:pPr>
      <w:hyperlink w:anchor="_Toc419004077" w:history="1">
        <w:r w:rsidR="00E22400" w:rsidRPr="00DA0377">
          <w:rPr>
            <w:rStyle w:val="Hyperlink"/>
            <w:noProof/>
          </w:rPr>
          <w:t>Table 9 CIMAS Key Figures, 2010–13 (US$ thousand)</w:t>
        </w:r>
        <w:r w:rsidR="00E22400">
          <w:rPr>
            <w:noProof/>
            <w:webHidden/>
          </w:rPr>
          <w:tab/>
        </w:r>
        <w:r w:rsidR="00E22400">
          <w:rPr>
            <w:noProof/>
            <w:webHidden/>
          </w:rPr>
          <w:fldChar w:fldCharType="begin"/>
        </w:r>
        <w:r w:rsidR="00E22400">
          <w:rPr>
            <w:noProof/>
            <w:webHidden/>
          </w:rPr>
          <w:instrText xml:space="preserve"> PAGEREF _Toc419004077 \h </w:instrText>
        </w:r>
        <w:r w:rsidR="00E22400">
          <w:rPr>
            <w:noProof/>
            <w:webHidden/>
          </w:rPr>
        </w:r>
        <w:r w:rsidR="00E22400">
          <w:rPr>
            <w:noProof/>
            <w:webHidden/>
          </w:rPr>
          <w:fldChar w:fldCharType="separate"/>
        </w:r>
        <w:r w:rsidR="003732A2">
          <w:rPr>
            <w:noProof/>
            <w:webHidden/>
          </w:rPr>
          <w:t>42</w:t>
        </w:r>
        <w:r w:rsidR="00E22400">
          <w:rPr>
            <w:noProof/>
            <w:webHidden/>
          </w:rPr>
          <w:fldChar w:fldCharType="end"/>
        </w:r>
      </w:hyperlink>
    </w:p>
    <w:p w14:paraId="372A022A" w14:textId="77777777" w:rsidR="00E22400" w:rsidRDefault="00113462">
      <w:pPr>
        <w:pStyle w:val="TableofFigures"/>
        <w:tabs>
          <w:tab w:val="right" w:leader="dot" w:pos="9016"/>
        </w:tabs>
        <w:rPr>
          <w:rFonts w:eastAsiaTheme="minorEastAsia" w:cstheme="minorBidi"/>
          <w:noProof/>
          <w:sz w:val="22"/>
          <w:szCs w:val="22"/>
        </w:rPr>
      </w:pPr>
      <w:hyperlink w:anchor="_Toc419004078" w:history="1">
        <w:r w:rsidR="00E22400" w:rsidRPr="00DA0377">
          <w:rPr>
            <w:rStyle w:val="Hyperlink"/>
            <w:noProof/>
          </w:rPr>
          <w:t>Table 10 Changes in Zimbabwe’s Efficiency Advantage</w:t>
        </w:r>
        <w:r w:rsidR="00E22400">
          <w:rPr>
            <w:noProof/>
            <w:webHidden/>
          </w:rPr>
          <w:tab/>
        </w:r>
        <w:r w:rsidR="00E22400">
          <w:rPr>
            <w:noProof/>
            <w:webHidden/>
          </w:rPr>
          <w:fldChar w:fldCharType="begin"/>
        </w:r>
        <w:r w:rsidR="00E22400">
          <w:rPr>
            <w:noProof/>
            <w:webHidden/>
          </w:rPr>
          <w:instrText xml:space="preserve"> PAGEREF _Toc419004078 \h </w:instrText>
        </w:r>
        <w:r w:rsidR="00E22400">
          <w:rPr>
            <w:noProof/>
            <w:webHidden/>
          </w:rPr>
        </w:r>
        <w:r w:rsidR="00E22400">
          <w:rPr>
            <w:noProof/>
            <w:webHidden/>
          </w:rPr>
          <w:fldChar w:fldCharType="separate"/>
        </w:r>
        <w:r w:rsidR="003732A2">
          <w:rPr>
            <w:noProof/>
            <w:webHidden/>
          </w:rPr>
          <w:t>44</w:t>
        </w:r>
        <w:r w:rsidR="00E22400">
          <w:rPr>
            <w:noProof/>
            <w:webHidden/>
          </w:rPr>
          <w:fldChar w:fldCharType="end"/>
        </w:r>
      </w:hyperlink>
    </w:p>
    <w:p w14:paraId="61A1D401" w14:textId="77777777" w:rsidR="00E22400" w:rsidRDefault="00113462">
      <w:pPr>
        <w:pStyle w:val="TableofFigures"/>
        <w:tabs>
          <w:tab w:val="right" w:leader="dot" w:pos="9016"/>
        </w:tabs>
        <w:rPr>
          <w:rFonts w:eastAsiaTheme="minorEastAsia" w:cstheme="minorBidi"/>
          <w:noProof/>
          <w:sz w:val="22"/>
          <w:szCs w:val="22"/>
        </w:rPr>
      </w:pPr>
      <w:hyperlink w:anchor="_Toc419004079" w:history="1">
        <w:r w:rsidR="00E22400" w:rsidRPr="00DA0377">
          <w:rPr>
            <w:rStyle w:val="Hyperlink"/>
            <w:noProof/>
          </w:rPr>
          <w:t>Table 11 Fiscal Trends and Projections (% of GDP)</w:t>
        </w:r>
        <w:r w:rsidR="00E22400">
          <w:rPr>
            <w:noProof/>
            <w:webHidden/>
          </w:rPr>
          <w:tab/>
        </w:r>
        <w:r w:rsidR="00E22400">
          <w:rPr>
            <w:noProof/>
            <w:webHidden/>
          </w:rPr>
          <w:fldChar w:fldCharType="begin"/>
        </w:r>
        <w:r w:rsidR="00E22400">
          <w:rPr>
            <w:noProof/>
            <w:webHidden/>
          </w:rPr>
          <w:instrText xml:space="preserve"> PAGEREF _Toc419004079 \h </w:instrText>
        </w:r>
        <w:r w:rsidR="00E22400">
          <w:rPr>
            <w:noProof/>
            <w:webHidden/>
          </w:rPr>
        </w:r>
        <w:r w:rsidR="00E22400">
          <w:rPr>
            <w:noProof/>
            <w:webHidden/>
          </w:rPr>
          <w:fldChar w:fldCharType="separate"/>
        </w:r>
        <w:r w:rsidR="003732A2">
          <w:rPr>
            <w:noProof/>
            <w:webHidden/>
          </w:rPr>
          <w:t>49</w:t>
        </w:r>
        <w:r w:rsidR="00E22400">
          <w:rPr>
            <w:noProof/>
            <w:webHidden/>
          </w:rPr>
          <w:fldChar w:fldCharType="end"/>
        </w:r>
      </w:hyperlink>
    </w:p>
    <w:p w14:paraId="184F26E6" w14:textId="77777777" w:rsidR="00E22400" w:rsidRDefault="00113462">
      <w:pPr>
        <w:pStyle w:val="TableofFigures"/>
        <w:tabs>
          <w:tab w:val="right" w:leader="dot" w:pos="9016"/>
        </w:tabs>
        <w:rPr>
          <w:rFonts w:eastAsiaTheme="minorEastAsia" w:cstheme="minorBidi"/>
          <w:noProof/>
          <w:sz w:val="22"/>
          <w:szCs w:val="22"/>
        </w:rPr>
      </w:pPr>
      <w:hyperlink w:anchor="_Toc419004080" w:history="1">
        <w:r w:rsidR="00E22400" w:rsidRPr="00DA0377">
          <w:rPr>
            <w:rStyle w:val="Hyperlink"/>
            <w:noProof/>
          </w:rPr>
          <w:t>Table 12 NAC Sources of Income, 2009–13 (US$ thousand)</w:t>
        </w:r>
        <w:r w:rsidR="00E22400">
          <w:rPr>
            <w:noProof/>
            <w:webHidden/>
          </w:rPr>
          <w:tab/>
        </w:r>
        <w:r w:rsidR="00E22400">
          <w:rPr>
            <w:noProof/>
            <w:webHidden/>
          </w:rPr>
          <w:fldChar w:fldCharType="begin"/>
        </w:r>
        <w:r w:rsidR="00E22400">
          <w:rPr>
            <w:noProof/>
            <w:webHidden/>
          </w:rPr>
          <w:instrText xml:space="preserve"> PAGEREF _Toc419004080 \h </w:instrText>
        </w:r>
        <w:r w:rsidR="00E22400">
          <w:rPr>
            <w:noProof/>
            <w:webHidden/>
          </w:rPr>
        </w:r>
        <w:r w:rsidR="00E22400">
          <w:rPr>
            <w:noProof/>
            <w:webHidden/>
          </w:rPr>
          <w:fldChar w:fldCharType="separate"/>
        </w:r>
        <w:r w:rsidR="003732A2">
          <w:rPr>
            <w:noProof/>
            <w:webHidden/>
          </w:rPr>
          <w:t>52</w:t>
        </w:r>
        <w:r w:rsidR="00E22400">
          <w:rPr>
            <w:noProof/>
            <w:webHidden/>
          </w:rPr>
          <w:fldChar w:fldCharType="end"/>
        </w:r>
      </w:hyperlink>
    </w:p>
    <w:p w14:paraId="2F93F4B0" w14:textId="77777777" w:rsidR="00E22400" w:rsidRDefault="00113462">
      <w:pPr>
        <w:pStyle w:val="TableofFigures"/>
        <w:tabs>
          <w:tab w:val="right" w:leader="dot" w:pos="9016"/>
        </w:tabs>
        <w:rPr>
          <w:rFonts w:eastAsiaTheme="minorEastAsia" w:cstheme="minorBidi"/>
          <w:noProof/>
          <w:sz w:val="22"/>
          <w:szCs w:val="22"/>
        </w:rPr>
      </w:pPr>
      <w:hyperlink w:anchor="_Toc419004081" w:history="1">
        <w:r w:rsidR="00E22400" w:rsidRPr="00DA0377">
          <w:rPr>
            <w:rStyle w:val="Hyperlink"/>
            <w:noProof/>
          </w:rPr>
          <w:t>Table 13 Cigarette Tax Rates, Zimbabwe and Regional Peers</w:t>
        </w:r>
        <w:r w:rsidR="00E22400">
          <w:rPr>
            <w:noProof/>
            <w:webHidden/>
          </w:rPr>
          <w:tab/>
        </w:r>
        <w:r w:rsidR="00E22400">
          <w:rPr>
            <w:noProof/>
            <w:webHidden/>
          </w:rPr>
          <w:fldChar w:fldCharType="begin"/>
        </w:r>
        <w:r w:rsidR="00E22400">
          <w:rPr>
            <w:noProof/>
            <w:webHidden/>
          </w:rPr>
          <w:instrText xml:space="preserve"> PAGEREF _Toc419004081 \h </w:instrText>
        </w:r>
        <w:r w:rsidR="00E22400">
          <w:rPr>
            <w:noProof/>
            <w:webHidden/>
          </w:rPr>
        </w:r>
        <w:r w:rsidR="00E22400">
          <w:rPr>
            <w:noProof/>
            <w:webHidden/>
          </w:rPr>
          <w:fldChar w:fldCharType="separate"/>
        </w:r>
        <w:r w:rsidR="003732A2">
          <w:rPr>
            <w:noProof/>
            <w:webHidden/>
          </w:rPr>
          <w:t>53</w:t>
        </w:r>
        <w:r w:rsidR="00E22400">
          <w:rPr>
            <w:noProof/>
            <w:webHidden/>
          </w:rPr>
          <w:fldChar w:fldCharType="end"/>
        </w:r>
      </w:hyperlink>
    </w:p>
    <w:p w14:paraId="3F1B4DEF" w14:textId="77777777" w:rsidR="00043C1E" w:rsidRPr="00C917E2" w:rsidRDefault="00C713A9" w:rsidP="00E73060">
      <w:pPr>
        <w:rPr>
          <w:lang w:eastAsia="ja-JP"/>
        </w:rPr>
      </w:pPr>
      <w:r w:rsidRPr="00C917E2">
        <w:rPr>
          <w:lang w:eastAsia="ja-JP"/>
        </w:rPr>
        <w:fldChar w:fldCharType="end"/>
      </w:r>
    </w:p>
    <w:p w14:paraId="15898D7D" w14:textId="77777777" w:rsidR="000620FF" w:rsidRPr="00C917E2" w:rsidRDefault="000620FF" w:rsidP="000620FF">
      <w:pPr>
        <w:rPr>
          <w:lang w:eastAsia="ja-JP"/>
        </w:rPr>
      </w:pPr>
    </w:p>
    <w:p w14:paraId="5905A8B5" w14:textId="77777777" w:rsidR="00327479" w:rsidRPr="00C917E2" w:rsidRDefault="000F65D4" w:rsidP="00075810">
      <w:pPr>
        <w:pStyle w:val="TitreHorsTOC"/>
      </w:pPr>
      <w:r w:rsidRPr="00C917E2">
        <w:t>Figures</w:t>
      </w:r>
    </w:p>
    <w:p w14:paraId="25E25363" w14:textId="77777777" w:rsidR="00E22400" w:rsidRDefault="00C713A9">
      <w:pPr>
        <w:pStyle w:val="TableofFigures"/>
        <w:tabs>
          <w:tab w:val="right" w:leader="dot" w:pos="9016"/>
        </w:tabs>
        <w:rPr>
          <w:rFonts w:eastAsiaTheme="minorEastAsia" w:cstheme="minorBidi"/>
          <w:noProof/>
          <w:sz w:val="22"/>
          <w:szCs w:val="22"/>
        </w:rPr>
      </w:pPr>
      <w:r w:rsidRPr="00C917E2">
        <w:rPr>
          <w:lang w:eastAsia="ja-JP"/>
        </w:rPr>
        <w:fldChar w:fldCharType="begin"/>
      </w:r>
      <w:r w:rsidR="00433A3C" w:rsidRPr="00C917E2">
        <w:rPr>
          <w:lang w:eastAsia="ja-JP"/>
        </w:rPr>
        <w:instrText xml:space="preserve"> TOC \h \z \t "Figure" \c </w:instrText>
      </w:r>
      <w:r w:rsidRPr="00C917E2">
        <w:rPr>
          <w:lang w:eastAsia="ja-JP"/>
        </w:rPr>
        <w:fldChar w:fldCharType="separate"/>
      </w:r>
      <w:hyperlink w:anchor="_Toc419004082" w:history="1">
        <w:r w:rsidR="00E22400" w:rsidRPr="00EC65E3">
          <w:rPr>
            <w:rStyle w:val="Hyperlink"/>
            <w:noProof/>
          </w:rPr>
          <w:t>Figure 1 Life Expectancy at Birth, Total Population, 1960–2012 (years)</w:t>
        </w:r>
        <w:r w:rsidR="00E22400">
          <w:rPr>
            <w:noProof/>
            <w:webHidden/>
          </w:rPr>
          <w:tab/>
        </w:r>
        <w:r w:rsidR="00E22400">
          <w:rPr>
            <w:noProof/>
            <w:webHidden/>
          </w:rPr>
          <w:fldChar w:fldCharType="begin"/>
        </w:r>
        <w:r w:rsidR="00E22400">
          <w:rPr>
            <w:noProof/>
            <w:webHidden/>
          </w:rPr>
          <w:instrText xml:space="preserve"> PAGEREF _Toc419004082 \h </w:instrText>
        </w:r>
        <w:r w:rsidR="00E22400">
          <w:rPr>
            <w:noProof/>
            <w:webHidden/>
          </w:rPr>
        </w:r>
        <w:r w:rsidR="00E22400">
          <w:rPr>
            <w:noProof/>
            <w:webHidden/>
          </w:rPr>
          <w:fldChar w:fldCharType="separate"/>
        </w:r>
        <w:r w:rsidR="003732A2">
          <w:rPr>
            <w:noProof/>
            <w:webHidden/>
          </w:rPr>
          <w:t>5</w:t>
        </w:r>
        <w:r w:rsidR="00E22400">
          <w:rPr>
            <w:noProof/>
            <w:webHidden/>
          </w:rPr>
          <w:fldChar w:fldCharType="end"/>
        </w:r>
      </w:hyperlink>
    </w:p>
    <w:p w14:paraId="76A5CA70" w14:textId="77777777" w:rsidR="00E22400" w:rsidRDefault="00113462">
      <w:pPr>
        <w:pStyle w:val="TableofFigures"/>
        <w:tabs>
          <w:tab w:val="right" w:leader="dot" w:pos="9016"/>
        </w:tabs>
        <w:rPr>
          <w:rFonts w:eastAsiaTheme="minorEastAsia" w:cstheme="minorBidi"/>
          <w:noProof/>
          <w:sz w:val="22"/>
          <w:szCs w:val="22"/>
        </w:rPr>
      </w:pPr>
      <w:hyperlink w:anchor="_Toc419004083" w:history="1">
        <w:r w:rsidR="00E22400" w:rsidRPr="00EC65E3">
          <w:rPr>
            <w:rStyle w:val="Hyperlink"/>
            <w:noProof/>
          </w:rPr>
          <w:t>Figure 2 MMR Trends in Zimbabwe and SSA, 1990–c.2014</w:t>
        </w:r>
        <w:r w:rsidR="00E22400">
          <w:rPr>
            <w:noProof/>
            <w:webHidden/>
          </w:rPr>
          <w:tab/>
        </w:r>
        <w:r w:rsidR="00E22400">
          <w:rPr>
            <w:noProof/>
            <w:webHidden/>
          </w:rPr>
          <w:fldChar w:fldCharType="begin"/>
        </w:r>
        <w:r w:rsidR="00E22400">
          <w:rPr>
            <w:noProof/>
            <w:webHidden/>
          </w:rPr>
          <w:instrText xml:space="preserve"> PAGEREF _Toc419004083 \h </w:instrText>
        </w:r>
        <w:r w:rsidR="00E22400">
          <w:rPr>
            <w:noProof/>
            <w:webHidden/>
          </w:rPr>
        </w:r>
        <w:r w:rsidR="00E22400">
          <w:rPr>
            <w:noProof/>
            <w:webHidden/>
          </w:rPr>
          <w:fldChar w:fldCharType="separate"/>
        </w:r>
        <w:r w:rsidR="003732A2">
          <w:rPr>
            <w:noProof/>
            <w:webHidden/>
          </w:rPr>
          <w:t>6</w:t>
        </w:r>
        <w:r w:rsidR="00E22400">
          <w:rPr>
            <w:noProof/>
            <w:webHidden/>
          </w:rPr>
          <w:fldChar w:fldCharType="end"/>
        </w:r>
      </w:hyperlink>
    </w:p>
    <w:p w14:paraId="515423D9" w14:textId="77777777" w:rsidR="00E22400" w:rsidRDefault="00113462">
      <w:pPr>
        <w:pStyle w:val="TableofFigures"/>
        <w:tabs>
          <w:tab w:val="right" w:leader="dot" w:pos="9016"/>
        </w:tabs>
        <w:rPr>
          <w:rFonts w:eastAsiaTheme="minorEastAsia" w:cstheme="minorBidi"/>
          <w:noProof/>
          <w:sz w:val="22"/>
          <w:szCs w:val="22"/>
        </w:rPr>
      </w:pPr>
      <w:hyperlink w:anchor="_Toc419004084" w:history="1">
        <w:r w:rsidR="00E22400" w:rsidRPr="00EC65E3">
          <w:rPr>
            <w:rStyle w:val="Hyperlink"/>
            <w:noProof/>
          </w:rPr>
          <w:t>Figure 3 Trends in Child Mortality Indicators, Zimbabwe, 1989–94 to 2005–09</w:t>
        </w:r>
        <w:r w:rsidR="00E22400">
          <w:rPr>
            <w:noProof/>
            <w:webHidden/>
          </w:rPr>
          <w:tab/>
        </w:r>
        <w:r w:rsidR="00E22400">
          <w:rPr>
            <w:noProof/>
            <w:webHidden/>
          </w:rPr>
          <w:fldChar w:fldCharType="begin"/>
        </w:r>
        <w:r w:rsidR="00E22400">
          <w:rPr>
            <w:noProof/>
            <w:webHidden/>
          </w:rPr>
          <w:instrText xml:space="preserve"> PAGEREF _Toc419004084 \h </w:instrText>
        </w:r>
        <w:r w:rsidR="00E22400">
          <w:rPr>
            <w:noProof/>
            <w:webHidden/>
          </w:rPr>
        </w:r>
        <w:r w:rsidR="00E22400">
          <w:rPr>
            <w:noProof/>
            <w:webHidden/>
          </w:rPr>
          <w:fldChar w:fldCharType="separate"/>
        </w:r>
        <w:r w:rsidR="003732A2">
          <w:rPr>
            <w:noProof/>
            <w:webHidden/>
          </w:rPr>
          <w:t>6</w:t>
        </w:r>
        <w:r w:rsidR="00E22400">
          <w:rPr>
            <w:noProof/>
            <w:webHidden/>
          </w:rPr>
          <w:fldChar w:fldCharType="end"/>
        </w:r>
      </w:hyperlink>
    </w:p>
    <w:p w14:paraId="23F00ABC" w14:textId="77777777" w:rsidR="00E22400" w:rsidRDefault="00113462">
      <w:pPr>
        <w:pStyle w:val="TableofFigures"/>
        <w:tabs>
          <w:tab w:val="right" w:leader="dot" w:pos="9016"/>
        </w:tabs>
        <w:rPr>
          <w:rFonts w:eastAsiaTheme="minorEastAsia" w:cstheme="minorBidi"/>
          <w:noProof/>
          <w:sz w:val="22"/>
          <w:szCs w:val="22"/>
        </w:rPr>
      </w:pPr>
      <w:hyperlink w:anchor="_Toc419004085" w:history="1">
        <w:r w:rsidR="00E22400" w:rsidRPr="00EC65E3">
          <w:rPr>
            <w:rStyle w:val="Hyperlink"/>
            <w:noProof/>
          </w:rPr>
          <w:t>Figure 4 Causes of Mortality Among Children Under Five Years Old, 2011</w:t>
        </w:r>
        <w:r w:rsidR="00E22400">
          <w:rPr>
            <w:noProof/>
            <w:webHidden/>
          </w:rPr>
          <w:tab/>
        </w:r>
        <w:r w:rsidR="00E22400">
          <w:rPr>
            <w:noProof/>
            <w:webHidden/>
          </w:rPr>
          <w:fldChar w:fldCharType="begin"/>
        </w:r>
        <w:r w:rsidR="00E22400">
          <w:rPr>
            <w:noProof/>
            <w:webHidden/>
          </w:rPr>
          <w:instrText xml:space="preserve"> PAGEREF _Toc419004085 \h </w:instrText>
        </w:r>
        <w:r w:rsidR="00E22400">
          <w:rPr>
            <w:noProof/>
            <w:webHidden/>
          </w:rPr>
        </w:r>
        <w:r w:rsidR="00E22400">
          <w:rPr>
            <w:noProof/>
            <w:webHidden/>
          </w:rPr>
          <w:fldChar w:fldCharType="separate"/>
        </w:r>
        <w:r w:rsidR="003732A2">
          <w:rPr>
            <w:noProof/>
            <w:webHidden/>
          </w:rPr>
          <w:t>7</w:t>
        </w:r>
        <w:r w:rsidR="00E22400">
          <w:rPr>
            <w:noProof/>
            <w:webHidden/>
          </w:rPr>
          <w:fldChar w:fldCharType="end"/>
        </w:r>
      </w:hyperlink>
    </w:p>
    <w:p w14:paraId="4AD88C0A" w14:textId="77777777" w:rsidR="00E22400" w:rsidRDefault="00113462">
      <w:pPr>
        <w:pStyle w:val="TableofFigures"/>
        <w:tabs>
          <w:tab w:val="right" w:leader="dot" w:pos="9016"/>
        </w:tabs>
        <w:rPr>
          <w:rFonts w:eastAsiaTheme="minorEastAsia" w:cstheme="minorBidi"/>
          <w:noProof/>
          <w:sz w:val="22"/>
          <w:szCs w:val="22"/>
        </w:rPr>
      </w:pPr>
      <w:hyperlink w:anchor="_Toc419004086" w:history="1">
        <w:r w:rsidR="00E22400" w:rsidRPr="00EC65E3">
          <w:rPr>
            <w:rStyle w:val="Hyperlink"/>
            <w:noProof/>
          </w:rPr>
          <w:t>Figure 5 Trends in HIV Prevalence among Adults (15–49 Years) and in Tuberculosis Prevalence and Incidence, SSA and Zimbabwe, 2004–12</w:t>
        </w:r>
        <w:r w:rsidR="00E22400">
          <w:rPr>
            <w:noProof/>
            <w:webHidden/>
          </w:rPr>
          <w:tab/>
        </w:r>
        <w:r w:rsidR="00E22400">
          <w:rPr>
            <w:noProof/>
            <w:webHidden/>
          </w:rPr>
          <w:fldChar w:fldCharType="begin"/>
        </w:r>
        <w:r w:rsidR="00E22400">
          <w:rPr>
            <w:noProof/>
            <w:webHidden/>
          </w:rPr>
          <w:instrText xml:space="preserve"> PAGEREF _Toc419004086 \h </w:instrText>
        </w:r>
        <w:r w:rsidR="00E22400">
          <w:rPr>
            <w:noProof/>
            <w:webHidden/>
          </w:rPr>
        </w:r>
        <w:r w:rsidR="00E22400">
          <w:rPr>
            <w:noProof/>
            <w:webHidden/>
          </w:rPr>
          <w:fldChar w:fldCharType="separate"/>
        </w:r>
        <w:r w:rsidR="003732A2">
          <w:rPr>
            <w:noProof/>
            <w:webHidden/>
          </w:rPr>
          <w:t>7</w:t>
        </w:r>
        <w:r w:rsidR="00E22400">
          <w:rPr>
            <w:noProof/>
            <w:webHidden/>
          </w:rPr>
          <w:fldChar w:fldCharType="end"/>
        </w:r>
      </w:hyperlink>
    </w:p>
    <w:p w14:paraId="708128E2" w14:textId="77777777" w:rsidR="00E22400" w:rsidRDefault="00113462">
      <w:pPr>
        <w:pStyle w:val="TableofFigures"/>
        <w:tabs>
          <w:tab w:val="right" w:leader="dot" w:pos="9016"/>
        </w:tabs>
        <w:rPr>
          <w:rFonts w:eastAsiaTheme="minorEastAsia" w:cstheme="minorBidi"/>
          <w:noProof/>
          <w:sz w:val="22"/>
          <w:szCs w:val="22"/>
        </w:rPr>
      </w:pPr>
      <w:hyperlink w:anchor="_Toc419004087" w:history="1">
        <w:r w:rsidR="00E22400" w:rsidRPr="00EC65E3">
          <w:rPr>
            <w:rStyle w:val="Hyperlink"/>
            <w:noProof/>
          </w:rPr>
          <w:t>Figure 6 NCD Contribution to Mortality in SSA, 2012</w:t>
        </w:r>
        <w:r w:rsidR="00E22400">
          <w:rPr>
            <w:noProof/>
            <w:webHidden/>
          </w:rPr>
          <w:tab/>
        </w:r>
        <w:r w:rsidR="00E22400">
          <w:rPr>
            <w:noProof/>
            <w:webHidden/>
          </w:rPr>
          <w:fldChar w:fldCharType="begin"/>
        </w:r>
        <w:r w:rsidR="00E22400">
          <w:rPr>
            <w:noProof/>
            <w:webHidden/>
          </w:rPr>
          <w:instrText xml:space="preserve"> PAGEREF _Toc419004087 \h </w:instrText>
        </w:r>
        <w:r w:rsidR="00E22400">
          <w:rPr>
            <w:noProof/>
            <w:webHidden/>
          </w:rPr>
        </w:r>
        <w:r w:rsidR="00E22400">
          <w:rPr>
            <w:noProof/>
            <w:webHidden/>
          </w:rPr>
          <w:fldChar w:fldCharType="separate"/>
        </w:r>
        <w:r w:rsidR="003732A2">
          <w:rPr>
            <w:noProof/>
            <w:webHidden/>
          </w:rPr>
          <w:t>8</w:t>
        </w:r>
        <w:r w:rsidR="00E22400">
          <w:rPr>
            <w:noProof/>
            <w:webHidden/>
          </w:rPr>
          <w:fldChar w:fldCharType="end"/>
        </w:r>
      </w:hyperlink>
    </w:p>
    <w:p w14:paraId="260A4A5C" w14:textId="77777777" w:rsidR="00E22400" w:rsidRDefault="00113462">
      <w:pPr>
        <w:pStyle w:val="TableofFigures"/>
        <w:tabs>
          <w:tab w:val="right" w:leader="dot" w:pos="9016"/>
        </w:tabs>
        <w:rPr>
          <w:rFonts w:eastAsiaTheme="minorEastAsia" w:cstheme="minorBidi"/>
          <w:noProof/>
          <w:sz w:val="22"/>
          <w:szCs w:val="22"/>
        </w:rPr>
      </w:pPr>
      <w:hyperlink w:anchor="_Toc419004088" w:history="1">
        <w:r w:rsidR="00E22400" w:rsidRPr="00EC65E3">
          <w:rPr>
            <w:rStyle w:val="Hyperlink"/>
            <w:noProof/>
          </w:rPr>
          <w:t>Figure 7 Distribution of Underweight Prevalence among Children</w:t>
        </w:r>
        <w:r w:rsidR="00E22400">
          <w:rPr>
            <w:noProof/>
            <w:webHidden/>
          </w:rPr>
          <w:tab/>
        </w:r>
        <w:r w:rsidR="00E22400">
          <w:rPr>
            <w:noProof/>
            <w:webHidden/>
          </w:rPr>
          <w:fldChar w:fldCharType="begin"/>
        </w:r>
        <w:r w:rsidR="00E22400">
          <w:rPr>
            <w:noProof/>
            <w:webHidden/>
          </w:rPr>
          <w:instrText xml:space="preserve"> PAGEREF _Toc419004088 \h </w:instrText>
        </w:r>
        <w:r w:rsidR="00E22400">
          <w:rPr>
            <w:noProof/>
            <w:webHidden/>
          </w:rPr>
        </w:r>
        <w:r w:rsidR="00E22400">
          <w:rPr>
            <w:noProof/>
            <w:webHidden/>
          </w:rPr>
          <w:fldChar w:fldCharType="separate"/>
        </w:r>
        <w:r w:rsidR="003732A2">
          <w:rPr>
            <w:noProof/>
            <w:webHidden/>
          </w:rPr>
          <w:t>9</w:t>
        </w:r>
        <w:r w:rsidR="00E22400">
          <w:rPr>
            <w:noProof/>
            <w:webHidden/>
          </w:rPr>
          <w:fldChar w:fldCharType="end"/>
        </w:r>
      </w:hyperlink>
    </w:p>
    <w:p w14:paraId="73D36065" w14:textId="77777777" w:rsidR="00E22400" w:rsidRDefault="00113462">
      <w:pPr>
        <w:pStyle w:val="TableofFigures"/>
        <w:tabs>
          <w:tab w:val="right" w:leader="dot" w:pos="9016"/>
        </w:tabs>
        <w:rPr>
          <w:rFonts w:eastAsiaTheme="minorEastAsia" w:cstheme="minorBidi"/>
          <w:noProof/>
          <w:sz w:val="22"/>
          <w:szCs w:val="22"/>
        </w:rPr>
      </w:pPr>
      <w:hyperlink w:anchor="_Toc419004089" w:history="1">
        <w:r w:rsidR="00E22400" w:rsidRPr="00EC65E3">
          <w:rPr>
            <w:rStyle w:val="Hyperlink"/>
            <w:noProof/>
          </w:rPr>
          <w:t>Figure 8 Per Capita Utilization of Public and Not-for-Profit Health Facilities, Poverty, and User Fees, 2012</w:t>
        </w:r>
        <w:r w:rsidR="00E22400">
          <w:rPr>
            <w:noProof/>
            <w:webHidden/>
          </w:rPr>
          <w:tab/>
        </w:r>
        <w:r w:rsidR="00E22400">
          <w:rPr>
            <w:noProof/>
            <w:webHidden/>
          </w:rPr>
          <w:fldChar w:fldCharType="begin"/>
        </w:r>
        <w:r w:rsidR="00E22400">
          <w:rPr>
            <w:noProof/>
            <w:webHidden/>
          </w:rPr>
          <w:instrText xml:space="preserve"> PAGEREF _Toc419004089 \h </w:instrText>
        </w:r>
        <w:r w:rsidR="00E22400">
          <w:rPr>
            <w:noProof/>
            <w:webHidden/>
          </w:rPr>
        </w:r>
        <w:r w:rsidR="00E22400">
          <w:rPr>
            <w:noProof/>
            <w:webHidden/>
          </w:rPr>
          <w:fldChar w:fldCharType="separate"/>
        </w:r>
        <w:r w:rsidR="003732A2">
          <w:rPr>
            <w:noProof/>
            <w:webHidden/>
          </w:rPr>
          <w:t>10</w:t>
        </w:r>
        <w:r w:rsidR="00E22400">
          <w:rPr>
            <w:noProof/>
            <w:webHidden/>
          </w:rPr>
          <w:fldChar w:fldCharType="end"/>
        </w:r>
      </w:hyperlink>
    </w:p>
    <w:p w14:paraId="0F25ECA5" w14:textId="77777777" w:rsidR="00E22400" w:rsidRDefault="00113462">
      <w:pPr>
        <w:pStyle w:val="TableofFigures"/>
        <w:tabs>
          <w:tab w:val="right" w:leader="dot" w:pos="9016"/>
        </w:tabs>
        <w:rPr>
          <w:rFonts w:eastAsiaTheme="minorEastAsia" w:cstheme="minorBidi"/>
          <w:noProof/>
          <w:sz w:val="22"/>
          <w:szCs w:val="22"/>
        </w:rPr>
      </w:pPr>
      <w:hyperlink w:anchor="_Toc419004090" w:history="1">
        <w:r w:rsidR="00E22400" w:rsidRPr="00EC65E3">
          <w:rPr>
            <w:rStyle w:val="Hyperlink"/>
            <w:noProof/>
          </w:rPr>
          <w:t>Figure 9 Health-Seeking Behavior: Method of Treatment of Illness by Poverty Status, Evidence from 2011/12 PICES</w:t>
        </w:r>
        <w:r w:rsidR="00E22400">
          <w:rPr>
            <w:noProof/>
            <w:webHidden/>
          </w:rPr>
          <w:tab/>
        </w:r>
        <w:r w:rsidR="00E22400">
          <w:rPr>
            <w:noProof/>
            <w:webHidden/>
          </w:rPr>
          <w:fldChar w:fldCharType="begin"/>
        </w:r>
        <w:r w:rsidR="00E22400">
          <w:rPr>
            <w:noProof/>
            <w:webHidden/>
          </w:rPr>
          <w:instrText xml:space="preserve"> PAGEREF _Toc419004090 \h </w:instrText>
        </w:r>
        <w:r w:rsidR="00E22400">
          <w:rPr>
            <w:noProof/>
            <w:webHidden/>
          </w:rPr>
        </w:r>
        <w:r w:rsidR="00E22400">
          <w:rPr>
            <w:noProof/>
            <w:webHidden/>
          </w:rPr>
          <w:fldChar w:fldCharType="separate"/>
        </w:r>
        <w:r w:rsidR="003732A2">
          <w:rPr>
            <w:noProof/>
            <w:webHidden/>
          </w:rPr>
          <w:t>11</w:t>
        </w:r>
        <w:r w:rsidR="00E22400">
          <w:rPr>
            <w:noProof/>
            <w:webHidden/>
          </w:rPr>
          <w:fldChar w:fldCharType="end"/>
        </w:r>
      </w:hyperlink>
    </w:p>
    <w:p w14:paraId="3CF4236C" w14:textId="77777777" w:rsidR="00E22400" w:rsidRDefault="00113462">
      <w:pPr>
        <w:pStyle w:val="TableofFigures"/>
        <w:tabs>
          <w:tab w:val="right" w:leader="dot" w:pos="9016"/>
        </w:tabs>
        <w:rPr>
          <w:rFonts w:eastAsiaTheme="minorEastAsia" w:cstheme="minorBidi"/>
          <w:noProof/>
          <w:sz w:val="22"/>
          <w:szCs w:val="22"/>
        </w:rPr>
      </w:pPr>
      <w:hyperlink w:anchor="_Toc419004091" w:history="1">
        <w:r w:rsidR="00E22400" w:rsidRPr="00EC65E3">
          <w:rPr>
            <w:rStyle w:val="Hyperlink"/>
            <w:noProof/>
          </w:rPr>
          <w:t>Figure 10 Reasons for Not Seeking Medical Treatment among those who Fell Ill</w:t>
        </w:r>
        <w:r w:rsidR="00E22400">
          <w:rPr>
            <w:noProof/>
            <w:webHidden/>
          </w:rPr>
          <w:tab/>
        </w:r>
        <w:r w:rsidR="00E22400">
          <w:rPr>
            <w:noProof/>
            <w:webHidden/>
          </w:rPr>
          <w:fldChar w:fldCharType="begin"/>
        </w:r>
        <w:r w:rsidR="00E22400">
          <w:rPr>
            <w:noProof/>
            <w:webHidden/>
          </w:rPr>
          <w:instrText xml:space="preserve"> PAGEREF _Toc419004091 \h </w:instrText>
        </w:r>
        <w:r w:rsidR="00E22400">
          <w:rPr>
            <w:noProof/>
            <w:webHidden/>
          </w:rPr>
        </w:r>
        <w:r w:rsidR="00E22400">
          <w:rPr>
            <w:noProof/>
            <w:webHidden/>
          </w:rPr>
          <w:fldChar w:fldCharType="separate"/>
        </w:r>
        <w:r w:rsidR="003732A2">
          <w:rPr>
            <w:noProof/>
            <w:webHidden/>
          </w:rPr>
          <w:t>12</w:t>
        </w:r>
        <w:r w:rsidR="00E22400">
          <w:rPr>
            <w:noProof/>
            <w:webHidden/>
          </w:rPr>
          <w:fldChar w:fldCharType="end"/>
        </w:r>
      </w:hyperlink>
    </w:p>
    <w:p w14:paraId="7CFFC9E3" w14:textId="77777777" w:rsidR="00E22400" w:rsidRDefault="00113462">
      <w:pPr>
        <w:pStyle w:val="TableofFigures"/>
        <w:tabs>
          <w:tab w:val="right" w:leader="dot" w:pos="9016"/>
        </w:tabs>
        <w:rPr>
          <w:rFonts w:eastAsiaTheme="minorEastAsia" w:cstheme="minorBidi"/>
          <w:noProof/>
          <w:sz w:val="22"/>
          <w:szCs w:val="22"/>
        </w:rPr>
      </w:pPr>
      <w:hyperlink w:anchor="_Toc419004092" w:history="1">
        <w:r w:rsidR="00E22400" w:rsidRPr="00EC65E3">
          <w:rPr>
            <w:rStyle w:val="Hyperlink"/>
            <w:noProof/>
          </w:rPr>
          <w:t>Figure 11 Health-Seeking Behavior Across Quintiles: Evidence from Rural Areas, 2014</w:t>
        </w:r>
        <w:r w:rsidR="00E22400">
          <w:rPr>
            <w:noProof/>
            <w:webHidden/>
          </w:rPr>
          <w:tab/>
        </w:r>
        <w:r w:rsidR="00E22400">
          <w:rPr>
            <w:noProof/>
            <w:webHidden/>
          </w:rPr>
          <w:fldChar w:fldCharType="begin"/>
        </w:r>
        <w:r w:rsidR="00E22400">
          <w:rPr>
            <w:noProof/>
            <w:webHidden/>
          </w:rPr>
          <w:instrText xml:space="preserve"> PAGEREF _Toc419004092 \h </w:instrText>
        </w:r>
        <w:r w:rsidR="00E22400">
          <w:rPr>
            <w:noProof/>
            <w:webHidden/>
          </w:rPr>
        </w:r>
        <w:r w:rsidR="00E22400">
          <w:rPr>
            <w:noProof/>
            <w:webHidden/>
          </w:rPr>
          <w:fldChar w:fldCharType="separate"/>
        </w:r>
        <w:r w:rsidR="003732A2">
          <w:rPr>
            <w:noProof/>
            <w:webHidden/>
          </w:rPr>
          <w:t>13</w:t>
        </w:r>
        <w:r w:rsidR="00E22400">
          <w:rPr>
            <w:noProof/>
            <w:webHidden/>
          </w:rPr>
          <w:fldChar w:fldCharType="end"/>
        </w:r>
      </w:hyperlink>
    </w:p>
    <w:p w14:paraId="7BF0F9A1" w14:textId="77777777" w:rsidR="00E22400" w:rsidRDefault="00113462">
      <w:pPr>
        <w:pStyle w:val="TableofFigures"/>
        <w:tabs>
          <w:tab w:val="right" w:leader="dot" w:pos="9016"/>
        </w:tabs>
        <w:rPr>
          <w:rFonts w:eastAsiaTheme="minorEastAsia" w:cstheme="minorBidi"/>
          <w:noProof/>
          <w:sz w:val="22"/>
          <w:szCs w:val="22"/>
        </w:rPr>
      </w:pPr>
      <w:hyperlink w:anchor="_Toc419004093" w:history="1">
        <w:r w:rsidR="00E22400" w:rsidRPr="00EC65E3">
          <w:rPr>
            <w:rStyle w:val="Hyperlink"/>
            <w:noProof/>
          </w:rPr>
          <w:t>Figure 12 Inpatient and Outpatient Service Utilization by Wealth Quintile</w:t>
        </w:r>
        <w:r w:rsidR="00E22400" w:rsidRPr="00EC65E3">
          <w:rPr>
            <w:rStyle w:val="Hyperlink"/>
            <w:noProof/>
            <w:lang w:eastAsia="en-ZW"/>
          </w:rPr>
          <w:t>, 2010</w:t>
        </w:r>
        <w:r w:rsidR="00E22400">
          <w:rPr>
            <w:noProof/>
            <w:webHidden/>
          </w:rPr>
          <w:tab/>
        </w:r>
        <w:r w:rsidR="00E22400">
          <w:rPr>
            <w:noProof/>
            <w:webHidden/>
          </w:rPr>
          <w:fldChar w:fldCharType="begin"/>
        </w:r>
        <w:r w:rsidR="00E22400">
          <w:rPr>
            <w:noProof/>
            <w:webHidden/>
          </w:rPr>
          <w:instrText xml:space="preserve"> PAGEREF _Toc419004093 \h </w:instrText>
        </w:r>
        <w:r w:rsidR="00E22400">
          <w:rPr>
            <w:noProof/>
            <w:webHidden/>
          </w:rPr>
        </w:r>
        <w:r w:rsidR="00E22400">
          <w:rPr>
            <w:noProof/>
            <w:webHidden/>
          </w:rPr>
          <w:fldChar w:fldCharType="separate"/>
        </w:r>
        <w:r w:rsidR="003732A2">
          <w:rPr>
            <w:noProof/>
            <w:webHidden/>
          </w:rPr>
          <w:t>13</w:t>
        </w:r>
        <w:r w:rsidR="00E22400">
          <w:rPr>
            <w:noProof/>
            <w:webHidden/>
          </w:rPr>
          <w:fldChar w:fldCharType="end"/>
        </w:r>
      </w:hyperlink>
    </w:p>
    <w:p w14:paraId="66A5928B" w14:textId="77777777" w:rsidR="00E22400" w:rsidRDefault="00113462">
      <w:pPr>
        <w:pStyle w:val="TableofFigures"/>
        <w:tabs>
          <w:tab w:val="right" w:leader="dot" w:pos="9016"/>
        </w:tabs>
        <w:rPr>
          <w:rFonts w:eastAsiaTheme="minorEastAsia" w:cstheme="minorBidi"/>
          <w:noProof/>
          <w:sz w:val="22"/>
          <w:szCs w:val="22"/>
        </w:rPr>
      </w:pPr>
      <w:hyperlink w:anchor="_Toc419004094" w:history="1">
        <w:r w:rsidR="00E22400" w:rsidRPr="00EC65E3">
          <w:rPr>
            <w:rStyle w:val="Hyperlink"/>
            <w:noProof/>
          </w:rPr>
          <w:t>Figure 13 Utilization of Hospitals versus Health Centers for Inpatient and Outpatient care in Rural Areas, 2014</w:t>
        </w:r>
        <w:r w:rsidR="00E22400">
          <w:rPr>
            <w:noProof/>
            <w:webHidden/>
          </w:rPr>
          <w:tab/>
        </w:r>
        <w:r w:rsidR="00E22400">
          <w:rPr>
            <w:noProof/>
            <w:webHidden/>
          </w:rPr>
          <w:fldChar w:fldCharType="begin"/>
        </w:r>
        <w:r w:rsidR="00E22400">
          <w:rPr>
            <w:noProof/>
            <w:webHidden/>
          </w:rPr>
          <w:instrText xml:space="preserve"> PAGEREF _Toc419004094 \h </w:instrText>
        </w:r>
        <w:r w:rsidR="00E22400">
          <w:rPr>
            <w:noProof/>
            <w:webHidden/>
          </w:rPr>
        </w:r>
        <w:r w:rsidR="00E22400">
          <w:rPr>
            <w:noProof/>
            <w:webHidden/>
          </w:rPr>
          <w:fldChar w:fldCharType="separate"/>
        </w:r>
        <w:r w:rsidR="003732A2">
          <w:rPr>
            <w:noProof/>
            <w:webHidden/>
          </w:rPr>
          <w:t>14</w:t>
        </w:r>
        <w:r w:rsidR="00E22400">
          <w:rPr>
            <w:noProof/>
            <w:webHidden/>
          </w:rPr>
          <w:fldChar w:fldCharType="end"/>
        </w:r>
      </w:hyperlink>
    </w:p>
    <w:p w14:paraId="78F3BE7A" w14:textId="77777777" w:rsidR="00E22400" w:rsidRDefault="00113462">
      <w:pPr>
        <w:pStyle w:val="TableofFigures"/>
        <w:tabs>
          <w:tab w:val="right" w:leader="dot" w:pos="9016"/>
        </w:tabs>
        <w:rPr>
          <w:rFonts w:eastAsiaTheme="minorEastAsia" w:cstheme="minorBidi"/>
          <w:noProof/>
          <w:sz w:val="22"/>
          <w:szCs w:val="22"/>
        </w:rPr>
      </w:pPr>
      <w:hyperlink w:anchor="_Toc419004095" w:history="1">
        <w:r w:rsidR="00E22400" w:rsidRPr="00EC65E3">
          <w:rPr>
            <w:rStyle w:val="Hyperlink"/>
            <w:noProof/>
          </w:rPr>
          <w:t>Figure 14 Distribution of Health Facilities, by Province and Population Density</w:t>
        </w:r>
        <w:r w:rsidR="00E22400">
          <w:rPr>
            <w:noProof/>
            <w:webHidden/>
          </w:rPr>
          <w:tab/>
        </w:r>
        <w:r w:rsidR="00E22400">
          <w:rPr>
            <w:noProof/>
            <w:webHidden/>
          </w:rPr>
          <w:fldChar w:fldCharType="begin"/>
        </w:r>
        <w:r w:rsidR="00E22400">
          <w:rPr>
            <w:noProof/>
            <w:webHidden/>
          </w:rPr>
          <w:instrText xml:space="preserve"> PAGEREF _Toc419004095 \h </w:instrText>
        </w:r>
        <w:r w:rsidR="00E22400">
          <w:rPr>
            <w:noProof/>
            <w:webHidden/>
          </w:rPr>
        </w:r>
        <w:r w:rsidR="00E22400">
          <w:rPr>
            <w:noProof/>
            <w:webHidden/>
          </w:rPr>
          <w:fldChar w:fldCharType="separate"/>
        </w:r>
        <w:r w:rsidR="003732A2">
          <w:rPr>
            <w:noProof/>
            <w:webHidden/>
          </w:rPr>
          <w:t>14</w:t>
        </w:r>
        <w:r w:rsidR="00E22400">
          <w:rPr>
            <w:noProof/>
            <w:webHidden/>
          </w:rPr>
          <w:fldChar w:fldCharType="end"/>
        </w:r>
      </w:hyperlink>
    </w:p>
    <w:p w14:paraId="39DF424F" w14:textId="77777777" w:rsidR="00E22400" w:rsidRDefault="00113462">
      <w:pPr>
        <w:pStyle w:val="TableofFigures"/>
        <w:tabs>
          <w:tab w:val="right" w:leader="dot" w:pos="9016"/>
        </w:tabs>
        <w:rPr>
          <w:rFonts w:eastAsiaTheme="minorEastAsia" w:cstheme="minorBidi"/>
          <w:noProof/>
          <w:sz w:val="22"/>
          <w:szCs w:val="22"/>
        </w:rPr>
      </w:pPr>
      <w:hyperlink w:anchor="_Toc419004096" w:history="1">
        <w:r w:rsidR="00E22400" w:rsidRPr="00EC65E3">
          <w:rPr>
            <w:rStyle w:val="Hyperlink"/>
            <w:noProof/>
          </w:rPr>
          <w:t>Figure 15 Provincial Distribution of Facilities, Nurses and Midwives, 2012</w:t>
        </w:r>
        <w:r w:rsidR="00E22400">
          <w:rPr>
            <w:noProof/>
            <w:webHidden/>
          </w:rPr>
          <w:tab/>
        </w:r>
        <w:r w:rsidR="00E22400">
          <w:rPr>
            <w:noProof/>
            <w:webHidden/>
          </w:rPr>
          <w:fldChar w:fldCharType="begin"/>
        </w:r>
        <w:r w:rsidR="00E22400">
          <w:rPr>
            <w:noProof/>
            <w:webHidden/>
          </w:rPr>
          <w:instrText xml:space="preserve"> PAGEREF _Toc419004096 \h </w:instrText>
        </w:r>
        <w:r w:rsidR="00E22400">
          <w:rPr>
            <w:noProof/>
            <w:webHidden/>
          </w:rPr>
        </w:r>
        <w:r w:rsidR="00E22400">
          <w:rPr>
            <w:noProof/>
            <w:webHidden/>
          </w:rPr>
          <w:fldChar w:fldCharType="separate"/>
        </w:r>
        <w:r w:rsidR="003732A2">
          <w:rPr>
            <w:noProof/>
            <w:webHidden/>
          </w:rPr>
          <w:t>15</w:t>
        </w:r>
        <w:r w:rsidR="00E22400">
          <w:rPr>
            <w:noProof/>
            <w:webHidden/>
          </w:rPr>
          <w:fldChar w:fldCharType="end"/>
        </w:r>
      </w:hyperlink>
    </w:p>
    <w:p w14:paraId="44FFB16F" w14:textId="77777777" w:rsidR="00E22400" w:rsidRDefault="00113462">
      <w:pPr>
        <w:pStyle w:val="TableofFigures"/>
        <w:tabs>
          <w:tab w:val="right" w:leader="dot" w:pos="9016"/>
        </w:tabs>
        <w:rPr>
          <w:rFonts w:eastAsiaTheme="minorEastAsia" w:cstheme="minorBidi"/>
          <w:noProof/>
          <w:sz w:val="22"/>
          <w:szCs w:val="22"/>
        </w:rPr>
      </w:pPr>
      <w:hyperlink w:anchor="_Toc419004097" w:history="1">
        <w:r w:rsidR="00E22400" w:rsidRPr="00EC65E3">
          <w:rPr>
            <w:rStyle w:val="Hyperlink"/>
            <w:noProof/>
          </w:rPr>
          <w:t>Figure 16 Distribution of Hospital Beds by Province, 2012</w:t>
        </w:r>
        <w:r w:rsidR="00E22400">
          <w:rPr>
            <w:noProof/>
            <w:webHidden/>
          </w:rPr>
          <w:tab/>
        </w:r>
        <w:r w:rsidR="00E22400">
          <w:rPr>
            <w:noProof/>
            <w:webHidden/>
          </w:rPr>
          <w:fldChar w:fldCharType="begin"/>
        </w:r>
        <w:r w:rsidR="00E22400">
          <w:rPr>
            <w:noProof/>
            <w:webHidden/>
          </w:rPr>
          <w:instrText xml:space="preserve"> PAGEREF _Toc419004097 \h </w:instrText>
        </w:r>
        <w:r w:rsidR="00E22400">
          <w:rPr>
            <w:noProof/>
            <w:webHidden/>
          </w:rPr>
        </w:r>
        <w:r w:rsidR="00E22400">
          <w:rPr>
            <w:noProof/>
            <w:webHidden/>
          </w:rPr>
          <w:fldChar w:fldCharType="separate"/>
        </w:r>
        <w:r w:rsidR="003732A2">
          <w:rPr>
            <w:noProof/>
            <w:webHidden/>
          </w:rPr>
          <w:t>16</w:t>
        </w:r>
        <w:r w:rsidR="00E22400">
          <w:rPr>
            <w:noProof/>
            <w:webHidden/>
          </w:rPr>
          <w:fldChar w:fldCharType="end"/>
        </w:r>
      </w:hyperlink>
    </w:p>
    <w:p w14:paraId="2046B5E9" w14:textId="77777777" w:rsidR="00E22400" w:rsidRDefault="00113462">
      <w:pPr>
        <w:pStyle w:val="TableofFigures"/>
        <w:tabs>
          <w:tab w:val="right" w:leader="dot" w:pos="9016"/>
        </w:tabs>
        <w:rPr>
          <w:rFonts w:eastAsiaTheme="minorEastAsia" w:cstheme="minorBidi"/>
          <w:noProof/>
          <w:sz w:val="22"/>
          <w:szCs w:val="22"/>
        </w:rPr>
      </w:pPr>
      <w:hyperlink w:anchor="_Toc419004098" w:history="1">
        <w:r w:rsidR="00E22400" w:rsidRPr="00EC65E3">
          <w:rPr>
            <w:rStyle w:val="Hyperlink"/>
            <w:noProof/>
          </w:rPr>
          <w:t>Figure 17 Quality Indicators for Antenatal Care Services, 1999–2009</w:t>
        </w:r>
        <w:r w:rsidR="00E22400">
          <w:rPr>
            <w:noProof/>
            <w:webHidden/>
          </w:rPr>
          <w:tab/>
        </w:r>
        <w:r w:rsidR="00E22400">
          <w:rPr>
            <w:noProof/>
            <w:webHidden/>
          </w:rPr>
          <w:fldChar w:fldCharType="begin"/>
        </w:r>
        <w:r w:rsidR="00E22400">
          <w:rPr>
            <w:noProof/>
            <w:webHidden/>
          </w:rPr>
          <w:instrText xml:space="preserve"> PAGEREF _Toc419004098 \h </w:instrText>
        </w:r>
        <w:r w:rsidR="00E22400">
          <w:rPr>
            <w:noProof/>
            <w:webHidden/>
          </w:rPr>
        </w:r>
        <w:r w:rsidR="00E22400">
          <w:rPr>
            <w:noProof/>
            <w:webHidden/>
          </w:rPr>
          <w:fldChar w:fldCharType="separate"/>
        </w:r>
        <w:r w:rsidR="003732A2">
          <w:rPr>
            <w:noProof/>
            <w:webHidden/>
          </w:rPr>
          <w:t>17</w:t>
        </w:r>
        <w:r w:rsidR="00E22400">
          <w:rPr>
            <w:noProof/>
            <w:webHidden/>
          </w:rPr>
          <w:fldChar w:fldCharType="end"/>
        </w:r>
      </w:hyperlink>
    </w:p>
    <w:p w14:paraId="53BD632A" w14:textId="77777777" w:rsidR="00E22400" w:rsidRDefault="00113462">
      <w:pPr>
        <w:pStyle w:val="TableofFigures"/>
        <w:tabs>
          <w:tab w:val="right" w:leader="dot" w:pos="9016"/>
        </w:tabs>
        <w:rPr>
          <w:rFonts w:eastAsiaTheme="minorEastAsia" w:cstheme="minorBidi"/>
          <w:noProof/>
          <w:sz w:val="22"/>
          <w:szCs w:val="22"/>
        </w:rPr>
      </w:pPr>
      <w:hyperlink w:anchor="_Toc419004099" w:history="1">
        <w:r w:rsidR="00E22400" w:rsidRPr="00EC65E3">
          <w:rPr>
            <w:rStyle w:val="Hyperlink"/>
            <w:noProof/>
          </w:rPr>
          <w:t>Figure 18 Knowledge Scores for Health Workers across Provinces, 2011</w:t>
        </w:r>
        <w:r w:rsidR="00E22400">
          <w:rPr>
            <w:noProof/>
            <w:webHidden/>
          </w:rPr>
          <w:tab/>
        </w:r>
        <w:r w:rsidR="00E22400">
          <w:rPr>
            <w:noProof/>
            <w:webHidden/>
          </w:rPr>
          <w:fldChar w:fldCharType="begin"/>
        </w:r>
        <w:r w:rsidR="00E22400">
          <w:rPr>
            <w:noProof/>
            <w:webHidden/>
          </w:rPr>
          <w:instrText xml:space="preserve"> PAGEREF _Toc419004099 \h </w:instrText>
        </w:r>
        <w:r w:rsidR="00E22400">
          <w:rPr>
            <w:noProof/>
            <w:webHidden/>
          </w:rPr>
        </w:r>
        <w:r w:rsidR="00E22400">
          <w:rPr>
            <w:noProof/>
            <w:webHidden/>
          </w:rPr>
          <w:fldChar w:fldCharType="separate"/>
        </w:r>
        <w:r w:rsidR="003732A2">
          <w:rPr>
            <w:noProof/>
            <w:webHidden/>
          </w:rPr>
          <w:t>18</w:t>
        </w:r>
        <w:r w:rsidR="00E22400">
          <w:rPr>
            <w:noProof/>
            <w:webHidden/>
          </w:rPr>
          <w:fldChar w:fldCharType="end"/>
        </w:r>
      </w:hyperlink>
    </w:p>
    <w:p w14:paraId="239232F4" w14:textId="77777777" w:rsidR="00E22400" w:rsidRDefault="00113462">
      <w:pPr>
        <w:pStyle w:val="TableofFigures"/>
        <w:tabs>
          <w:tab w:val="right" w:leader="dot" w:pos="9016"/>
        </w:tabs>
        <w:rPr>
          <w:rFonts w:eastAsiaTheme="minorEastAsia" w:cstheme="minorBidi"/>
          <w:noProof/>
          <w:sz w:val="22"/>
          <w:szCs w:val="22"/>
        </w:rPr>
      </w:pPr>
      <w:hyperlink w:anchor="_Toc419004100" w:history="1">
        <w:r w:rsidR="00E22400" w:rsidRPr="00EC65E3">
          <w:rPr>
            <w:rStyle w:val="Hyperlink"/>
            <w:noProof/>
          </w:rPr>
          <w:t>Figure 19 Immunization Coverage (Primary Course Completed)</w:t>
        </w:r>
        <w:r w:rsidR="00E22400">
          <w:rPr>
            <w:noProof/>
            <w:webHidden/>
          </w:rPr>
          <w:tab/>
        </w:r>
        <w:r w:rsidR="00E22400">
          <w:rPr>
            <w:noProof/>
            <w:webHidden/>
          </w:rPr>
          <w:fldChar w:fldCharType="begin"/>
        </w:r>
        <w:r w:rsidR="00E22400">
          <w:rPr>
            <w:noProof/>
            <w:webHidden/>
          </w:rPr>
          <w:instrText xml:space="preserve"> PAGEREF _Toc419004100 \h </w:instrText>
        </w:r>
        <w:r w:rsidR="00E22400">
          <w:rPr>
            <w:noProof/>
            <w:webHidden/>
          </w:rPr>
        </w:r>
        <w:r w:rsidR="00E22400">
          <w:rPr>
            <w:noProof/>
            <w:webHidden/>
          </w:rPr>
          <w:fldChar w:fldCharType="separate"/>
        </w:r>
        <w:r w:rsidR="003732A2">
          <w:rPr>
            <w:noProof/>
            <w:webHidden/>
          </w:rPr>
          <w:t>19</w:t>
        </w:r>
        <w:r w:rsidR="00E22400">
          <w:rPr>
            <w:noProof/>
            <w:webHidden/>
          </w:rPr>
          <w:fldChar w:fldCharType="end"/>
        </w:r>
      </w:hyperlink>
    </w:p>
    <w:p w14:paraId="3AB9754F" w14:textId="77777777" w:rsidR="00E22400" w:rsidRDefault="00113462">
      <w:pPr>
        <w:pStyle w:val="TableofFigures"/>
        <w:tabs>
          <w:tab w:val="right" w:leader="dot" w:pos="9016"/>
        </w:tabs>
        <w:rPr>
          <w:rFonts w:eastAsiaTheme="minorEastAsia" w:cstheme="minorBidi"/>
          <w:noProof/>
          <w:sz w:val="22"/>
          <w:szCs w:val="22"/>
        </w:rPr>
      </w:pPr>
      <w:hyperlink w:anchor="_Toc419004101" w:history="1">
        <w:r w:rsidR="00E22400" w:rsidRPr="00EC65E3">
          <w:rPr>
            <w:rStyle w:val="Hyperlink"/>
            <w:noProof/>
          </w:rPr>
          <w:t>Figure 20 Central Government Spending on Health, 2013 (current US$)</w:t>
        </w:r>
        <w:r w:rsidR="00E22400">
          <w:rPr>
            <w:noProof/>
            <w:webHidden/>
          </w:rPr>
          <w:tab/>
        </w:r>
        <w:r w:rsidR="00E22400">
          <w:rPr>
            <w:noProof/>
            <w:webHidden/>
          </w:rPr>
          <w:fldChar w:fldCharType="begin"/>
        </w:r>
        <w:r w:rsidR="00E22400">
          <w:rPr>
            <w:noProof/>
            <w:webHidden/>
          </w:rPr>
          <w:instrText xml:space="preserve"> PAGEREF _Toc419004101 \h </w:instrText>
        </w:r>
        <w:r w:rsidR="00E22400">
          <w:rPr>
            <w:noProof/>
            <w:webHidden/>
          </w:rPr>
        </w:r>
        <w:r w:rsidR="00E22400">
          <w:rPr>
            <w:noProof/>
            <w:webHidden/>
          </w:rPr>
          <w:fldChar w:fldCharType="separate"/>
        </w:r>
        <w:r w:rsidR="003732A2">
          <w:rPr>
            <w:noProof/>
            <w:webHidden/>
          </w:rPr>
          <w:t>23</w:t>
        </w:r>
        <w:r w:rsidR="00E22400">
          <w:rPr>
            <w:noProof/>
            <w:webHidden/>
          </w:rPr>
          <w:fldChar w:fldCharType="end"/>
        </w:r>
      </w:hyperlink>
    </w:p>
    <w:p w14:paraId="77D63A27" w14:textId="77777777" w:rsidR="00E22400" w:rsidRDefault="00113462">
      <w:pPr>
        <w:pStyle w:val="TableofFigures"/>
        <w:tabs>
          <w:tab w:val="right" w:leader="dot" w:pos="9016"/>
        </w:tabs>
        <w:rPr>
          <w:rFonts w:eastAsiaTheme="minorEastAsia" w:cstheme="minorBidi"/>
          <w:noProof/>
          <w:sz w:val="22"/>
          <w:szCs w:val="22"/>
        </w:rPr>
      </w:pPr>
      <w:hyperlink w:anchor="_Toc419004102" w:history="1">
        <w:r w:rsidR="00E22400" w:rsidRPr="00EC65E3">
          <w:rPr>
            <w:rStyle w:val="Hyperlink"/>
            <w:noProof/>
          </w:rPr>
          <w:t>Figure 21 MOHCC Expenditure in Total and as a Share of General Government, 2009–13</w:t>
        </w:r>
        <w:r w:rsidR="00E22400">
          <w:rPr>
            <w:noProof/>
            <w:webHidden/>
          </w:rPr>
          <w:tab/>
        </w:r>
        <w:r w:rsidR="00E22400">
          <w:rPr>
            <w:noProof/>
            <w:webHidden/>
          </w:rPr>
          <w:fldChar w:fldCharType="begin"/>
        </w:r>
        <w:r w:rsidR="00E22400">
          <w:rPr>
            <w:noProof/>
            <w:webHidden/>
          </w:rPr>
          <w:instrText xml:space="preserve"> PAGEREF _Toc419004102 \h </w:instrText>
        </w:r>
        <w:r w:rsidR="00E22400">
          <w:rPr>
            <w:noProof/>
            <w:webHidden/>
          </w:rPr>
        </w:r>
        <w:r w:rsidR="00E22400">
          <w:rPr>
            <w:noProof/>
            <w:webHidden/>
          </w:rPr>
          <w:fldChar w:fldCharType="separate"/>
        </w:r>
        <w:r w:rsidR="003732A2">
          <w:rPr>
            <w:noProof/>
            <w:webHidden/>
          </w:rPr>
          <w:t>25</w:t>
        </w:r>
        <w:r w:rsidR="00E22400">
          <w:rPr>
            <w:noProof/>
            <w:webHidden/>
          </w:rPr>
          <w:fldChar w:fldCharType="end"/>
        </w:r>
      </w:hyperlink>
    </w:p>
    <w:p w14:paraId="7081DDEE" w14:textId="77777777" w:rsidR="00E22400" w:rsidRDefault="00113462">
      <w:pPr>
        <w:pStyle w:val="TableofFigures"/>
        <w:tabs>
          <w:tab w:val="right" w:leader="dot" w:pos="9016"/>
        </w:tabs>
        <w:rPr>
          <w:rFonts w:eastAsiaTheme="minorEastAsia" w:cstheme="minorBidi"/>
          <w:noProof/>
          <w:sz w:val="22"/>
          <w:szCs w:val="22"/>
        </w:rPr>
      </w:pPr>
      <w:hyperlink w:anchor="_Toc419004103" w:history="1">
        <w:r w:rsidR="00E22400" w:rsidRPr="00EC65E3">
          <w:rPr>
            <w:rStyle w:val="Hyperlink"/>
            <w:noProof/>
          </w:rPr>
          <w:t>Figure 22 Functional Classification of MOHCC Expenditure in Shares and Levels, 2010–13</w:t>
        </w:r>
        <w:r w:rsidR="00E22400">
          <w:rPr>
            <w:noProof/>
            <w:webHidden/>
          </w:rPr>
          <w:tab/>
        </w:r>
        <w:r w:rsidR="00E22400">
          <w:rPr>
            <w:noProof/>
            <w:webHidden/>
          </w:rPr>
          <w:fldChar w:fldCharType="begin"/>
        </w:r>
        <w:r w:rsidR="00E22400">
          <w:rPr>
            <w:noProof/>
            <w:webHidden/>
          </w:rPr>
          <w:instrText xml:space="preserve"> PAGEREF _Toc419004103 \h </w:instrText>
        </w:r>
        <w:r w:rsidR="00E22400">
          <w:rPr>
            <w:noProof/>
            <w:webHidden/>
          </w:rPr>
        </w:r>
        <w:r w:rsidR="00E22400">
          <w:rPr>
            <w:noProof/>
            <w:webHidden/>
          </w:rPr>
          <w:fldChar w:fldCharType="separate"/>
        </w:r>
        <w:r w:rsidR="003732A2">
          <w:rPr>
            <w:noProof/>
            <w:webHidden/>
          </w:rPr>
          <w:t>27</w:t>
        </w:r>
        <w:r w:rsidR="00E22400">
          <w:rPr>
            <w:noProof/>
            <w:webHidden/>
          </w:rPr>
          <w:fldChar w:fldCharType="end"/>
        </w:r>
      </w:hyperlink>
    </w:p>
    <w:p w14:paraId="412BE5BA" w14:textId="77777777" w:rsidR="00E22400" w:rsidRDefault="00113462">
      <w:pPr>
        <w:pStyle w:val="TableofFigures"/>
        <w:tabs>
          <w:tab w:val="right" w:leader="dot" w:pos="9016"/>
        </w:tabs>
        <w:rPr>
          <w:rFonts w:eastAsiaTheme="minorEastAsia" w:cstheme="minorBidi"/>
          <w:noProof/>
          <w:sz w:val="22"/>
          <w:szCs w:val="22"/>
        </w:rPr>
      </w:pPr>
      <w:hyperlink w:anchor="_Toc419004104" w:history="1">
        <w:r w:rsidR="00E22400" w:rsidRPr="00EC65E3">
          <w:rPr>
            <w:rStyle w:val="Hyperlink"/>
            <w:noProof/>
          </w:rPr>
          <w:t>Figure 23 Economic Classification of MOHCC Expenditure, 2010–13</w:t>
        </w:r>
        <w:r w:rsidR="00E22400">
          <w:rPr>
            <w:noProof/>
            <w:webHidden/>
          </w:rPr>
          <w:tab/>
        </w:r>
        <w:r w:rsidR="00E22400">
          <w:rPr>
            <w:noProof/>
            <w:webHidden/>
          </w:rPr>
          <w:fldChar w:fldCharType="begin"/>
        </w:r>
        <w:r w:rsidR="00E22400">
          <w:rPr>
            <w:noProof/>
            <w:webHidden/>
          </w:rPr>
          <w:instrText xml:space="preserve"> PAGEREF _Toc419004104 \h </w:instrText>
        </w:r>
        <w:r w:rsidR="00E22400">
          <w:rPr>
            <w:noProof/>
            <w:webHidden/>
          </w:rPr>
        </w:r>
        <w:r w:rsidR="00E22400">
          <w:rPr>
            <w:noProof/>
            <w:webHidden/>
          </w:rPr>
          <w:fldChar w:fldCharType="separate"/>
        </w:r>
        <w:r w:rsidR="003732A2">
          <w:rPr>
            <w:noProof/>
            <w:webHidden/>
          </w:rPr>
          <w:t>29</w:t>
        </w:r>
        <w:r w:rsidR="00E22400">
          <w:rPr>
            <w:noProof/>
            <w:webHidden/>
          </w:rPr>
          <w:fldChar w:fldCharType="end"/>
        </w:r>
      </w:hyperlink>
    </w:p>
    <w:p w14:paraId="4C18EA8F" w14:textId="77777777" w:rsidR="00E22400" w:rsidRDefault="00113462">
      <w:pPr>
        <w:pStyle w:val="TableofFigures"/>
        <w:tabs>
          <w:tab w:val="right" w:leader="dot" w:pos="9016"/>
        </w:tabs>
        <w:rPr>
          <w:rFonts w:eastAsiaTheme="minorEastAsia" w:cstheme="minorBidi"/>
          <w:noProof/>
          <w:sz w:val="22"/>
          <w:szCs w:val="22"/>
        </w:rPr>
      </w:pPr>
      <w:hyperlink w:anchor="_Toc419004105" w:history="1">
        <w:r w:rsidR="00E22400" w:rsidRPr="00EC65E3">
          <w:rPr>
            <w:rStyle w:val="Hyperlink"/>
            <w:noProof/>
          </w:rPr>
          <w:t>Figure 24 International Comparisons and Benchmarks for Share of Wages in GHE</w:t>
        </w:r>
        <w:r w:rsidR="00E22400">
          <w:rPr>
            <w:noProof/>
            <w:webHidden/>
          </w:rPr>
          <w:tab/>
        </w:r>
        <w:r w:rsidR="00E22400">
          <w:rPr>
            <w:noProof/>
            <w:webHidden/>
          </w:rPr>
          <w:fldChar w:fldCharType="begin"/>
        </w:r>
        <w:r w:rsidR="00E22400">
          <w:rPr>
            <w:noProof/>
            <w:webHidden/>
          </w:rPr>
          <w:instrText xml:space="preserve"> PAGEREF _Toc419004105 \h </w:instrText>
        </w:r>
        <w:r w:rsidR="00E22400">
          <w:rPr>
            <w:noProof/>
            <w:webHidden/>
          </w:rPr>
        </w:r>
        <w:r w:rsidR="00E22400">
          <w:rPr>
            <w:noProof/>
            <w:webHidden/>
          </w:rPr>
          <w:fldChar w:fldCharType="separate"/>
        </w:r>
        <w:r w:rsidR="003732A2">
          <w:rPr>
            <w:noProof/>
            <w:webHidden/>
          </w:rPr>
          <w:t>30</w:t>
        </w:r>
        <w:r w:rsidR="00E22400">
          <w:rPr>
            <w:noProof/>
            <w:webHidden/>
          </w:rPr>
          <w:fldChar w:fldCharType="end"/>
        </w:r>
      </w:hyperlink>
    </w:p>
    <w:p w14:paraId="72EB4F8E" w14:textId="77777777" w:rsidR="00E22400" w:rsidRDefault="00113462">
      <w:pPr>
        <w:pStyle w:val="TableofFigures"/>
        <w:tabs>
          <w:tab w:val="right" w:leader="dot" w:pos="9016"/>
        </w:tabs>
        <w:rPr>
          <w:rFonts w:eastAsiaTheme="minorEastAsia" w:cstheme="minorBidi"/>
          <w:noProof/>
          <w:sz w:val="22"/>
          <w:szCs w:val="22"/>
        </w:rPr>
      </w:pPr>
      <w:hyperlink w:anchor="_Toc419004106" w:history="1">
        <w:r w:rsidR="00E22400" w:rsidRPr="00EC65E3">
          <w:rPr>
            <w:rStyle w:val="Hyperlink"/>
            <w:noProof/>
          </w:rPr>
          <w:t>Figure 25 Government Spending on Hospitals and Health Centers, 2009–13</w:t>
        </w:r>
        <w:r w:rsidR="00E22400">
          <w:rPr>
            <w:noProof/>
            <w:webHidden/>
          </w:rPr>
          <w:tab/>
        </w:r>
        <w:r w:rsidR="00E22400">
          <w:rPr>
            <w:noProof/>
            <w:webHidden/>
          </w:rPr>
          <w:fldChar w:fldCharType="begin"/>
        </w:r>
        <w:r w:rsidR="00E22400">
          <w:rPr>
            <w:noProof/>
            <w:webHidden/>
          </w:rPr>
          <w:instrText xml:space="preserve"> PAGEREF _Toc419004106 \h </w:instrText>
        </w:r>
        <w:r w:rsidR="00E22400">
          <w:rPr>
            <w:noProof/>
            <w:webHidden/>
          </w:rPr>
        </w:r>
        <w:r w:rsidR="00E22400">
          <w:rPr>
            <w:noProof/>
            <w:webHidden/>
          </w:rPr>
          <w:fldChar w:fldCharType="separate"/>
        </w:r>
        <w:r w:rsidR="003732A2">
          <w:rPr>
            <w:noProof/>
            <w:webHidden/>
          </w:rPr>
          <w:t>30</w:t>
        </w:r>
        <w:r w:rsidR="00E22400">
          <w:rPr>
            <w:noProof/>
            <w:webHidden/>
          </w:rPr>
          <w:fldChar w:fldCharType="end"/>
        </w:r>
      </w:hyperlink>
    </w:p>
    <w:p w14:paraId="4857F219" w14:textId="77777777" w:rsidR="00E22400" w:rsidRDefault="00113462">
      <w:pPr>
        <w:pStyle w:val="TableofFigures"/>
        <w:tabs>
          <w:tab w:val="right" w:leader="dot" w:pos="9016"/>
        </w:tabs>
        <w:rPr>
          <w:rFonts w:eastAsiaTheme="minorEastAsia" w:cstheme="minorBidi"/>
          <w:noProof/>
          <w:sz w:val="22"/>
          <w:szCs w:val="22"/>
        </w:rPr>
      </w:pPr>
      <w:hyperlink w:anchor="_Toc419004107" w:history="1">
        <w:r w:rsidR="00E22400" w:rsidRPr="00EC65E3">
          <w:rPr>
            <w:rStyle w:val="Hyperlink"/>
            <w:noProof/>
          </w:rPr>
          <w:t>Figure 26 Share of Sources of Revenue in Hospitals and Health Centers (%)</w:t>
        </w:r>
        <w:r w:rsidR="00E22400">
          <w:rPr>
            <w:noProof/>
            <w:webHidden/>
          </w:rPr>
          <w:tab/>
        </w:r>
        <w:r w:rsidR="00E22400">
          <w:rPr>
            <w:noProof/>
            <w:webHidden/>
          </w:rPr>
          <w:fldChar w:fldCharType="begin"/>
        </w:r>
        <w:r w:rsidR="00E22400">
          <w:rPr>
            <w:noProof/>
            <w:webHidden/>
          </w:rPr>
          <w:instrText xml:space="preserve"> PAGEREF _Toc419004107 \h </w:instrText>
        </w:r>
        <w:r w:rsidR="00E22400">
          <w:rPr>
            <w:noProof/>
            <w:webHidden/>
          </w:rPr>
        </w:r>
        <w:r w:rsidR="00E22400">
          <w:rPr>
            <w:noProof/>
            <w:webHidden/>
          </w:rPr>
          <w:fldChar w:fldCharType="separate"/>
        </w:r>
        <w:r w:rsidR="003732A2">
          <w:rPr>
            <w:noProof/>
            <w:webHidden/>
          </w:rPr>
          <w:t>31</w:t>
        </w:r>
        <w:r w:rsidR="00E22400">
          <w:rPr>
            <w:noProof/>
            <w:webHidden/>
          </w:rPr>
          <w:fldChar w:fldCharType="end"/>
        </w:r>
      </w:hyperlink>
    </w:p>
    <w:p w14:paraId="70EF7821" w14:textId="77777777" w:rsidR="00E22400" w:rsidRDefault="00113462">
      <w:pPr>
        <w:pStyle w:val="TableofFigures"/>
        <w:tabs>
          <w:tab w:val="right" w:leader="dot" w:pos="9016"/>
        </w:tabs>
        <w:rPr>
          <w:rFonts w:eastAsiaTheme="minorEastAsia" w:cstheme="minorBidi"/>
          <w:noProof/>
          <w:sz w:val="22"/>
          <w:szCs w:val="22"/>
        </w:rPr>
      </w:pPr>
      <w:hyperlink w:anchor="_Toc419004108" w:history="1">
        <w:r w:rsidR="00E22400" w:rsidRPr="00EC65E3">
          <w:rPr>
            <w:rStyle w:val="Hyperlink"/>
            <w:noProof/>
          </w:rPr>
          <w:t>Figure 27 MOHCC per Capita Transfers to Hospitals and Health Centers versus Poverty by Province</w:t>
        </w:r>
        <w:r w:rsidR="00E22400">
          <w:rPr>
            <w:noProof/>
            <w:webHidden/>
          </w:rPr>
          <w:tab/>
        </w:r>
        <w:r w:rsidR="00E22400">
          <w:rPr>
            <w:noProof/>
            <w:webHidden/>
          </w:rPr>
          <w:fldChar w:fldCharType="begin"/>
        </w:r>
        <w:r w:rsidR="00E22400">
          <w:rPr>
            <w:noProof/>
            <w:webHidden/>
          </w:rPr>
          <w:instrText xml:space="preserve"> PAGEREF _Toc419004108 \h </w:instrText>
        </w:r>
        <w:r w:rsidR="00E22400">
          <w:rPr>
            <w:noProof/>
            <w:webHidden/>
          </w:rPr>
        </w:r>
        <w:r w:rsidR="00E22400">
          <w:rPr>
            <w:noProof/>
            <w:webHidden/>
          </w:rPr>
          <w:fldChar w:fldCharType="separate"/>
        </w:r>
        <w:r w:rsidR="003732A2">
          <w:rPr>
            <w:noProof/>
            <w:webHidden/>
          </w:rPr>
          <w:t>32</w:t>
        </w:r>
        <w:r w:rsidR="00E22400">
          <w:rPr>
            <w:noProof/>
            <w:webHidden/>
          </w:rPr>
          <w:fldChar w:fldCharType="end"/>
        </w:r>
      </w:hyperlink>
    </w:p>
    <w:p w14:paraId="2DE07C08" w14:textId="77777777" w:rsidR="00E22400" w:rsidRDefault="00113462">
      <w:pPr>
        <w:pStyle w:val="TableofFigures"/>
        <w:tabs>
          <w:tab w:val="right" w:leader="dot" w:pos="9016"/>
        </w:tabs>
        <w:rPr>
          <w:rFonts w:eastAsiaTheme="minorEastAsia" w:cstheme="minorBidi"/>
          <w:noProof/>
          <w:sz w:val="22"/>
          <w:szCs w:val="22"/>
        </w:rPr>
      </w:pPr>
      <w:hyperlink w:anchor="_Toc419004109" w:history="1">
        <w:r w:rsidR="00E22400" w:rsidRPr="00EC65E3">
          <w:rPr>
            <w:rStyle w:val="Hyperlink"/>
            <w:noProof/>
          </w:rPr>
          <w:t>Figure 28 Total and Composition of NAC Expenditure, 2009–13 (constant US$ million)</w:t>
        </w:r>
        <w:r w:rsidR="00E22400">
          <w:rPr>
            <w:noProof/>
            <w:webHidden/>
          </w:rPr>
          <w:tab/>
        </w:r>
        <w:r w:rsidR="00E22400">
          <w:rPr>
            <w:noProof/>
            <w:webHidden/>
          </w:rPr>
          <w:fldChar w:fldCharType="begin"/>
        </w:r>
        <w:r w:rsidR="00E22400">
          <w:rPr>
            <w:noProof/>
            <w:webHidden/>
          </w:rPr>
          <w:instrText xml:space="preserve"> PAGEREF _Toc419004109 \h </w:instrText>
        </w:r>
        <w:r w:rsidR="00E22400">
          <w:rPr>
            <w:noProof/>
            <w:webHidden/>
          </w:rPr>
        </w:r>
        <w:r w:rsidR="00E22400">
          <w:rPr>
            <w:noProof/>
            <w:webHidden/>
          </w:rPr>
          <w:fldChar w:fldCharType="separate"/>
        </w:r>
        <w:r w:rsidR="003732A2">
          <w:rPr>
            <w:noProof/>
            <w:webHidden/>
          </w:rPr>
          <w:t>33</w:t>
        </w:r>
        <w:r w:rsidR="00E22400">
          <w:rPr>
            <w:noProof/>
            <w:webHidden/>
          </w:rPr>
          <w:fldChar w:fldCharType="end"/>
        </w:r>
      </w:hyperlink>
    </w:p>
    <w:p w14:paraId="18030411" w14:textId="77777777" w:rsidR="00E22400" w:rsidRDefault="00113462">
      <w:pPr>
        <w:pStyle w:val="TableofFigures"/>
        <w:tabs>
          <w:tab w:val="right" w:leader="dot" w:pos="9016"/>
        </w:tabs>
        <w:rPr>
          <w:rFonts w:eastAsiaTheme="minorEastAsia" w:cstheme="minorBidi"/>
          <w:noProof/>
          <w:sz w:val="22"/>
          <w:szCs w:val="22"/>
        </w:rPr>
      </w:pPr>
      <w:hyperlink w:anchor="_Toc419004110" w:history="1">
        <w:r w:rsidR="00E22400" w:rsidRPr="00EC65E3">
          <w:rPr>
            <w:rStyle w:val="Hyperlink"/>
            <w:noProof/>
          </w:rPr>
          <w:t>Figure 29 Activity Areas within NAC Programs and Interventions</w:t>
        </w:r>
        <w:r w:rsidR="00E22400">
          <w:rPr>
            <w:noProof/>
            <w:webHidden/>
          </w:rPr>
          <w:tab/>
        </w:r>
        <w:r w:rsidR="00E22400">
          <w:rPr>
            <w:noProof/>
            <w:webHidden/>
          </w:rPr>
          <w:fldChar w:fldCharType="begin"/>
        </w:r>
        <w:r w:rsidR="00E22400">
          <w:rPr>
            <w:noProof/>
            <w:webHidden/>
          </w:rPr>
          <w:instrText xml:space="preserve"> PAGEREF _Toc419004110 \h </w:instrText>
        </w:r>
        <w:r w:rsidR="00E22400">
          <w:rPr>
            <w:noProof/>
            <w:webHidden/>
          </w:rPr>
        </w:r>
        <w:r w:rsidR="00E22400">
          <w:rPr>
            <w:noProof/>
            <w:webHidden/>
          </w:rPr>
          <w:fldChar w:fldCharType="separate"/>
        </w:r>
        <w:r w:rsidR="003732A2">
          <w:rPr>
            <w:noProof/>
            <w:webHidden/>
          </w:rPr>
          <w:t>33</w:t>
        </w:r>
        <w:r w:rsidR="00E22400">
          <w:rPr>
            <w:noProof/>
            <w:webHidden/>
          </w:rPr>
          <w:fldChar w:fldCharType="end"/>
        </w:r>
      </w:hyperlink>
    </w:p>
    <w:p w14:paraId="46BFCCC1" w14:textId="77777777" w:rsidR="00E22400" w:rsidRDefault="00113462">
      <w:pPr>
        <w:pStyle w:val="TableofFigures"/>
        <w:tabs>
          <w:tab w:val="right" w:leader="dot" w:pos="9016"/>
        </w:tabs>
        <w:rPr>
          <w:rFonts w:eastAsiaTheme="minorEastAsia" w:cstheme="minorBidi"/>
          <w:noProof/>
          <w:sz w:val="22"/>
          <w:szCs w:val="22"/>
        </w:rPr>
      </w:pPr>
      <w:hyperlink w:anchor="_Toc419004111" w:history="1">
        <w:r w:rsidR="00E22400" w:rsidRPr="00EC65E3">
          <w:rPr>
            <w:rStyle w:val="Hyperlink"/>
            <w:noProof/>
          </w:rPr>
          <w:t>Figure 30 ODA for Health and its Share of Total ODA, 2002–12</w:t>
        </w:r>
        <w:r w:rsidR="00E22400">
          <w:rPr>
            <w:noProof/>
            <w:webHidden/>
          </w:rPr>
          <w:tab/>
        </w:r>
        <w:r w:rsidR="00E22400">
          <w:rPr>
            <w:noProof/>
            <w:webHidden/>
          </w:rPr>
          <w:fldChar w:fldCharType="begin"/>
        </w:r>
        <w:r w:rsidR="00E22400">
          <w:rPr>
            <w:noProof/>
            <w:webHidden/>
          </w:rPr>
          <w:instrText xml:space="preserve"> PAGEREF _Toc419004111 \h </w:instrText>
        </w:r>
        <w:r w:rsidR="00E22400">
          <w:rPr>
            <w:noProof/>
            <w:webHidden/>
          </w:rPr>
        </w:r>
        <w:r w:rsidR="00E22400">
          <w:rPr>
            <w:noProof/>
            <w:webHidden/>
          </w:rPr>
          <w:fldChar w:fldCharType="separate"/>
        </w:r>
        <w:r w:rsidR="003732A2">
          <w:rPr>
            <w:noProof/>
            <w:webHidden/>
          </w:rPr>
          <w:t>34</w:t>
        </w:r>
        <w:r w:rsidR="00E22400">
          <w:rPr>
            <w:noProof/>
            <w:webHidden/>
          </w:rPr>
          <w:fldChar w:fldCharType="end"/>
        </w:r>
      </w:hyperlink>
    </w:p>
    <w:p w14:paraId="471ED404" w14:textId="77777777" w:rsidR="00E22400" w:rsidRDefault="00113462">
      <w:pPr>
        <w:pStyle w:val="TableofFigures"/>
        <w:tabs>
          <w:tab w:val="right" w:leader="dot" w:pos="9016"/>
        </w:tabs>
        <w:rPr>
          <w:rFonts w:eastAsiaTheme="minorEastAsia" w:cstheme="minorBidi"/>
          <w:noProof/>
          <w:sz w:val="22"/>
          <w:szCs w:val="22"/>
        </w:rPr>
      </w:pPr>
      <w:hyperlink w:anchor="_Toc419004112" w:history="1">
        <w:r w:rsidR="00E22400" w:rsidRPr="00EC65E3">
          <w:rPr>
            <w:rStyle w:val="Hyperlink"/>
            <w:noProof/>
          </w:rPr>
          <w:t>Figure 31 Development Assistance for Health Per Capita, Selected African Countries (constant 2011 US$)</w:t>
        </w:r>
        <w:r w:rsidR="00E22400">
          <w:rPr>
            <w:noProof/>
            <w:webHidden/>
          </w:rPr>
          <w:tab/>
        </w:r>
        <w:r w:rsidR="00E22400">
          <w:rPr>
            <w:noProof/>
            <w:webHidden/>
          </w:rPr>
          <w:fldChar w:fldCharType="begin"/>
        </w:r>
        <w:r w:rsidR="00E22400">
          <w:rPr>
            <w:noProof/>
            <w:webHidden/>
          </w:rPr>
          <w:instrText xml:space="preserve"> PAGEREF _Toc419004112 \h </w:instrText>
        </w:r>
        <w:r w:rsidR="00E22400">
          <w:rPr>
            <w:noProof/>
            <w:webHidden/>
          </w:rPr>
        </w:r>
        <w:r w:rsidR="00E22400">
          <w:rPr>
            <w:noProof/>
            <w:webHidden/>
          </w:rPr>
          <w:fldChar w:fldCharType="separate"/>
        </w:r>
        <w:r w:rsidR="003732A2">
          <w:rPr>
            <w:noProof/>
            <w:webHidden/>
          </w:rPr>
          <w:t>35</w:t>
        </w:r>
        <w:r w:rsidR="00E22400">
          <w:rPr>
            <w:noProof/>
            <w:webHidden/>
          </w:rPr>
          <w:fldChar w:fldCharType="end"/>
        </w:r>
      </w:hyperlink>
    </w:p>
    <w:p w14:paraId="04B8775F" w14:textId="77777777" w:rsidR="00E22400" w:rsidRDefault="00113462">
      <w:pPr>
        <w:pStyle w:val="TableofFigures"/>
        <w:tabs>
          <w:tab w:val="right" w:leader="dot" w:pos="9016"/>
        </w:tabs>
        <w:rPr>
          <w:rFonts w:eastAsiaTheme="minorEastAsia" w:cstheme="minorBidi"/>
          <w:noProof/>
          <w:sz w:val="22"/>
          <w:szCs w:val="22"/>
        </w:rPr>
      </w:pPr>
      <w:hyperlink w:anchor="_Toc419004113" w:history="1">
        <w:r w:rsidR="00E22400" w:rsidRPr="00EC65E3">
          <w:rPr>
            <w:rStyle w:val="Hyperlink"/>
            <w:noProof/>
          </w:rPr>
          <w:t>Figure 32 Shares of ODA Disbursement for Health by Purpose, 2002–12</w:t>
        </w:r>
        <w:r w:rsidR="00E22400">
          <w:rPr>
            <w:noProof/>
            <w:webHidden/>
          </w:rPr>
          <w:tab/>
        </w:r>
        <w:r w:rsidR="00E22400">
          <w:rPr>
            <w:noProof/>
            <w:webHidden/>
          </w:rPr>
          <w:fldChar w:fldCharType="begin"/>
        </w:r>
        <w:r w:rsidR="00E22400">
          <w:rPr>
            <w:noProof/>
            <w:webHidden/>
          </w:rPr>
          <w:instrText xml:space="preserve"> PAGEREF _Toc419004113 \h </w:instrText>
        </w:r>
        <w:r w:rsidR="00E22400">
          <w:rPr>
            <w:noProof/>
            <w:webHidden/>
          </w:rPr>
        </w:r>
        <w:r w:rsidR="00E22400">
          <w:rPr>
            <w:noProof/>
            <w:webHidden/>
          </w:rPr>
          <w:fldChar w:fldCharType="separate"/>
        </w:r>
        <w:r w:rsidR="003732A2">
          <w:rPr>
            <w:noProof/>
            <w:webHidden/>
          </w:rPr>
          <w:t>36</w:t>
        </w:r>
        <w:r w:rsidR="00E22400">
          <w:rPr>
            <w:noProof/>
            <w:webHidden/>
          </w:rPr>
          <w:fldChar w:fldCharType="end"/>
        </w:r>
      </w:hyperlink>
    </w:p>
    <w:p w14:paraId="33C829CA" w14:textId="77777777" w:rsidR="00E22400" w:rsidRDefault="00113462">
      <w:pPr>
        <w:pStyle w:val="TableofFigures"/>
        <w:tabs>
          <w:tab w:val="right" w:leader="dot" w:pos="9016"/>
        </w:tabs>
        <w:rPr>
          <w:rFonts w:eastAsiaTheme="minorEastAsia" w:cstheme="minorBidi"/>
          <w:noProof/>
          <w:sz w:val="22"/>
          <w:szCs w:val="22"/>
        </w:rPr>
      </w:pPr>
      <w:hyperlink w:anchor="_Toc419004114" w:history="1">
        <w:r w:rsidR="00E22400" w:rsidRPr="00EC65E3">
          <w:rPr>
            <w:rStyle w:val="Hyperlink"/>
            <w:noProof/>
          </w:rPr>
          <w:t>Figure 33 Yearly Differences in Receipt of Urine Test During ANC Care</w:t>
        </w:r>
        <w:r w:rsidR="00E22400">
          <w:rPr>
            <w:noProof/>
            <w:webHidden/>
          </w:rPr>
          <w:tab/>
        </w:r>
        <w:r w:rsidR="00E22400">
          <w:rPr>
            <w:noProof/>
            <w:webHidden/>
          </w:rPr>
          <w:fldChar w:fldCharType="begin"/>
        </w:r>
        <w:r w:rsidR="00E22400">
          <w:rPr>
            <w:noProof/>
            <w:webHidden/>
          </w:rPr>
          <w:instrText xml:space="preserve"> PAGEREF _Toc419004114 \h </w:instrText>
        </w:r>
        <w:r w:rsidR="00E22400">
          <w:rPr>
            <w:noProof/>
            <w:webHidden/>
          </w:rPr>
        </w:r>
        <w:r w:rsidR="00E22400">
          <w:rPr>
            <w:noProof/>
            <w:webHidden/>
          </w:rPr>
          <w:fldChar w:fldCharType="separate"/>
        </w:r>
        <w:r w:rsidR="003732A2">
          <w:rPr>
            <w:noProof/>
            <w:webHidden/>
          </w:rPr>
          <w:t>38</w:t>
        </w:r>
        <w:r w:rsidR="00E22400">
          <w:rPr>
            <w:noProof/>
            <w:webHidden/>
          </w:rPr>
          <w:fldChar w:fldCharType="end"/>
        </w:r>
      </w:hyperlink>
    </w:p>
    <w:p w14:paraId="20F7FFA7" w14:textId="77777777" w:rsidR="00E22400" w:rsidRDefault="00113462">
      <w:pPr>
        <w:pStyle w:val="TableofFigures"/>
        <w:tabs>
          <w:tab w:val="right" w:leader="dot" w:pos="9016"/>
        </w:tabs>
        <w:rPr>
          <w:rFonts w:eastAsiaTheme="minorEastAsia" w:cstheme="minorBidi"/>
          <w:noProof/>
          <w:sz w:val="22"/>
          <w:szCs w:val="22"/>
        </w:rPr>
      </w:pPr>
      <w:hyperlink w:anchor="_Toc419004115" w:history="1">
        <w:r w:rsidR="00E22400" w:rsidRPr="00EC65E3">
          <w:rPr>
            <w:rStyle w:val="Hyperlink"/>
            <w:noProof/>
          </w:rPr>
          <w:t>Figure 34 Incidence of Catastrophic Health Expenditure (nonfood)</w:t>
        </w:r>
        <w:r w:rsidR="00E22400">
          <w:rPr>
            <w:noProof/>
            <w:webHidden/>
          </w:rPr>
          <w:tab/>
        </w:r>
        <w:r w:rsidR="00E22400">
          <w:rPr>
            <w:noProof/>
            <w:webHidden/>
          </w:rPr>
          <w:fldChar w:fldCharType="begin"/>
        </w:r>
        <w:r w:rsidR="00E22400">
          <w:rPr>
            <w:noProof/>
            <w:webHidden/>
          </w:rPr>
          <w:instrText xml:space="preserve"> PAGEREF _Toc419004115 \h </w:instrText>
        </w:r>
        <w:r w:rsidR="00E22400">
          <w:rPr>
            <w:noProof/>
            <w:webHidden/>
          </w:rPr>
        </w:r>
        <w:r w:rsidR="00E22400">
          <w:rPr>
            <w:noProof/>
            <w:webHidden/>
          </w:rPr>
          <w:fldChar w:fldCharType="separate"/>
        </w:r>
        <w:r w:rsidR="003732A2">
          <w:rPr>
            <w:noProof/>
            <w:webHidden/>
          </w:rPr>
          <w:t>41</w:t>
        </w:r>
        <w:r w:rsidR="00E22400">
          <w:rPr>
            <w:noProof/>
            <w:webHidden/>
          </w:rPr>
          <w:fldChar w:fldCharType="end"/>
        </w:r>
      </w:hyperlink>
    </w:p>
    <w:p w14:paraId="65177844" w14:textId="77777777" w:rsidR="00E22400" w:rsidRDefault="00113462">
      <w:pPr>
        <w:pStyle w:val="TableofFigures"/>
        <w:tabs>
          <w:tab w:val="right" w:leader="dot" w:pos="9016"/>
        </w:tabs>
        <w:rPr>
          <w:rFonts w:eastAsiaTheme="minorEastAsia" w:cstheme="minorBidi"/>
          <w:noProof/>
          <w:sz w:val="22"/>
          <w:szCs w:val="22"/>
        </w:rPr>
      </w:pPr>
      <w:hyperlink w:anchor="_Toc419004116" w:history="1">
        <w:r w:rsidR="00E22400" w:rsidRPr="00EC65E3">
          <w:rPr>
            <w:rStyle w:val="Hyperlink"/>
            <w:noProof/>
          </w:rPr>
          <w:t>Figure 35 Average User Fees and Extreme Poverty Prevalence by Province</w:t>
        </w:r>
        <w:r w:rsidR="00E22400">
          <w:rPr>
            <w:noProof/>
            <w:webHidden/>
          </w:rPr>
          <w:tab/>
        </w:r>
        <w:r w:rsidR="00E22400">
          <w:rPr>
            <w:noProof/>
            <w:webHidden/>
          </w:rPr>
          <w:fldChar w:fldCharType="begin"/>
        </w:r>
        <w:r w:rsidR="00E22400">
          <w:rPr>
            <w:noProof/>
            <w:webHidden/>
          </w:rPr>
          <w:instrText xml:space="preserve"> PAGEREF _Toc419004116 \h </w:instrText>
        </w:r>
        <w:r w:rsidR="00E22400">
          <w:rPr>
            <w:noProof/>
            <w:webHidden/>
          </w:rPr>
        </w:r>
        <w:r w:rsidR="00E22400">
          <w:rPr>
            <w:noProof/>
            <w:webHidden/>
          </w:rPr>
          <w:fldChar w:fldCharType="separate"/>
        </w:r>
        <w:r w:rsidR="003732A2">
          <w:rPr>
            <w:noProof/>
            <w:webHidden/>
          </w:rPr>
          <w:t>42</w:t>
        </w:r>
        <w:r w:rsidR="00E22400">
          <w:rPr>
            <w:noProof/>
            <w:webHidden/>
          </w:rPr>
          <w:fldChar w:fldCharType="end"/>
        </w:r>
      </w:hyperlink>
    </w:p>
    <w:p w14:paraId="506DB74C" w14:textId="77777777" w:rsidR="00E22400" w:rsidRDefault="00113462">
      <w:pPr>
        <w:pStyle w:val="TableofFigures"/>
        <w:tabs>
          <w:tab w:val="right" w:leader="dot" w:pos="9016"/>
        </w:tabs>
        <w:rPr>
          <w:rFonts w:eastAsiaTheme="minorEastAsia" w:cstheme="minorBidi"/>
          <w:noProof/>
          <w:sz w:val="22"/>
          <w:szCs w:val="22"/>
        </w:rPr>
      </w:pPr>
      <w:hyperlink w:anchor="_Toc419004117" w:history="1">
        <w:r w:rsidR="00E22400" w:rsidRPr="00EC65E3">
          <w:rPr>
            <w:rStyle w:val="Hyperlink"/>
            <w:noProof/>
          </w:rPr>
          <w:t>Figure 36 Current Efficiency of Government Expenditures on Health, 2010–12 (with comparisons to 2000–01)</w:t>
        </w:r>
        <w:r w:rsidR="00E22400">
          <w:rPr>
            <w:noProof/>
            <w:webHidden/>
          </w:rPr>
          <w:tab/>
        </w:r>
        <w:r w:rsidR="00E22400">
          <w:rPr>
            <w:noProof/>
            <w:webHidden/>
          </w:rPr>
          <w:fldChar w:fldCharType="begin"/>
        </w:r>
        <w:r w:rsidR="00E22400">
          <w:rPr>
            <w:noProof/>
            <w:webHidden/>
          </w:rPr>
          <w:instrText xml:space="preserve"> PAGEREF _Toc419004117 \h </w:instrText>
        </w:r>
        <w:r w:rsidR="00E22400">
          <w:rPr>
            <w:noProof/>
            <w:webHidden/>
          </w:rPr>
        </w:r>
        <w:r w:rsidR="00E22400">
          <w:rPr>
            <w:noProof/>
            <w:webHidden/>
          </w:rPr>
          <w:fldChar w:fldCharType="separate"/>
        </w:r>
        <w:r w:rsidR="003732A2">
          <w:rPr>
            <w:noProof/>
            <w:webHidden/>
          </w:rPr>
          <w:t>45</w:t>
        </w:r>
        <w:r w:rsidR="00E22400">
          <w:rPr>
            <w:noProof/>
            <w:webHidden/>
          </w:rPr>
          <w:fldChar w:fldCharType="end"/>
        </w:r>
      </w:hyperlink>
    </w:p>
    <w:p w14:paraId="1C1DBC59" w14:textId="77777777" w:rsidR="00E22400" w:rsidRDefault="00113462">
      <w:pPr>
        <w:pStyle w:val="TableofFigures"/>
        <w:tabs>
          <w:tab w:val="right" w:leader="dot" w:pos="9016"/>
        </w:tabs>
        <w:rPr>
          <w:rFonts w:eastAsiaTheme="minorEastAsia" w:cstheme="minorBidi"/>
          <w:noProof/>
          <w:sz w:val="22"/>
          <w:szCs w:val="22"/>
        </w:rPr>
      </w:pPr>
      <w:hyperlink w:anchor="_Toc419004118" w:history="1">
        <w:r w:rsidR="00E22400" w:rsidRPr="00EC65E3">
          <w:rPr>
            <w:rStyle w:val="Hyperlink"/>
            <w:noProof/>
          </w:rPr>
          <w:t>Figure 37 Government Revenues, 2007–14 (US$ million)</w:t>
        </w:r>
        <w:r w:rsidR="00E22400">
          <w:rPr>
            <w:noProof/>
            <w:webHidden/>
          </w:rPr>
          <w:tab/>
        </w:r>
        <w:r w:rsidR="00E22400">
          <w:rPr>
            <w:noProof/>
            <w:webHidden/>
          </w:rPr>
          <w:fldChar w:fldCharType="begin"/>
        </w:r>
        <w:r w:rsidR="00E22400">
          <w:rPr>
            <w:noProof/>
            <w:webHidden/>
          </w:rPr>
          <w:instrText xml:space="preserve"> PAGEREF _Toc419004118 \h </w:instrText>
        </w:r>
        <w:r w:rsidR="00E22400">
          <w:rPr>
            <w:noProof/>
            <w:webHidden/>
          </w:rPr>
        </w:r>
        <w:r w:rsidR="00E22400">
          <w:rPr>
            <w:noProof/>
            <w:webHidden/>
          </w:rPr>
          <w:fldChar w:fldCharType="separate"/>
        </w:r>
        <w:r w:rsidR="003732A2">
          <w:rPr>
            <w:noProof/>
            <w:webHidden/>
          </w:rPr>
          <w:t>48</w:t>
        </w:r>
        <w:r w:rsidR="00E22400">
          <w:rPr>
            <w:noProof/>
            <w:webHidden/>
          </w:rPr>
          <w:fldChar w:fldCharType="end"/>
        </w:r>
      </w:hyperlink>
    </w:p>
    <w:p w14:paraId="3BCF5EBA" w14:textId="77777777" w:rsidR="00E22400" w:rsidRDefault="00113462">
      <w:pPr>
        <w:pStyle w:val="TableofFigures"/>
        <w:tabs>
          <w:tab w:val="right" w:leader="dot" w:pos="9016"/>
        </w:tabs>
        <w:rPr>
          <w:rFonts w:eastAsiaTheme="minorEastAsia" w:cstheme="minorBidi"/>
          <w:noProof/>
          <w:sz w:val="22"/>
          <w:szCs w:val="22"/>
        </w:rPr>
      </w:pPr>
      <w:hyperlink w:anchor="_Toc419004119" w:history="1">
        <w:r w:rsidR="00E22400" w:rsidRPr="00EC65E3">
          <w:rPr>
            <w:rStyle w:val="Hyperlink"/>
            <w:noProof/>
          </w:rPr>
          <w:t>Figure 38 Spending on Social Sectors, 2009–13</w:t>
        </w:r>
        <w:r w:rsidR="00E22400">
          <w:rPr>
            <w:noProof/>
            <w:webHidden/>
          </w:rPr>
          <w:tab/>
        </w:r>
        <w:r w:rsidR="00E22400">
          <w:rPr>
            <w:noProof/>
            <w:webHidden/>
          </w:rPr>
          <w:fldChar w:fldCharType="begin"/>
        </w:r>
        <w:r w:rsidR="00E22400">
          <w:rPr>
            <w:noProof/>
            <w:webHidden/>
          </w:rPr>
          <w:instrText xml:space="preserve"> PAGEREF _Toc419004119 \h </w:instrText>
        </w:r>
        <w:r w:rsidR="00E22400">
          <w:rPr>
            <w:noProof/>
            <w:webHidden/>
          </w:rPr>
        </w:r>
        <w:r w:rsidR="00E22400">
          <w:rPr>
            <w:noProof/>
            <w:webHidden/>
          </w:rPr>
          <w:fldChar w:fldCharType="separate"/>
        </w:r>
        <w:r w:rsidR="003732A2">
          <w:rPr>
            <w:noProof/>
            <w:webHidden/>
          </w:rPr>
          <w:t>50</w:t>
        </w:r>
        <w:r w:rsidR="00E22400">
          <w:rPr>
            <w:noProof/>
            <w:webHidden/>
          </w:rPr>
          <w:fldChar w:fldCharType="end"/>
        </w:r>
      </w:hyperlink>
    </w:p>
    <w:p w14:paraId="1D71C87C" w14:textId="77777777" w:rsidR="00E22400" w:rsidRDefault="00113462">
      <w:pPr>
        <w:pStyle w:val="TableofFigures"/>
        <w:tabs>
          <w:tab w:val="right" w:leader="dot" w:pos="9016"/>
        </w:tabs>
        <w:rPr>
          <w:rFonts w:eastAsiaTheme="minorEastAsia" w:cstheme="minorBidi"/>
          <w:noProof/>
          <w:sz w:val="22"/>
          <w:szCs w:val="22"/>
        </w:rPr>
      </w:pPr>
      <w:hyperlink w:anchor="_Toc419004120" w:history="1">
        <w:r w:rsidR="00E22400" w:rsidRPr="00EC65E3">
          <w:rPr>
            <w:rStyle w:val="Hyperlink"/>
            <w:noProof/>
          </w:rPr>
          <w:t>Figure 39 Wages in Social Sectors, 2009–13</w:t>
        </w:r>
        <w:r w:rsidR="00E22400">
          <w:rPr>
            <w:noProof/>
            <w:webHidden/>
          </w:rPr>
          <w:tab/>
        </w:r>
        <w:r w:rsidR="00E22400">
          <w:rPr>
            <w:noProof/>
            <w:webHidden/>
          </w:rPr>
          <w:fldChar w:fldCharType="begin"/>
        </w:r>
        <w:r w:rsidR="00E22400">
          <w:rPr>
            <w:noProof/>
            <w:webHidden/>
          </w:rPr>
          <w:instrText xml:space="preserve"> PAGEREF _Toc419004120 \h </w:instrText>
        </w:r>
        <w:r w:rsidR="00E22400">
          <w:rPr>
            <w:noProof/>
            <w:webHidden/>
          </w:rPr>
        </w:r>
        <w:r w:rsidR="00E22400">
          <w:rPr>
            <w:noProof/>
            <w:webHidden/>
          </w:rPr>
          <w:fldChar w:fldCharType="separate"/>
        </w:r>
        <w:r w:rsidR="003732A2">
          <w:rPr>
            <w:noProof/>
            <w:webHidden/>
          </w:rPr>
          <w:t>50</w:t>
        </w:r>
        <w:r w:rsidR="00E22400">
          <w:rPr>
            <w:noProof/>
            <w:webHidden/>
          </w:rPr>
          <w:fldChar w:fldCharType="end"/>
        </w:r>
      </w:hyperlink>
    </w:p>
    <w:p w14:paraId="3124F864" w14:textId="77777777" w:rsidR="00E22400" w:rsidRDefault="00113462">
      <w:pPr>
        <w:pStyle w:val="TableofFigures"/>
        <w:tabs>
          <w:tab w:val="right" w:leader="dot" w:pos="9016"/>
        </w:tabs>
        <w:rPr>
          <w:rFonts w:eastAsiaTheme="minorEastAsia" w:cstheme="minorBidi"/>
          <w:noProof/>
          <w:sz w:val="22"/>
          <w:szCs w:val="22"/>
        </w:rPr>
      </w:pPr>
      <w:hyperlink w:anchor="_Toc419004121" w:history="1">
        <w:r w:rsidR="00E22400" w:rsidRPr="00EC65E3">
          <w:rPr>
            <w:rStyle w:val="Hyperlink"/>
            <w:noProof/>
          </w:rPr>
          <w:t>Figure 40 Total Revenue and Tax Revenue as a Share of GDP, 2008, 2010, and 2013</w:t>
        </w:r>
        <w:r w:rsidR="00E22400">
          <w:rPr>
            <w:noProof/>
            <w:webHidden/>
          </w:rPr>
          <w:tab/>
        </w:r>
        <w:r w:rsidR="00E22400">
          <w:rPr>
            <w:noProof/>
            <w:webHidden/>
          </w:rPr>
          <w:fldChar w:fldCharType="begin"/>
        </w:r>
        <w:r w:rsidR="00E22400">
          <w:rPr>
            <w:noProof/>
            <w:webHidden/>
          </w:rPr>
          <w:instrText xml:space="preserve"> PAGEREF _Toc419004121 \h </w:instrText>
        </w:r>
        <w:r w:rsidR="00E22400">
          <w:rPr>
            <w:noProof/>
            <w:webHidden/>
          </w:rPr>
        </w:r>
        <w:r w:rsidR="00E22400">
          <w:rPr>
            <w:noProof/>
            <w:webHidden/>
          </w:rPr>
          <w:fldChar w:fldCharType="separate"/>
        </w:r>
        <w:r w:rsidR="003732A2">
          <w:rPr>
            <w:noProof/>
            <w:webHidden/>
          </w:rPr>
          <w:t>51</w:t>
        </w:r>
        <w:r w:rsidR="00E22400">
          <w:rPr>
            <w:noProof/>
            <w:webHidden/>
          </w:rPr>
          <w:fldChar w:fldCharType="end"/>
        </w:r>
      </w:hyperlink>
    </w:p>
    <w:p w14:paraId="7259E8C5" w14:textId="77777777" w:rsidR="00E22400" w:rsidRDefault="00113462">
      <w:pPr>
        <w:pStyle w:val="TableofFigures"/>
        <w:tabs>
          <w:tab w:val="right" w:leader="dot" w:pos="9016"/>
        </w:tabs>
        <w:rPr>
          <w:rFonts w:eastAsiaTheme="minorEastAsia" w:cstheme="minorBidi"/>
          <w:noProof/>
          <w:sz w:val="22"/>
          <w:szCs w:val="22"/>
        </w:rPr>
      </w:pPr>
      <w:hyperlink w:anchor="_Toc419004122" w:history="1">
        <w:r w:rsidR="00E22400" w:rsidRPr="00EC65E3">
          <w:rPr>
            <w:rStyle w:val="Hyperlink"/>
            <w:noProof/>
          </w:rPr>
          <w:t>Figure 41 ODA in Sub-Saharan Africa, 2007–12</w:t>
        </w:r>
        <w:r w:rsidR="00E22400">
          <w:rPr>
            <w:noProof/>
            <w:webHidden/>
          </w:rPr>
          <w:tab/>
        </w:r>
        <w:r w:rsidR="00E22400">
          <w:rPr>
            <w:noProof/>
            <w:webHidden/>
          </w:rPr>
          <w:fldChar w:fldCharType="begin"/>
        </w:r>
        <w:r w:rsidR="00E22400">
          <w:rPr>
            <w:noProof/>
            <w:webHidden/>
          </w:rPr>
          <w:instrText xml:space="preserve"> PAGEREF _Toc419004122 \h </w:instrText>
        </w:r>
        <w:r w:rsidR="00E22400">
          <w:rPr>
            <w:noProof/>
            <w:webHidden/>
          </w:rPr>
        </w:r>
        <w:r w:rsidR="00E22400">
          <w:rPr>
            <w:noProof/>
            <w:webHidden/>
          </w:rPr>
          <w:fldChar w:fldCharType="separate"/>
        </w:r>
        <w:r w:rsidR="003732A2">
          <w:rPr>
            <w:noProof/>
            <w:webHidden/>
          </w:rPr>
          <w:t>54</w:t>
        </w:r>
        <w:r w:rsidR="00E22400">
          <w:rPr>
            <w:noProof/>
            <w:webHidden/>
          </w:rPr>
          <w:fldChar w:fldCharType="end"/>
        </w:r>
      </w:hyperlink>
    </w:p>
    <w:p w14:paraId="7DE8C60A" w14:textId="77777777" w:rsidR="00433A3C" w:rsidRPr="00C917E2" w:rsidRDefault="00C713A9" w:rsidP="00E73060">
      <w:pPr>
        <w:rPr>
          <w:lang w:eastAsia="ja-JP"/>
        </w:rPr>
      </w:pPr>
      <w:r w:rsidRPr="00C917E2">
        <w:rPr>
          <w:lang w:eastAsia="ja-JP"/>
        </w:rPr>
        <w:fldChar w:fldCharType="end"/>
      </w:r>
    </w:p>
    <w:p w14:paraId="66027314" w14:textId="77777777" w:rsidR="00C53C89" w:rsidRPr="00C917E2" w:rsidRDefault="00C53C89" w:rsidP="000620FF">
      <w:pPr>
        <w:spacing w:after="0"/>
        <w:rPr>
          <w:rFonts w:eastAsia="MS Gothic"/>
          <w:color w:val="17365D"/>
          <w:spacing w:val="5"/>
          <w:kern w:val="28"/>
          <w:sz w:val="40"/>
          <w:szCs w:val="40"/>
          <w:lang w:eastAsia="ja-JP"/>
        </w:rPr>
      </w:pPr>
      <w:r w:rsidRPr="00C917E2">
        <w:br w:type="page"/>
      </w:r>
    </w:p>
    <w:p w14:paraId="0705B371" w14:textId="77777777" w:rsidR="000F16D0" w:rsidRPr="00C917E2" w:rsidRDefault="000F16D0" w:rsidP="00320F82">
      <w:pPr>
        <w:pStyle w:val="Title"/>
      </w:pPr>
      <w:r w:rsidRPr="00C917E2">
        <w:lastRenderedPageBreak/>
        <w:t>Abbreviations</w:t>
      </w:r>
    </w:p>
    <w:p w14:paraId="00C19C1E" w14:textId="77777777" w:rsidR="00BD082C" w:rsidRPr="00C917E2" w:rsidRDefault="00BD082C" w:rsidP="00D1035A">
      <w:pPr>
        <w:pStyle w:val="Abbrevs"/>
        <w:tabs>
          <w:tab w:val="left" w:pos="1440"/>
        </w:tabs>
      </w:pPr>
      <w:r w:rsidRPr="00C917E2">
        <w:t>AIDS</w:t>
      </w:r>
      <w:r w:rsidR="00D1035A">
        <w:tab/>
      </w:r>
      <w:r w:rsidRPr="00C917E2">
        <w:t>Acq</w:t>
      </w:r>
      <w:r w:rsidR="00EC31DE" w:rsidRPr="00C917E2">
        <w:t>uired Immuno-Deficiency Syndrome</w:t>
      </w:r>
    </w:p>
    <w:p w14:paraId="1E8EE8DE" w14:textId="77777777" w:rsidR="00BD082C" w:rsidRPr="00C917E2" w:rsidRDefault="00BD082C" w:rsidP="00D1035A">
      <w:pPr>
        <w:pStyle w:val="Abbrevs"/>
        <w:tabs>
          <w:tab w:val="left" w:pos="1440"/>
        </w:tabs>
      </w:pPr>
      <w:r w:rsidRPr="00C917E2">
        <w:t>ANC</w:t>
      </w:r>
      <w:r w:rsidR="00D1035A">
        <w:tab/>
      </w:r>
      <w:r w:rsidRPr="00C917E2">
        <w:t>Antenatal Care</w:t>
      </w:r>
    </w:p>
    <w:p w14:paraId="6B884871" w14:textId="77777777" w:rsidR="005F0A48" w:rsidRPr="00C917E2" w:rsidRDefault="005F0A48" w:rsidP="00D1035A">
      <w:pPr>
        <w:pStyle w:val="Abbrevs"/>
        <w:tabs>
          <w:tab w:val="left" w:pos="1440"/>
        </w:tabs>
      </w:pPr>
      <w:r w:rsidRPr="00C917E2">
        <w:t>CIMAS</w:t>
      </w:r>
      <w:r w:rsidR="00D1035A">
        <w:tab/>
      </w:r>
      <w:r w:rsidRPr="00C917E2">
        <w:t>C</w:t>
      </w:r>
      <w:r w:rsidR="005F77A4" w:rsidRPr="00C917E2">
        <w:t>IMAS</w:t>
      </w:r>
      <w:r w:rsidRPr="00C917E2">
        <w:t xml:space="preserve"> Medical Aid Society</w:t>
      </w:r>
    </w:p>
    <w:p w14:paraId="664FFA71" w14:textId="77777777" w:rsidR="00BD082C" w:rsidRPr="00C917E2" w:rsidRDefault="00BD082C" w:rsidP="00D1035A">
      <w:pPr>
        <w:pStyle w:val="Abbrevs"/>
        <w:tabs>
          <w:tab w:val="left" w:pos="1440"/>
        </w:tabs>
      </w:pPr>
      <w:r w:rsidRPr="00C917E2">
        <w:t>DFID</w:t>
      </w:r>
      <w:r w:rsidR="00D1035A">
        <w:tab/>
      </w:r>
      <w:r w:rsidRPr="00C917E2">
        <w:t>Department for International Development</w:t>
      </w:r>
    </w:p>
    <w:p w14:paraId="2547AC20" w14:textId="77777777" w:rsidR="00BD082C" w:rsidRPr="00C917E2" w:rsidRDefault="00BD082C" w:rsidP="00D1035A">
      <w:pPr>
        <w:pStyle w:val="Abbrevs"/>
        <w:tabs>
          <w:tab w:val="left" w:pos="1440"/>
        </w:tabs>
      </w:pPr>
      <w:r w:rsidRPr="00C917E2">
        <w:t>DHIS</w:t>
      </w:r>
      <w:r w:rsidR="00D1035A">
        <w:tab/>
      </w:r>
      <w:r w:rsidRPr="00C917E2">
        <w:t>District Health Information System</w:t>
      </w:r>
    </w:p>
    <w:p w14:paraId="49A310C1" w14:textId="77777777" w:rsidR="00BD082C" w:rsidRPr="00C917E2" w:rsidRDefault="00BD082C" w:rsidP="00D1035A">
      <w:pPr>
        <w:pStyle w:val="Abbrevs"/>
        <w:tabs>
          <w:tab w:val="left" w:pos="1440"/>
        </w:tabs>
      </w:pPr>
      <w:r w:rsidRPr="00C917E2">
        <w:t>GDP</w:t>
      </w:r>
      <w:r w:rsidR="00D1035A">
        <w:tab/>
      </w:r>
      <w:r w:rsidRPr="00C917E2">
        <w:t>Gross Domestic Product</w:t>
      </w:r>
    </w:p>
    <w:p w14:paraId="0FC6A0BF" w14:textId="77777777" w:rsidR="00BD082C" w:rsidRPr="00C917E2" w:rsidRDefault="00BD082C" w:rsidP="00D1035A">
      <w:pPr>
        <w:pStyle w:val="Abbrevs"/>
        <w:tabs>
          <w:tab w:val="left" w:pos="1440"/>
        </w:tabs>
      </w:pPr>
      <w:r w:rsidRPr="00C917E2">
        <w:t>GHE</w:t>
      </w:r>
      <w:r w:rsidR="00D1035A">
        <w:tab/>
      </w:r>
      <w:r w:rsidRPr="00C917E2">
        <w:t>Government Health Expenditure</w:t>
      </w:r>
      <w:r w:rsidR="00CE3E21" w:rsidRPr="00C917E2">
        <w:t>s</w:t>
      </w:r>
    </w:p>
    <w:p w14:paraId="521170B0" w14:textId="77777777" w:rsidR="00BD082C" w:rsidRPr="00C917E2" w:rsidRDefault="00BD082C" w:rsidP="00D1035A">
      <w:pPr>
        <w:pStyle w:val="Abbrevs"/>
        <w:tabs>
          <w:tab w:val="left" w:pos="1440"/>
        </w:tabs>
      </w:pPr>
      <w:r w:rsidRPr="00C917E2">
        <w:t>HIV</w:t>
      </w:r>
      <w:r w:rsidR="00D1035A">
        <w:tab/>
      </w:r>
      <w:r w:rsidRPr="00C917E2">
        <w:t>Human Immuno-deficiency Virus</w:t>
      </w:r>
    </w:p>
    <w:p w14:paraId="021CFDB6" w14:textId="77777777" w:rsidR="00856EB7" w:rsidRDefault="00856EB7" w:rsidP="00D1035A">
      <w:pPr>
        <w:pStyle w:val="Abbrevs"/>
        <w:tabs>
          <w:tab w:val="left" w:pos="1440"/>
        </w:tabs>
      </w:pPr>
      <w:r w:rsidRPr="00C917E2">
        <w:t>HAD</w:t>
      </w:r>
      <w:r w:rsidR="00D1035A">
        <w:tab/>
      </w:r>
      <w:r w:rsidRPr="00C917E2">
        <w:t>Health Development Assistance</w:t>
      </w:r>
    </w:p>
    <w:p w14:paraId="2D3DE691" w14:textId="77777777" w:rsidR="00BD082C" w:rsidRPr="00C917E2" w:rsidRDefault="00BD082C" w:rsidP="00D1035A">
      <w:pPr>
        <w:pStyle w:val="Abbrevs"/>
        <w:tabs>
          <w:tab w:val="left" w:pos="1440"/>
        </w:tabs>
      </w:pPr>
      <w:r w:rsidRPr="00C917E2">
        <w:t>HMIS</w:t>
      </w:r>
      <w:r w:rsidR="00D1035A">
        <w:tab/>
      </w:r>
      <w:r w:rsidRPr="00C917E2">
        <w:t>Health Management Information System</w:t>
      </w:r>
    </w:p>
    <w:p w14:paraId="3AC30C0A" w14:textId="77777777" w:rsidR="006A2071" w:rsidRPr="00C917E2" w:rsidRDefault="006A2071" w:rsidP="00D1035A">
      <w:pPr>
        <w:pStyle w:val="Abbrevs"/>
        <w:tabs>
          <w:tab w:val="left" w:pos="1440"/>
        </w:tabs>
      </w:pPr>
      <w:r w:rsidRPr="00C917E2">
        <w:t>HNP</w:t>
      </w:r>
      <w:r w:rsidR="00D1035A">
        <w:tab/>
      </w:r>
      <w:r w:rsidRPr="00C917E2">
        <w:t>Health Nutrition and Population</w:t>
      </w:r>
    </w:p>
    <w:p w14:paraId="67B1B16C" w14:textId="77777777" w:rsidR="00BD082C" w:rsidRDefault="00BD082C" w:rsidP="00D1035A">
      <w:pPr>
        <w:pStyle w:val="Abbrevs"/>
        <w:tabs>
          <w:tab w:val="left" w:pos="1440"/>
        </w:tabs>
      </w:pPr>
      <w:r w:rsidRPr="00C917E2">
        <w:t>HTF</w:t>
      </w:r>
      <w:r w:rsidR="00D1035A">
        <w:tab/>
      </w:r>
      <w:r w:rsidRPr="00C917E2">
        <w:t>Health Transition Fund</w:t>
      </w:r>
    </w:p>
    <w:p w14:paraId="4B297AC5" w14:textId="1157B36F" w:rsidR="00454963" w:rsidRPr="00C917E2" w:rsidRDefault="00454963" w:rsidP="00D1035A">
      <w:pPr>
        <w:pStyle w:val="Abbrevs"/>
        <w:tabs>
          <w:tab w:val="left" w:pos="1440"/>
        </w:tabs>
      </w:pPr>
      <w:r>
        <w:t>IFC</w:t>
      </w:r>
      <w:r>
        <w:tab/>
        <w:t>International Finance Corporation</w:t>
      </w:r>
    </w:p>
    <w:p w14:paraId="26F07B9D" w14:textId="77777777" w:rsidR="00222E6C" w:rsidRPr="00C917E2" w:rsidRDefault="00222E6C" w:rsidP="00D1035A">
      <w:pPr>
        <w:pStyle w:val="Abbrevs"/>
        <w:tabs>
          <w:tab w:val="left" w:pos="1440"/>
        </w:tabs>
      </w:pPr>
      <w:r w:rsidRPr="00C917E2">
        <w:t>IMF</w:t>
      </w:r>
      <w:r w:rsidR="00D1035A">
        <w:tab/>
      </w:r>
      <w:r w:rsidRPr="00C917E2">
        <w:t>International Monetary Fund</w:t>
      </w:r>
    </w:p>
    <w:p w14:paraId="72C307C7" w14:textId="77777777" w:rsidR="00BD082C" w:rsidRPr="00C917E2" w:rsidRDefault="00BD082C" w:rsidP="00D1035A">
      <w:pPr>
        <w:pStyle w:val="Abbrevs"/>
        <w:tabs>
          <w:tab w:val="left" w:pos="1440"/>
        </w:tabs>
      </w:pPr>
      <w:r w:rsidRPr="00C917E2">
        <w:t>LIC</w:t>
      </w:r>
      <w:r w:rsidR="00D1035A">
        <w:tab/>
      </w:r>
      <w:r w:rsidRPr="00C917E2">
        <w:t>Low-Income Country</w:t>
      </w:r>
    </w:p>
    <w:p w14:paraId="3F0E6404" w14:textId="77777777" w:rsidR="00626089" w:rsidRDefault="00626089" w:rsidP="00D1035A">
      <w:pPr>
        <w:pStyle w:val="Abbrevs"/>
        <w:tabs>
          <w:tab w:val="left" w:pos="1440"/>
        </w:tabs>
      </w:pPr>
      <w:r>
        <w:t>MCH</w:t>
      </w:r>
      <w:r w:rsidR="00D1035A">
        <w:tab/>
      </w:r>
      <w:r w:rsidRPr="00626089">
        <w:t>Maternal and Child Health</w:t>
      </w:r>
    </w:p>
    <w:p w14:paraId="261FB7B5" w14:textId="77777777" w:rsidR="00BD082C" w:rsidRPr="00C917E2" w:rsidRDefault="00BD082C" w:rsidP="00D1035A">
      <w:pPr>
        <w:pStyle w:val="Abbrevs"/>
        <w:tabs>
          <w:tab w:val="left" w:pos="1440"/>
        </w:tabs>
      </w:pPr>
      <w:r w:rsidRPr="00C917E2">
        <w:t>MDG</w:t>
      </w:r>
      <w:r w:rsidR="00D1035A">
        <w:tab/>
      </w:r>
      <w:r w:rsidRPr="00C917E2">
        <w:t>Millennium Development Goal</w:t>
      </w:r>
    </w:p>
    <w:p w14:paraId="29D774D2" w14:textId="77777777" w:rsidR="00BD082C" w:rsidRPr="00C917E2" w:rsidRDefault="00BD082C" w:rsidP="00D1035A">
      <w:pPr>
        <w:pStyle w:val="Abbrevs"/>
        <w:tabs>
          <w:tab w:val="left" w:pos="1440"/>
        </w:tabs>
      </w:pPr>
      <w:r w:rsidRPr="00C917E2">
        <w:t>MICS</w:t>
      </w:r>
      <w:r w:rsidR="00D1035A">
        <w:tab/>
      </w:r>
      <w:r w:rsidRPr="00C917E2">
        <w:t>Multiple Indicator Cluster Survey</w:t>
      </w:r>
    </w:p>
    <w:p w14:paraId="49A95C81" w14:textId="77777777" w:rsidR="002152E3" w:rsidRPr="00C917E2" w:rsidRDefault="002152E3" w:rsidP="00D1035A">
      <w:pPr>
        <w:pStyle w:val="Abbrevs"/>
        <w:tabs>
          <w:tab w:val="left" w:pos="1440"/>
        </w:tabs>
      </w:pPr>
      <w:r w:rsidRPr="00C917E2">
        <w:t>MIMS</w:t>
      </w:r>
      <w:r w:rsidR="00D1035A">
        <w:tab/>
      </w:r>
      <w:r w:rsidRPr="00C917E2">
        <w:t>Multiple Indicator Monitoring Survey</w:t>
      </w:r>
    </w:p>
    <w:p w14:paraId="014E8DE5" w14:textId="77777777" w:rsidR="00BD082C" w:rsidRPr="00C917E2" w:rsidRDefault="00BD082C" w:rsidP="00D1035A">
      <w:pPr>
        <w:pStyle w:val="Abbrevs"/>
        <w:tabs>
          <w:tab w:val="left" w:pos="1440"/>
        </w:tabs>
      </w:pPr>
      <w:r w:rsidRPr="00C917E2">
        <w:t>MMR</w:t>
      </w:r>
      <w:r w:rsidR="00D1035A">
        <w:tab/>
      </w:r>
      <w:r w:rsidRPr="00C917E2">
        <w:t>Maternal Mortality Ratio</w:t>
      </w:r>
    </w:p>
    <w:p w14:paraId="3DA6332D" w14:textId="77777777" w:rsidR="00BD082C" w:rsidRPr="00C917E2" w:rsidRDefault="00BD082C" w:rsidP="00D1035A">
      <w:pPr>
        <w:pStyle w:val="Abbrevs"/>
        <w:tabs>
          <w:tab w:val="left" w:pos="1440"/>
        </w:tabs>
      </w:pPr>
      <w:r w:rsidRPr="00C917E2">
        <w:t>MOFED</w:t>
      </w:r>
      <w:r w:rsidR="00D1035A">
        <w:tab/>
      </w:r>
      <w:r w:rsidRPr="00C917E2">
        <w:t>Ministry of Finance and Economic Development</w:t>
      </w:r>
    </w:p>
    <w:p w14:paraId="2C062CE7" w14:textId="77777777" w:rsidR="00626089" w:rsidRPr="00C917E2" w:rsidRDefault="00626089" w:rsidP="00D1035A">
      <w:pPr>
        <w:pStyle w:val="Abbrevs"/>
        <w:tabs>
          <w:tab w:val="left" w:pos="1440"/>
        </w:tabs>
      </w:pPr>
      <w:r w:rsidRPr="00C917E2">
        <w:t>MOHCC</w:t>
      </w:r>
      <w:r w:rsidR="00D1035A">
        <w:tab/>
      </w:r>
      <w:r w:rsidRPr="00C917E2">
        <w:t>Ministry of Health and Child Care</w:t>
      </w:r>
    </w:p>
    <w:p w14:paraId="03F559E9" w14:textId="77777777" w:rsidR="00BD082C" w:rsidRPr="00C917E2" w:rsidRDefault="00BD082C" w:rsidP="00D1035A">
      <w:pPr>
        <w:pStyle w:val="Abbrevs"/>
        <w:tabs>
          <w:tab w:val="left" w:pos="1440"/>
        </w:tabs>
      </w:pPr>
      <w:r w:rsidRPr="00C917E2">
        <w:t>NAC</w:t>
      </w:r>
      <w:r w:rsidR="00D1035A">
        <w:tab/>
      </w:r>
      <w:r w:rsidRPr="00C917E2">
        <w:t>National AIDS Council</w:t>
      </w:r>
    </w:p>
    <w:p w14:paraId="7686F7C3" w14:textId="77777777" w:rsidR="00BD082C" w:rsidRPr="00C917E2" w:rsidRDefault="00BD082C" w:rsidP="00D1035A">
      <w:pPr>
        <w:pStyle w:val="Abbrevs"/>
        <w:tabs>
          <w:tab w:val="left" w:pos="1440"/>
        </w:tabs>
      </w:pPr>
      <w:r w:rsidRPr="00C917E2">
        <w:t>NCD</w:t>
      </w:r>
      <w:r w:rsidR="00D1035A">
        <w:tab/>
      </w:r>
      <w:r w:rsidRPr="00C917E2">
        <w:t>Non</w:t>
      </w:r>
      <w:r w:rsidR="00B747C8" w:rsidRPr="00C917E2">
        <w:t>c</w:t>
      </w:r>
      <w:r w:rsidRPr="00C917E2">
        <w:t>ommunicable Disease</w:t>
      </w:r>
    </w:p>
    <w:p w14:paraId="32DBF5EB" w14:textId="77777777" w:rsidR="00BD082C" w:rsidRPr="00C917E2" w:rsidRDefault="00BD082C" w:rsidP="00D1035A">
      <w:pPr>
        <w:pStyle w:val="Abbrevs"/>
        <w:tabs>
          <w:tab w:val="left" w:pos="1440"/>
        </w:tabs>
      </w:pPr>
      <w:r w:rsidRPr="00C917E2">
        <w:t>NHA</w:t>
      </w:r>
      <w:r w:rsidR="00D1035A">
        <w:tab/>
      </w:r>
      <w:r w:rsidRPr="00C917E2">
        <w:t>National Health Accounts</w:t>
      </w:r>
    </w:p>
    <w:p w14:paraId="3B75F86F" w14:textId="77777777" w:rsidR="00BD082C" w:rsidRPr="00C917E2" w:rsidRDefault="00BD082C" w:rsidP="00D1035A">
      <w:pPr>
        <w:pStyle w:val="Abbrevs"/>
        <w:tabs>
          <w:tab w:val="left" w:pos="1440"/>
        </w:tabs>
      </w:pPr>
      <w:r w:rsidRPr="00C917E2">
        <w:t>NIHFA</w:t>
      </w:r>
      <w:r w:rsidR="00D1035A">
        <w:tab/>
      </w:r>
      <w:r w:rsidRPr="00C917E2">
        <w:t>National Integrated Health Facility Assessment</w:t>
      </w:r>
    </w:p>
    <w:p w14:paraId="37C89FC7" w14:textId="77777777" w:rsidR="00BD082C" w:rsidRPr="00C917E2" w:rsidRDefault="00BD082C" w:rsidP="00D1035A">
      <w:pPr>
        <w:pStyle w:val="Abbrevs"/>
        <w:tabs>
          <w:tab w:val="left" w:pos="1440"/>
        </w:tabs>
      </w:pPr>
      <w:r w:rsidRPr="00C917E2">
        <w:t>ODA</w:t>
      </w:r>
      <w:r w:rsidR="00D1035A">
        <w:tab/>
      </w:r>
      <w:r w:rsidRPr="00C917E2">
        <w:t>Official Development Assistance</w:t>
      </w:r>
    </w:p>
    <w:p w14:paraId="26A66CE3" w14:textId="77777777" w:rsidR="00BD082C" w:rsidRPr="00C917E2" w:rsidRDefault="00BD082C" w:rsidP="00D1035A">
      <w:pPr>
        <w:pStyle w:val="Abbrevs"/>
        <w:tabs>
          <w:tab w:val="left" w:pos="1440"/>
        </w:tabs>
      </w:pPr>
      <w:r w:rsidRPr="00C917E2">
        <w:t>OECD</w:t>
      </w:r>
      <w:r w:rsidR="00D1035A">
        <w:tab/>
      </w:r>
      <w:r w:rsidRPr="00C917E2">
        <w:t>Organi</w:t>
      </w:r>
      <w:r w:rsidR="00F05555" w:rsidRPr="00C917E2">
        <w:t>s</w:t>
      </w:r>
      <w:r w:rsidR="00ED3B04" w:rsidRPr="00C917E2">
        <w:t>a</w:t>
      </w:r>
      <w:r w:rsidRPr="00C917E2">
        <w:t>tion for Economic Co-operation and Development</w:t>
      </w:r>
    </w:p>
    <w:p w14:paraId="59AC00E7" w14:textId="77777777" w:rsidR="00BD082C" w:rsidRPr="00C917E2" w:rsidRDefault="00BD082C" w:rsidP="00D1035A">
      <w:pPr>
        <w:pStyle w:val="Abbrevs"/>
        <w:tabs>
          <w:tab w:val="left" w:pos="1440"/>
        </w:tabs>
      </w:pPr>
      <w:r w:rsidRPr="00C917E2">
        <w:t>OOP</w:t>
      </w:r>
      <w:r w:rsidR="00D1035A">
        <w:tab/>
      </w:r>
      <w:r w:rsidRPr="00C917E2">
        <w:t>Out-Of-Pocket</w:t>
      </w:r>
    </w:p>
    <w:p w14:paraId="36AB7FDA" w14:textId="77777777" w:rsidR="00BD082C" w:rsidRPr="00C917E2" w:rsidRDefault="00BD082C" w:rsidP="00D1035A">
      <w:pPr>
        <w:pStyle w:val="Abbrevs"/>
        <w:tabs>
          <w:tab w:val="left" w:pos="1440"/>
        </w:tabs>
      </w:pPr>
      <w:r w:rsidRPr="00C917E2">
        <w:t>PER</w:t>
      </w:r>
      <w:r w:rsidR="00D1035A">
        <w:tab/>
      </w:r>
      <w:r w:rsidRPr="00C917E2">
        <w:t>Public Expenditure Review</w:t>
      </w:r>
    </w:p>
    <w:p w14:paraId="6C54912E" w14:textId="77777777" w:rsidR="00BD082C" w:rsidRPr="00C917E2" w:rsidRDefault="00BD082C" w:rsidP="00D1035A">
      <w:pPr>
        <w:pStyle w:val="Abbrevs"/>
        <w:tabs>
          <w:tab w:val="left" w:pos="1440"/>
        </w:tabs>
      </w:pPr>
      <w:r w:rsidRPr="00C917E2">
        <w:t>PICES</w:t>
      </w:r>
      <w:r w:rsidR="00D1035A">
        <w:tab/>
      </w:r>
      <w:r w:rsidRPr="00C917E2">
        <w:t>Poverty, Income, Consumption and Expenditure Survey</w:t>
      </w:r>
    </w:p>
    <w:p w14:paraId="03527A64" w14:textId="77777777" w:rsidR="00F65C1A" w:rsidRDefault="00F65C1A" w:rsidP="00D1035A">
      <w:pPr>
        <w:pStyle w:val="Abbrevs"/>
        <w:tabs>
          <w:tab w:val="left" w:pos="1440"/>
        </w:tabs>
      </w:pPr>
      <w:r>
        <w:t>RBF</w:t>
      </w:r>
      <w:r w:rsidR="00D1035A">
        <w:tab/>
      </w:r>
      <w:r w:rsidRPr="00F65C1A">
        <w:t>Results-Based Financing</w:t>
      </w:r>
      <w:r w:rsidRPr="00F65C1A" w:rsidDel="00502962">
        <w:t xml:space="preserve"> </w:t>
      </w:r>
    </w:p>
    <w:p w14:paraId="0E2DF85E" w14:textId="77777777" w:rsidR="00BD082C" w:rsidRPr="00C917E2" w:rsidRDefault="00A54ECB" w:rsidP="00D1035A">
      <w:pPr>
        <w:pStyle w:val="Abbrevs"/>
        <w:tabs>
          <w:tab w:val="left" w:pos="1440"/>
        </w:tabs>
      </w:pPr>
      <w:r w:rsidRPr="00C917E2">
        <w:t>SSA</w:t>
      </w:r>
      <w:r w:rsidR="00D1035A">
        <w:tab/>
      </w:r>
      <w:r w:rsidRPr="00C917E2">
        <w:t>Sub-Saharan Africa</w:t>
      </w:r>
    </w:p>
    <w:p w14:paraId="149DDDCF" w14:textId="77777777" w:rsidR="00BD082C" w:rsidRPr="00C917E2" w:rsidRDefault="00BD082C" w:rsidP="00D1035A">
      <w:pPr>
        <w:pStyle w:val="Abbrevs"/>
        <w:tabs>
          <w:tab w:val="left" w:pos="1440"/>
        </w:tabs>
      </w:pPr>
      <w:r w:rsidRPr="00C917E2">
        <w:t>UNDP</w:t>
      </w:r>
      <w:r w:rsidR="00D1035A">
        <w:tab/>
      </w:r>
      <w:r w:rsidRPr="00C917E2">
        <w:t>United Nations Development Program</w:t>
      </w:r>
    </w:p>
    <w:p w14:paraId="07530666" w14:textId="77777777" w:rsidR="00BD082C" w:rsidRPr="00C917E2" w:rsidRDefault="00BD082C" w:rsidP="00D1035A">
      <w:pPr>
        <w:pStyle w:val="Abbrevs"/>
        <w:tabs>
          <w:tab w:val="left" w:pos="1440"/>
        </w:tabs>
      </w:pPr>
      <w:r w:rsidRPr="00C917E2">
        <w:t>WDI</w:t>
      </w:r>
      <w:r w:rsidR="00D1035A">
        <w:tab/>
      </w:r>
      <w:r w:rsidRPr="00C917E2">
        <w:t>World Development Indicators</w:t>
      </w:r>
    </w:p>
    <w:p w14:paraId="17293360" w14:textId="77777777" w:rsidR="00BD082C" w:rsidRPr="00C917E2" w:rsidRDefault="00BD082C" w:rsidP="00D1035A">
      <w:pPr>
        <w:pStyle w:val="Abbrevs"/>
        <w:tabs>
          <w:tab w:val="left" w:pos="1440"/>
        </w:tabs>
      </w:pPr>
      <w:r w:rsidRPr="00C917E2">
        <w:t>WHO</w:t>
      </w:r>
      <w:r w:rsidR="00D1035A">
        <w:tab/>
      </w:r>
      <w:r w:rsidRPr="00C917E2">
        <w:t>World Health Organi</w:t>
      </w:r>
      <w:r w:rsidR="00FE3F0D" w:rsidRPr="00C917E2">
        <w:t>z</w:t>
      </w:r>
      <w:r w:rsidRPr="00C917E2">
        <w:t>ation</w:t>
      </w:r>
    </w:p>
    <w:p w14:paraId="22A4A5D2" w14:textId="77777777" w:rsidR="00BD082C" w:rsidRPr="00C917E2" w:rsidRDefault="00BD082C" w:rsidP="00D1035A">
      <w:pPr>
        <w:pStyle w:val="Abbrevs"/>
        <w:tabs>
          <w:tab w:val="left" w:pos="1440"/>
        </w:tabs>
      </w:pPr>
      <w:r w:rsidRPr="00C917E2">
        <w:t>ZDHS</w:t>
      </w:r>
      <w:r w:rsidR="00D1035A">
        <w:tab/>
      </w:r>
      <w:r w:rsidRPr="00C917E2">
        <w:t>Zimbabwe Demographic and Health Survey</w:t>
      </w:r>
    </w:p>
    <w:p w14:paraId="217A28C1" w14:textId="77777777" w:rsidR="00FB433A" w:rsidRPr="00C917E2" w:rsidRDefault="00FB433A" w:rsidP="00E73060"/>
    <w:p w14:paraId="7C300544" w14:textId="77777777" w:rsidR="00145B2B" w:rsidRPr="00C917E2" w:rsidRDefault="00145B2B" w:rsidP="00E73060"/>
    <w:p w14:paraId="59470BDF" w14:textId="77777777" w:rsidR="00145B2B" w:rsidRPr="00C917E2" w:rsidRDefault="00145B2B" w:rsidP="00E73060"/>
    <w:p w14:paraId="159F41C1" w14:textId="77777777" w:rsidR="000F65D4" w:rsidRPr="00C917E2" w:rsidRDefault="000F65D4" w:rsidP="00E73060">
      <w:pPr>
        <w:pStyle w:val="Title"/>
        <w:sectPr w:rsidR="000F65D4" w:rsidRPr="00C917E2" w:rsidSect="00B50A85">
          <w:headerReference w:type="first" r:id="rId19"/>
          <w:footerReference w:type="first" r:id="rId20"/>
          <w:endnotePr>
            <w:numFmt w:val="decimal"/>
          </w:endnotePr>
          <w:pgSz w:w="11906" w:h="16838"/>
          <w:pgMar w:top="1440" w:right="1440" w:bottom="1440" w:left="1440" w:header="720" w:footer="720" w:gutter="0"/>
          <w:pgNumType w:fmt="lowerRoman"/>
          <w:cols w:space="720"/>
          <w:titlePg/>
          <w:docGrid w:linePitch="360"/>
        </w:sectPr>
      </w:pPr>
    </w:p>
    <w:p w14:paraId="19AA577E" w14:textId="77777777" w:rsidR="00FB433A" w:rsidRPr="00C917E2" w:rsidRDefault="00FB433A" w:rsidP="000970D1">
      <w:pPr>
        <w:pStyle w:val="Heading1"/>
      </w:pPr>
      <w:bookmarkStart w:id="3" w:name="_Toc419003990"/>
      <w:r w:rsidRPr="00C917E2">
        <w:lastRenderedPageBreak/>
        <w:t>Executive Summary</w:t>
      </w:r>
      <w:bookmarkEnd w:id="3"/>
    </w:p>
    <w:p w14:paraId="36EB301A" w14:textId="77777777" w:rsidR="009275DE" w:rsidRPr="00845084" w:rsidRDefault="009275DE" w:rsidP="00845084">
      <w:pPr>
        <w:pStyle w:val="Numberparaes"/>
      </w:pPr>
      <w:r w:rsidRPr="00845084">
        <w:t xml:space="preserve">This Public Expenditure Review (PER) for health in Zimbabwe is an analytical report developed by the World Bank Health, Nutrition and Population Task Team </w:t>
      </w:r>
      <w:r w:rsidR="00982215" w:rsidRPr="00845084">
        <w:t xml:space="preserve">working </w:t>
      </w:r>
      <w:r w:rsidRPr="00845084">
        <w:t xml:space="preserve">with the World Bank’s Macroeconomics and Fiscal Management Global Practice team, Zimbabwe’s Ministry of Finance and Economic Development (MOFED) and Ministry of Health and Child Care (MOHCC), with input from development partners. The PER builds on the 2013 Health Sector Policy Note coauthored by the World Bank and senior management of the MOHCC. </w:t>
      </w:r>
    </w:p>
    <w:p w14:paraId="77A1192D" w14:textId="77777777" w:rsidR="009275DE" w:rsidRPr="00C917E2" w:rsidRDefault="009275DE" w:rsidP="00845084">
      <w:pPr>
        <w:pStyle w:val="Numberparaes"/>
      </w:pPr>
      <w:r w:rsidRPr="00C917E2">
        <w:t xml:space="preserve">The </w:t>
      </w:r>
      <w:r w:rsidR="00982215" w:rsidRPr="00C917E2">
        <w:t xml:space="preserve">aims </w:t>
      </w:r>
      <w:r w:rsidRPr="00C917E2">
        <w:t xml:space="preserve">of the PER are to provide objective evidence to inform the allocation of resources to enable equitable, efficient, and sustainable health care provision and to highlight questions about health sector performance </w:t>
      </w:r>
      <w:r w:rsidR="00982215" w:rsidRPr="00C917E2">
        <w:t xml:space="preserve">for </w:t>
      </w:r>
      <w:r w:rsidRPr="00C917E2">
        <w:t xml:space="preserve">policy makers and key stakeholders. </w:t>
      </w:r>
      <w:r w:rsidR="00982215" w:rsidRPr="00C917E2">
        <w:t xml:space="preserve">The </w:t>
      </w:r>
      <w:r w:rsidRPr="00C917E2">
        <w:t xml:space="preserve">findings </w:t>
      </w:r>
      <w:r w:rsidR="00982215" w:rsidRPr="00C917E2">
        <w:t xml:space="preserve">also aim </w:t>
      </w:r>
      <w:r w:rsidRPr="00C917E2">
        <w:t xml:space="preserve">to </w:t>
      </w:r>
      <w:r w:rsidR="00982215" w:rsidRPr="00C917E2">
        <w:t xml:space="preserve">present </w:t>
      </w:r>
      <w:r w:rsidRPr="00C917E2">
        <w:t xml:space="preserve">Zimbabwe’s health sector spending in an international and regional perspective, highlighting key issues </w:t>
      </w:r>
      <w:r w:rsidR="00982215" w:rsidRPr="00C917E2">
        <w:t xml:space="preserve">for </w:t>
      </w:r>
      <w:r w:rsidR="00CB0482" w:rsidRPr="00C917E2">
        <w:t>improv</w:t>
      </w:r>
      <w:r w:rsidR="00982215" w:rsidRPr="00C917E2">
        <w:t>ing</w:t>
      </w:r>
      <w:r w:rsidR="00CB0482" w:rsidRPr="00C917E2">
        <w:t xml:space="preserve"> health outcomes</w:t>
      </w:r>
      <w:r w:rsidRPr="00C917E2">
        <w:t>.</w:t>
      </w:r>
      <w:r w:rsidR="00FB5859" w:rsidRPr="00C917E2">
        <w:t xml:space="preserve"> </w:t>
      </w:r>
    </w:p>
    <w:p w14:paraId="7A4FDB57" w14:textId="77777777" w:rsidR="009275DE" w:rsidRPr="00C917E2" w:rsidRDefault="009275DE" w:rsidP="00845084">
      <w:pPr>
        <w:pStyle w:val="Numberparaes"/>
      </w:pPr>
      <w:r w:rsidRPr="00C917E2">
        <w:t xml:space="preserve">The PER addresses the following </w:t>
      </w:r>
      <w:r w:rsidR="00502962">
        <w:t xml:space="preserve">main </w:t>
      </w:r>
      <w:r w:rsidRPr="00C917E2">
        <w:t xml:space="preserve">questions: </w:t>
      </w:r>
    </w:p>
    <w:p w14:paraId="649E8C85" w14:textId="77777777" w:rsidR="009275DE" w:rsidRPr="00C917E2" w:rsidRDefault="009275DE" w:rsidP="0011653B">
      <w:pPr>
        <w:pStyle w:val="ListParagraph"/>
        <w:numPr>
          <w:ilvl w:val="0"/>
          <w:numId w:val="6"/>
        </w:numPr>
      </w:pPr>
      <w:r w:rsidRPr="00C917E2">
        <w:t>What are the health priorities on which spending should focus?</w:t>
      </w:r>
    </w:p>
    <w:p w14:paraId="3181A428" w14:textId="77777777" w:rsidR="009275DE" w:rsidRPr="00C917E2" w:rsidRDefault="009275DE" w:rsidP="0011653B">
      <w:pPr>
        <w:pStyle w:val="ListParagraph"/>
        <w:numPr>
          <w:ilvl w:val="0"/>
          <w:numId w:val="6"/>
        </w:numPr>
      </w:pPr>
      <w:r w:rsidRPr="00C917E2">
        <w:t>What are the needs of the public sector relative to health inputs and outputs?</w:t>
      </w:r>
      <w:r w:rsidR="00FB5859" w:rsidRPr="00C917E2">
        <w:t xml:space="preserve"> </w:t>
      </w:r>
    </w:p>
    <w:p w14:paraId="55836434" w14:textId="77777777" w:rsidR="009275DE" w:rsidRPr="00C917E2" w:rsidRDefault="009275DE" w:rsidP="0011653B">
      <w:pPr>
        <w:pStyle w:val="ListParagraph"/>
        <w:numPr>
          <w:ilvl w:val="0"/>
          <w:numId w:val="6"/>
        </w:numPr>
      </w:pPr>
      <w:r w:rsidRPr="00C917E2">
        <w:t xml:space="preserve">What are the major sources of health financing in Zimbabwe? </w:t>
      </w:r>
    </w:p>
    <w:p w14:paraId="2CA7F848" w14:textId="77777777" w:rsidR="009275DE" w:rsidRPr="00C917E2" w:rsidRDefault="009275DE" w:rsidP="0011653B">
      <w:pPr>
        <w:pStyle w:val="ListParagraph"/>
        <w:numPr>
          <w:ilvl w:val="0"/>
          <w:numId w:val="6"/>
        </w:numPr>
      </w:pPr>
      <w:r w:rsidRPr="00C917E2">
        <w:t xml:space="preserve">What are the total level, composition, and distributional aspects of health care spending? </w:t>
      </w:r>
    </w:p>
    <w:p w14:paraId="42ECB062" w14:textId="77777777" w:rsidR="009275DE" w:rsidRPr="00C917E2" w:rsidRDefault="009275DE" w:rsidP="0011653B">
      <w:pPr>
        <w:pStyle w:val="ListParagraph"/>
        <w:numPr>
          <w:ilvl w:val="0"/>
          <w:numId w:val="6"/>
        </w:numPr>
      </w:pPr>
      <w:r w:rsidRPr="00C917E2">
        <w:t>Do government expenditures enhance efficiency and equity in the sector?</w:t>
      </w:r>
    </w:p>
    <w:p w14:paraId="0D376B5C" w14:textId="7FF1AAC9" w:rsidR="009275DE" w:rsidRPr="00C917E2" w:rsidRDefault="009275DE" w:rsidP="0011653B">
      <w:pPr>
        <w:pStyle w:val="ListParagraph"/>
        <w:numPr>
          <w:ilvl w:val="0"/>
          <w:numId w:val="6"/>
        </w:numPr>
      </w:pPr>
      <w:r w:rsidRPr="00C917E2">
        <w:t xml:space="preserve">Given limited public spending levels, what sources of additional financing are possible? What mechanisms/reforms </w:t>
      </w:r>
      <w:r w:rsidR="00DC334A">
        <w:t>could</w:t>
      </w:r>
      <w:r w:rsidRPr="00C917E2">
        <w:t xml:space="preserve"> be put in place to mobilize such financing?</w:t>
      </w:r>
    </w:p>
    <w:p w14:paraId="221E4E0A" w14:textId="77777777" w:rsidR="00D229BB" w:rsidRPr="00C917E2" w:rsidRDefault="009275DE" w:rsidP="00845084">
      <w:pPr>
        <w:pStyle w:val="Numberparaes"/>
      </w:pPr>
      <w:r w:rsidRPr="00C917E2">
        <w:t>The PER is based on analysis of primary and secondary data as well as an extensive review of existing literature.</w:t>
      </w:r>
      <w:r w:rsidR="00FB5859" w:rsidRPr="00C917E2">
        <w:t xml:space="preserve"> </w:t>
      </w:r>
      <w:r w:rsidRPr="00C917E2">
        <w:t>The research was complemented by interviews with key stakeholders, and data collection from major development partners and domestic health funders, including private companies. Micro-level data from household and health facility survey</w:t>
      </w:r>
      <w:r w:rsidR="00A01AF1" w:rsidRPr="00C917E2">
        <w:t>s</w:t>
      </w:r>
      <w:r w:rsidRPr="00C917E2">
        <w:t xml:space="preserve"> </w:t>
      </w:r>
      <w:r w:rsidR="00502962">
        <w:t xml:space="preserve">in </w:t>
      </w:r>
      <w:r w:rsidR="00D26E20" w:rsidRPr="00C917E2">
        <w:t>May</w:t>
      </w:r>
      <w:r w:rsidR="00502962">
        <w:t>–</w:t>
      </w:r>
      <w:r w:rsidR="00D26E20" w:rsidRPr="00C917E2">
        <w:t>August 2014</w:t>
      </w:r>
      <w:r w:rsidRPr="00C917E2">
        <w:t xml:space="preserve"> </w:t>
      </w:r>
      <w:r w:rsidR="00502962">
        <w:t>(</w:t>
      </w:r>
      <w:r w:rsidRPr="00C917E2">
        <w:t>primarily for the impact evaluation of the Results</w:t>
      </w:r>
      <w:r w:rsidR="00F65FD9" w:rsidRPr="00C917E2">
        <w:t>-</w:t>
      </w:r>
      <w:r w:rsidRPr="00C917E2">
        <w:t xml:space="preserve">Based Financing (RBF) </w:t>
      </w:r>
      <w:r w:rsidR="00B928E0" w:rsidRPr="00C917E2">
        <w:t xml:space="preserve">program </w:t>
      </w:r>
      <w:r w:rsidR="009B26A2" w:rsidRPr="00C917E2">
        <w:t xml:space="preserve">supported </w:t>
      </w:r>
      <w:r w:rsidRPr="00C917E2">
        <w:t>by the World Bank</w:t>
      </w:r>
      <w:r w:rsidR="00502962">
        <w:t>)</w:t>
      </w:r>
      <w:r w:rsidR="00D229BB" w:rsidRPr="00C917E2">
        <w:rPr>
          <w:rStyle w:val="EndnoteReference"/>
        </w:rPr>
        <w:endnoteReference w:id="2"/>
      </w:r>
      <w:r w:rsidR="00D229BB" w:rsidRPr="00C917E2">
        <w:t xml:space="preserve"> complemented these scarce data. </w:t>
      </w:r>
    </w:p>
    <w:p w14:paraId="7FA49026" w14:textId="77777777" w:rsidR="00D229BB" w:rsidRPr="00C917E2" w:rsidRDefault="00D229BB" w:rsidP="00845084">
      <w:pPr>
        <w:pStyle w:val="Numberparaes"/>
      </w:pPr>
      <w:r w:rsidRPr="00C917E2">
        <w:t>The analysis was constrained by the lack of expenditure data disaggregated at subnational level and the limitations of the most recent (2010) National Health Accounts (NHA) data. That round was conducted when the country was emerging from an economic crisis; the volatility of pricing and currency at the time made it essentially impossible to generate expenditure figures. NHA 2010 therefore gives only a sense of the relative rather than precise figures.</w:t>
      </w:r>
    </w:p>
    <w:p w14:paraId="673AFCAF" w14:textId="77777777" w:rsidR="00D229BB" w:rsidRPr="00502962" w:rsidRDefault="00D229BB" w:rsidP="009275DE">
      <w:pPr>
        <w:pStyle w:val="Heading4"/>
      </w:pPr>
      <w:r w:rsidRPr="00502962">
        <w:t>Background—some improving health outcomes, but with inequities in distribution of staff and service utilization, and gaps in quality of care</w:t>
      </w:r>
    </w:p>
    <w:p w14:paraId="5CFCC194" w14:textId="20830EAE" w:rsidR="00D229BB" w:rsidRPr="00C917E2" w:rsidRDefault="00DC334A" w:rsidP="00845084">
      <w:pPr>
        <w:pStyle w:val="Numberparaes"/>
      </w:pPr>
      <w:r w:rsidRPr="00C917E2">
        <w:t xml:space="preserve">Zimbabwe has made some gains toward </w:t>
      </w:r>
      <w:r w:rsidRPr="00094370">
        <w:t>key Millennium</w:t>
      </w:r>
      <w:r w:rsidRPr="00C917E2">
        <w:t xml:space="preserve"> Development Goals (MDGs)</w:t>
      </w:r>
      <w:r>
        <w:t>, d</w:t>
      </w:r>
      <w:r w:rsidR="00D229BB" w:rsidRPr="00C917E2">
        <w:t>espite persisting inequities in health outcomes and a rapidly growing burden of noncommunicable diseases (NCDs)</w:t>
      </w:r>
      <w:r w:rsidR="00F45AA2">
        <w:t xml:space="preserve">. </w:t>
      </w:r>
      <w:r>
        <w:t>L</w:t>
      </w:r>
      <w:r w:rsidR="00D229BB" w:rsidRPr="00C917E2">
        <w:t>ife expectancy at birth</w:t>
      </w:r>
      <w:r>
        <w:t xml:space="preserve"> has improved</w:t>
      </w:r>
      <w:r w:rsidR="00D229BB" w:rsidRPr="00C917E2">
        <w:t xml:space="preserve"> and </w:t>
      </w:r>
      <w:r>
        <w:t xml:space="preserve">the country has seen a </w:t>
      </w:r>
      <w:r w:rsidR="00D229BB" w:rsidRPr="00C917E2">
        <w:t xml:space="preserve">reduction </w:t>
      </w:r>
      <w:r w:rsidR="00F45AA2">
        <w:t xml:space="preserve">in </w:t>
      </w:r>
      <w:r w:rsidR="00D229BB" w:rsidRPr="00C917E2">
        <w:t xml:space="preserve">maternal and infant mortality, as well as </w:t>
      </w:r>
      <w:r>
        <w:t xml:space="preserve">in the </w:t>
      </w:r>
      <w:r w:rsidR="00D229BB" w:rsidRPr="00C917E2">
        <w:t>prevalence of HIV and tuberculosis—though it is falling short o</w:t>
      </w:r>
      <w:r w:rsidR="00F45AA2">
        <w:t>f</w:t>
      </w:r>
      <w:r w:rsidR="00D229BB" w:rsidRPr="00C917E2">
        <w:t xml:space="preserve"> </w:t>
      </w:r>
      <w:r w:rsidR="00502962">
        <w:t xml:space="preserve">some other </w:t>
      </w:r>
      <w:r w:rsidR="00D229BB" w:rsidRPr="00C917E2">
        <w:t xml:space="preserve">MDG targets. NCDs have become increasingly important, responsible for 31 percent of all deaths in 2012. Changing lifestyles that include unhealthy diets, physical inactivity, risky sexual behaviors (especially among youth), and high smoking prevalence are further complicating the health profile. The burden of diseases and health risks disproportionately fall on poor and rural populations. </w:t>
      </w:r>
    </w:p>
    <w:p w14:paraId="679B3C34" w14:textId="77777777" w:rsidR="00D229BB" w:rsidRPr="00C917E2" w:rsidRDefault="00D229BB" w:rsidP="00845084">
      <w:pPr>
        <w:pStyle w:val="Numberparaes"/>
      </w:pPr>
      <w:r w:rsidRPr="00C917E2">
        <w:lastRenderedPageBreak/>
        <w:t xml:space="preserve">While the distribution of public and not-for-profit health facility infrastructure corresponds to the incidence of poverty, distribution of qualified health personnel does not. Zimbabwe has a large network of health facilities and there is a higher per capita distribution of facilities in provinces with higher incidence of poverty. The situation is different when it comes to distribution of key health personnel, who tend to be more concentrated in rich areas with lower incidence of poverty. </w:t>
      </w:r>
    </w:p>
    <w:p w14:paraId="4961973E" w14:textId="77777777" w:rsidR="00D229BB" w:rsidRPr="00C917E2" w:rsidRDefault="00502962" w:rsidP="00845084">
      <w:pPr>
        <w:pStyle w:val="Numberparaes"/>
      </w:pPr>
      <w:r w:rsidRPr="00C917E2">
        <w:t xml:space="preserve">Coverage </w:t>
      </w:r>
      <w:r w:rsidR="00D229BB" w:rsidRPr="00C917E2">
        <w:t xml:space="preserve">of services improved between 2009 and 2013, </w:t>
      </w:r>
      <w:r>
        <w:t xml:space="preserve">but </w:t>
      </w:r>
      <w:r w:rsidR="00D229BB" w:rsidRPr="00C917E2">
        <w:t>inequity in service utilization remains an issue and there is also a major deficit in quality of care. While all population segments in Zimbabwe were reported to forgo health care due to financial constraints to some degree, when seeking care poorer people typically rely on lower</w:t>
      </w:r>
      <w:r>
        <w:t>-</w:t>
      </w:r>
      <w:r w:rsidR="00D229BB" w:rsidRPr="00C917E2">
        <w:t xml:space="preserve">quality, low-level facilities, while richer people are more likely to use provincial or central hospitals, as well as private services. Across levels, major gaps stand out in practices for routine maternal and newborn services, among other priority services. </w:t>
      </w:r>
    </w:p>
    <w:p w14:paraId="3FF40522" w14:textId="3C2A33CA" w:rsidR="00D229BB" w:rsidRPr="00C917E2" w:rsidRDefault="00DC334A" w:rsidP="00845084">
      <w:pPr>
        <w:pStyle w:val="Numberparaes"/>
      </w:pPr>
      <w:r w:rsidRPr="00C917E2">
        <w:t xml:space="preserve">Chronic malnutrition is a major development </w:t>
      </w:r>
      <w:r>
        <w:t>issue, but</w:t>
      </w:r>
      <w:r w:rsidR="00D229BB" w:rsidRPr="00C917E2">
        <w:t xml:space="preserve"> few interventions are addressing micronutrient deficiencies in infants and young children or promoting appropriate complementary feeding practices. Nutrition interventions are short term and poorly coordinated, have low coverage rates, and are largely centered on screening and treating severely malnourished children in health clinics. </w:t>
      </w:r>
    </w:p>
    <w:p w14:paraId="0F75BA81" w14:textId="77777777" w:rsidR="00D229BB" w:rsidRPr="00502962" w:rsidRDefault="00D229BB" w:rsidP="003D2889">
      <w:pPr>
        <w:pStyle w:val="Heading4"/>
      </w:pPr>
      <w:r w:rsidRPr="00502962">
        <w:t>Health expenditures—imbalances and no clear resource allocation system</w:t>
      </w:r>
    </w:p>
    <w:p w14:paraId="32808F7A" w14:textId="77777777" w:rsidR="00D229BB" w:rsidRPr="00C917E2" w:rsidRDefault="00D229BB" w:rsidP="00845084">
      <w:pPr>
        <w:pStyle w:val="Numberparaes"/>
      </w:pPr>
      <w:r w:rsidRPr="00C917E2">
        <w:t>Total health expenditure per capita appears to compare favorably with the Sub-Saharan Africa average but spending is potentially regressive due to a high burden of household out-of-pocket (OOP) expenditures at point of care. Although the 2010</w:t>
      </w:r>
      <w:r w:rsidR="00B72993" w:rsidRPr="00C917E2">
        <w:t xml:space="preserve"> </w:t>
      </w:r>
      <w:r w:rsidRPr="00C917E2">
        <w:t xml:space="preserve">NHA cannot be used to assess exact sizes and shares, with the 2001 NHA it can be used to evaluate the relative importance of different sources: OOP is usually the largest source of financing for health, often followed by off-budget foreign aid and government spending. </w:t>
      </w:r>
    </w:p>
    <w:p w14:paraId="090D0009" w14:textId="3A11A9E5" w:rsidR="00D229BB" w:rsidRPr="00C917E2" w:rsidRDefault="00D229BB" w:rsidP="00845084">
      <w:pPr>
        <w:pStyle w:val="Numberparaes"/>
      </w:pPr>
      <w:r w:rsidRPr="00C917E2">
        <w:t>Between the NHA</w:t>
      </w:r>
      <w:r w:rsidR="00502962">
        <w:t>s</w:t>
      </w:r>
      <w:r w:rsidRPr="00C917E2">
        <w:t xml:space="preserve"> </w:t>
      </w:r>
      <w:r w:rsidR="00502962">
        <w:t xml:space="preserve">of </w:t>
      </w:r>
      <w:r w:rsidRPr="00C917E2">
        <w:t xml:space="preserve">2001 and 2010, the share of household OOP in total health expenditure increased, while government spending </w:t>
      </w:r>
      <w:r w:rsidR="00502962">
        <w:t xml:space="preserve">fell </w:t>
      </w:r>
      <w:r w:rsidRPr="00C917E2">
        <w:t xml:space="preserve">to low levels. Over the last five years for which expenditure data are available (2009–13), MOHCC spending on health accounted for 7–8 percent of total government spending. Off-budget foreign aid for health fluctuates </w:t>
      </w:r>
      <w:r w:rsidR="00DC334A">
        <w:t xml:space="preserve">significantly </w:t>
      </w:r>
      <w:r w:rsidRPr="00C917E2">
        <w:t xml:space="preserve">each year but has risen in the last few years, such that in 2012 it was about the same as total government expenditures on health. </w:t>
      </w:r>
    </w:p>
    <w:p w14:paraId="52C6FC09" w14:textId="65158230" w:rsidR="00D229BB" w:rsidRPr="00C917E2" w:rsidRDefault="00D229BB" w:rsidP="00845084">
      <w:pPr>
        <w:pStyle w:val="Numberparaes"/>
      </w:pPr>
      <w:r w:rsidRPr="00C917E2">
        <w:t>Expenditure efficiency analysis of the health sector, linking government health expenditures to outcomes based on global data for 123–177 countries (depending on the type of analysis) reveals a mixed picture: Zimbabwe ha</w:t>
      </w:r>
      <w:r w:rsidR="00DC334A">
        <w:t xml:space="preserve">d achieved </w:t>
      </w:r>
      <w:r w:rsidRPr="00C917E2">
        <w:t>a</w:t>
      </w:r>
      <w:r w:rsidR="00DC334A">
        <w:t>n advantage in</w:t>
      </w:r>
      <w:r w:rsidRPr="00C917E2">
        <w:t xml:space="preserve"> structural efficiency </w:t>
      </w:r>
      <w:r w:rsidR="00DC334A">
        <w:t xml:space="preserve">through </w:t>
      </w:r>
      <w:r w:rsidRPr="00C917E2">
        <w:t>better or equivalent mortality outcomes with lower expenditure</w:t>
      </w:r>
      <w:r w:rsidR="00502962">
        <w:t>,</w:t>
      </w:r>
      <w:r w:rsidRPr="00C917E2">
        <w:t xml:space="preserve"> but appears to have lost its advantage in more recent years. Still, for infant, child, and maternal mortality, a small increase in resources would likely help Zimbabwe make more than commensurate gains. </w:t>
      </w:r>
    </w:p>
    <w:p w14:paraId="36BFC9E6" w14:textId="05305B62" w:rsidR="00D229BB" w:rsidRPr="00C917E2" w:rsidRDefault="00D229BB" w:rsidP="00845084">
      <w:pPr>
        <w:pStyle w:val="Numberparaes"/>
      </w:pPr>
      <w:r w:rsidRPr="00C917E2">
        <w:t xml:space="preserve">The composition of government expenditure is </w:t>
      </w:r>
      <w:r w:rsidR="00502962">
        <w:t>un</w:t>
      </w:r>
      <w:r w:rsidRPr="00C917E2">
        <w:t>balanced on inputs (labor share) and outputs (curative v</w:t>
      </w:r>
      <w:r w:rsidR="000E7982">
        <w:t>ersu</w:t>
      </w:r>
      <w:r w:rsidRPr="00C917E2">
        <w:t xml:space="preserve">s preventive). A high share of MOHCC funding has been used to cover labor costs, crowding out capital investment, maintenance, and other expenditures for programs and service provision and creating a dependency on external financing. Given that wages are </w:t>
      </w:r>
      <w:r w:rsidR="00D258AD">
        <w:t xml:space="preserve">generally </w:t>
      </w:r>
      <w:r w:rsidRPr="00C917E2">
        <w:t xml:space="preserve">inflexible downward and that Zimbabwe struggles to staff medical facilities and retain qualified personnel, the situation is unsustainable. On outputs, nearly 90 percent of the budget goes to curative services (although its </w:t>
      </w:r>
      <w:r w:rsidR="00DC334A">
        <w:t>accounting</w:t>
      </w:r>
      <w:r w:rsidR="00DC334A" w:rsidRPr="00C917E2">
        <w:t xml:space="preserve"> </w:t>
      </w:r>
      <w:r w:rsidRPr="00C917E2">
        <w:t>does not allow us to separate all primary health from curative activities).</w:t>
      </w:r>
    </w:p>
    <w:p w14:paraId="76B15438" w14:textId="77777777" w:rsidR="00D229BB" w:rsidRPr="00C917E2" w:rsidRDefault="00D229BB" w:rsidP="00845084">
      <w:pPr>
        <w:pStyle w:val="Numberparaes"/>
      </w:pPr>
      <w:r w:rsidRPr="00C917E2">
        <w:t xml:space="preserve">Public health expenditure remains centralized and lacks clear interprovincial allocation criteria based on disease burden, population, and poverty. </w:t>
      </w:r>
      <w:r w:rsidR="00D35EE4">
        <w:t xml:space="preserve">In 2010, </w:t>
      </w:r>
      <w:r w:rsidR="00D35EE4" w:rsidRPr="00C917E2">
        <w:t xml:space="preserve">an </w:t>
      </w:r>
      <w:r w:rsidRPr="00C917E2">
        <w:t xml:space="preserve">estimated 97 percent of government funding for health </w:t>
      </w:r>
      <w:r w:rsidR="00D35EE4">
        <w:t>wa</w:t>
      </w:r>
      <w:r w:rsidRPr="00C917E2">
        <w:t xml:space="preserve">s channeled through the central government. Some </w:t>
      </w:r>
      <w:r w:rsidRPr="00C917E2" w:rsidDel="002C2AD2">
        <w:t>30</w:t>
      </w:r>
      <w:r w:rsidRPr="00C917E2">
        <w:t>–5</w:t>
      </w:r>
      <w:r w:rsidRPr="00C917E2" w:rsidDel="002C2AD2">
        <w:t>0</w:t>
      </w:r>
      <w:r w:rsidRPr="00C917E2">
        <w:t> percent</w:t>
      </w:r>
      <w:r w:rsidRPr="00C917E2" w:rsidDel="002C2AD2">
        <w:t xml:space="preserve"> of all MOHCC </w:t>
      </w:r>
      <w:r w:rsidRPr="00C917E2" w:rsidDel="002C2AD2">
        <w:lastRenderedPageBreak/>
        <w:t xml:space="preserve">allocation to government service providers goes to five major hospitals, the </w:t>
      </w:r>
      <w:r w:rsidRPr="00C917E2">
        <w:t xml:space="preserve">rest to the </w:t>
      </w:r>
      <w:r w:rsidRPr="00C917E2" w:rsidDel="002C2AD2">
        <w:t xml:space="preserve">provinces. </w:t>
      </w:r>
      <w:r w:rsidRPr="00C917E2">
        <w:t xml:space="preserve">Public funds are disbursed to provinces along budget lines, leaving little discretion for front-line service providers. </w:t>
      </w:r>
    </w:p>
    <w:p w14:paraId="0BF8D61E" w14:textId="67D51FA7" w:rsidR="00D229BB" w:rsidRPr="00C917E2" w:rsidRDefault="00D229BB" w:rsidP="00845084">
      <w:pPr>
        <w:pStyle w:val="Numberparaes"/>
      </w:pPr>
      <w:r w:rsidRPr="00C917E2">
        <w:t xml:space="preserve">Except for the HIV/AIDS program for which funding is channeled through the National Aids Council (NAC), major public health programs receive minimal financial disbursements from domestic funds. The NAC accounted for 9.5 percent of government health expenditures in 2013. The AIDS </w:t>
      </w:r>
      <w:r w:rsidR="006F26E4" w:rsidRPr="00C917E2">
        <w:t xml:space="preserve">levy </w:t>
      </w:r>
      <w:r w:rsidRPr="00C917E2">
        <w:t>on individuals, companies, and trusts, introduced in 2000,</w:t>
      </w:r>
      <w:r w:rsidR="00B72993" w:rsidRPr="00C917E2">
        <w:t xml:space="preserve"> </w:t>
      </w:r>
      <w:r w:rsidRPr="00C917E2">
        <w:t>has become its main source of financing</w:t>
      </w:r>
      <w:r w:rsidR="00D35EE4">
        <w:t>—</w:t>
      </w:r>
      <w:r w:rsidRPr="00C917E2">
        <w:t xml:space="preserve">reflecting the country’s ability to mobilize domestic financing for health priorities and to generate a cushion for fluctuations in donor funding. The levy amounted to US$35 million in 2013, one of the largest sources of funding for HIV/AIDS. </w:t>
      </w:r>
    </w:p>
    <w:p w14:paraId="643AF46B" w14:textId="77777777" w:rsidR="00D229BB" w:rsidRPr="00C917E2" w:rsidRDefault="00D229BB" w:rsidP="00845084">
      <w:pPr>
        <w:pStyle w:val="Numberparaes"/>
      </w:pPr>
      <w:r w:rsidRPr="00C917E2">
        <w:t xml:space="preserve">While external financing is larger than government domestic health financing, there is no institutionalized mechanism to coordinate the two systems. Although donor health </w:t>
      </w:r>
      <w:r w:rsidR="00F234E5">
        <w:t xml:space="preserve">spending </w:t>
      </w:r>
      <w:r w:rsidRPr="00C917E2">
        <w:t xml:space="preserve">per capita in Zimbabwe is smaller than in several neighboring countries, its share in total health spending has jumped since 2001, albeit fitfully. In 2012, total disbursements of official development assistance for health were around 50 percent higher than MOHCC spending. External funding focuses largely on </w:t>
      </w:r>
      <w:r w:rsidR="00F234E5">
        <w:t xml:space="preserve">the </w:t>
      </w:r>
      <w:r w:rsidRPr="00C917E2">
        <w:t xml:space="preserve">MDGs and public health programs, although there has been a recent shift from disease-specific funding to broader health-system support, such as the Global Fund to Fight AIDS, Tuberculosis and Malaria and the Health Transition Fund, as well as a focus on results as spearheaded by the RBF program. </w:t>
      </w:r>
    </w:p>
    <w:p w14:paraId="44BF9D90" w14:textId="2B2E8051" w:rsidR="00D229BB" w:rsidRPr="00C917E2" w:rsidRDefault="00D229BB" w:rsidP="00845084">
      <w:pPr>
        <w:pStyle w:val="Numberparaes"/>
      </w:pPr>
      <w:r w:rsidRPr="00C917E2">
        <w:t xml:space="preserve">Although OOP </w:t>
      </w:r>
      <w:r w:rsidR="00A03C0F">
        <w:t>spending</w:t>
      </w:r>
      <w:r w:rsidR="00A03C0F" w:rsidRPr="00C917E2">
        <w:t xml:space="preserve"> </w:t>
      </w:r>
      <w:r w:rsidRPr="00C917E2">
        <w:t>is large relative to other sources of health financing, the Poverty, Income, Consumption and Expenditure Survey (PICES) of 2011/12 reveals that incidence of catastrophic expenditure is low and that regressivity is not necessarily an issue</w:t>
      </w:r>
      <w:r w:rsidR="00DC334A">
        <w:t>. However,</w:t>
      </w:r>
      <w:r w:rsidRPr="00C917E2">
        <w:t xml:space="preserve"> the</w:t>
      </w:r>
      <w:r w:rsidR="00DC334A">
        <w:t>se</w:t>
      </w:r>
      <w:r w:rsidRPr="00C917E2">
        <w:t xml:space="preserve"> findings need to be interpreted with caution in light of</w:t>
      </w:r>
      <w:r w:rsidR="00B72993" w:rsidRPr="00C917E2">
        <w:t xml:space="preserve"> </w:t>
      </w:r>
      <w:r w:rsidRPr="00C917E2">
        <w:t xml:space="preserve">potential data quality, small sample size, utilization patterns, and service quality issues. The analysis likely underestimates OOP </w:t>
      </w:r>
      <w:r w:rsidR="00A03C0F">
        <w:t xml:space="preserve">spending </w:t>
      </w:r>
      <w:r w:rsidRPr="00C917E2">
        <w:t xml:space="preserve">due to the simplicity of the PICES questionnaire. OOP expenditures are also conditional on utilization: given low rates of health facilities in case of illness across all wealth quintiles and the fact that affordability is most often given as the main reason not to seek care (in all quintiles), it appears that many Zimbabwean choose to forgo health care rather than become impoverished. Also, the poor may </w:t>
      </w:r>
      <w:r w:rsidR="00A03C0F">
        <w:t xml:space="preserve">have </w:t>
      </w:r>
      <w:r w:rsidRPr="00C917E2">
        <w:t xml:space="preserve">lower OOP </w:t>
      </w:r>
      <w:r w:rsidR="00A03C0F">
        <w:t xml:space="preserve">spending </w:t>
      </w:r>
      <w:r w:rsidRPr="00C917E2">
        <w:t>but also receive lower service quality</w:t>
      </w:r>
      <w:r w:rsidR="00A03C0F">
        <w:t>,</w:t>
      </w:r>
      <w:r w:rsidRPr="00C917E2">
        <w:t xml:space="preserve"> given the type of facilities they most often visit. </w:t>
      </w:r>
    </w:p>
    <w:p w14:paraId="060C7E59" w14:textId="77777777" w:rsidR="00D229BB" w:rsidRPr="00C917E2" w:rsidRDefault="00D229BB" w:rsidP="00845084">
      <w:pPr>
        <w:pStyle w:val="Numberparaes"/>
      </w:pPr>
      <w:r w:rsidRPr="00C917E2">
        <w:t>Direct user fees remain an important source of funding for district, mission, central, and local government facilities, and some provinces with high incidence of poverty bear a disproportionately large burden of user fees. Rural health centers rely on user fees for close to 15 percent of their income. As some of these health centers do not collect user fees as part of the RBF program, such reliance must be quite steep in non-RBF facilities. This points to the low capacity of poor provinces to raise revenue from other sources.</w:t>
      </w:r>
    </w:p>
    <w:p w14:paraId="2857D86D" w14:textId="77777777" w:rsidR="00D229BB" w:rsidRPr="00C917E2" w:rsidRDefault="00D229BB" w:rsidP="00845084">
      <w:pPr>
        <w:pStyle w:val="Numberparaes"/>
      </w:pPr>
      <w:r w:rsidRPr="00C917E2">
        <w:t xml:space="preserve">Private funding of health other than OOP comes mostly from private insurance companies, in a highly inequitable system covering a very small share of the population. For example, expenditure of the second-largest insurance scheme in 2013 amounted to more than one-third of the entire MOHCC budget. </w:t>
      </w:r>
    </w:p>
    <w:p w14:paraId="4D169B00" w14:textId="77777777" w:rsidR="00D229BB" w:rsidRPr="00C917E2" w:rsidRDefault="00D229BB" w:rsidP="009275DE">
      <w:pPr>
        <w:pStyle w:val="Heading4"/>
      </w:pPr>
      <w:r w:rsidRPr="00C917E2">
        <w:t>Resource mobilization—more needed, alongside more efficient spending</w:t>
      </w:r>
    </w:p>
    <w:p w14:paraId="77451AD3" w14:textId="29055523" w:rsidR="00D229BB" w:rsidRPr="00C917E2" w:rsidRDefault="00D229BB" w:rsidP="00845084">
      <w:pPr>
        <w:pStyle w:val="Numberparaes"/>
      </w:pPr>
      <w:r w:rsidRPr="00C917E2">
        <w:t xml:space="preserve">Given limited resources, not only is more money needed </w:t>
      </w:r>
      <w:r w:rsidR="00DC334A" w:rsidRPr="00C917E2">
        <w:t>for health</w:t>
      </w:r>
      <w:r w:rsidR="00DC334A">
        <w:t xml:space="preserve"> service delivery</w:t>
      </w:r>
      <w:r w:rsidR="00DC334A" w:rsidRPr="00C917E2">
        <w:t xml:space="preserve"> </w:t>
      </w:r>
      <w:r w:rsidRPr="00C917E2">
        <w:t xml:space="preserve">but also </w:t>
      </w:r>
      <w:r w:rsidR="006F26E4">
        <w:t xml:space="preserve">for </w:t>
      </w:r>
      <w:r w:rsidRPr="00C917E2">
        <w:t>better quality of expenditures.</w:t>
      </w:r>
      <w:r w:rsidR="00B72993" w:rsidRPr="00C917E2">
        <w:t xml:space="preserve"> </w:t>
      </w:r>
      <w:r w:rsidRPr="00C917E2">
        <w:t xml:space="preserve">In preparation for donors phasing out </w:t>
      </w:r>
      <w:r w:rsidR="00DC334A">
        <w:t xml:space="preserve">financing of </w:t>
      </w:r>
      <w:r w:rsidRPr="00C917E2">
        <w:t>high</w:t>
      </w:r>
      <w:r w:rsidR="00F234E5">
        <w:t>-</w:t>
      </w:r>
      <w:r w:rsidRPr="00C917E2">
        <w:t>impact health intervention</w:t>
      </w:r>
      <w:r w:rsidR="007F0043">
        <w:t>s</w:t>
      </w:r>
      <w:r w:rsidRPr="00C917E2">
        <w:t xml:space="preserve"> (such as the Prevention of Mother to Child Transmission of HIV/AIDS intervention, the bulk of whose funding by development partners is committed only up to December 2015), the MOFED and MOHCC need to prioritize cofinancing investments such that, over time, donor financing decreases and government financing increases. This requires careful economic and fiscal analysis to </w:t>
      </w:r>
      <w:r w:rsidRPr="00C917E2">
        <w:lastRenderedPageBreak/>
        <w:t xml:space="preserve">ensure </w:t>
      </w:r>
      <w:r w:rsidR="00F234E5">
        <w:t xml:space="preserve">that </w:t>
      </w:r>
      <w:r w:rsidRPr="00C917E2">
        <w:t xml:space="preserve">the proposed model does not prematurely overburden the MOFED’s limited resources in the short term. </w:t>
      </w:r>
    </w:p>
    <w:p w14:paraId="312309F6" w14:textId="77777777" w:rsidR="00D229BB" w:rsidRPr="00C917E2" w:rsidRDefault="00D229BB" w:rsidP="00845084">
      <w:pPr>
        <w:pStyle w:val="Numberparaes"/>
      </w:pPr>
      <w:r w:rsidRPr="00C917E2">
        <w:t>While external partners’ financing continues to play a key role in the health sector, it is important for the government to prioritize expenditures in health, especially primary care, medicines, and supplies, while reducing the weight of salaries (overall and in health).</w:t>
      </w:r>
    </w:p>
    <w:p w14:paraId="2841FF35" w14:textId="79031F75" w:rsidR="00D229BB" w:rsidRPr="00F45AA2" w:rsidRDefault="00D229BB" w:rsidP="00845084">
      <w:pPr>
        <w:pStyle w:val="Numberparaes"/>
      </w:pPr>
      <w:r w:rsidRPr="00F45AA2">
        <w:t xml:space="preserve">Large savings can be made </w:t>
      </w:r>
      <w:r w:rsidR="00416A23" w:rsidRPr="00F45AA2">
        <w:t xml:space="preserve">by improving the efficiency and avoiding overlapping of </w:t>
      </w:r>
      <w:r w:rsidRPr="00F45AA2">
        <w:t>external funding</w:t>
      </w:r>
      <w:r w:rsidR="00416A23" w:rsidRPr="00F45AA2">
        <w:t>, evidenced in the large amount of off-budget support and the low ability to track, monitor, and coordinate external funding by the MOHCC and M</w:t>
      </w:r>
      <w:r w:rsidR="00F63131" w:rsidRPr="00F45AA2">
        <w:t>OFED</w:t>
      </w:r>
      <w:r w:rsidR="00F45AA2">
        <w:t>.</w:t>
      </w:r>
      <w:r w:rsidR="00416A23" w:rsidRPr="00F45AA2">
        <w:t xml:space="preserve"> </w:t>
      </w:r>
      <w:r w:rsidR="00FD3FB3" w:rsidRPr="00F45AA2">
        <w:t xml:space="preserve">Improvements in these </w:t>
      </w:r>
      <w:r w:rsidR="00F45AA2">
        <w:t xml:space="preserve">areas </w:t>
      </w:r>
      <w:r w:rsidRPr="00F45AA2">
        <w:t xml:space="preserve">requires better collaboration, transparency, and trust between development partners and the government. The multiple </w:t>
      </w:r>
      <w:r w:rsidR="00B429AF" w:rsidRPr="00F45AA2">
        <w:t>implementation channels</w:t>
      </w:r>
      <w:r w:rsidR="00F45AA2">
        <w:t>,</w:t>
      </w:r>
      <w:r w:rsidR="00B429AF" w:rsidRPr="00F45AA2">
        <w:t xml:space="preserve"> which include</w:t>
      </w:r>
      <w:r w:rsidRPr="00F45AA2">
        <w:t xml:space="preserve"> nongovernmental organizations and the private sector</w:t>
      </w:r>
      <w:r w:rsidR="00F45AA2">
        <w:t>,</w:t>
      </w:r>
      <w:r w:rsidRPr="00F45AA2">
        <w:t xml:space="preserve"> cause a fragmented health sector and </w:t>
      </w:r>
      <w:r w:rsidR="00F63131" w:rsidRPr="00F45AA2">
        <w:t xml:space="preserve">potentially </w:t>
      </w:r>
      <w:r w:rsidRPr="00F45AA2">
        <w:t>high overheads.</w:t>
      </w:r>
    </w:p>
    <w:p w14:paraId="06E849C2" w14:textId="77777777" w:rsidR="00D229BB" w:rsidRPr="00C917E2" w:rsidRDefault="00D229BB" w:rsidP="009275DE">
      <w:pPr>
        <w:pStyle w:val="Heading4"/>
      </w:pPr>
      <w:r w:rsidRPr="00C917E2">
        <w:t>Recommendations</w:t>
      </w:r>
    </w:p>
    <w:p w14:paraId="18623F1E" w14:textId="77777777" w:rsidR="00D229BB" w:rsidRDefault="00D229BB" w:rsidP="00845084">
      <w:pPr>
        <w:pStyle w:val="Numberparaes"/>
      </w:pPr>
      <w:r w:rsidRPr="00C917E2">
        <w:t xml:space="preserve">The PER makes the following recommendations: </w:t>
      </w:r>
    </w:p>
    <w:p w14:paraId="6E7C4E27" w14:textId="193BE6CA" w:rsidR="0058757A" w:rsidRPr="007669F3" w:rsidRDefault="0058757A" w:rsidP="00F45AA2">
      <w:pPr>
        <w:jc w:val="both"/>
        <w:rPr>
          <w:sz w:val="20"/>
          <w:szCs w:val="20"/>
        </w:rPr>
      </w:pPr>
      <w:r w:rsidRPr="007669F3">
        <w:rPr>
          <w:sz w:val="20"/>
          <w:szCs w:val="20"/>
        </w:rPr>
        <w:t xml:space="preserve">Resource </w:t>
      </w:r>
      <w:r w:rsidR="00777AD0" w:rsidRPr="007669F3">
        <w:rPr>
          <w:sz w:val="20"/>
          <w:szCs w:val="20"/>
        </w:rPr>
        <w:t xml:space="preserve">Planning, </w:t>
      </w:r>
      <w:r w:rsidRPr="007669F3">
        <w:rPr>
          <w:sz w:val="20"/>
          <w:szCs w:val="20"/>
        </w:rPr>
        <w:t>Mobilization</w:t>
      </w:r>
      <w:r w:rsidR="00AA119C">
        <w:rPr>
          <w:sz w:val="20"/>
          <w:szCs w:val="20"/>
        </w:rPr>
        <w:t>,</w:t>
      </w:r>
      <w:r w:rsidRPr="007669F3">
        <w:rPr>
          <w:sz w:val="20"/>
          <w:szCs w:val="20"/>
        </w:rPr>
        <w:t xml:space="preserve"> and Coordination</w:t>
      </w:r>
    </w:p>
    <w:p w14:paraId="5E0B77E8" w14:textId="03F01923" w:rsidR="0058757A" w:rsidRPr="00C917E2" w:rsidRDefault="0058757A" w:rsidP="0058757A">
      <w:pPr>
        <w:pStyle w:val="ListParagraph"/>
        <w:numPr>
          <w:ilvl w:val="0"/>
          <w:numId w:val="6"/>
        </w:numPr>
        <w:spacing w:after="120"/>
        <w:ind w:left="567" w:hanging="567"/>
        <w:contextualSpacing w:val="0"/>
        <w:jc w:val="both"/>
      </w:pPr>
      <w:r w:rsidRPr="00C917E2">
        <w:t xml:space="preserve">The government should </w:t>
      </w:r>
      <w:r>
        <w:t xml:space="preserve">consider </w:t>
      </w:r>
      <w:r w:rsidRPr="00C917E2">
        <w:t>increas</w:t>
      </w:r>
      <w:r>
        <w:t>ing</w:t>
      </w:r>
      <w:r w:rsidRPr="00C917E2">
        <w:t xml:space="preserve"> its own allocation </w:t>
      </w:r>
      <w:r w:rsidR="006F26E4">
        <w:t>t</w:t>
      </w:r>
      <w:r w:rsidRPr="00C917E2">
        <w:t xml:space="preserve">o health </w:t>
      </w:r>
      <w:r w:rsidR="006F26E4">
        <w:t xml:space="preserve">so as </w:t>
      </w:r>
      <w:r w:rsidRPr="00C917E2">
        <w:t xml:space="preserve">to reduce reliance on donors and OOP spending. </w:t>
      </w:r>
      <w:r w:rsidR="004A2952">
        <w:t>T</w:t>
      </w:r>
      <w:r w:rsidRPr="00C917E2">
        <w:t xml:space="preserve">arget areas for domestic resource mobilization </w:t>
      </w:r>
      <w:r w:rsidR="004A2952">
        <w:t xml:space="preserve">could </w:t>
      </w:r>
      <w:r w:rsidRPr="00C917E2">
        <w:t xml:space="preserve">include “sin taxes” on tobacco </w:t>
      </w:r>
      <w:r w:rsidR="000B741E">
        <w:t>use of mechanisms such as</w:t>
      </w:r>
      <w:r w:rsidRPr="00C917E2">
        <w:t xml:space="preserve"> the AIDS levy</w:t>
      </w:r>
      <w:r w:rsidR="00416A23">
        <w:t xml:space="preserve"> for </w:t>
      </w:r>
      <w:r w:rsidR="000B741E">
        <w:t xml:space="preserve">emerging </w:t>
      </w:r>
      <w:r w:rsidR="00416A23">
        <w:t>health priorities</w:t>
      </w:r>
      <w:r w:rsidRPr="00C917E2">
        <w:t xml:space="preserve">. </w:t>
      </w:r>
    </w:p>
    <w:p w14:paraId="742C5FB7" w14:textId="01C85E60" w:rsidR="0058757A" w:rsidRDefault="0058757A" w:rsidP="0058757A">
      <w:pPr>
        <w:pStyle w:val="ListParagraph"/>
        <w:numPr>
          <w:ilvl w:val="0"/>
          <w:numId w:val="6"/>
        </w:numPr>
        <w:spacing w:after="120"/>
        <w:ind w:left="567" w:hanging="567"/>
        <w:contextualSpacing w:val="0"/>
        <w:jc w:val="both"/>
      </w:pPr>
      <w:r w:rsidRPr="00C917E2">
        <w:t xml:space="preserve">The MOHCC and MOFED should be more active in coordinating donor support and harmonizing health funding, by institutionalizing resource planning, mapping, and tracking mechanisms. Together they should work with the Health Development Partners Forum. </w:t>
      </w:r>
    </w:p>
    <w:p w14:paraId="4BF41F95" w14:textId="190230CA" w:rsidR="00777AD0" w:rsidRDefault="00777AD0" w:rsidP="00777AD0">
      <w:pPr>
        <w:pStyle w:val="ListParagraph"/>
        <w:numPr>
          <w:ilvl w:val="0"/>
          <w:numId w:val="6"/>
        </w:numPr>
        <w:spacing w:after="120"/>
        <w:ind w:left="567" w:hanging="567"/>
        <w:contextualSpacing w:val="0"/>
        <w:jc w:val="both"/>
      </w:pPr>
      <w:r w:rsidRPr="00C917E2">
        <w:t>The MOHCC and development partners need to develop sustainability plans to prepare for donors phasing out high-impact health interventions. Such planning requires empirical analysis of the performance of the national budget, health sector expenditures, and costing of health interventions.</w:t>
      </w:r>
    </w:p>
    <w:p w14:paraId="5D617D2D" w14:textId="08169574" w:rsidR="00777AD0" w:rsidRPr="00C917E2" w:rsidRDefault="00E25B16" w:rsidP="00777AD0">
      <w:pPr>
        <w:pStyle w:val="ListParagraph"/>
        <w:numPr>
          <w:ilvl w:val="0"/>
          <w:numId w:val="6"/>
        </w:numPr>
        <w:spacing w:after="120"/>
        <w:ind w:left="567" w:hanging="567"/>
        <w:contextualSpacing w:val="0"/>
        <w:jc w:val="both"/>
      </w:pPr>
      <w:r>
        <w:t>The potential</w:t>
      </w:r>
      <w:r w:rsidR="00777AD0">
        <w:t xml:space="preserve"> to engage and mobilize private sector partnerships and funding exists</w:t>
      </w:r>
      <w:r w:rsidR="006830F3">
        <w:t>,</w:t>
      </w:r>
      <w:r w:rsidR="00777AD0">
        <w:t xml:space="preserve"> based on examples of private sector companies in the mining and mobile</w:t>
      </w:r>
      <w:r>
        <w:t xml:space="preserve"> telecommunications</w:t>
      </w:r>
      <w:r w:rsidR="00777AD0">
        <w:t xml:space="preserve"> sector investing in health and other human development initiatives</w:t>
      </w:r>
      <w:r w:rsidR="00416A23">
        <w:t>, as well as</w:t>
      </w:r>
      <w:r w:rsidR="00777AD0">
        <w:t xml:space="preserve"> a</w:t>
      </w:r>
      <w:r w:rsidR="00416A23">
        <w:t xml:space="preserve"> rather large and</w:t>
      </w:r>
      <w:r w:rsidR="00777AD0">
        <w:t xml:space="preserve"> active private health insurance sector. </w:t>
      </w:r>
      <w:r>
        <w:t>There is</w:t>
      </w:r>
      <w:r w:rsidR="00416A23">
        <w:t xml:space="preserve"> a</w:t>
      </w:r>
      <w:r>
        <w:t xml:space="preserve"> need for research to build robust evidence on these opportunities in the short and medium term.</w:t>
      </w:r>
    </w:p>
    <w:p w14:paraId="66D52289" w14:textId="77777777" w:rsidR="00777AD0" w:rsidRPr="00C917E2" w:rsidRDefault="00777AD0" w:rsidP="00777AD0">
      <w:pPr>
        <w:pStyle w:val="ListParagraph"/>
        <w:spacing w:after="120"/>
        <w:ind w:left="567"/>
        <w:contextualSpacing w:val="0"/>
        <w:jc w:val="both"/>
      </w:pPr>
    </w:p>
    <w:p w14:paraId="725599B9" w14:textId="347ED38D" w:rsidR="0058757A" w:rsidRPr="007669F3" w:rsidRDefault="0058757A" w:rsidP="0058757A">
      <w:pPr>
        <w:jc w:val="both"/>
        <w:rPr>
          <w:sz w:val="20"/>
          <w:szCs w:val="20"/>
        </w:rPr>
      </w:pPr>
      <w:r w:rsidRPr="007669F3">
        <w:rPr>
          <w:sz w:val="20"/>
          <w:szCs w:val="20"/>
        </w:rPr>
        <w:t>Allocative and Expenditure Efficiency</w:t>
      </w:r>
    </w:p>
    <w:p w14:paraId="1F204835" w14:textId="77777777" w:rsidR="0058757A" w:rsidRDefault="0058757A" w:rsidP="0058757A">
      <w:pPr>
        <w:pStyle w:val="ListParagraph"/>
        <w:numPr>
          <w:ilvl w:val="0"/>
          <w:numId w:val="6"/>
        </w:numPr>
        <w:spacing w:after="120"/>
        <w:ind w:left="567" w:hanging="567"/>
        <w:contextualSpacing w:val="0"/>
        <w:jc w:val="both"/>
      </w:pPr>
      <w:r w:rsidRPr="00C917E2">
        <w:t xml:space="preserve">Zimbabwe should improve the allocative efficiency of government expenditures and place higher priority on health prevention, linking payment to results so as to secure greater technical and allocative efficiency (as seen in the RBF program). The MOFED and MOHCC should also explore rolling out performance-based mechanisms to improve health worker productivity, especially at primary and secondary levels where the majority of the population accesses health care. </w:t>
      </w:r>
    </w:p>
    <w:p w14:paraId="6F230358" w14:textId="77777777" w:rsidR="00777AD0" w:rsidRDefault="00864415" w:rsidP="00864415">
      <w:pPr>
        <w:pStyle w:val="ListParagraph"/>
        <w:numPr>
          <w:ilvl w:val="0"/>
          <w:numId w:val="6"/>
        </w:numPr>
        <w:spacing w:after="120"/>
        <w:ind w:left="567" w:hanging="567"/>
        <w:contextualSpacing w:val="0"/>
        <w:jc w:val="both"/>
      </w:pPr>
      <w:r w:rsidRPr="00C917E2">
        <w:t xml:space="preserve">The government needs to increase domestic funding for procuring and allocating medicines and supplies, as well as retaining health personnel. Performance-linked staff incentives should be adopted, so as to not further raise the already huge share of wages in government health expenditures. </w:t>
      </w:r>
    </w:p>
    <w:p w14:paraId="05BB8F04" w14:textId="65702A8D" w:rsidR="00864415" w:rsidRDefault="00777AD0" w:rsidP="00777AD0">
      <w:pPr>
        <w:pStyle w:val="ListParagraph"/>
        <w:numPr>
          <w:ilvl w:val="0"/>
          <w:numId w:val="6"/>
        </w:numPr>
        <w:spacing w:after="120"/>
        <w:ind w:left="567" w:hanging="567"/>
        <w:contextualSpacing w:val="0"/>
        <w:jc w:val="both"/>
      </w:pPr>
      <w:r w:rsidRPr="00C917E2">
        <w:lastRenderedPageBreak/>
        <w:t>Development partners and the MOHCC need to harmonize the multiple parallel financing mechanisms</w:t>
      </w:r>
      <w:r>
        <w:t xml:space="preserve"> supported by multiple implementing entities</w:t>
      </w:r>
      <w:r w:rsidR="00C448D1">
        <w:t>,</w:t>
      </w:r>
      <w:r w:rsidRPr="00C917E2" w:rsidDel="00D57F95">
        <w:t xml:space="preserve"> </w:t>
      </w:r>
      <w:r w:rsidRPr="00C917E2">
        <w:t xml:space="preserve">and </w:t>
      </w:r>
      <w:r w:rsidR="00C448D1">
        <w:t xml:space="preserve">to </w:t>
      </w:r>
      <w:r w:rsidRPr="00C917E2">
        <w:t xml:space="preserve">improve transparency in reporting. </w:t>
      </w:r>
    </w:p>
    <w:p w14:paraId="3679F95A" w14:textId="77777777" w:rsidR="007669F3" w:rsidRPr="00C917E2" w:rsidRDefault="007669F3" w:rsidP="007669F3"/>
    <w:p w14:paraId="5771F4DC" w14:textId="5FB394F5" w:rsidR="0058757A" w:rsidRPr="007669F3" w:rsidRDefault="00864415" w:rsidP="00864415">
      <w:pPr>
        <w:jc w:val="both"/>
        <w:rPr>
          <w:sz w:val="20"/>
          <w:szCs w:val="20"/>
        </w:rPr>
      </w:pPr>
      <w:r w:rsidRPr="007669F3">
        <w:rPr>
          <w:sz w:val="20"/>
          <w:szCs w:val="20"/>
        </w:rPr>
        <w:t xml:space="preserve">Geographic and Poverty Targeting/Addressing Regressive Expenditures </w:t>
      </w:r>
    </w:p>
    <w:p w14:paraId="34A3B970" w14:textId="77777777" w:rsidR="00864415" w:rsidRDefault="00F234E5" w:rsidP="00864415">
      <w:pPr>
        <w:pStyle w:val="ListParagraph"/>
        <w:numPr>
          <w:ilvl w:val="0"/>
          <w:numId w:val="6"/>
        </w:numPr>
        <w:spacing w:after="120"/>
        <w:ind w:left="567" w:hanging="567"/>
        <w:contextualSpacing w:val="0"/>
        <w:jc w:val="both"/>
      </w:pPr>
      <w:r w:rsidRPr="00C917E2">
        <w:t xml:space="preserve">Supported </w:t>
      </w:r>
      <w:r w:rsidR="00D229BB" w:rsidRPr="00C917E2">
        <w:t xml:space="preserve">by development partners, </w:t>
      </w:r>
      <w:r w:rsidRPr="00C917E2">
        <w:t xml:space="preserve">the government </w:t>
      </w:r>
      <w:r w:rsidR="00D229BB" w:rsidRPr="00C917E2">
        <w:t xml:space="preserve">should lower the cost of accessing care at point of care—especially by low-income households—while improving coverage, quality, and distribution. The myriad challenges tied to user fees should be addressed through introducing and scaling up supply- and demand-side mechanisms, like RBF, as well as voucher schemes (financing a package of predefined services for poor households), and possibly via expanded insurance. </w:t>
      </w:r>
    </w:p>
    <w:p w14:paraId="7AC3C06A" w14:textId="3523A9C0" w:rsidR="00777AD0" w:rsidRPr="00777AD0" w:rsidRDefault="00864415" w:rsidP="00777AD0">
      <w:pPr>
        <w:pStyle w:val="ListParagraph"/>
        <w:numPr>
          <w:ilvl w:val="0"/>
          <w:numId w:val="6"/>
        </w:numPr>
        <w:spacing w:after="120"/>
        <w:ind w:left="567" w:hanging="567"/>
        <w:contextualSpacing w:val="0"/>
        <w:jc w:val="both"/>
      </w:pPr>
      <w:r w:rsidRPr="00864415">
        <w:rPr>
          <w:rFonts w:eastAsia="Times New Roman"/>
          <w:color w:val="000000"/>
          <w:kern w:val="3"/>
        </w:rPr>
        <w:t xml:space="preserve">Inequities in human resources for health distribution narrow the range and undermine </w:t>
      </w:r>
      <w:r w:rsidR="006D4F6F">
        <w:rPr>
          <w:rFonts w:eastAsia="Times New Roman"/>
          <w:color w:val="000000"/>
          <w:kern w:val="3"/>
        </w:rPr>
        <w:t xml:space="preserve">the </w:t>
      </w:r>
      <w:r w:rsidRPr="00864415">
        <w:rPr>
          <w:rFonts w:eastAsia="Times New Roman"/>
          <w:color w:val="000000"/>
          <w:kern w:val="3"/>
        </w:rPr>
        <w:t>quality of services accessible to all areas of the country and segments of the population</w:t>
      </w:r>
      <w:r w:rsidR="006D4F6F">
        <w:rPr>
          <w:rFonts w:eastAsia="Times New Roman"/>
          <w:color w:val="000000"/>
          <w:kern w:val="3"/>
        </w:rPr>
        <w:t>.</w:t>
      </w:r>
      <w:r w:rsidRPr="00864415">
        <w:rPr>
          <w:rFonts w:eastAsia="Times New Roman"/>
          <w:color w:val="000000"/>
          <w:kern w:val="3"/>
        </w:rPr>
        <w:t xml:space="preserve"> </w:t>
      </w:r>
      <w:r w:rsidR="006D4F6F">
        <w:rPr>
          <w:rFonts w:eastAsia="Times New Roman"/>
          <w:color w:val="000000"/>
          <w:kern w:val="3"/>
        </w:rPr>
        <w:t xml:space="preserve">These </w:t>
      </w:r>
      <w:r w:rsidR="006D4F6F" w:rsidRPr="00864415">
        <w:rPr>
          <w:rFonts w:eastAsia="Times New Roman"/>
          <w:color w:val="000000"/>
          <w:kern w:val="3"/>
        </w:rPr>
        <w:t xml:space="preserve">inequities </w:t>
      </w:r>
      <w:r w:rsidRPr="00864415">
        <w:rPr>
          <w:rFonts w:eastAsia="Times New Roman"/>
          <w:color w:val="000000"/>
          <w:kern w:val="3"/>
        </w:rPr>
        <w:t>exacerbat</w:t>
      </w:r>
      <w:r w:rsidR="006D4F6F">
        <w:rPr>
          <w:rFonts w:eastAsia="Times New Roman"/>
          <w:color w:val="000000"/>
          <w:kern w:val="3"/>
        </w:rPr>
        <w:t>e</w:t>
      </w:r>
      <w:r w:rsidRPr="00864415">
        <w:rPr>
          <w:rFonts w:eastAsia="Times New Roman"/>
          <w:color w:val="000000"/>
          <w:kern w:val="3"/>
        </w:rPr>
        <w:t xml:space="preserve"> inequalities in outcomes, particularly between rural and urban areas. In the short term it is important that deployment and retention schemes be implemented (or revised) so that skilled health workers be encouraged to serve rural regions. Donor-funded retention programs can complement government funding on the supply side. It is important that such incentive programs be integrated in the government’s human resources </w:t>
      </w:r>
      <w:r w:rsidR="007C575D">
        <w:rPr>
          <w:rFonts w:eastAsia="Times New Roman"/>
          <w:color w:val="000000"/>
          <w:kern w:val="3"/>
        </w:rPr>
        <w:t xml:space="preserve">for </w:t>
      </w:r>
      <w:r w:rsidRPr="00864415">
        <w:rPr>
          <w:rFonts w:eastAsia="Times New Roman"/>
          <w:color w:val="000000"/>
          <w:kern w:val="3"/>
        </w:rPr>
        <w:t xml:space="preserve">health management policies. </w:t>
      </w:r>
    </w:p>
    <w:p w14:paraId="60D05F04" w14:textId="7C99326E" w:rsidR="00E25B16" w:rsidRDefault="00864415" w:rsidP="00AA119C">
      <w:pPr>
        <w:pStyle w:val="ListParagraph"/>
        <w:numPr>
          <w:ilvl w:val="0"/>
          <w:numId w:val="6"/>
        </w:numPr>
        <w:spacing w:after="120"/>
        <w:ind w:left="567" w:hanging="567"/>
        <w:contextualSpacing w:val="0"/>
        <w:jc w:val="both"/>
      </w:pPr>
      <w:r w:rsidRPr="00777AD0">
        <w:rPr>
          <w:rFonts w:eastAsia="Times New Roman"/>
          <w:color w:val="000000"/>
          <w:kern w:val="3"/>
        </w:rPr>
        <w:t xml:space="preserve">On the demand side, removing user fees at point of care is one urgent priority in light of high household OOP spending. Removal of user fees should be embedded within mechanisms like the RBF or scaling up insurance programs to prevent any compromise on quality of services due to the immediate financing gap. Policy makers should therefore develop a medium-term vision </w:t>
      </w:r>
      <w:r w:rsidR="00FE2958">
        <w:rPr>
          <w:rFonts w:eastAsia="Times New Roman"/>
          <w:color w:val="000000"/>
          <w:kern w:val="3"/>
        </w:rPr>
        <w:t xml:space="preserve">for </w:t>
      </w:r>
      <w:r w:rsidRPr="00777AD0">
        <w:rPr>
          <w:rFonts w:eastAsia="Times New Roman"/>
          <w:color w:val="000000"/>
          <w:kern w:val="3"/>
        </w:rPr>
        <w:t xml:space="preserve">RBF that lays out the benefits package, the cost of implementing it, governance and management of the RBF mechanism, and—most importantly—how to finance </w:t>
      </w:r>
      <w:r w:rsidR="00FE2958">
        <w:rPr>
          <w:rFonts w:eastAsia="Times New Roman"/>
          <w:color w:val="000000"/>
          <w:kern w:val="3"/>
        </w:rPr>
        <w:t xml:space="preserve">it </w:t>
      </w:r>
      <w:r w:rsidRPr="00777AD0">
        <w:rPr>
          <w:rFonts w:eastAsia="Times New Roman"/>
          <w:color w:val="000000"/>
          <w:kern w:val="3"/>
        </w:rPr>
        <w:t xml:space="preserve">all. </w:t>
      </w:r>
    </w:p>
    <w:p w14:paraId="4497F3D2" w14:textId="6F6239E5" w:rsidR="00D229BB" w:rsidRPr="00C917E2" w:rsidRDefault="00D229BB" w:rsidP="001A4A36">
      <w:pPr>
        <w:pStyle w:val="ListParagraph"/>
        <w:numPr>
          <w:ilvl w:val="0"/>
          <w:numId w:val="6"/>
        </w:numPr>
        <w:spacing w:after="120"/>
        <w:ind w:left="567" w:hanging="567"/>
        <w:contextualSpacing w:val="0"/>
        <w:jc w:val="both"/>
      </w:pPr>
      <w:r w:rsidRPr="00C917E2">
        <w:t xml:space="preserve">Given the highly centralized budget planning and expenditure execution process, </w:t>
      </w:r>
      <w:r w:rsidR="0057248A">
        <w:t xml:space="preserve">the </w:t>
      </w:r>
      <w:r w:rsidRPr="00C917E2">
        <w:t xml:space="preserve">MOFED needs to decentralize the public financial management system to district level. This would enable the MOHCC to maintain disaggregated on-budget (and possibly off-budget) health financing and expenditure data. It would also greatly help the two ministries to become transparent in allocating and tracking financial resources. </w:t>
      </w:r>
      <w:r w:rsidR="0057248A">
        <w:t xml:space="preserve">The </w:t>
      </w:r>
      <w:r w:rsidRPr="00C917E2">
        <w:t xml:space="preserve">MOHCC needs support to improve its data collection on health expenditures, especially in revamping districts’ public financial management systems </w:t>
      </w:r>
      <w:r w:rsidR="0057248A">
        <w:t>(</w:t>
      </w:r>
      <w:r w:rsidRPr="00C917E2">
        <w:t>by decentralizing some of the budget execution functions from provincial to district level</w:t>
      </w:r>
      <w:r w:rsidR="0057248A">
        <w:t>)</w:t>
      </w:r>
      <w:r w:rsidRPr="00C917E2">
        <w:t xml:space="preserve"> and in institutionalizing reliable NHA exercises </w:t>
      </w:r>
      <w:r w:rsidR="0057248A">
        <w:t>(</w:t>
      </w:r>
      <w:r w:rsidRPr="00C917E2">
        <w:t>so</w:t>
      </w:r>
      <w:r w:rsidR="0057248A">
        <w:t>, for example,</w:t>
      </w:r>
      <w:r w:rsidRPr="00C917E2">
        <w:t xml:space="preserve"> the World Health Organization can incorporate government health expenditure data into its internationally comparable database</w:t>
      </w:r>
      <w:r w:rsidR="0057248A">
        <w:t>)</w:t>
      </w:r>
      <w:r w:rsidRPr="00C917E2">
        <w:t>.</w:t>
      </w:r>
    </w:p>
    <w:p w14:paraId="6548B5F1" w14:textId="77777777" w:rsidR="00D229BB" w:rsidRPr="00C917E2" w:rsidRDefault="00D229BB" w:rsidP="003708BE">
      <w:pPr>
        <w:pStyle w:val="ListParagraph"/>
        <w:spacing w:after="120"/>
        <w:ind w:left="567"/>
        <w:contextualSpacing w:val="0"/>
        <w:jc w:val="both"/>
      </w:pPr>
    </w:p>
    <w:p w14:paraId="3178D47D" w14:textId="77777777" w:rsidR="00D229BB" w:rsidRPr="00C917E2" w:rsidRDefault="00D229BB" w:rsidP="008C35B0">
      <w:pPr>
        <w:ind w:left="360"/>
      </w:pPr>
    </w:p>
    <w:p w14:paraId="037C9582" w14:textId="77777777" w:rsidR="00D229BB" w:rsidRPr="00C917E2" w:rsidRDefault="00D229BB" w:rsidP="008C35B0">
      <w:pPr>
        <w:ind w:left="360"/>
        <w:sectPr w:rsidR="00D229BB" w:rsidRPr="00C917E2" w:rsidSect="00B50A85">
          <w:headerReference w:type="default" r:id="rId21"/>
          <w:headerReference w:type="first" r:id="rId22"/>
          <w:endnotePr>
            <w:numFmt w:val="decimal"/>
          </w:endnotePr>
          <w:pgSz w:w="11906" w:h="16838"/>
          <w:pgMar w:top="1440" w:right="1440" w:bottom="1440" w:left="1440" w:header="720" w:footer="720" w:gutter="0"/>
          <w:pgNumType w:fmt="lowerRoman"/>
          <w:cols w:space="720"/>
          <w:docGrid w:linePitch="360"/>
        </w:sectPr>
      </w:pPr>
    </w:p>
    <w:p w14:paraId="5D804463" w14:textId="77777777" w:rsidR="00D229BB" w:rsidRPr="00C917E2" w:rsidRDefault="00D229BB" w:rsidP="00226FA8">
      <w:pPr>
        <w:pStyle w:val="Heading1"/>
      </w:pPr>
      <w:bookmarkStart w:id="4" w:name="_Toc401030239"/>
      <w:bookmarkStart w:id="5" w:name="_Toc401030893"/>
      <w:bookmarkStart w:id="6" w:name="_Toc419003991"/>
      <w:r w:rsidRPr="00C917E2">
        <w:lastRenderedPageBreak/>
        <w:t>1. Background and Scope of the Public Expenditure Review</w:t>
      </w:r>
      <w:bookmarkEnd w:id="4"/>
      <w:bookmarkEnd w:id="5"/>
      <w:bookmarkEnd w:id="6"/>
    </w:p>
    <w:p w14:paraId="1CCC7198" w14:textId="77777777" w:rsidR="00D229BB" w:rsidRPr="00C917E2" w:rsidRDefault="00D229BB" w:rsidP="00226FA8">
      <w:pPr>
        <w:pStyle w:val="Heading2"/>
      </w:pPr>
      <w:bookmarkStart w:id="7" w:name="_Toc401030240"/>
      <w:bookmarkStart w:id="8" w:name="_Toc401030894"/>
      <w:bookmarkStart w:id="9" w:name="_Toc419003992"/>
      <w:r w:rsidRPr="00C917E2">
        <w:t>1.1 Background</w:t>
      </w:r>
      <w:bookmarkEnd w:id="7"/>
      <w:bookmarkEnd w:id="8"/>
      <w:bookmarkEnd w:id="9"/>
    </w:p>
    <w:p w14:paraId="6A2E8FB6" w14:textId="77777777" w:rsidR="00D229BB" w:rsidRPr="00C917E2" w:rsidRDefault="00D229BB" w:rsidP="00D37198">
      <w:pPr>
        <w:pStyle w:val="Numberpara"/>
      </w:pPr>
      <w:r w:rsidRPr="00C917E2">
        <w:t xml:space="preserve">This Public Expenditure Review (PER) is an analytical report building on the Health Sector Policy Note coauthored by the World Bank Health, Nutrition and Population Task Team and the senior management of Zimbabwe’s Ministry of Health and Child Care (MOHCC) in August 2013. A key recommendation from that </w:t>
      </w:r>
      <w:r w:rsidR="00610FFF" w:rsidRPr="00C917E2">
        <w:t>note</w:t>
      </w:r>
      <w:r w:rsidRPr="00C917E2">
        <w:t>—given Zimbabwe’s multiple sources of financing for health care; its multiple provider-payment mechanisms; and the various methods of allocating funds by government, development partners, and the private sector—was that stakeholders build evidence on public health financing to inform health sector planning. The key questions framing this analysis were developed with input from the government and health sector partners. They include considerations of composition of financing for health, allocation of resources geographically</w:t>
      </w:r>
      <w:r w:rsidR="00610FFF">
        <w:t>,</w:t>
      </w:r>
      <w:r w:rsidRPr="00C917E2">
        <w:t xml:space="preserve"> burden of disease, poverty incidence</w:t>
      </w:r>
      <w:r w:rsidR="00610FFF">
        <w:t>,</w:t>
      </w:r>
      <w:r w:rsidRPr="00C917E2">
        <w:t xml:space="preserve"> and equity. </w:t>
      </w:r>
    </w:p>
    <w:p w14:paraId="174C1B80" w14:textId="77777777" w:rsidR="00D229BB" w:rsidRPr="00C917E2" w:rsidRDefault="00D229BB" w:rsidP="00D37198">
      <w:pPr>
        <w:pStyle w:val="Numberpara"/>
      </w:pPr>
      <w:r w:rsidRPr="00C917E2">
        <w:t>A PER presents an opportunity for an objective review of how effectively a country’s health sector budget translates stated policy priorities into actual choices and interventions, and how the health sector budget and expenditures align with national health priorities. This PER therefore aims to inform the allocation of resources for equitable and efficient health care provision and to highlight important questions on the performance of the health sector that need to be answered by key stakeholders. This PER is intended to serve as a diagnostic tool for: the Ministry of Finance and Economic Development (MOFED),</w:t>
      </w:r>
      <w:r w:rsidR="00B72993" w:rsidRPr="00C917E2">
        <w:t xml:space="preserve"> </w:t>
      </w:r>
      <w:r w:rsidRPr="00C917E2">
        <w:t>which is the national entity mandated with budget development, allocation, and tracking; the MOHCC; and the National AIDS Council (NAC). In view of Zimbabwe’s significant off-budget contributions from development partner and private-for-profit sector investments in health, this work seeks to inform opportunities to strengthen complementarity—and in some cases joint resource allocation and use—in high-impact biomedical and behavioral interventions to address the country’s priorities in disease prevention and health-systems strengthening.</w:t>
      </w:r>
    </w:p>
    <w:p w14:paraId="5DC7C3EE" w14:textId="77777777" w:rsidR="00D229BB" w:rsidRPr="00C917E2" w:rsidRDefault="00D229BB" w:rsidP="00D37198">
      <w:pPr>
        <w:pStyle w:val="Numberpara"/>
      </w:pPr>
      <w:r w:rsidRPr="00C917E2">
        <w:t>It reviews the situation relative to health outcomes and risks, utilization, and service delivery in Section 2; health expenditures in Section 3; prospects for resources to finance the health sector in Section 4</w:t>
      </w:r>
      <w:r w:rsidR="00D7327E">
        <w:t>; and offers some conclusions and recommendations in Section 5</w:t>
      </w:r>
      <w:r w:rsidRPr="00C917E2">
        <w:t xml:space="preserve">. </w:t>
      </w:r>
    </w:p>
    <w:p w14:paraId="53B477C6" w14:textId="77777777" w:rsidR="00D229BB" w:rsidRPr="00C917E2" w:rsidRDefault="00D229BB" w:rsidP="00226FA8">
      <w:pPr>
        <w:pStyle w:val="Heading2"/>
      </w:pPr>
      <w:bookmarkStart w:id="10" w:name="_Toc401030241"/>
      <w:bookmarkStart w:id="11" w:name="_Toc401030895"/>
      <w:bookmarkStart w:id="12" w:name="_Toc401031394"/>
      <w:bookmarkStart w:id="13" w:name="_Toc419003993"/>
      <w:r w:rsidRPr="00C917E2">
        <w:t>1.2 Scope</w:t>
      </w:r>
      <w:bookmarkEnd w:id="10"/>
      <w:bookmarkEnd w:id="11"/>
      <w:bookmarkEnd w:id="12"/>
      <w:bookmarkEnd w:id="13"/>
    </w:p>
    <w:p w14:paraId="4D63B980" w14:textId="77777777" w:rsidR="00D229BB" w:rsidRPr="00C917E2" w:rsidRDefault="00D229BB" w:rsidP="00D37198">
      <w:pPr>
        <w:pStyle w:val="Numberpara"/>
      </w:pPr>
      <w:r w:rsidRPr="00C917E2">
        <w:t>The analysis was guided by the following questions:</w:t>
      </w:r>
    </w:p>
    <w:p w14:paraId="05D043C9" w14:textId="77777777" w:rsidR="00D229BB" w:rsidRPr="00C917E2" w:rsidRDefault="00D229BB" w:rsidP="00BE31A4">
      <w:pPr>
        <w:pStyle w:val="Bullet"/>
      </w:pPr>
      <w:r w:rsidRPr="00C917E2">
        <w:t>What are the health priorities on which spending should focus?</w:t>
      </w:r>
    </w:p>
    <w:p w14:paraId="21C53928" w14:textId="77777777" w:rsidR="00D229BB" w:rsidRPr="00C917E2" w:rsidRDefault="00D229BB" w:rsidP="00BE31A4">
      <w:pPr>
        <w:pStyle w:val="Bullet"/>
      </w:pPr>
      <w:r w:rsidRPr="00C917E2">
        <w:t xml:space="preserve">What are the needs of the public sector relative to health inputs and outputs? </w:t>
      </w:r>
    </w:p>
    <w:p w14:paraId="262E83C8" w14:textId="77777777" w:rsidR="00D229BB" w:rsidRPr="00C917E2" w:rsidRDefault="00D229BB" w:rsidP="00BE31A4">
      <w:pPr>
        <w:pStyle w:val="Bullet"/>
      </w:pPr>
      <w:r w:rsidRPr="00C917E2">
        <w:t xml:space="preserve">What are the major sources of health financing in Zimbabwe? </w:t>
      </w:r>
    </w:p>
    <w:p w14:paraId="618257BC" w14:textId="77777777" w:rsidR="00D229BB" w:rsidRPr="00C917E2" w:rsidRDefault="00D229BB" w:rsidP="00BE31A4">
      <w:pPr>
        <w:pStyle w:val="Bullet"/>
      </w:pPr>
      <w:r w:rsidRPr="00C917E2">
        <w:t>What are the total level, composition, and distributional aspects of spending in health</w:t>
      </w:r>
      <w:r w:rsidR="00347328">
        <w:t>?</w:t>
      </w:r>
    </w:p>
    <w:p w14:paraId="606CBD75" w14:textId="77777777" w:rsidR="00D229BB" w:rsidRPr="00C917E2" w:rsidRDefault="00D229BB" w:rsidP="00BE31A4">
      <w:pPr>
        <w:pStyle w:val="Bullet"/>
      </w:pPr>
      <w:r w:rsidRPr="00C917E2">
        <w:t xml:space="preserve">Do government expenditures contribute to enhancing efficiency and equity in the sector? </w:t>
      </w:r>
    </w:p>
    <w:p w14:paraId="46AD1C80" w14:textId="7E80B9B7" w:rsidR="00D229BB" w:rsidRDefault="00D229BB" w:rsidP="00BE31A4">
      <w:pPr>
        <w:pStyle w:val="Bullet"/>
      </w:pPr>
      <w:r w:rsidRPr="00C917E2">
        <w:t xml:space="preserve">Given limited public spending levels, what sources of additional financing are possible? What mechanisms/reforms </w:t>
      </w:r>
      <w:r w:rsidR="002F3259">
        <w:t>could</w:t>
      </w:r>
      <w:r w:rsidRPr="00C917E2">
        <w:t xml:space="preserve"> be put in place to mobilize such financing?</w:t>
      </w:r>
    </w:p>
    <w:p w14:paraId="7A2B4306" w14:textId="77777777" w:rsidR="00BE31A4" w:rsidRPr="00C917E2" w:rsidRDefault="00BE31A4" w:rsidP="00BE31A4"/>
    <w:p w14:paraId="68B725ED" w14:textId="77777777" w:rsidR="00D229BB" w:rsidRPr="00C917E2" w:rsidRDefault="00D229BB" w:rsidP="00D37198">
      <w:pPr>
        <w:pStyle w:val="Numberpara"/>
      </w:pPr>
      <w:r w:rsidRPr="00C917E2">
        <w:t xml:space="preserve">The underlying assumption of this review is that the investments and expenditure in Zimbabweans’ health are premised on the need to improve equity of access to health services, quality of health service provision, and ultimately the health and wellbeing of the population. Thus it has been arranged to reflect key findings on the nation’s health status, coverage and gaps in the current </w:t>
      </w:r>
      <w:r w:rsidRPr="00C917E2">
        <w:lastRenderedPageBreak/>
        <w:t xml:space="preserve">response, </w:t>
      </w:r>
      <w:r w:rsidR="00347328">
        <w:t xml:space="preserve">and </w:t>
      </w:r>
      <w:r w:rsidRPr="00C917E2">
        <w:t xml:space="preserve">specific findings directly answering the above questions. The public budget is one of the most important policy analysis instruments to determine whether a country’s stated policies are aligned with its spending and spending priorities, which is why budgetary and expenditure data from the MOFED and MOHCC are referenced throughout the report. </w:t>
      </w:r>
    </w:p>
    <w:p w14:paraId="5536F2E7" w14:textId="77777777" w:rsidR="00D229BB" w:rsidRPr="00C917E2" w:rsidRDefault="00D229BB" w:rsidP="00D37198">
      <w:pPr>
        <w:pStyle w:val="Numberpara"/>
      </w:pPr>
      <w:r w:rsidRPr="00C917E2">
        <w:t xml:space="preserve">Before 2009, Zimbabwe’s health system had been severely weakened by the protracted effects of HIV/AIDS, out-migration of skilled personnel, and a lengthy economic crisis. There was, in particular, a sharp decline in key indicators such as coverage of primary health care interventions and health outcomes. The increasing burden of treatment, care, and support arising from both communicable and noncommunicable diseases (NCDs) weighed heavily on the public health system and communities in general. The country’s health system has, though, begun to show signs of recovery through the efforts of the MOHCC and its partners. </w:t>
      </w:r>
      <w:r w:rsidRPr="00C917E2">
        <w:rPr>
          <w:iCs/>
        </w:rPr>
        <w:t xml:space="preserve">Zimbabwe has made progress against HIV: </w:t>
      </w:r>
      <w:r w:rsidR="00347328" w:rsidRPr="00C917E2">
        <w:t xml:space="preserve">based </w:t>
      </w:r>
      <w:r w:rsidRPr="00C917E2">
        <w:t xml:space="preserve">on the previous </w:t>
      </w:r>
      <w:r w:rsidR="00256B18" w:rsidRPr="008C6C3C">
        <w:t>World Health Organization</w:t>
      </w:r>
      <w:r w:rsidR="00256B18">
        <w:t xml:space="preserve"> (WHO)</w:t>
      </w:r>
      <w:r w:rsidRPr="00C917E2">
        <w:t xml:space="preserve"> guidelines for antiretroviral therapy initiation of CD4 &lt;350, at least 85 percent of adult Zimbabweans who were tested and were eligible for HIV treatment were receiving it in 2012 (although only 47 percent of men and only 54 percent of women had ever been tested for HIV).</w:t>
      </w:r>
      <w:r w:rsidRPr="00C917E2">
        <w:rPr>
          <w:iCs/>
        </w:rPr>
        <w:t xml:space="preserve"> It has also made strides in </w:t>
      </w:r>
      <w:r w:rsidRPr="00C917E2">
        <w:t>immunization coverage, with at least 83 percent of children under one year being immunized in 2014, up from 76 percent in 2009.</w:t>
      </w:r>
      <w:r w:rsidRPr="00C917E2">
        <w:rPr>
          <w:rStyle w:val="EndnoteReference"/>
        </w:rPr>
        <w:endnoteReference w:id="3"/>
      </w:r>
    </w:p>
    <w:p w14:paraId="381160C9" w14:textId="77777777" w:rsidR="00D229BB" w:rsidRPr="00C917E2" w:rsidRDefault="00D229BB" w:rsidP="00D37198">
      <w:pPr>
        <w:pStyle w:val="Numberpara"/>
      </w:pPr>
      <w:r w:rsidRPr="00C917E2">
        <w:t>Major stakeholders fully understand the need to accelerate progress, and prevent and manage HIV/AIDS, tuberculosis, malaria,</w:t>
      </w:r>
      <w:r w:rsidR="00B72993" w:rsidRPr="00C917E2">
        <w:t xml:space="preserve"> </w:t>
      </w:r>
      <w:r w:rsidRPr="00C917E2">
        <w:t xml:space="preserve">and NCDs. Sustainable mechanisms for mobilizing resources and using them efficiently, coupled with sound coordination, are vital to make responses and strategies more effective. </w:t>
      </w:r>
    </w:p>
    <w:p w14:paraId="0DBAC2D5" w14:textId="77777777" w:rsidR="00D229BB" w:rsidRPr="00C917E2" w:rsidRDefault="00D229BB" w:rsidP="00D37198">
      <w:pPr>
        <w:pStyle w:val="Numberpara"/>
      </w:pPr>
      <w:r w:rsidRPr="00C917E2">
        <w:rPr>
          <w:iCs/>
        </w:rPr>
        <w:t xml:space="preserve">In answering the guiding questions, the review goes beyond </w:t>
      </w:r>
      <w:r w:rsidRPr="00C917E2">
        <w:t xml:space="preserve">public sector financing to identify vulnerabilities and strengths of the system. In particular, it reflects on institutional arrangements that support the budgeting process and implementation performance management. </w:t>
      </w:r>
    </w:p>
    <w:p w14:paraId="50D1279D" w14:textId="77777777" w:rsidR="00D229BB" w:rsidRPr="00C917E2" w:rsidRDefault="00D229BB" w:rsidP="00D37198">
      <w:pPr>
        <w:pStyle w:val="Numberpara"/>
      </w:pPr>
      <w:r w:rsidRPr="00C917E2">
        <w:t>The PER methodology was based on a standard framework adopted from the PER Health Guide.</w:t>
      </w:r>
      <w:r w:rsidRPr="00C917E2">
        <w:rPr>
          <w:rStyle w:val="EndnoteReference"/>
        </w:rPr>
        <w:endnoteReference w:id="4"/>
      </w:r>
      <w:r w:rsidRPr="00C917E2">
        <w:t xml:space="preserve"> Data collection methods included an extensive review of existing literature and analysis of secondary data. The main source documents and data repositories included:</w:t>
      </w:r>
    </w:p>
    <w:p w14:paraId="02E9A1C2" w14:textId="77777777" w:rsidR="00D229BB" w:rsidRPr="00BE31A4" w:rsidRDefault="00D229BB" w:rsidP="00BE31A4">
      <w:pPr>
        <w:pStyle w:val="Bullet"/>
      </w:pPr>
      <w:r w:rsidRPr="00BE31A4">
        <w:t xml:space="preserve">Zimbabwe National Health Profile and Health Management Information System </w:t>
      </w:r>
      <w:r w:rsidR="00EB2A16" w:rsidRPr="00BE31A4">
        <w:t xml:space="preserve">(HMIS) </w:t>
      </w:r>
      <w:r w:rsidRPr="00BE31A4">
        <w:t>data</w:t>
      </w:r>
    </w:p>
    <w:p w14:paraId="57EF3C48" w14:textId="77777777" w:rsidR="00D229BB" w:rsidRPr="00C917E2" w:rsidRDefault="00D229BB" w:rsidP="00BE31A4">
      <w:pPr>
        <w:pStyle w:val="Bullet"/>
      </w:pPr>
      <w:r w:rsidRPr="00C917E2">
        <w:t>National budget allocation reports and MOHCC expenditure reports</w:t>
      </w:r>
    </w:p>
    <w:p w14:paraId="0FE887D4" w14:textId="77777777" w:rsidR="00D229BB" w:rsidRPr="00C917E2" w:rsidRDefault="00D229BB" w:rsidP="00BE31A4">
      <w:pPr>
        <w:pStyle w:val="Bullet"/>
      </w:pPr>
      <w:r w:rsidRPr="00C917E2">
        <w:t>Multiple Indicator Monitoring Survey (MIMS) 2009</w:t>
      </w:r>
    </w:p>
    <w:p w14:paraId="66AF892F" w14:textId="77777777" w:rsidR="00D229BB" w:rsidRPr="00C917E2" w:rsidRDefault="00D229BB" w:rsidP="00BE31A4">
      <w:pPr>
        <w:pStyle w:val="Bullet"/>
      </w:pPr>
      <w:r w:rsidRPr="00C917E2">
        <w:t>Poverty, Income, Consumption and Expenditure Survey (PICES) 2011/12, reports and data (household data)</w:t>
      </w:r>
    </w:p>
    <w:p w14:paraId="772EC09D" w14:textId="77777777" w:rsidR="00D229BB" w:rsidRPr="00C917E2" w:rsidRDefault="00D229BB" w:rsidP="00BE31A4">
      <w:pPr>
        <w:pStyle w:val="Bullet"/>
      </w:pPr>
      <w:r w:rsidRPr="00C917E2">
        <w:t>National Integrated Health Facility Assessment (NIHFA) 2012 data and report (data obtained through a survey at facility and household level)</w:t>
      </w:r>
    </w:p>
    <w:p w14:paraId="57A0407E" w14:textId="77777777" w:rsidR="00D229BB" w:rsidRPr="00C917E2" w:rsidRDefault="00D229BB" w:rsidP="00BE31A4">
      <w:pPr>
        <w:pStyle w:val="Bullet"/>
      </w:pPr>
      <w:r w:rsidRPr="00C917E2">
        <w:t>Health Development Partners</w:t>
      </w:r>
      <w:r w:rsidR="008B3E88">
        <w:t>—</w:t>
      </w:r>
      <w:r w:rsidRPr="00C917E2">
        <w:t>Activity and Resource Tracking Summaries Report</w:t>
      </w:r>
    </w:p>
    <w:p w14:paraId="39D70C8C" w14:textId="77777777" w:rsidR="00D229BB" w:rsidRPr="00C917E2" w:rsidRDefault="00D229BB" w:rsidP="00BE31A4">
      <w:pPr>
        <w:pStyle w:val="Bullet"/>
      </w:pPr>
      <w:r w:rsidRPr="00C917E2">
        <w:t>World Development Indicators (WDI), Health Nutrition and Population (HNP), Organisation for Economic Co-operation and Development (OECD), and WHO data repositories</w:t>
      </w:r>
    </w:p>
    <w:p w14:paraId="0A092A7C" w14:textId="77777777" w:rsidR="00D229BB" w:rsidRPr="00C917E2" w:rsidRDefault="00D229BB" w:rsidP="00BE31A4">
      <w:pPr>
        <w:pStyle w:val="Bullet"/>
      </w:pPr>
      <w:r w:rsidRPr="00C917E2">
        <w:t>Health facility and household surveys of 2014 for the midline impact evaluation of the Result</w:t>
      </w:r>
      <w:r w:rsidR="008B3E88">
        <w:t>s-Based Financing (RBF) program</w:t>
      </w:r>
      <w:r w:rsidRPr="00C917E2">
        <w:rPr>
          <w:rStyle w:val="EndnoteReference"/>
        </w:rPr>
        <w:endnoteReference w:id="5"/>
      </w:r>
    </w:p>
    <w:p w14:paraId="1CAF7F70" w14:textId="77777777" w:rsidR="00D229BB" w:rsidRPr="00C917E2" w:rsidRDefault="00D229BB" w:rsidP="00BE31A4">
      <w:pPr>
        <w:pStyle w:val="Bullet"/>
      </w:pPr>
      <w:r w:rsidRPr="00C917E2">
        <w:t>Multiple Indicator Cluster Survey (MICS) 2014</w:t>
      </w:r>
    </w:p>
    <w:p w14:paraId="13B89B7F" w14:textId="77777777" w:rsidR="00D229BB" w:rsidRPr="00C917E2" w:rsidRDefault="00D229BB" w:rsidP="006B7212"/>
    <w:p w14:paraId="2C320645" w14:textId="0ADACBAF" w:rsidR="00D229BB" w:rsidRPr="00C917E2" w:rsidRDefault="00D229BB" w:rsidP="00D37198">
      <w:pPr>
        <w:pStyle w:val="Numberpara"/>
      </w:pPr>
      <w:r w:rsidRPr="00C917E2">
        <w:t xml:space="preserve">The PER was complemented by interviews with key stakeholders and </w:t>
      </w:r>
      <w:r w:rsidR="00FE2958">
        <w:t xml:space="preserve">by </w:t>
      </w:r>
      <w:r w:rsidRPr="00C917E2">
        <w:t xml:space="preserve">primary data collection from major development partners and domestic health funders, although the </w:t>
      </w:r>
      <w:r w:rsidR="002F3259">
        <w:t>scope of the analysis was substantially limited</w:t>
      </w:r>
      <w:r w:rsidRPr="00C917E2">
        <w:t xml:space="preserve"> by a lack of disaggregated expenditure data at subnational level. </w:t>
      </w:r>
    </w:p>
    <w:p w14:paraId="16274236" w14:textId="77777777" w:rsidR="00D229BB" w:rsidRPr="00C917E2" w:rsidRDefault="00D229BB" w:rsidP="00D37198">
      <w:pPr>
        <w:pStyle w:val="Numberpara"/>
      </w:pPr>
      <w:r w:rsidRPr="00C917E2">
        <w:rPr>
          <w:iCs/>
        </w:rPr>
        <w:t xml:space="preserve">This PER </w:t>
      </w:r>
      <w:r w:rsidRPr="00C917E2">
        <w:t xml:space="preserve">seeks to provide an empirical basis for health sector financing reform in Zimbabwe. More specifically, it is hoped that its findings will enable the government, particularly the MOFED and </w:t>
      </w:r>
      <w:r w:rsidRPr="00C917E2">
        <w:lastRenderedPageBreak/>
        <w:t>MOHCC, to make informed decisions on financing the health sector in order to optimize sector-specific outcomes.</w:t>
      </w:r>
    </w:p>
    <w:p w14:paraId="7B23CD7B" w14:textId="77777777" w:rsidR="00D229BB" w:rsidRPr="00C917E2" w:rsidRDefault="00D229BB" w:rsidP="00152C65"/>
    <w:p w14:paraId="278EECE8" w14:textId="77777777" w:rsidR="00D229BB" w:rsidRPr="00C917E2" w:rsidRDefault="00D229BB" w:rsidP="00E73060">
      <w:pPr>
        <w:sectPr w:rsidR="00D229BB" w:rsidRPr="00C917E2" w:rsidSect="00B50A85">
          <w:headerReference w:type="default" r:id="rId23"/>
          <w:footerReference w:type="even" r:id="rId24"/>
          <w:footerReference w:type="default" r:id="rId25"/>
          <w:endnotePr>
            <w:numFmt w:val="decimal"/>
          </w:endnotePr>
          <w:pgSz w:w="11906" w:h="16838"/>
          <w:pgMar w:top="1440" w:right="1440" w:bottom="1440" w:left="1440" w:header="720" w:footer="720" w:gutter="0"/>
          <w:pgNumType w:start="1"/>
          <w:cols w:space="720"/>
          <w:docGrid w:linePitch="360"/>
        </w:sectPr>
      </w:pPr>
    </w:p>
    <w:p w14:paraId="3123589F" w14:textId="77777777" w:rsidR="00D229BB" w:rsidRPr="00C917E2" w:rsidRDefault="00D229BB" w:rsidP="00226FA8">
      <w:pPr>
        <w:pStyle w:val="Heading1"/>
      </w:pPr>
      <w:bookmarkStart w:id="14" w:name="_Toc401030242"/>
      <w:bookmarkStart w:id="15" w:name="_Toc401030896"/>
      <w:bookmarkStart w:id="16" w:name="_Toc419003994"/>
      <w:r w:rsidRPr="00C917E2">
        <w:lastRenderedPageBreak/>
        <w:t>2. Overview of Health Outcomes and Needs</w:t>
      </w:r>
      <w:bookmarkEnd w:id="14"/>
      <w:bookmarkEnd w:id="15"/>
      <w:bookmarkEnd w:id="16"/>
    </w:p>
    <w:tbl>
      <w:tblPr>
        <w:tblStyle w:val="TableGrid"/>
        <w:tblW w:w="0" w:type="auto"/>
        <w:shd w:val="clear" w:color="auto" w:fill="C6D9F1" w:themeFill="text2" w:themeFillTint="33"/>
        <w:tblLook w:val="04A0" w:firstRow="1" w:lastRow="0" w:firstColumn="1" w:lastColumn="0" w:noHBand="0" w:noVBand="1"/>
      </w:tblPr>
      <w:tblGrid>
        <w:gridCol w:w="9016"/>
      </w:tblGrid>
      <w:tr w:rsidR="00D229BB" w:rsidRPr="00C917E2" w14:paraId="54DAB8E0" w14:textId="77777777" w:rsidTr="00B65007">
        <w:tc>
          <w:tcPr>
            <w:tcW w:w="9242" w:type="dxa"/>
            <w:shd w:val="clear" w:color="auto" w:fill="C6D9F1" w:themeFill="text2" w:themeFillTint="33"/>
          </w:tcPr>
          <w:p w14:paraId="340BAB85" w14:textId="77777777" w:rsidR="00D229BB" w:rsidRPr="00C917E2" w:rsidRDefault="00D229BB" w:rsidP="00F252F4">
            <w:pPr>
              <w:pStyle w:val="KMtitle"/>
            </w:pPr>
            <w:bookmarkStart w:id="17" w:name="_Toc401030912"/>
            <w:r w:rsidRPr="00C917E2">
              <w:t>Key Messages—</w:t>
            </w:r>
            <w:r w:rsidR="00D7327E">
              <w:t>Section</w:t>
            </w:r>
            <w:r w:rsidRPr="00C917E2">
              <w:t xml:space="preserve"> 2</w:t>
            </w:r>
          </w:p>
          <w:p w14:paraId="3EBFEC67" w14:textId="77777777" w:rsidR="00D229BB" w:rsidRPr="00C917E2" w:rsidRDefault="00D229BB" w:rsidP="00F252F4">
            <w:pPr>
              <w:pStyle w:val="Heading6"/>
            </w:pPr>
            <w:r w:rsidRPr="00C917E2">
              <w:t>1. Prioritizing Preventive Programs</w:t>
            </w:r>
            <w:bookmarkEnd w:id="17"/>
          </w:p>
          <w:p w14:paraId="63DCF226" w14:textId="77777777" w:rsidR="00D229BB" w:rsidRPr="00C917E2" w:rsidRDefault="00D229BB" w:rsidP="00F252F4">
            <w:pPr>
              <w:pStyle w:val="KMpara"/>
            </w:pPr>
            <w:r w:rsidRPr="00C917E2">
              <w:t>Zimbabwe has made some progress in improving health status yet faces continued challenges of communicable diseases and a fast</w:t>
            </w:r>
            <w:r w:rsidR="006569B8">
              <w:t>-</w:t>
            </w:r>
            <w:r w:rsidRPr="00C917E2">
              <w:t>rising burden of</w:t>
            </w:r>
            <w:r w:rsidR="00B72993" w:rsidRPr="00C917E2">
              <w:t xml:space="preserve"> </w:t>
            </w:r>
            <w:r w:rsidRPr="00C917E2">
              <w:t xml:space="preserve">NCDs. Similarly, patterns of health service utilization differ markedly among the poor and the better off. The country therefore needs urgently to invest more in more equitable preventive and public health programs, scaling up investments in child nutrition, and in health promotion and education, all via a multisectoral approach. </w:t>
            </w:r>
          </w:p>
          <w:p w14:paraId="2E4287A1" w14:textId="77777777" w:rsidR="00D229BB" w:rsidRPr="00C917E2" w:rsidRDefault="00D229BB" w:rsidP="00F252F4">
            <w:pPr>
              <w:pStyle w:val="Heading6"/>
            </w:pPr>
            <w:bookmarkStart w:id="18" w:name="_Toc401030913"/>
            <w:r w:rsidRPr="00C917E2">
              <w:t>2. Improving Quality</w:t>
            </w:r>
            <w:bookmarkEnd w:id="18"/>
          </w:p>
          <w:p w14:paraId="4959ED93" w14:textId="77777777" w:rsidR="00D229BB" w:rsidRPr="00C917E2" w:rsidRDefault="00D229BB" w:rsidP="00F252F4">
            <w:pPr>
              <w:pStyle w:val="KMpara"/>
              <w:rPr>
                <w:b/>
              </w:rPr>
            </w:pPr>
            <w:r w:rsidRPr="00C917E2">
              <w:t xml:space="preserve">It is crucial to move from vertical, disease-focused approaches to quality improvement </w:t>
            </w:r>
            <w:r w:rsidR="006569B8">
              <w:t xml:space="preserve">and </w:t>
            </w:r>
            <w:r w:rsidRPr="00C917E2">
              <w:t>to</w:t>
            </w:r>
            <w:r w:rsidR="006569B8">
              <w:t>ward</w:t>
            </w:r>
            <w:r w:rsidRPr="00C917E2">
              <w:t xml:space="preserve"> integrated standards of care. The government and partners should pilot innovative quality improvement interventions and scale them up based on rigorous evidence. </w:t>
            </w:r>
          </w:p>
          <w:p w14:paraId="19FC0230" w14:textId="77777777" w:rsidR="00D229BB" w:rsidRPr="00C917E2" w:rsidRDefault="00D229BB" w:rsidP="00F252F4">
            <w:pPr>
              <w:pStyle w:val="KMpara"/>
            </w:pPr>
            <w:r w:rsidRPr="00C917E2">
              <w:t>In view of workload concerns at the service delivery level, it is important that the MOHCC and MOFED initiate a strategic staffing exercise to better use the country’s human resources and to identify the health workforce needs that match the disease burden and population trends.</w:t>
            </w:r>
          </w:p>
          <w:p w14:paraId="73ECA07C" w14:textId="77777777" w:rsidR="00D229BB" w:rsidRPr="00C917E2" w:rsidRDefault="00D229BB" w:rsidP="00F252F4">
            <w:pPr>
              <w:pStyle w:val="KMpara"/>
            </w:pPr>
            <w:r w:rsidRPr="00C917E2">
              <w:t xml:space="preserve">The government needs to engage more with tertiary institutions in developing health workers’ clinical skills and in disseminating sound, emerging practices. </w:t>
            </w:r>
          </w:p>
          <w:p w14:paraId="57D5A5F6" w14:textId="77777777" w:rsidR="00D229BB" w:rsidRPr="00C917E2" w:rsidRDefault="00D229BB" w:rsidP="00F252F4">
            <w:pPr>
              <w:pStyle w:val="KMpara"/>
            </w:pPr>
            <w:r w:rsidRPr="00C917E2">
              <w:t xml:space="preserve">The vital training and retention support of the </w:t>
            </w:r>
            <w:r w:rsidR="00337AB7" w:rsidRPr="00C917E2">
              <w:t>Health Transition Fund</w:t>
            </w:r>
            <w:r w:rsidRPr="00C917E2">
              <w:t xml:space="preserve"> </w:t>
            </w:r>
            <w:r w:rsidR="006569B8">
              <w:t xml:space="preserve">(HTF) </w:t>
            </w:r>
            <w:r w:rsidRPr="00C917E2">
              <w:t xml:space="preserve">needs to continue, at least in the short term, </w:t>
            </w:r>
            <w:r w:rsidR="006569B8">
              <w:t xml:space="preserve">given </w:t>
            </w:r>
            <w:r w:rsidRPr="00C917E2">
              <w:t xml:space="preserve">the government’s limited capacity to absorb high expenditure volumes. </w:t>
            </w:r>
          </w:p>
          <w:p w14:paraId="3A4CC461" w14:textId="77777777" w:rsidR="00D229BB" w:rsidRPr="00C917E2" w:rsidRDefault="00D229BB" w:rsidP="00F252F4">
            <w:pPr>
              <w:pStyle w:val="Heading6"/>
            </w:pPr>
            <w:bookmarkStart w:id="19" w:name="_Toc401030914"/>
            <w:r w:rsidRPr="00C917E2">
              <w:t>3. Addressing Equity</w:t>
            </w:r>
            <w:bookmarkEnd w:id="19"/>
          </w:p>
          <w:p w14:paraId="2E169A4D" w14:textId="77777777" w:rsidR="006569B8" w:rsidRDefault="00D229BB" w:rsidP="00F252F4">
            <w:pPr>
              <w:pStyle w:val="KMpara"/>
            </w:pPr>
            <w:r w:rsidRPr="00C917E2">
              <w:t xml:space="preserve">Zimbabweans are reluctant users of health care services when they are ill, in all quintiles. As affordability is a major reason, the MOHCC should design and roll out (and then evaluate) interventions that minimize payment at point of care. They could include prepayment mechanisms such as health insurance or demand- and supply-side results-based financing. </w:t>
            </w:r>
          </w:p>
          <w:p w14:paraId="342A4661" w14:textId="77777777" w:rsidR="00D229BB" w:rsidRPr="00C917E2" w:rsidRDefault="00D229BB" w:rsidP="00F252F4">
            <w:pPr>
              <w:pStyle w:val="KMpara"/>
            </w:pPr>
            <w:r w:rsidRPr="00C917E2">
              <w:t xml:space="preserve">The central government budget should give more weight to poorer provinces and districts. </w:t>
            </w:r>
          </w:p>
        </w:tc>
      </w:tr>
    </w:tbl>
    <w:p w14:paraId="65F347B5" w14:textId="77777777" w:rsidR="00D229BB" w:rsidRPr="00C917E2" w:rsidRDefault="00D229BB" w:rsidP="00330FAD"/>
    <w:p w14:paraId="4112DEE5" w14:textId="77777777" w:rsidR="00D229BB" w:rsidRPr="00C917E2" w:rsidRDefault="00D229BB" w:rsidP="00226FA8">
      <w:pPr>
        <w:pStyle w:val="Heading2"/>
        <w:rPr>
          <w:sz w:val="40"/>
          <w:szCs w:val="40"/>
        </w:rPr>
      </w:pPr>
      <w:bookmarkStart w:id="20" w:name="_Toc401030243"/>
      <w:bookmarkStart w:id="21" w:name="_Toc401030897"/>
      <w:bookmarkStart w:id="22" w:name="_Toc419003995"/>
      <w:r w:rsidRPr="00C917E2">
        <w:t>2.1 Health Status and Health Risks</w:t>
      </w:r>
      <w:bookmarkEnd w:id="20"/>
      <w:bookmarkEnd w:id="21"/>
      <w:bookmarkEnd w:id="22"/>
    </w:p>
    <w:p w14:paraId="0BFDBF80" w14:textId="77777777" w:rsidR="00D229BB" w:rsidRPr="00C917E2" w:rsidRDefault="00D229BB" w:rsidP="00320F82">
      <w:pPr>
        <w:pStyle w:val="Heading3"/>
      </w:pPr>
      <w:bookmarkStart w:id="23" w:name="_Toc401030244"/>
      <w:bookmarkStart w:id="24" w:name="_Toc401030898"/>
      <w:bookmarkStart w:id="25" w:name="_Toc419003996"/>
      <w:r w:rsidRPr="00C917E2">
        <w:t>Key Health Indicators</w:t>
      </w:r>
      <w:bookmarkEnd w:id="23"/>
      <w:bookmarkEnd w:id="24"/>
      <w:bookmarkEnd w:id="25"/>
    </w:p>
    <w:p w14:paraId="20A84FD8" w14:textId="77777777" w:rsidR="00D229BB" w:rsidRPr="00C917E2" w:rsidRDefault="00D229BB" w:rsidP="00D37198">
      <w:pPr>
        <w:pStyle w:val="Numberpara"/>
      </w:pPr>
      <w:r w:rsidRPr="00C917E2">
        <w:t>Zimbabwe’s population is estimated at 13,061,231,</w:t>
      </w:r>
      <w:r w:rsidRPr="00C917E2">
        <w:rPr>
          <w:rStyle w:val="EndnoteReference"/>
        </w:rPr>
        <w:endnoteReference w:id="6"/>
      </w:r>
      <w:r w:rsidRPr="00C917E2">
        <w:t xml:space="preserve"> with a life expectancy at birth of 53.9 years (males 53.8 years, females 53.9 years) in 2012. Since 2003, life expectancy at birth has been increasing toward values previously seen during the pre-HIV era and is now aligned with those of other Sub-Saharan countries (</w:t>
      </w:r>
      <w:r w:rsidR="00C713A9" w:rsidRPr="00C917E2">
        <w:fldChar w:fldCharType="begin"/>
      </w:r>
      <w:r w:rsidRPr="00C917E2">
        <w:instrText xml:space="preserve"> REF _Ref411925622 \h </w:instrText>
      </w:r>
      <w:r w:rsidR="00C713A9" w:rsidRPr="00C917E2">
        <w:fldChar w:fldCharType="separate"/>
      </w:r>
      <w:r w:rsidR="003732A2" w:rsidRPr="00C917E2">
        <w:t xml:space="preserve">Figure </w:t>
      </w:r>
      <w:r w:rsidR="003732A2">
        <w:rPr>
          <w:noProof/>
        </w:rPr>
        <w:t>1</w:t>
      </w:r>
      <w:r w:rsidR="00C713A9" w:rsidRPr="00C917E2">
        <w:fldChar w:fldCharType="end"/>
      </w:r>
      <w:r w:rsidRPr="00C917E2">
        <w:t>).</w:t>
      </w:r>
    </w:p>
    <w:p w14:paraId="740BC9BD" w14:textId="77777777" w:rsidR="00D229BB" w:rsidRPr="00C917E2" w:rsidRDefault="00D229BB" w:rsidP="00BE101F">
      <w:pPr>
        <w:pStyle w:val="Figure"/>
      </w:pPr>
      <w:bookmarkStart w:id="26" w:name="_Ref411925622"/>
      <w:bookmarkStart w:id="27" w:name="_Toc419004082"/>
      <w:r w:rsidRPr="00C917E2">
        <w:lastRenderedPageBreak/>
        <w:t xml:space="preserve">Figure </w:t>
      </w:r>
      <w:r w:rsidR="00113462">
        <w:fldChar w:fldCharType="begin"/>
      </w:r>
      <w:r w:rsidR="00113462">
        <w:instrText xml:space="preserve"> SEQ Figure \* ARABIC </w:instrText>
      </w:r>
      <w:r w:rsidR="00113462">
        <w:fldChar w:fldCharType="separate"/>
      </w:r>
      <w:r w:rsidR="003732A2">
        <w:rPr>
          <w:noProof/>
        </w:rPr>
        <w:t>1</w:t>
      </w:r>
      <w:r w:rsidR="00113462">
        <w:rPr>
          <w:noProof/>
        </w:rPr>
        <w:fldChar w:fldCharType="end"/>
      </w:r>
      <w:bookmarkEnd w:id="26"/>
      <w:r w:rsidRPr="00C917E2">
        <w:t xml:space="preserve"> Life Expectancy at Birth, </w:t>
      </w:r>
      <w:r w:rsidR="00635128" w:rsidRPr="00C917E2">
        <w:t>Total Population</w:t>
      </w:r>
      <w:r w:rsidR="00635128">
        <w:t>,</w:t>
      </w:r>
      <w:r w:rsidR="00635128" w:rsidRPr="00C917E2">
        <w:t xml:space="preserve"> </w:t>
      </w:r>
      <w:r w:rsidRPr="00C917E2">
        <w:t>1960–2012 (years)</w:t>
      </w:r>
      <w:bookmarkEnd w:id="27"/>
    </w:p>
    <w:p w14:paraId="03474150" w14:textId="77777777" w:rsidR="00D229BB" w:rsidRPr="00C917E2" w:rsidRDefault="00D229BB" w:rsidP="00891D89">
      <w:pPr>
        <w:keepNext/>
      </w:pPr>
      <w:r w:rsidRPr="00C917E2">
        <w:rPr>
          <w:noProof/>
        </w:rPr>
        <w:drawing>
          <wp:inline distT="0" distB="0" distL="0" distR="0" wp14:anchorId="4938C4F6" wp14:editId="21E8E3CA">
            <wp:extent cx="5731510" cy="2480347"/>
            <wp:effectExtent l="25400" t="25400" r="8890" b="889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480347"/>
                    </a:xfrm>
                    <a:prstGeom prst="rect">
                      <a:avLst/>
                    </a:prstGeom>
                    <a:noFill/>
                    <a:ln>
                      <a:solidFill>
                        <a:srgbClr val="4F81BD"/>
                      </a:solidFill>
                    </a:ln>
                  </pic:spPr>
                </pic:pic>
              </a:graphicData>
            </a:graphic>
          </wp:inline>
        </w:drawing>
      </w:r>
    </w:p>
    <w:p w14:paraId="5FA15208" w14:textId="77777777" w:rsidR="00D229BB" w:rsidRPr="00C917E2" w:rsidRDefault="00D229BB" w:rsidP="00E73060">
      <w:pPr>
        <w:pStyle w:val="Source"/>
      </w:pPr>
      <w:r w:rsidRPr="00E94700">
        <w:rPr>
          <w:i/>
        </w:rPr>
        <w:t>Source:</w:t>
      </w:r>
      <w:r w:rsidRPr="00C917E2">
        <w:t xml:space="preserve"> WDI 2014</w:t>
      </w:r>
      <w:r w:rsidR="006B2D5F">
        <w:t>.</w:t>
      </w:r>
    </w:p>
    <w:p w14:paraId="4AD4F10C" w14:textId="77777777" w:rsidR="00D229BB" w:rsidRPr="00C917E2" w:rsidRDefault="00D229BB" w:rsidP="00D37198">
      <w:pPr>
        <w:pStyle w:val="Numberpara"/>
      </w:pPr>
      <w:r w:rsidRPr="00C917E2">
        <w:t>Nearly two-thirds (61.1 percent) of the country’s population is younger than 25 years.</w:t>
      </w:r>
      <w:r w:rsidRPr="00C917E2">
        <w:rPr>
          <w:rStyle w:val="EndnoteReference"/>
        </w:rPr>
        <w:endnoteReference w:id="7"/>
      </w:r>
      <w:r w:rsidRPr="00C917E2">
        <w:t xml:space="preserve"> The total fertility rate is 4.1 children per woman. In 2012, 16 percent and 38 percent of women aged 15–19 years and 20–24 years, respectively, had one child ever born.</w:t>
      </w:r>
      <w:r w:rsidRPr="00C917E2">
        <w:rPr>
          <w:rStyle w:val="EndnoteReference"/>
        </w:rPr>
        <w:endnoteReference w:id="8"/>
      </w:r>
    </w:p>
    <w:p w14:paraId="663038AB" w14:textId="77777777" w:rsidR="00D229BB" w:rsidRPr="00C917E2" w:rsidRDefault="00D229BB" w:rsidP="00D37198">
      <w:pPr>
        <w:pStyle w:val="Numberpara"/>
        <w:rPr>
          <w:b/>
          <w:sz w:val="18"/>
          <w:szCs w:val="18"/>
        </w:rPr>
      </w:pPr>
      <w:r w:rsidRPr="00C917E2">
        <w:t>According to the WHO 2010 country burden of disease profile,</w:t>
      </w:r>
      <w:r w:rsidRPr="00C917E2">
        <w:rPr>
          <w:rStyle w:val="EndnoteReference"/>
        </w:rPr>
        <w:endnoteReference w:id="9"/>
      </w:r>
      <w:r w:rsidRPr="00C917E2">
        <w:t xml:space="preserve"> at least 70 percent of the annual deaths in the country are attributable to communicable, maternal, perinatal, and nutritional illness. More specifically, acute respiratory infections, tuberculosis, other viral diseases, HIV-related illness</w:t>
      </w:r>
      <w:r w:rsidR="006509AE">
        <w:t>,</w:t>
      </w:r>
      <w:r w:rsidRPr="00C917E2">
        <w:t xml:space="preserve"> and malaria are the leading causes of deaths. The 2012 WDI estimate for NCDs’ share of the country’s total deaths was 31 percent.</w:t>
      </w:r>
      <w:r w:rsidRPr="00C917E2">
        <w:rPr>
          <w:rStyle w:val="EndnoteReference"/>
        </w:rPr>
        <w:endnoteReference w:id="10"/>
      </w:r>
    </w:p>
    <w:p w14:paraId="62FAD3C2" w14:textId="2D090C99" w:rsidR="00D229BB" w:rsidRPr="00C917E2" w:rsidRDefault="00D229BB" w:rsidP="00D37198">
      <w:pPr>
        <w:pStyle w:val="Numberpara"/>
      </w:pPr>
      <w:r w:rsidRPr="00C917E2">
        <w:t>A major area of concern has been the high maternal mortality ratio (MMR), which reached 960 deaths per 100,000 live births in 2010–11 (</w:t>
      </w:r>
      <w:r w:rsidR="00C713A9" w:rsidRPr="00C917E2">
        <w:fldChar w:fldCharType="begin"/>
      </w:r>
      <w:r w:rsidRPr="00C917E2">
        <w:instrText xml:space="preserve"> REF _Ref411925632 \h </w:instrText>
      </w:r>
      <w:r w:rsidR="00C713A9" w:rsidRPr="00C917E2">
        <w:fldChar w:fldCharType="separate"/>
      </w:r>
      <w:r w:rsidR="003732A2" w:rsidRPr="00C917E2">
        <w:t xml:space="preserve">Figure </w:t>
      </w:r>
      <w:r w:rsidR="003732A2">
        <w:rPr>
          <w:noProof/>
        </w:rPr>
        <w:t>2</w:t>
      </w:r>
      <w:r w:rsidR="00C713A9" w:rsidRPr="00C917E2">
        <w:fldChar w:fldCharType="end"/>
      </w:r>
      <w:r w:rsidRPr="00C917E2">
        <w:t>), a sharp increase from the 612 in 2005–06, which was already markedly higher than the Sub-Saharan average. The estimates provided by the National Census of 2012 point to a decline in the MMR to 525. While the results of the 2014 MICS further points to this decline with an MMR of 614, progress is not fast enough to achieve the Millennium Development Goal (MDG) minimum of 174 deaths per 100,000 live births.</w:t>
      </w:r>
      <w:r w:rsidR="00F63131">
        <w:t xml:space="preserve"> </w:t>
      </w:r>
    </w:p>
    <w:p w14:paraId="4B9A98EF" w14:textId="06576DC1" w:rsidR="00D229BB" w:rsidRPr="00C917E2" w:rsidRDefault="00D229BB" w:rsidP="00C53C89">
      <w:pPr>
        <w:pStyle w:val="Figure"/>
      </w:pPr>
      <w:bookmarkStart w:id="28" w:name="_Ref411925632"/>
      <w:bookmarkStart w:id="29" w:name="_Toc419004083"/>
      <w:r w:rsidRPr="00C917E2">
        <w:lastRenderedPageBreak/>
        <w:t xml:space="preserve">Figure </w:t>
      </w:r>
      <w:r w:rsidR="00113462">
        <w:fldChar w:fldCharType="begin"/>
      </w:r>
      <w:r w:rsidR="00113462">
        <w:instrText xml:space="preserve"> SEQ Figure \* ARABIC</w:instrText>
      </w:r>
      <w:r w:rsidR="00113462">
        <w:instrText xml:space="preserve"> </w:instrText>
      </w:r>
      <w:r w:rsidR="00113462">
        <w:fldChar w:fldCharType="separate"/>
      </w:r>
      <w:r w:rsidR="003732A2">
        <w:rPr>
          <w:noProof/>
        </w:rPr>
        <w:t>2</w:t>
      </w:r>
      <w:r w:rsidR="00113462">
        <w:rPr>
          <w:noProof/>
        </w:rPr>
        <w:fldChar w:fldCharType="end"/>
      </w:r>
      <w:bookmarkEnd w:id="28"/>
      <w:r w:rsidRPr="00C917E2">
        <w:t xml:space="preserve"> MMR Trends in Zimbabwe and SSA, 1990–c.2014</w:t>
      </w:r>
      <w:bookmarkEnd w:id="29"/>
    </w:p>
    <w:p w14:paraId="04E9F267" w14:textId="77777777" w:rsidR="00D229BB" w:rsidRPr="00C917E2" w:rsidRDefault="00D229BB" w:rsidP="00CD3712">
      <w:r w:rsidRPr="00C917E2">
        <w:rPr>
          <w:noProof/>
        </w:rPr>
        <w:drawing>
          <wp:inline distT="0" distB="0" distL="0" distR="0" wp14:anchorId="7E778EBA" wp14:editId="4BAB6750">
            <wp:extent cx="5305245" cy="3588588"/>
            <wp:effectExtent l="0" t="0" r="10160" b="12065"/>
            <wp:docPr id="59"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E050A46" w14:textId="77777777" w:rsidR="00D229BB" w:rsidRPr="00C917E2" w:rsidRDefault="00D229BB" w:rsidP="00E73060">
      <w:pPr>
        <w:pStyle w:val="Source"/>
      </w:pPr>
      <w:r w:rsidRPr="00E94700">
        <w:rPr>
          <w:i/>
        </w:rPr>
        <w:t>Source</w:t>
      </w:r>
      <w:r w:rsidR="00283D74" w:rsidRPr="00E94700">
        <w:rPr>
          <w:i/>
        </w:rPr>
        <w:t>s</w:t>
      </w:r>
      <w:r w:rsidRPr="00E94700">
        <w:rPr>
          <w:i/>
        </w:rPr>
        <w:t>:</w:t>
      </w:r>
      <w:r w:rsidRPr="00C917E2">
        <w:t xml:space="preserve"> WDI and Population Census 2012; MICS 2014; GHED 2013</w:t>
      </w:r>
      <w:r w:rsidR="006B2D5F">
        <w:t>.</w:t>
      </w:r>
    </w:p>
    <w:p w14:paraId="4267E364" w14:textId="77777777" w:rsidR="00D229BB" w:rsidRPr="00C917E2" w:rsidRDefault="00D229BB" w:rsidP="00D37198">
      <w:pPr>
        <w:pStyle w:val="Numberpara"/>
      </w:pPr>
      <w:r w:rsidRPr="00C917E2">
        <w:t>The under-five mortality rate dropped from 102 per 1,000 live births in 1999 (based on 1995–99 deaths) to 84 in 2010/11 (2005–09 deaths) and further to 75 in 2014 (2010–14 deaths).</w:t>
      </w:r>
      <w:r w:rsidRPr="00C917E2">
        <w:rPr>
          <w:rStyle w:val="EndnoteReference"/>
        </w:rPr>
        <w:endnoteReference w:id="11"/>
      </w:r>
      <w:r w:rsidRPr="00C917E2">
        <w:t xml:space="preserve"> The infant mortality rate decreased from 65 deaths per 1,000 live births in 1999 to 57 in 2010/11 and further to 55 in 2014.</w:t>
      </w:r>
      <w:r w:rsidRPr="00C917E2">
        <w:rPr>
          <w:rStyle w:val="EndnoteReference"/>
        </w:rPr>
        <w:t xml:space="preserve"> </w:t>
      </w:r>
      <w:r w:rsidRPr="00C917E2">
        <w:rPr>
          <w:rStyle w:val="EndnoteReference"/>
        </w:rPr>
        <w:endnoteReference w:id="12"/>
      </w:r>
      <w:r w:rsidRPr="00C917E2">
        <w:t xml:space="preserve"> Here, too, Zimbabwe is unlikely to achieve its MDG target by 2015. </w:t>
      </w:r>
      <w:r w:rsidR="00C713A9" w:rsidRPr="00C917E2">
        <w:fldChar w:fldCharType="begin"/>
      </w:r>
      <w:r w:rsidRPr="00C917E2">
        <w:instrText xml:space="preserve"> REF _Ref411925678 \h </w:instrText>
      </w:r>
      <w:r w:rsidR="00C713A9" w:rsidRPr="00C917E2">
        <w:fldChar w:fldCharType="separate"/>
      </w:r>
      <w:r w:rsidR="003732A2" w:rsidRPr="00C917E2">
        <w:t xml:space="preserve">Figure </w:t>
      </w:r>
      <w:r w:rsidR="003732A2">
        <w:rPr>
          <w:noProof/>
        </w:rPr>
        <w:t>3</w:t>
      </w:r>
      <w:r w:rsidR="00C713A9" w:rsidRPr="00C917E2">
        <w:fldChar w:fldCharType="end"/>
      </w:r>
      <w:r w:rsidRPr="00C917E2">
        <w:t xml:space="preserve"> shows the trend based on Zimbabwe Demographic and Health Survey (ZDHS) data. In addition, one-third of children under-</w:t>
      </w:r>
      <w:r w:rsidR="008C0377">
        <w:t>five</w:t>
      </w:r>
      <w:r w:rsidRPr="00C917E2">
        <w:t xml:space="preserve"> are stunted, with little improvement in these figures over the last decade.</w:t>
      </w:r>
    </w:p>
    <w:p w14:paraId="268B4381" w14:textId="77777777" w:rsidR="00D229BB" w:rsidRPr="00C917E2" w:rsidRDefault="00D229BB" w:rsidP="00C53C89">
      <w:pPr>
        <w:pStyle w:val="Figure"/>
      </w:pPr>
      <w:bookmarkStart w:id="30" w:name="_Ref411925678"/>
      <w:bookmarkStart w:id="31" w:name="_Toc419004084"/>
      <w:r w:rsidRPr="00C917E2">
        <w:t xml:space="preserve">Figure </w:t>
      </w:r>
      <w:r w:rsidR="00113462">
        <w:fldChar w:fldCharType="begin"/>
      </w:r>
      <w:r w:rsidR="00113462">
        <w:instrText xml:space="preserve"> SEQ Figure \* ARABIC </w:instrText>
      </w:r>
      <w:r w:rsidR="00113462">
        <w:fldChar w:fldCharType="separate"/>
      </w:r>
      <w:r w:rsidR="003732A2">
        <w:rPr>
          <w:noProof/>
        </w:rPr>
        <w:t>3</w:t>
      </w:r>
      <w:r w:rsidR="00113462">
        <w:rPr>
          <w:noProof/>
        </w:rPr>
        <w:fldChar w:fldCharType="end"/>
      </w:r>
      <w:bookmarkEnd w:id="30"/>
      <w:r w:rsidRPr="00C917E2">
        <w:t xml:space="preserve"> Trends in Child Mortality Indicators, Zimbabwe, 1989–94 to 2005</w:t>
      </w:r>
      <w:r w:rsidR="008C0377">
        <w:t>–</w:t>
      </w:r>
      <w:r w:rsidRPr="00C917E2">
        <w:t>09</w:t>
      </w:r>
      <w:bookmarkEnd w:id="31"/>
    </w:p>
    <w:p w14:paraId="47A96CFA" w14:textId="77777777" w:rsidR="00D229BB" w:rsidRPr="00C917E2" w:rsidRDefault="00D229BB" w:rsidP="00E73060">
      <w:r w:rsidRPr="00C917E2">
        <w:rPr>
          <w:noProof/>
        </w:rPr>
        <w:drawing>
          <wp:inline distT="0" distB="0" distL="0" distR="0" wp14:anchorId="09A737B7" wp14:editId="6F111E2D">
            <wp:extent cx="5201728" cy="2161843"/>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18589" cy="2168850"/>
                    </a:xfrm>
                    <a:prstGeom prst="rect">
                      <a:avLst/>
                    </a:prstGeom>
                    <a:noFill/>
                    <a:ln>
                      <a:noFill/>
                    </a:ln>
                  </pic:spPr>
                </pic:pic>
              </a:graphicData>
            </a:graphic>
          </wp:inline>
        </w:drawing>
      </w:r>
    </w:p>
    <w:p w14:paraId="49C686BD" w14:textId="77777777" w:rsidR="009C649E" w:rsidRPr="00C917E2" w:rsidRDefault="009C649E" w:rsidP="009C649E">
      <w:pPr>
        <w:pStyle w:val="Source"/>
      </w:pPr>
      <w:r w:rsidRPr="00E94700">
        <w:rPr>
          <w:i/>
        </w:rPr>
        <w:t>Source:</w:t>
      </w:r>
      <w:r w:rsidRPr="00C917E2">
        <w:t xml:space="preserve"> Authors using ZDHS, </w:t>
      </w:r>
      <w:r w:rsidRPr="008C0377">
        <w:t>Zimbabwe National Statistics Agency (ZIMSTAT)</w:t>
      </w:r>
      <w:r w:rsidRPr="00C917E2">
        <w:t>, 1995/6 to 2010/11</w:t>
      </w:r>
      <w:r>
        <w:t>.</w:t>
      </w:r>
    </w:p>
    <w:p w14:paraId="602BEB48" w14:textId="77777777" w:rsidR="00D229BB" w:rsidRPr="00C917E2" w:rsidRDefault="00D229BB" w:rsidP="00AF0298">
      <w:pPr>
        <w:pStyle w:val="Source"/>
      </w:pPr>
      <w:r w:rsidRPr="00E94700">
        <w:rPr>
          <w:i/>
        </w:rPr>
        <w:t>Note:</w:t>
      </w:r>
      <w:r w:rsidRPr="00C917E2">
        <w:t xml:space="preserve"> Neonatal mortality: the probability of dying within the first month of life; infant mortality: the probability of dying between birth and the first birthday; child mortality: the probability of dying between exact age 1</w:t>
      </w:r>
      <w:r w:rsidR="008C0377">
        <w:t xml:space="preserve"> and the fifth birthday; under-five</w:t>
      </w:r>
      <w:r w:rsidRPr="00C917E2">
        <w:t xml:space="preserve"> mortality: the probability of dying between birth and the fifth birthday. Five-year periods preceding ZDHS surveys.</w:t>
      </w:r>
    </w:p>
    <w:p w14:paraId="0FEE1535" w14:textId="77777777" w:rsidR="00D229BB" w:rsidRPr="00C917E2" w:rsidRDefault="00D229BB" w:rsidP="00D37198">
      <w:pPr>
        <w:pStyle w:val="Numberpara"/>
      </w:pPr>
      <w:r w:rsidRPr="00C917E2">
        <w:lastRenderedPageBreak/>
        <w:t>The major causes of death among children under one year are respiratory and perinatal conditions; for those between one and four years it is mainly nutritional deficiencies, followed by respiratory conditions. Intestinal conditions are also a major cause of death, ranking third for both age groups (</w:t>
      </w:r>
      <w:r w:rsidR="00C713A9" w:rsidRPr="00C917E2">
        <w:fldChar w:fldCharType="begin"/>
      </w:r>
      <w:r w:rsidRPr="00C917E2">
        <w:instrText xml:space="preserve"> REF _Ref411925690 \h </w:instrText>
      </w:r>
      <w:r w:rsidR="00C713A9" w:rsidRPr="00C917E2">
        <w:fldChar w:fldCharType="separate"/>
      </w:r>
      <w:r w:rsidR="003732A2" w:rsidRPr="00C917E2">
        <w:t xml:space="preserve">Figure </w:t>
      </w:r>
      <w:r w:rsidR="003732A2">
        <w:rPr>
          <w:noProof/>
        </w:rPr>
        <w:t>4</w:t>
      </w:r>
      <w:r w:rsidR="00C713A9" w:rsidRPr="00C917E2">
        <w:fldChar w:fldCharType="end"/>
      </w:r>
      <w:r w:rsidRPr="00C917E2">
        <w:t>).</w:t>
      </w:r>
    </w:p>
    <w:p w14:paraId="3BB042E2" w14:textId="77777777" w:rsidR="00D229BB" w:rsidRPr="00C917E2" w:rsidRDefault="00D229BB" w:rsidP="00C53C89">
      <w:pPr>
        <w:pStyle w:val="Figure"/>
      </w:pPr>
      <w:bookmarkStart w:id="32" w:name="_Ref411925690"/>
      <w:bookmarkStart w:id="33" w:name="_Toc419004085"/>
      <w:r w:rsidRPr="00C917E2">
        <w:t xml:space="preserve">Figure </w:t>
      </w:r>
      <w:r w:rsidR="00113462">
        <w:fldChar w:fldCharType="begin"/>
      </w:r>
      <w:r w:rsidR="00113462">
        <w:instrText xml:space="preserve"> SEQ Figure \* ARABIC </w:instrText>
      </w:r>
      <w:r w:rsidR="00113462">
        <w:fldChar w:fldCharType="separate"/>
      </w:r>
      <w:r w:rsidR="003732A2">
        <w:rPr>
          <w:noProof/>
        </w:rPr>
        <w:t>4</w:t>
      </w:r>
      <w:r w:rsidR="00113462">
        <w:rPr>
          <w:noProof/>
        </w:rPr>
        <w:fldChar w:fldCharType="end"/>
      </w:r>
      <w:bookmarkEnd w:id="32"/>
      <w:r w:rsidRPr="00C917E2">
        <w:t xml:space="preserve"> Causes of Mortality Among Children Under </w:t>
      </w:r>
      <w:r w:rsidR="00FA01C4">
        <w:t>Five</w:t>
      </w:r>
      <w:r w:rsidRPr="00C917E2">
        <w:t xml:space="preserve"> Years Old, 2011</w:t>
      </w:r>
      <w:bookmarkEnd w:id="33"/>
    </w:p>
    <w:p w14:paraId="7402AD84" w14:textId="77777777" w:rsidR="00D229BB" w:rsidRPr="00C917E2" w:rsidRDefault="00D229BB" w:rsidP="00E9343F">
      <w:pPr>
        <w:keepNext/>
      </w:pPr>
      <w:r w:rsidRPr="00C917E2">
        <w:rPr>
          <w:noProof/>
        </w:rPr>
        <w:drawing>
          <wp:inline distT="0" distB="0" distL="0" distR="0" wp14:anchorId="7EBF951C" wp14:editId="16C8619D">
            <wp:extent cx="5324475" cy="2838450"/>
            <wp:effectExtent l="0" t="0" r="9525" b="19050"/>
            <wp:docPr id="6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5C7A3DB" w14:textId="77777777" w:rsidR="00D229BB" w:rsidRPr="00C917E2" w:rsidRDefault="00D229BB" w:rsidP="00E9343F">
      <w:pPr>
        <w:pStyle w:val="Source"/>
      </w:pPr>
      <w:r w:rsidRPr="00E94700">
        <w:rPr>
          <w:i/>
        </w:rPr>
        <w:t>Source:</w:t>
      </w:r>
      <w:r w:rsidRPr="00C917E2">
        <w:t xml:space="preserve"> Authors using 2011 National Health Profile </w:t>
      </w:r>
      <w:r w:rsidR="00E34BEA" w:rsidRPr="00C917E2">
        <w:t>draft report</w:t>
      </w:r>
      <w:r w:rsidR="006B2D5F">
        <w:t>.</w:t>
      </w:r>
    </w:p>
    <w:p w14:paraId="76E5C89F" w14:textId="77777777" w:rsidR="00D229BB" w:rsidRPr="00C917E2" w:rsidRDefault="00D229BB" w:rsidP="00D37198">
      <w:pPr>
        <w:pStyle w:val="Numberpara"/>
      </w:pPr>
      <w:r w:rsidRPr="00C917E2">
        <w:t>Although the percentage of HIV-infected persons is declining in Zimbabwe, HIV-related deaths are among the top causes of mortality for all age groups, followed by malaria, tuberculosis, and NCDs. According to the ZDHS 2010–11</w:t>
      </w:r>
      <w:r w:rsidR="00FA01C4">
        <w:t>,</w:t>
      </w:r>
      <w:r w:rsidRPr="00C917E2">
        <w:t xml:space="preserve"> more than 20 percent of maternal deaths were HIV related. It is estimated that 15 percent of adults aged 15–49 years were infected with HIV in 2011, down from 18 percent in 2007. Despite the decline, the country continues to have far higher rates of prevalence and new infections than regional peers (</w:t>
      </w:r>
      <w:r w:rsidR="00C713A9" w:rsidRPr="00C917E2">
        <w:fldChar w:fldCharType="begin"/>
      </w:r>
      <w:r w:rsidRPr="00C917E2">
        <w:instrText xml:space="preserve"> REF _Ref411925699 \h </w:instrText>
      </w:r>
      <w:r w:rsidR="00C713A9" w:rsidRPr="00C917E2">
        <w:fldChar w:fldCharType="separate"/>
      </w:r>
      <w:r w:rsidR="003732A2" w:rsidRPr="00C917E2">
        <w:t xml:space="preserve">Figure </w:t>
      </w:r>
      <w:r w:rsidR="003732A2">
        <w:rPr>
          <w:noProof/>
        </w:rPr>
        <w:t>5</w:t>
      </w:r>
      <w:r w:rsidR="00C713A9" w:rsidRPr="00C917E2">
        <w:fldChar w:fldCharType="end"/>
      </w:r>
      <w:r w:rsidRPr="00C917E2">
        <w:t>).</w:t>
      </w:r>
    </w:p>
    <w:p w14:paraId="684E6136" w14:textId="77777777" w:rsidR="00D229BB" w:rsidRPr="00C917E2" w:rsidRDefault="00D229BB" w:rsidP="00C53C89">
      <w:pPr>
        <w:pStyle w:val="Figure"/>
      </w:pPr>
      <w:bookmarkStart w:id="34" w:name="_Ref411925699"/>
      <w:bookmarkStart w:id="35" w:name="_Toc419004086"/>
      <w:r w:rsidRPr="00C917E2">
        <w:t xml:space="preserve">Figure </w:t>
      </w:r>
      <w:r w:rsidR="00113462">
        <w:fldChar w:fldCharType="begin"/>
      </w:r>
      <w:r w:rsidR="00113462">
        <w:instrText xml:space="preserve"> SEQ Figure \* ARABIC </w:instrText>
      </w:r>
      <w:r w:rsidR="00113462">
        <w:fldChar w:fldCharType="separate"/>
      </w:r>
      <w:r w:rsidR="003732A2">
        <w:rPr>
          <w:noProof/>
        </w:rPr>
        <w:t>5</w:t>
      </w:r>
      <w:r w:rsidR="00113462">
        <w:rPr>
          <w:noProof/>
        </w:rPr>
        <w:fldChar w:fldCharType="end"/>
      </w:r>
      <w:bookmarkEnd w:id="34"/>
      <w:r w:rsidRPr="00C917E2">
        <w:t xml:space="preserve"> Trends in HIV Prevalence among Adults (15</w:t>
      </w:r>
      <w:r w:rsidR="00FA01C4">
        <w:t>–</w:t>
      </w:r>
      <w:r w:rsidRPr="00C917E2">
        <w:t>49 Years) and in Tuberculosis Prevalence and Incidence, SSA and Zimbabwe, 2004–12</w:t>
      </w:r>
      <w:bookmarkEnd w:id="35"/>
    </w:p>
    <w:p w14:paraId="21F452B9" w14:textId="77777777" w:rsidR="00D229BB" w:rsidRPr="00C917E2" w:rsidRDefault="00D229BB" w:rsidP="00E9343F">
      <w:pPr>
        <w:pStyle w:val="Source"/>
      </w:pPr>
      <w:r w:rsidRPr="00C917E2">
        <w:rPr>
          <w:noProof/>
        </w:rPr>
        <w:drawing>
          <wp:inline distT="0" distB="0" distL="0" distR="0" wp14:anchorId="2055830D" wp14:editId="0B915A59">
            <wp:extent cx="5731178" cy="2058035"/>
            <wp:effectExtent l="25400" t="2540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2058154"/>
                    </a:xfrm>
                    <a:prstGeom prst="rect">
                      <a:avLst/>
                    </a:prstGeom>
                    <a:noFill/>
                    <a:ln>
                      <a:solidFill>
                        <a:srgbClr val="4F81BD"/>
                      </a:solidFill>
                    </a:ln>
                  </pic:spPr>
                </pic:pic>
              </a:graphicData>
            </a:graphic>
          </wp:inline>
        </w:drawing>
      </w:r>
    </w:p>
    <w:p w14:paraId="35165195" w14:textId="77777777" w:rsidR="00D229BB" w:rsidRPr="00C917E2" w:rsidRDefault="00D229BB" w:rsidP="00E9343F">
      <w:pPr>
        <w:pStyle w:val="Source"/>
      </w:pPr>
      <w:r w:rsidRPr="00E94700">
        <w:rPr>
          <w:i/>
        </w:rPr>
        <w:t>Source:</w:t>
      </w:r>
      <w:r w:rsidRPr="00C917E2">
        <w:t xml:space="preserve"> WDI 2012</w:t>
      </w:r>
      <w:r w:rsidR="006B2D5F">
        <w:t>.</w:t>
      </w:r>
    </w:p>
    <w:p w14:paraId="34449AD2" w14:textId="77777777" w:rsidR="00D229BB" w:rsidRPr="00C917E2" w:rsidRDefault="00D229BB" w:rsidP="00D37198">
      <w:pPr>
        <w:pStyle w:val="Numberpara"/>
      </w:pPr>
      <w:r w:rsidRPr="00C917E2">
        <w:t xml:space="preserve">Tuberculosis incidence decreased from 782 per 100,000 people in 2007 to 633 in 2010, declining further after that (see </w:t>
      </w:r>
      <w:r w:rsidR="00C713A9" w:rsidRPr="00C917E2">
        <w:fldChar w:fldCharType="begin"/>
      </w:r>
      <w:r w:rsidRPr="00C917E2">
        <w:instrText xml:space="preserve"> REF _Ref411925699 \h </w:instrText>
      </w:r>
      <w:r w:rsidR="00C713A9" w:rsidRPr="00C917E2">
        <w:fldChar w:fldCharType="separate"/>
      </w:r>
      <w:r w:rsidR="003732A2" w:rsidRPr="00C917E2">
        <w:t xml:space="preserve">Figure </w:t>
      </w:r>
      <w:r w:rsidR="003732A2">
        <w:rPr>
          <w:noProof/>
        </w:rPr>
        <w:t>5</w:t>
      </w:r>
      <w:r w:rsidR="00C713A9" w:rsidRPr="00C917E2">
        <w:fldChar w:fldCharType="end"/>
      </w:r>
      <w:r w:rsidRPr="00C917E2">
        <w:t xml:space="preserve">). A 2010 report on a regional workshop on tuberculosis surveillance </w:t>
      </w:r>
      <w:r w:rsidRPr="00C917E2">
        <w:lastRenderedPageBreak/>
        <w:t xml:space="preserve">and impact monitoring noted that Zimbabwe had a tuberculosis </w:t>
      </w:r>
      <w:r w:rsidR="00FA01C4" w:rsidRPr="00C917E2">
        <w:t xml:space="preserve">case detection rate </w:t>
      </w:r>
      <w:r w:rsidRPr="00C917E2">
        <w:t>of 51 percent, which was notably lower than other countries in the region.</w:t>
      </w:r>
      <w:r w:rsidRPr="00C917E2">
        <w:rPr>
          <w:rStyle w:val="EndnoteReference"/>
        </w:rPr>
        <w:t xml:space="preserve"> </w:t>
      </w:r>
    </w:p>
    <w:p w14:paraId="46F42E06" w14:textId="77777777" w:rsidR="008B67F3" w:rsidRPr="00C917E2" w:rsidRDefault="00D229BB" w:rsidP="00D37198">
      <w:pPr>
        <w:pStyle w:val="Numberpara"/>
      </w:pPr>
      <w:r w:rsidRPr="00C917E2">
        <w:t>While malaria is among the top five causes of death in the country, current incidence marks a 64 percent decline from levels in 2000.</w:t>
      </w:r>
      <w:r w:rsidRPr="00C917E2">
        <w:rPr>
          <w:rStyle w:val="EndnoteReference"/>
        </w:rPr>
        <w:endnoteReference w:id="13"/>
      </w:r>
      <w:r w:rsidRPr="00C917E2">
        <w:t xml:space="preserve"> According to the 2011 Roll Back Malaria/WHO Malaria Program Review, malaria incidence decreased from 1.8 million to 600,000 </w:t>
      </w:r>
      <w:r w:rsidR="00FA01C4" w:rsidRPr="00C917E2">
        <w:t xml:space="preserve">cases </w:t>
      </w:r>
      <w:r w:rsidRPr="00C917E2">
        <w:t xml:space="preserve">over 2006–10. Despite the low number of new </w:t>
      </w:r>
      <w:r w:rsidR="00FA01C4">
        <w:t>cases of cholera since the 2008–0</w:t>
      </w:r>
      <w:r w:rsidRPr="00C917E2">
        <w:t>9 cholera outbreak, which resulted in 4,288 cumulative deaths between August 2008 and mid-July 2009,</w:t>
      </w:r>
      <w:r w:rsidRPr="00C917E2">
        <w:rPr>
          <w:rStyle w:val="EndnoteReference"/>
        </w:rPr>
        <w:endnoteReference w:id="14"/>
      </w:r>
      <w:r w:rsidRPr="00C917E2">
        <w:t xml:space="preserve"> </w:t>
      </w:r>
      <w:r w:rsidR="008B67F3" w:rsidRPr="00C917E2">
        <w:t xml:space="preserve">outbreaks of typhoid and other waterborne diseases remain a major public health concern. </w:t>
      </w:r>
      <w:r w:rsidR="00FA01C4">
        <w:t xml:space="preserve">Poor </w:t>
      </w:r>
      <w:r w:rsidR="008B67F3" w:rsidRPr="00C917E2">
        <w:t xml:space="preserve">water and sanitation, particularly in urban areas, </w:t>
      </w:r>
      <w:r w:rsidR="00FA01C4">
        <w:t xml:space="preserve">are </w:t>
      </w:r>
      <w:r w:rsidR="008B67F3" w:rsidRPr="00C917E2">
        <w:t xml:space="preserve">intricately linked to the disease burden. </w:t>
      </w:r>
    </w:p>
    <w:p w14:paraId="20967DD0" w14:textId="77777777" w:rsidR="008B67F3" w:rsidRPr="00C917E2" w:rsidRDefault="008B67F3" w:rsidP="00D37198">
      <w:pPr>
        <w:pStyle w:val="Numberpara"/>
      </w:pPr>
      <w:r w:rsidRPr="00C917E2">
        <w:t>The burden of NCDs is increasing sharply. Around 31 percent of total deaths were caused by NCDs in 2012, placing Zimbabwe around the median of SSA countries (</w:t>
      </w:r>
      <w:r w:rsidR="00C713A9" w:rsidRPr="00C917E2">
        <w:fldChar w:fldCharType="begin"/>
      </w:r>
      <w:r w:rsidRPr="00C917E2">
        <w:instrText xml:space="preserve"> REF _Ref411925706 \h </w:instrText>
      </w:r>
      <w:r w:rsidR="00C713A9" w:rsidRPr="00C917E2">
        <w:fldChar w:fldCharType="separate"/>
      </w:r>
      <w:r w:rsidR="003732A2" w:rsidRPr="00C917E2">
        <w:t xml:space="preserve">Figure </w:t>
      </w:r>
      <w:r w:rsidR="003732A2">
        <w:rPr>
          <w:noProof/>
        </w:rPr>
        <w:t>6</w:t>
      </w:r>
      <w:r w:rsidR="00C713A9" w:rsidRPr="00C917E2">
        <w:fldChar w:fldCharType="end"/>
      </w:r>
      <w:r w:rsidRPr="00C917E2">
        <w:t>). NCDs recently had a bigger share in causes of death than HIV/AIDS. Zimbabwean women had among the highest age-standardized rates of cervical cancer in the world (47 per 100,000) but screening coverage was less than 5 percent.</w:t>
      </w:r>
      <w:r w:rsidRPr="00C917E2">
        <w:rPr>
          <w:rStyle w:val="EndnoteReference"/>
        </w:rPr>
        <w:endnoteReference w:id="15"/>
      </w:r>
      <w:r w:rsidRPr="00C917E2">
        <w:t xml:space="preserve"> Diabetes prevalence, estimated at 9.7 percent in 2012, is far higher than among regional peers, which have rates of about 4–5 percent.</w:t>
      </w:r>
      <w:r w:rsidRPr="00C917E2">
        <w:rPr>
          <w:rStyle w:val="EndnoteReference"/>
        </w:rPr>
        <w:endnoteReference w:id="16"/>
      </w:r>
    </w:p>
    <w:p w14:paraId="4865620A" w14:textId="77777777" w:rsidR="008B67F3" w:rsidRPr="00C917E2" w:rsidRDefault="008B67F3" w:rsidP="005D322D">
      <w:pPr>
        <w:pStyle w:val="Figure"/>
      </w:pPr>
      <w:bookmarkStart w:id="36" w:name="_Ref411925706"/>
      <w:bookmarkStart w:id="37" w:name="_Toc419004087"/>
      <w:r w:rsidRPr="00C917E2">
        <w:t xml:space="preserve">Figure </w:t>
      </w:r>
      <w:r w:rsidR="00113462">
        <w:fldChar w:fldCharType="begin"/>
      </w:r>
      <w:r w:rsidR="00113462">
        <w:instrText xml:space="preserve"> SEQ Figure \* ARABIC </w:instrText>
      </w:r>
      <w:r w:rsidR="00113462">
        <w:fldChar w:fldCharType="separate"/>
      </w:r>
      <w:r w:rsidR="003732A2">
        <w:rPr>
          <w:noProof/>
        </w:rPr>
        <w:t>6</w:t>
      </w:r>
      <w:r w:rsidR="00113462">
        <w:rPr>
          <w:noProof/>
        </w:rPr>
        <w:fldChar w:fldCharType="end"/>
      </w:r>
      <w:bookmarkEnd w:id="36"/>
      <w:r w:rsidR="00501C27">
        <w:t xml:space="preserve"> NCD</w:t>
      </w:r>
      <w:r w:rsidRPr="00C917E2">
        <w:t xml:space="preserve"> Contribution to Mortality in SSA</w:t>
      </w:r>
      <w:r w:rsidR="00501C27">
        <w:t>, 2012</w:t>
      </w:r>
      <w:bookmarkEnd w:id="37"/>
    </w:p>
    <w:p w14:paraId="746EEC6D" w14:textId="77777777" w:rsidR="008B67F3" w:rsidRPr="00C917E2" w:rsidRDefault="008B67F3" w:rsidP="00A02107">
      <w:pPr>
        <w:keepNext/>
      </w:pPr>
      <w:r w:rsidRPr="00C917E2">
        <w:rPr>
          <w:noProof/>
        </w:rPr>
        <w:drawing>
          <wp:inline distT="0" distB="0" distL="0" distR="0" wp14:anchorId="6243CCE4" wp14:editId="5E182862">
            <wp:extent cx="3095625" cy="2847975"/>
            <wp:effectExtent l="19050" t="19050" r="28575" b="28575"/>
            <wp:docPr id="14" name="Image 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3095625" cy="2847975"/>
                    </a:xfrm>
                    <a:prstGeom prst="rect">
                      <a:avLst/>
                    </a:prstGeom>
                    <a:noFill/>
                    <a:ln w="9525">
                      <a:solidFill>
                        <a:srgbClr val="95B3D7"/>
                      </a:solidFill>
                      <a:miter lim="800000"/>
                      <a:headEnd/>
                      <a:tailEnd/>
                    </a:ln>
                  </pic:spPr>
                </pic:pic>
              </a:graphicData>
            </a:graphic>
          </wp:inline>
        </w:drawing>
      </w:r>
    </w:p>
    <w:p w14:paraId="5E7106C9" w14:textId="77777777" w:rsidR="008B67F3" w:rsidRPr="00C917E2" w:rsidRDefault="008B67F3" w:rsidP="00A02107">
      <w:pPr>
        <w:pStyle w:val="Source"/>
      </w:pPr>
      <w:r w:rsidRPr="00E94700">
        <w:rPr>
          <w:i/>
        </w:rPr>
        <w:t>Source:</w:t>
      </w:r>
      <w:r w:rsidRPr="00C917E2">
        <w:t xml:space="preserve"> WDI 2012</w:t>
      </w:r>
      <w:r w:rsidR="006B2D5F">
        <w:t>.</w:t>
      </w:r>
    </w:p>
    <w:p w14:paraId="311E2A28" w14:textId="77777777" w:rsidR="008B67F3" w:rsidRPr="00C917E2" w:rsidRDefault="008B67F3" w:rsidP="00320F82">
      <w:pPr>
        <w:pStyle w:val="Heading3"/>
      </w:pPr>
      <w:bookmarkStart w:id="38" w:name="_Toc401030245"/>
      <w:bookmarkStart w:id="39" w:name="_Toc401030899"/>
      <w:bookmarkStart w:id="40" w:name="_Toc419003997"/>
      <w:r w:rsidRPr="00C917E2">
        <w:t>Lifestyle and Risky Health Behaviors</w:t>
      </w:r>
      <w:bookmarkEnd w:id="38"/>
      <w:bookmarkEnd w:id="39"/>
      <w:bookmarkEnd w:id="40"/>
    </w:p>
    <w:p w14:paraId="6D4411E7" w14:textId="77777777" w:rsidR="008B67F3" w:rsidRDefault="00913CFF" w:rsidP="00D37198">
      <w:pPr>
        <w:pStyle w:val="Numberpara"/>
      </w:pPr>
      <w:r w:rsidRPr="00D37198">
        <w:t>Youth under the age of 25 years, who make up more than half the population, are at high risk for HIV</w:t>
      </w:r>
      <w:r w:rsidRPr="00C917E2">
        <w:t xml:space="preserve"> transmission. The number of sexually active adolescents before age 18 is high (40 percent in 2012), but the use of contraceptives does not reflect that rate. Only half of adolescents have adequate knowledge o</w:t>
      </w:r>
      <w:r>
        <w:t>f</w:t>
      </w:r>
      <w:r w:rsidRPr="00C917E2">
        <w:t xml:space="preserve"> how to prevent HIV infection,</w:t>
      </w:r>
      <w:r w:rsidRPr="00C917E2">
        <w:rPr>
          <w:rStyle w:val="EndnoteReference"/>
        </w:rPr>
        <w:endnoteReference w:id="17"/>
      </w:r>
      <w:r w:rsidRPr="00C917E2">
        <w:t xml:space="preserve"> and even those who do, do not always practice safer sex.</w:t>
      </w:r>
      <w:r w:rsidRPr="00C917E2">
        <w:rPr>
          <w:rStyle w:val="EndnoteReference"/>
        </w:rPr>
        <w:endnoteReference w:id="18"/>
      </w:r>
      <w:r w:rsidRPr="00C917E2">
        <w:t xml:space="preserve"> Analysis of the ZDHS showed a correlation between HIV prevalence and age of first sexual contact, with higher prevalence (23 percent) among women with first sexual contact before 16.</w:t>
      </w:r>
      <w:r w:rsidRPr="00C917E2">
        <w:rPr>
          <w:rStyle w:val="EndnoteReference"/>
        </w:rPr>
        <w:endnoteReference w:id="19"/>
      </w:r>
    </w:p>
    <w:p w14:paraId="676FAECC" w14:textId="77777777" w:rsidR="00913CFF" w:rsidRPr="00C917E2" w:rsidRDefault="00913CFF" w:rsidP="00D37198">
      <w:pPr>
        <w:pStyle w:val="Numberpara"/>
      </w:pPr>
      <w:r w:rsidRPr="00C917E2">
        <w:t>Alcohol consumption and smoking rates are high</w:t>
      </w:r>
      <w:r>
        <w:t>,</w:t>
      </w:r>
      <w:r w:rsidRPr="00C917E2">
        <w:t xml:space="preserve"> particularly among poor and less educated men. Although nearly all women reported to be nonsmokers, at least one in every five men reported to be smokers during the ZDHS 2010–11 and MICS 2014. This points to higher exposure to NCD risk factors among the poor</w:t>
      </w:r>
      <w:r w:rsidR="003E1D97">
        <w:t xml:space="preserve">. </w:t>
      </w:r>
    </w:p>
    <w:p w14:paraId="4291A6E5" w14:textId="77777777" w:rsidR="008B67F3" w:rsidRPr="00C917E2" w:rsidRDefault="008B67F3" w:rsidP="00D37198">
      <w:pPr>
        <w:pStyle w:val="Numberpara"/>
      </w:pPr>
      <w:r w:rsidRPr="00C917E2">
        <w:lastRenderedPageBreak/>
        <w:t xml:space="preserve">Other lifestyle-related risk factors such as poor dietary intake and lack of physical activity are gaining the attention of policy makers. They are concerned that the expanding middle class in urban areas has increased its intake of fast foods, tobacco, and alcohol, but lack exercise, reflecting better access to modern transport and intense and lengthy work schedules, thus predisposing them to the risks of NCDs. (WHO and the MOHCC are preparing a new survey of NCDs to provide more accurate data.) </w:t>
      </w:r>
    </w:p>
    <w:p w14:paraId="68BC7069" w14:textId="77777777" w:rsidR="008B67F3" w:rsidRPr="00C917E2" w:rsidRDefault="008B67F3" w:rsidP="00320F82">
      <w:pPr>
        <w:pStyle w:val="Heading3"/>
      </w:pPr>
      <w:bookmarkStart w:id="41" w:name="_Toc401030246"/>
      <w:bookmarkStart w:id="42" w:name="_Toc401030900"/>
      <w:bookmarkStart w:id="43" w:name="_Toc419003998"/>
      <w:r w:rsidRPr="00C917E2">
        <w:t>Distribution of Health Status</w:t>
      </w:r>
      <w:bookmarkEnd w:id="41"/>
      <w:bookmarkEnd w:id="42"/>
      <w:bookmarkEnd w:id="43"/>
    </w:p>
    <w:p w14:paraId="20316874" w14:textId="77777777" w:rsidR="008B67F3" w:rsidRPr="00C917E2" w:rsidRDefault="008B67F3" w:rsidP="00D37198">
      <w:pPr>
        <w:pStyle w:val="Numberpara"/>
      </w:pPr>
      <w:r w:rsidRPr="00C917E2">
        <w:t>Zimbabwe, like other countries, faces disparities in health outcomes based on socioeconomic status, the urban–rural divide, and gender. The poorest quintile has 55 deaths per 1,000 live births versus 48 in the richest.</w:t>
      </w:r>
      <w:r w:rsidRPr="00C917E2">
        <w:rPr>
          <w:rStyle w:val="EndnoteReference"/>
        </w:rPr>
        <w:endnoteReference w:id="20"/>
      </w:r>
      <w:r w:rsidRPr="00C917E2">
        <w:t xml:space="preserve"> The difference is more pronounced for under-five mortality: 85 per 1,000 live births against 58.</w:t>
      </w:r>
    </w:p>
    <w:p w14:paraId="2280EABB" w14:textId="77777777" w:rsidR="008B67F3" w:rsidRPr="00C917E2" w:rsidRDefault="008B67F3" w:rsidP="00D37198">
      <w:pPr>
        <w:pStyle w:val="Numberpara"/>
      </w:pPr>
      <w:r w:rsidRPr="00C917E2">
        <w:t>Inequities in health are also marked by a sharp urban–rural divide. Child mortality and malnutrition are significantly higher in rural areas. Prevalence of stunting, wasting, and underweight, for example, is higher in rural areas, estimated at 33.4 percent, 3.2 percent, and 10.2 percent, than in urban areas, put at 27.5 percent, 2.1 percent, and 8.1 percent, respectively.</w:t>
      </w:r>
      <w:r w:rsidRPr="00C917E2">
        <w:rPr>
          <w:rStyle w:val="EndnoteReference"/>
        </w:rPr>
        <w:endnoteReference w:id="21"/>
      </w:r>
    </w:p>
    <w:p w14:paraId="46B9D170" w14:textId="77777777" w:rsidR="008B67F3" w:rsidRPr="00C917E2" w:rsidRDefault="008B67F3" w:rsidP="00D37198">
      <w:pPr>
        <w:pStyle w:val="Numberpara"/>
      </w:pPr>
      <w:r w:rsidRPr="00C917E2">
        <w:t xml:space="preserve">Estimates for underweight prevalence </w:t>
      </w:r>
      <w:r w:rsidR="002B46D8">
        <w:t xml:space="preserve">among children </w:t>
      </w:r>
      <w:r w:rsidRPr="00C917E2">
        <w:t>are higher in rural and remote parts of the country (</w:t>
      </w:r>
      <w:r w:rsidR="00C713A9" w:rsidRPr="00C917E2">
        <w:fldChar w:fldCharType="begin"/>
      </w:r>
      <w:r w:rsidRPr="00C917E2">
        <w:instrText xml:space="preserve"> REF _Ref411925898 \h </w:instrText>
      </w:r>
      <w:r w:rsidR="00C713A9" w:rsidRPr="00C917E2">
        <w:fldChar w:fldCharType="separate"/>
      </w:r>
      <w:r w:rsidR="003732A2" w:rsidRPr="00C917E2">
        <w:t xml:space="preserve">Figure </w:t>
      </w:r>
      <w:r w:rsidR="003732A2">
        <w:rPr>
          <w:noProof/>
        </w:rPr>
        <w:t>7</w:t>
      </w:r>
      <w:r w:rsidR="00C713A9" w:rsidRPr="00C917E2">
        <w:fldChar w:fldCharType="end"/>
      </w:r>
      <w:r w:rsidRPr="00C917E2">
        <w:t>). Poor dietary intake and lack of access to improved water and sanitation are key determinants of malnutrition.</w:t>
      </w:r>
      <w:r w:rsidRPr="00C917E2">
        <w:rPr>
          <w:rStyle w:val="EndnoteReference"/>
        </w:rPr>
        <w:endnoteReference w:id="22"/>
      </w:r>
      <w:r w:rsidRPr="00C917E2">
        <w:t xml:space="preserve"> There is also growing evidence of a significant share of the urban poor population </w:t>
      </w:r>
      <w:r w:rsidR="00696C86">
        <w:t xml:space="preserve">having </w:t>
      </w:r>
      <w:r w:rsidRPr="00C917E2">
        <w:t>poor health status and limited access to care.</w:t>
      </w:r>
      <w:r w:rsidRPr="00C917E2">
        <w:rPr>
          <w:rStyle w:val="EndnoteReference"/>
        </w:rPr>
        <w:endnoteReference w:id="23"/>
      </w:r>
    </w:p>
    <w:p w14:paraId="61A496CB" w14:textId="77777777" w:rsidR="008B67F3" w:rsidRPr="00C917E2" w:rsidRDefault="008B67F3" w:rsidP="00C53C89">
      <w:pPr>
        <w:pStyle w:val="Figure"/>
      </w:pPr>
      <w:bookmarkStart w:id="44" w:name="_Ref411925898"/>
      <w:bookmarkStart w:id="45" w:name="_Toc419004088"/>
      <w:r w:rsidRPr="00C917E2">
        <w:t xml:space="preserve">Figure </w:t>
      </w:r>
      <w:r w:rsidR="00113462">
        <w:fldChar w:fldCharType="begin"/>
      </w:r>
      <w:r w:rsidR="00113462">
        <w:instrText xml:space="preserve"> SEQ Figure \* ARABIC </w:instrText>
      </w:r>
      <w:r w:rsidR="00113462">
        <w:fldChar w:fldCharType="separate"/>
      </w:r>
      <w:r w:rsidR="003732A2">
        <w:rPr>
          <w:noProof/>
        </w:rPr>
        <w:t>7</w:t>
      </w:r>
      <w:r w:rsidR="00113462">
        <w:rPr>
          <w:noProof/>
        </w:rPr>
        <w:fldChar w:fldCharType="end"/>
      </w:r>
      <w:bookmarkEnd w:id="44"/>
      <w:r w:rsidRPr="00C917E2">
        <w:t xml:space="preserve"> Distribution of Underweight Prevalence </w:t>
      </w:r>
      <w:r w:rsidR="002B46D8">
        <w:t>among Children</w:t>
      </w:r>
      <w:bookmarkEnd w:id="45"/>
    </w:p>
    <w:p w14:paraId="0239D32D" w14:textId="77777777" w:rsidR="008B67F3" w:rsidRPr="00C917E2" w:rsidRDefault="008B67F3" w:rsidP="00B064A5">
      <w:pPr>
        <w:keepNext/>
        <w:spacing w:after="0"/>
      </w:pPr>
      <w:r w:rsidRPr="00C917E2">
        <w:rPr>
          <w:noProof/>
        </w:rPr>
        <w:drawing>
          <wp:inline distT="0" distB="0" distL="0" distR="0" wp14:anchorId="5FD22479" wp14:editId="1BCE0CE0">
            <wp:extent cx="3367088" cy="2904439"/>
            <wp:effectExtent l="0" t="0" r="5080" b="0"/>
            <wp:docPr id="7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rotWithShape="1">
                    <a:blip r:embed="rId32">
                      <a:extLst>
                        <a:ext uri="{28A0092B-C50C-407E-A947-70E740481C1C}">
                          <a14:useLocalDpi xmlns:a14="http://schemas.microsoft.com/office/drawing/2010/main" val="0"/>
                        </a:ext>
                      </a:extLst>
                    </a:blip>
                    <a:srcRect t="4496"/>
                    <a:stretch/>
                  </pic:blipFill>
                  <pic:spPr bwMode="auto">
                    <a:xfrm>
                      <a:off x="0" y="0"/>
                      <a:ext cx="3371850" cy="2908547"/>
                    </a:xfrm>
                    <a:prstGeom prst="rect">
                      <a:avLst/>
                    </a:prstGeom>
                    <a:noFill/>
                    <a:ln>
                      <a:noFill/>
                    </a:ln>
                    <a:extLst>
                      <a:ext uri="{53640926-AAD7-44D8-BBD7-CCE9431645EC}">
                        <a14:shadowObscured xmlns:a14="http://schemas.microsoft.com/office/drawing/2010/main"/>
                      </a:ext>
                    </a:extLst>
                  </pic:spPr>
                </pic:pic>
              </a:graphicData>
            </a:graphic>
          </wp:inline>
        </w:drawing>
      </w:r>
    </w:p>
    <w:p w14:paraId="7F670843" w14:textId="77777777" w:rsidR="008B67F3" w:rsidRPr="00C917E2" w:rsidRDefault="008B67F3" w:rsidP="00B52DC5">
      <w:pPr>
        <w:pStyle w:val="Source"/>
      </w:pPr>
      <w:r w:rsidRPr="00E94700">
        <w:rPr>
          <w:i/>
        </w:rPr>
        <w:t>Source:</w:t>
      </w:r>
      <w:r w:rsidRPr="00C917E2">
        <w:t xml:space="preserve"> HNP 2012</w:t>
      </w:r>
      <w:r w:rsidR="006B2D5F">
        <w:t>.</w:t>
      </w:r>
    </w:p>
    <w:p w14:paraId="2EB4E4E9" w14:textId="77777777" w:rsidR="008B67F3" w:rsidRPr="00C917E2" w:rsidRDefault="008B67F3" w:rsidP="00D37198">
      <w:pPr>
        <w:pStyle w:val="Numberpara"/>
      </w:pPr>
      <w:r w:rsidRPr="00C917E2">
        <w:t xml:space="preserve">The HIV prevalence of women in 2010, according to the ZDHS 2010–11, was 18 percent but 12 percent for men. The difference was even more pronounced in the 15–24-year age group with a prevalence of 7.8 percent for females and 3.6 percent for males. The ZDHS 2010–11 also reports that people with better education and socioeconomic status have lower HIV prevalence. </w:t>
      </w:r>
    </w:p>
    <w:p w14:paraId="6CBE7EB5" w14:textId="77777777" w:rsidR="008B67F3" w:rsidRPr="00C917E2" w:rsidRDefault="008B67F3" w:rsidP="00226FA8">
      <w:pPr>
        <w:pStyle w:val="Heading2"/>
      </w:pPr>
      <w:bookmarkStart w:id="46" w:name="_Toc401030247"/>
      <w:bookmarkStart w:id="47" w:name="_Toc401030901"/>
      <w:bookmarkStart w:id="48" w:name="_Toc419003999"/>
      <w:r w:rsidRPr="00C917E2">
        <w:lastRenderedPageBreak/>
        <w:t>2.2 Service Utilization</w:t>
      </w:r>
      <w:bookmarkEnd w:id="46"/>
      <w:bookmarkEnd w:id="47"/>
      <w:r w:rsidRPr="00C917E2">
        <w:t xml:space="preserve"> and Health</w:t>
      </w:r>
      <w:r w:rsidR="00E376A8">
        <w:t>-</w:t>
      </w:r>
      <w:r w:rsidRPr="00C917E2">
        <w:t>Seeking Behavior</w:t>
      </w:r>
      <w:bookmarkEnd w:id="48"/>
    </w:p>
    <w:p w14:paraId="630FCB34" w14:textId="77777777" w:rsidR="008B67F3" w:rsidRPr="00C917E2" w:rsidRDefault="008B67F3" w:rsidP="00D37198">
      <w:pPr>
        <w:pStyle w:val="Numberpara"/>
      </w:pPr>
      <w:r w:rsidRPr="00C917E2">
        <w:t>This subsection looks at service utilization at all levels focusing on its distribution across provinces (and the probable impact of user fees), socioeconomic quintiles, gender, and the urban–rural split. The health system uses the primary care approach in line with the Alma Ata declaration, aiming to ensure equitable access to basic primary health care, supported by robust referrals across levels of care from community and primary to tertiary.</w:t>
      </w:r>
    </w:p>
    <w:p w14:paraId="6FF387FE" w14:textId="77777777" w:rsidR="008B67F3" w:rsidRPr="00C917E2" w:rsidRDefault="008B67F3" w:rsidP="00D37198">
      <w:pPr>
        <w:pStyle w:val="Numberpara"/>
      </w:pPr>
      <w:r w:rsidRPr="00C917E2">
        <w:t>The total volume of outpatient attendance at all levels of care in public and not-for-profit facilities was 14,374,720 (11,432,760 new cases and 2,941,960 repeat cases) in 2012.</w:t>
      </w:r>
      <w:r w:rsidRPr="00C917E2">
        <w:rPr>
          <w:rStyle w:val="EndnoteReference"/>
          <w:rFonts w:eastAsia="Times New Roman"/>
          <w:color w:val="000000"/>
        </w:rPr>
        <w:endnoteReference w:id="24"/>
      </w:r>
      <w:r w:rsidR="00B72993" w:rsidRPr="00C917E2">
        <w:t xml:space="preserve"> </w:t>
      </w:r>
      <w:r w:rsidRPr="00C917E2">
        <w:t>This broadly translates to a utilization rate of 0.9 new cases per capita and an attendance rate of 1.1 visits per capita per year. Although the national initial utilization rate is close to the WHO-recommended rate of 1 new case per person per year, there are wide differences by province, from 0.4 in Mashonaland West to 1.1 in Manicaland (</w:t>
      </w:r>
      <w:r w:rsidR="00C713A9" w:rsidRPr="00C917E2">
        <w:fldChar w:fldCharType="begin"/>
      </w:r>
      <w:r w:rsidRPr="00C917E2">
        <w:instrText xml:space="preserve"> REF _Ref411926469 \h </w:instrText>
      </w:r>
      <w:r w:rsidR="00C713A9" w:rsidRPr="00C917E2">
        <w:fldChar w:fldCharType="separate"/>
      </w:r>
      <w:r w:rsidR="003732A2" w:rsidRPr="00C917E2">
        <w:t xml:space="preserve">Figure </w:t>
      </w:r>
      <w:r w:rsidR="003732A2">
        <w:rPr>
          <w:noProof/>
        </w:rPr>
        <w:t>8</w:t>
      </w:r>
      <w:r w:rsidR="00C713A9" w:rsidRPr="00C917E2">
        <w:fldChar w:fldCharType="end"/>
      </w:r>
      <w:r w:rsidRPr="00C917E2">
        <w:t>).</w:t>
      </w:r>
    </w:p>
    <w:p w14:paraId="6CB51002" w14:textId="77777777" w:rsidR="008B67F3" w:rsidRPr="00C917E2" w:rsidRDefault="008B67F3" w:rsidP="00E2245A">
      <w:pPr>
        <w:pStyle w:val="Figure"/>
        <w:rPr>
          <w:rFonts w:ascii="Tahoma" w:hAnsi="Tahoma"/>
          <w:color w:val="auto"/>
        </w:rPr>
      </w:pPr>
      <w:bookmarkStart w:id="49" w:name="_Ref411926469"/>
      <w:bookmarkStart w:id="50" w:name="_Toc419004089"/>
      <w:r w:rsidRPr="00C917E2">
        <w:t xml:space="preserve">Figure </w:t>
      </w:r>
      <w:r w:rsidR="00113462">
        <w:fldChar w:fldCharType="begin"/>
      </w:r>
      <w:r w:rsidR="00113462">
        <w:instrText xml:space="preserve"> SEQ Figure \* ARABIC </w:instrText>
      </w:r>
      <w:r w:rsidR="00113462">
        <w:fldChar w:fldCharType="separate"/>
      </w:r>
      <w:r w:rsidR="003732A2">
        <w:rPr>
          <w:noProof/>
        </w:rPr>
        <w:t>8</w:t>
      </w:r>
      <w:r w:rsidR="00113462">
        <w:rPr>
          <w:noProof/>
        </w:rPr>
        <w:fldChar w:fldCharType="end"/>
      </w:r>
      <w:bookmarkEnd w:id="49"/>
      <w:r w:rsidRPr="00C917E2">
        <w:t xml:space="preserve"> Per Capita Utilization of Public and Not-for-Profit Health Facilities, Poverty, and User Fees, 2012</w:t>
      </w:r>
      <w:bookmarkEnd w:id="50"/>
    </w:p>
    <w:p w14:paraId="79341CED" w14:textId="77777777" w:rsidR="008B67F3" w:rsidRPr="00C917E2" w:rsidRDefault="008B67F3" w:rsidP="00E9343F">
      <w:pPr>
        <w:keepNext/>
      </w:pPr>
      <w:r w:rsidRPr="00C917E2">
        <w:rPr>
          <w:noProof/>
        </w:rPr>
        <w:drawing>
          <wp:inline distT="0" distB="0" distL="0" distR="0" wp14:anchorId="4AD0BBD3" wp14:editId="44C26E4F">
            <wp:extent cx="5743575" cy="3000375"/>
            <wp:effectExtent l="0" t="0" r="9525" b="9525"/>
            <wp:docPr id="6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F46A835" w14:textId="77777777" w:rsidR="008B67F3" w:rsidRPr="00C917E2" w:rsidRDefault="008B67F3" w:rsidP="00A6753F">
      <w:pPr>
        <w:pStyle w:val="Source"/>
      </w:pPr>
      <w:r w:rsidRPr="00E94700">
        <w:rPr>
          <w:i/>
        </w:rPr>
        <w:t>Source</w:t>
      </w:r>
      <w:r w:rsidR="00283D74" w:rsidRPr="00E94700">
        <w:rPr>
          <w:i/>
        </w:rPr>
        <w:t>s</w:t>
      </w:r>
      <w:r w:rsidRPr="00E94700">
        <w:rPr>
          <w:i/>
        </w:rPr>
        <w:t>:</w:t>
      </w:r>
      <w:r w:rsidRPr="00C917E2">
        <w:t xml:space="preserve"> </w:t>
      </w:r>
      <w:r w:rsidR="00F16760" w:rsidRPr="00C917E2">
        <w:t>Data from</w:t>
      </w:r>
      <w:r w:rsidR="00B72993" w:rsidRPr="00C917E2">
        <w:t xml:space="preserve"> </w:t>
      </w:r>
      <w:r w:rsidRPr="00C917E2">
        <w:t>National Health Profile 2012 (</w:t>
      </w:r>
      <w:r w:rsidR="003D67FD" w:rsidRPr="00C917E2">
        <w:t>utilization</w:t>
      </w:r>
      <w:r w:rsidR="00206062" w:rsidRPr="00C917E2">
        <w:t>—</w:t>
      </w:r>
      <w:r w:rsidRPr="00C917E2">
        <w:t>HMIS-</w:t>
      </w:r>
      <w:r w:rsidR="00F16760" w:rsidRPr="00C917E2">
        <w:t>r</w:t>
      </w:r>
      <w:r w:rsidRPr="00C917E2">
        <w:t xml:space="preserve">eported </w:t>
      </w:r>
      <w:r w:rsidR="00F16760" w:rsidRPr="00C917E2">
        <w:t xml:space="preserve">OPD </w:t>
      </w:r>
      <w:r w:rsidRPr="00C917E2">
        <w:t>data for 2012); PICES 2011/12 (</w:t>
      </w:r>
      <w:r w:rsidR="003D67FD" w:rsidRPr="00C917E2">
        <w:t>poverty</w:t>
      </w:r>
      <w:r w:rsidRPr="00C917E2">
        <w:t>)</w:t>
      </w:r>
      <w:r w:rsidR="00206062" w:rsidRPr="00C917E2">
        <w:t>; NIHFA 2012 (</w:t>
      </w:r>
      <w:r w:rsidR="003D67FD" w:rsidRPr="00C917E2">
        <w:t>user fees</w:t>
      </w:r>
      <w:r w:rsidR="00206062" w:rsidRPr="00C917E2">
        <w:t>).</w:t>
      </w:r>
      <w:r w:rsidR="00B72993" w:rsidRPr="00C917E2">
        <w:t xml:space="preserve"> </w:t>
      </w:r>
    </w:p>
    <w:p w14:paraId="34AFD9B0" w14:textId="77777777" w:rsidR="008B67F3" w:rsidRPr="00C917E2" w:rsidRDefault="008B67F3" w:rsidP="00D37198">
      <w:pPr>
        <w:pStyle w:val="Numberpara"/>
      </w:pPr>
      <w:r w:rsidRPr="00C917E2">
        <w:t xml:space="preserve">While there is no clear relationship between the utilization rate and poverty prevalence across provinces, there appears to be some association between utilization and average reported user fees charged at public facilities. Excluding Mashonaland West, where both user fees and utilization are low, and Matabeleland North, where both are high, most provinces with low mean user fees—Manicaland, Mashonaland Central, Masvingo, and Mashonaland East—had higher utilization rates than most provinces with high mean user fees—Matabeleland South, Harare, and Bulawayo. </w:t>
      </w:r>
    </w:p>
    <w:p w14:paraId="593F0602" w14:textId="77777777" w:rsidR="008B67F3" w:rsidRPr="00C917E2" w:rsidRDefault="008B67F3" w:rsidP="00D37198">
      <w:pPr>
        <w:pStyle w:val="Numberpara"/>
      </w:pPr>
      <w:r w:rsidRPr="00C917E2">
        <w:t xml:space="preserve">Still, these results need to be interpreted in light of regional differences in prevalence of endemic diseases, such as malaria in Manicaland; geographic constraints affecting access, including some parts of Mashonaland West in the Zambezi valley; and differences in coverage/availability of private for-profit health service providers in the provinces, particularly for the </w:t>
      </w:r>
      <w:r w:rsidR="003D67FD" w:rsidRPr="00C917E2">
        <w:t xml:space="preserve">metropolitan provinces </w:t>
      </w:r>
      <w:r w:rsidRPr="00C917E2">
        <w:t xml:space="preserve">of Harare and Bulawayo, the two richest provinces. </w:t>
      </w:r>
    </w:p>
    <w:p w14:paraId="61D66918" w14:textId="77777777" w:rsidR="008B67F3" w:rsidRPr="00C917E2" w:rsidRDefault="008B67F3" w:rsidP="00D37198">
      <w:pPr>
        <w:pStyle w:val="Numberpara"/>
      </w:pPr>
      <w:r w:rsidRPr="00C917E2">
        <w:lastRenderedPageBreak/>
        <w:t>The percentage of people seeking care for their children when they had a cough or diarrhea in a private facility shows a large difference between provinces (Figure A1.1 in Annex 1). A much larger proportion went to private facilities in Harare (30 percent) and Bulawayo (20 percent) than provinces like Matabeleland South (0 percent), Masvingo (3 percent)</w:t>
      </w:r>
      <w:r w:rsidR="003D67FD">
        <w:t>,</w:t>
      </w:r>
      <w:r w:rsidRPr="00C917E2">
        <w:t xml:space="preserve"> and Matabeleland North (5 percent). </w:t>
      </w:r>
    </w:p>
    <w:p w14:paraId="798AACE9" w14:textId="77777777" w:rsidR="008B67F3" w:rsidRPr="00C917E2" w:rsidRDefault="008B67F3" w:rsidP="00D37198">
      <w:pPr>
        <w:pStyle w:val="Numberpara"/>
      </w:pPr>
      <w:r w:rsidRPr="00C917E2">
        <w:t xml:space="preserve">Socioeconomic groups display wide inequalities in </w:t>
      </w:r>
      <w:r w:rsidR="00626089" w:rsidRPr="00626089">
        <w:t xml:space="preserve">maternal and child health </w:t>
      </w:r>
      <w:r w:rsidR="00626089">
        <w:t>(</w:t>
      </w:r>
      <w:r w:rsidRPr="00C917E2">
        <w:t>MCH</w:t>
      </w:r>
      <w:r w:rsidR="00626089">
        <w:t>)</w:t>
      </w:r>
      <w:r w:rsidRPr="00C917E2">
        <w:t xml:space="preserve"> services utilization. People in the poorest quintile use MCH services significantly less than those in the richest (</w:t>
      </w:r>
      <w:r w:rsidR="00C713A9" w:rsidRPr="00C917E2">
        <w:fldChar w:fldCharType="begin"/>
      </w:r>
      <w:r w:rsidR="00FF3BD3" w:rsidRPr="00C917E2">
        <w:instrText xml:space="preserve"> REF _Ref414597261 \h </w:instrText>
      </w:r>
      <w:r w:rsidR="00C713A9" w:rsidRPr="00C917E2">
        <w:fldChar w:fldCharType="separate"/>
      </w:r>
      <w:r w:rsidR="003732A2" w:rsidRPr="00C917E2">
        <w:t xml:space="preserve">Table </w:t>
      </w:r>
      <w:r w:rsidR="003732A2">
        <w:rPr>
          <w:noProof/>
        </w:rPr>
        <w:t>1</w:t>
      </w:r>
      <w:r w:rsidR="00C713A9" w:rsidRPr="00C917E2">
        <w:fldChar w:fldCharType="end"/>
      </w:r>
      <w:r w:rsidRPr="00C917E2">
        <w:t xml:space="preserve">). The difference is particularly marked for institutional deliveries and postnatal care checks. </w:t>
      </w:r>
    </w:p>
    <w:p w14:paraId="581855C3" w14:textId="77777777" w:rsidR="008B67F3" w:rsidRPr="00C917E2" w:rsidRDefault="008B67F3" w:rsidP="00D06314">
      <w:pPr>
        <w:pStyle w:val="Table"/>
      </w:pPr>
      <w:bookmarkStart w:id="51" w:name="_Ref414597261"/>
      <w:bookmarkStart w:id="52" w:name="_Toc401030776"/>
      <w:bookmarkStart w:id="53" w:name="_Toc401072587"/>
      <w:bookmarkStart w:id="54" w:name="_Toc401072736"/>
      <w:bookmarkStart w:id="55" w:name="_Toc419004069"/>
      <w:r w:rsidRPr="00C917E2">
        <w:t xml:space="preserve">Table </w:t>
      </w:r>
      <w:r w:rsidR="00113462">
        <w:fldChar w:fldCharType="begin"/>
      </w:r>
      <w:r w:rsidR="00113462">
        <w:instrText xml:space="preserve"> SEQ Table \* ARABIC </w:instrText>
      </w:r>
      <w:r w:rsidR="00113462">
        <w:fldChar w:fldCharType="separate"/>
      </w:r>
      <w:r w:rsidR="003732A2">
        <w:rPr>
          <w:noProof/>
        </w:rPr>
        <w:t>1</w:t>
      </w:r>
      <w:r w:rsidR="00113462">
        <w:rPr>
          <w:noProof/>
        </w:rPr>
        <w:fldChar w:fldCharType="end"/>
      </w:r>
      <w:bookmarkEnd w:id="51"/>
      <w:r w:rsidRPr="00C917E2">
        <w:t xml:space="preserve"> Socioeconomic Inequalities in MCH Services Utilization by Women, 15–19 Years (%)</w:t>
      </w:r>
      <w:bookmarkEnd w:id="52"/>
      <w:bookmarkEnd w:id="53"/>
      <w:bookmarkEnd w:id="54"/>
      <w:bookmarkEnd w:id="55"/>
    </w:p>
    <w:tbl>
      <w:tblPr>
        <w:tblW w:w="8897" w:type="dxa"/>
        <w:tblBorders>
          <w:top w:val="single" w:sz="8" w:space="0" w:color="4F81BD"/>
          <w:bottom w:val="single" w:sz="8" w:space="0" w:color="4F81BD"/>
        </w:tblBorders>
        <w:tblLook w:val="04A0" w:firstRow="1" w:lastRow="0" w:firstColumn="1" w:lastColumn="0" w:noHBand="0" w:noVBand="1"/>
      </w:tblPr>
      <w:tblGrid>
        <w:gridCol w:w="6062"/>
        <w:gridCol w:w="1417"/>
        <w:gridCol w:w="1418"/>
      </w:tblGrid>
      <w:tr w:rsidR="008B67F3" w:rsidRPr="00C917E2" w14:paraId="194E14EF" w14:textId="77777777" w:rsidTr="00D06314">
        <w:trPr>
          <w:trHeight w:val="493"/>
        </w:trPr>
        <w:tc>
          <w:tcPr>
            <w:tcW w:w="6062" w:type="dxa"/>
            <w:tcBorders>
              <w:top w:val="single" w:sz="8" w:space="0" w:color="4F81BD"/>
              <w:bottom w:val="single" w:sz="8" w:space="0" w:color="4F81BD"/>
            </w:tcBorders>
            <w:shd w:val="clear" w:color="auto" w:fill="auto"/>
          </w:tcPr>
          <w:p w14:paraId="389F0211" w14:textId="77777777" w:rsidR="008B67F3" w:rsidRPr="00C917E2" w:rsidRDefault="008B67F3" w:rsidP="003C59AC">
            <w:pPr>
              <w:keepNext/>
              <w:spacing w:after="0"/>
              <w:jc w:val="right"/>
              <w:rPr>
                <w:rFonts w:asciiTheme="minorHAnsi" w:hAnsiTheme="minorHAnsi"/>
                <w:b/>
                <w:sz w:val="20"/>
                <w:szCs w:val="20"/>
              </w:rPr>
            </w:pPr>
          </w:p>
        </w:tc>
        <w:tc>
          <w:tcPr>
            <w:tcW w:w="1417" w:type="dxa"/>
            <w:tcBorders>
              <w:top w:val="single" w:sz="8" w:space="0" w:color="4F81BD"/>
              <w:bottom w:val="single" w:sz="8" w:space="0" w:color="4F81BD"/>
            </w:tcBorders>
            <w:shd w:val="clear" w:color="auto" w:fill="auto"/>
          </w:tcPr>
          <w:p w14:paraId="471F130D" w14:textId="77777777" w:rsidR="008B67F3" w:rsidRPr="00C917E2" w:rsidRDefault="008B67F3" w:rsidP="003C59AC">
            <w:pPr>
              <w:spacing w:after="0"/>
              <w:jc w:val="center"/>
              <w:rPr>
                <w:rFonts w:asciiTheme="minorHAnsi" w:hAnsiTheme="minorHAnsi"/>
                <w:b/>
                <w:sz w:val="20"/>
                <w:szCs w:val="20"/>
              </w:rPr>
            </w:pPr>
            <w:r w:rsidRPr="00C917E2">
              <w:rPr>
                <w:rFonts w:asciiTheme="minorHAnsi" w:hAnsiTheme="minorHAnsi"/>
                <w:b/>
                <w:sz w:val="20"/>
                <w:szCs w:val="20"/>
              </w:rPr>
              <w:t>Poorest Quintile</w:t>
            </w:r>
          </w:p>
        </w:tc>
        <w:tc>
          <w:tcPr>
            <w:tcW w:w="1418" w:type="dxa"/>
            <w:tcBorders>
              <w:top w:val="single" w:sz="8" w:space="0" w:color="4F81BD"/>
              <w:bottom w:val="single" w:sz="8" w:space="0" w:color="4F81BD"/>
            </w:tcBorders>
            <w:shd w:val="clear" w:color="auto" w:fill="auto"/>
          </w:tcPr>
          <w:p w14:paraId="0E2AC180" w14:textId="77777777" w:rsidR="008B67F3" w:rsidRPr="00C917E2" w:rsidRDefault="008B67F3" w:rsidP="003C59AC">
            <w:pPr>
              <w:spacing w:after="0"/>
              <w:jc w:val="center"/>
              <w:rPr>
                <w:rFonts w:asciiTheme="minorHAnsi" w:hAnsiTheme="minorHAnsi"/>
                <w:b/>
                <w:sz w:val="20"/>
                <w:szCs w:val="20"/>
              </w:rPr>
            </w:pPr>
            <w:r w:rsidRPr="00C917E2">
              <w:rPr>
                <w:rFonts w:asciiTheme="minorHAnsi" w:hAnsiTheme="minorHAnsi"/>
                <w:b/>
                <w:sz w:val="20"/>
                <w:szCs w:val="20"/>
              </w:rPr>
              <w:t>Richest Quintile</w:t>
            </w:r>
          </w:p>
        </w:tc>
      </w:tr>
      <w:tr w:rsidR="008B67F3" w:rsidRPr="00C917E2" w14:paraId="0CEE8DEB" w14:textId="77777777" w:rsidTr="00D06314">
        <w:trPr>
          <w:trHeight w:val="300"/>
        </w:trPr>
        <w:tc>
          <w:tcPr>
            <w:tcW w:w="6062" w:type="dxa"/>
            <w:tcBorders>
              <w:top w:val="single" w:sz="8" w:space="0" w:color="4F81BD"/>
              <w:bottom w:val="nil"/>
            </w:tcBorders>
            <w:shd w:val="clear" w:color="auto" w:fill="auto"/>
          </w:tcPr>
          <w:p w14:paraId="6385C899" w14:textId="77777777" w:rsidR="008B67F3" w:rsidRPr="00C917E2" w:rsidRDefault="008B67F3" w:rsidP="00D978BC">
            <w:pPr>
              <w:keepNext/>
              <w:spacing w:after="0"/>
              <w:rPr>
                <w:rFonts w:asciiTheme="minorHAnsi" w:hAnsiTheme="minorHAnsi"/>
                <w:b/>
                <w:sz w:val="20"/>
                <w:szCs w:val="20"/>
              </w:rPr>
            </w:pPr>
            <w:r w:rsidRPr="00C917E2">
              <w:rPr>
                <w:rFonts w:asciiTheme="minorHAnsi" w:hAnsiTheme="minorHAnsi"/>
                <w:b/>
                <w:sz w:val="20"/>
                <w:szCs w:val="20"/>
              </w:rPr>
              <w:t>Service Utilization</w:t>
            </w:r>
          </w:p>
        </w:tc>
        <w:tc>
          <w:tcPr>
            <w:tcW w:w="1417" w:type="dxa"/>
            <w:tcBorders>
              <w:top w:val="single" w:sz="8" w:space="0" w:color="4F81BD"/>
              <w:left w:val="nil"/>
              <w:bottom w:val="nil"/>
              <w:right w:val="nil"/>
            </w:tcBorders>
            <w:shd w:val="clear" w:color="auto" w:fill="auto"/>
          </w:tcPr>
          <w:p w14:paraId="1E6D8321" w14:textId="77777777" w:rsidR="008B67F3" w:rsidRPr="00C917E2" w:rsidRDefault="008B67F3" w:rsidP="00D978BC">
            <w:pPr>
              <w:spacing w:after="0"/>
              <w:jc w:val="center"/>
              <w:rPr>
                <w:rFonts w:asciiTheme="minorHAnsi" w:hAnsiTheme="minorHAnsi"/>
                <w:sz w:val="20"/>
                <w:szCs w:val="20"/>
              </w:rPr>
            </w:pPr>
          </w:p>
        </w:tc>
        <w:tc>
          <w:tcPr>
            <w:tcW w:w="1418" w:type="dxa"/>
            <w:tcBorders>
              <w:top w:val="single" w:sz="8" w:space="0" w:color="4F81BD"/>
              <w:bottom w:val="nil"/>
            </w:tcBorders>
            <w:shd w:val="clear" w:color="auto" w:fill="auto"/>
          </w:tcPr>
          <w:p w14:paraId="6A4C51E4" w14:textId="77777777" w:rsidR="008B67F3" w:rsidRPr="00C917E2" w:rsidRDefault="008B67F3" w:rsidP="00D978BC">
            <w:pPr>
              <w:spacing w:after="0"/>
              <w:jc w:val="center"/>
              <w:rPr>
                <w:rFonts w:asciiTheme="minorHAnsi" w:hAnsiTheme="minorHAnsi"/>
                <w:sz w:val="20"/>
                <w:szCs w:val="20"/>
              </w:rPr>
            </w:pPr>
          </w:p>
        </w:tc>
      </w:tr>
      <w:tr w:rsidR="008B67F3" w:rsidRPr="00C917E2" w14:paraId="74781269" w14:textId="77777777" w:rsidTr="00D06314">
        <w:trPr>
          <w:trHeight w:val="300"/>
        </w:trPr>
        <w:tc>
          <w:tcPr>
            <w:tcW w:w="6062" w:type="dxa"/>
            <w:tcBorders>
              <w:top w:val="nil"/>
              <w:bottom w:val="nil"/>
            </w:tcBorders>
            <w:shd w:val="clear" w:color="auto" w:fill="auto"/>
          </w:tcPr>
          <w:p w14:paraId="36C72E0A" w14:textId="77777777" w:rsidR="008B67F3" w:rsidRPr="00C917E2" w:rsidRDefault="008B67F3" w:rsidP="00AC7F4F">
            <w:pPr>
              <w:keepNext/>
              <w:spacing w:after="0"/>
              <w:ind w:left="142"/>
              <w:rPr>
                <w:rFonts w:asciiTheme="minorHAnsi" w:hAnsiTheme="minorHAnsi"/>
                <w:sz w:val="20"/>
                <w:szCs w:val="20"/>
              </w:rPr>
            </w:pPr>
            <w:r w:rsidRPr="00C917E2">
              <w:rPr>
                <w:rFonts w:asciiTheme="minorHAnsi" w:hAnsiTheme="minorHAnsi"/>
                <w:sz w:val="20"/>
                <w:szCs w:val="20"/>
              </w:rPr>
              <w:t xml:space="preserve">At least one </w:t>
            </w:r>
            <w:r w:rsidR="00376B94" w:rsidRPr="00376B94">
              <w:rPr>
                <w:rFonts w:asciiTheme="minorHAnsi" w:hAnsiTheme="minorHAnsi"/>
                <w:sz w:val="20"/>
                <w:szCs w:val="20"/>
              </w:rPr>
              <w:t>antenatal</w:t>
            </w:r>
            <w:r w:rsidRPr="00C917E2">
              <w:rPr>
                <w:rFonts w:asciiTheme="minorHAnsi" w:hAnsiTheme="minorHAnsi"/>
                <w:sz w:val="20"/>
                <w:szCs w:val="20"/>
              </w:rPr>
              <w:t xml:space="preserve"> check-up (%)</w:t>
            </w:r>
          </w:p>
        </w:tc>
        <w:tc>
          <w:tcPr>
            <w:tcW w:w="1417" w:type="dxa"/>
            <w:tcBorders>
              <w:top w:val="nil"/>
              <w:left w:val="nil"/>
              <w:bottom w:val="nil"/>
              <w:right w:val="nil"/>
            </w:tcBorders>
            <w:shd w:val="clear" w:color="auto" w:fill="auto"/>
          </w:tcPr>
          <w:p w14:paraId="123DFBEB"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88.4</w:t>
            </w:r>
          </w:p>
        </w:tc>
        <w:tc>
          <w:tcPr>
            <w:tcW w:w="1418" w:type="dxa"/>
            <w:tcBorders>
              <w:top w:val="nil"/>
              <w:bottom w:val="nil"/>
            </w:tcBorders>
            <w:shd w:val="clear" w:color="auto" w:fill="auto"/>
          </w:tcPr>
          <w:p w14:paraId="6EF62861"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94.6</w:t>
            </w:r>
          </w:p>
        </w:tc>
      </w:tr>
      <w:tr w:rsidR="008B67F3" w:rsidRPr="00C917E2" w14:paraId="48705CA4" w14:textId="77777777" w:rsidTr="00D06314">
        <w:tc>
          <w:tcPr>
            <w:tcW w:w="6062" w:type="dxa"/>
            <w:tcBorders>
              <w:top w:val="nil"/>
              <w:bottom w:val="nil"/>
            </w:tcBorders>
            <w:shd w:val="clear" w:color="auto" w:fill="auto"/>
          </w:tcPr>
          <w:p w14:paraId="3D674C0B" w14:textId="77777777" w:rsidR="008B67F3" w:rsidRPr="00C917E2" w:rsidRDefault="008B67F3" w:rsidP="00AC7F4F">
            <w:pPr>
              <w:keepNext/>
              <w:spacing w:after="0"/>
              <w:ind w:left="142"/>
              <w:rPr>
                <w:rFonts w:asciiTheme="minorHAnsi" w:hAnsiTheme="minorHAnsi"/>
                <w:sz w:val="20"/>
                <w:szCs w:val="20"/>
              </w:rPr>
            </w:pPr>
            <w:r w:rsidRPr="00C917E2">
              <w:rPr>
                <w:rFonts w:asciiTheme="minorHAnsi" w:hAnsiTheme="minorHAnsi"/>
                <w:sz w:val="20"/>
                <w:szCs w:val="20"/>
              </w:rPr>
              <w:t xml:space="preserve">Institutional </w:t>
            </w:r>
            <w:r w:rsidR="00376B94" w:rsidRPr="00C917E2">
              <w:rPr>
                <w:rFonts w:asciiTheme="minorHAnsi" w:hAnsiTheme="minorHAnsi"/>
                <w:sz w:val="20"/>
                <w:szCs w:val="20"/>
              </w:rPr>
              <w:t xml:space="preserve">delivery </w:t>
            </w:r>
            <w:r w:rsidRPr="00C917E2">
              <w:rPr>
                <w:rFonts w:asciiTheme="minorHAnsi" w:hAnsiTheme="minorHAnsi"/>
                <w:sz w:val="20"/>
                <w:szCs w:val="20"/>
              </w:rPr>
              <w:t>(%)</w:t>
            </w:r>
          </w:p>
        </w:tc>
        <w:tc>
          <w:tcPr>
            <w:tcW w:w="1417" w:type="dxa"/>
            <w:tcBorders>
              <w:top w:val="nil"/>
              <w:bottom w:val="nil"/>
            </w:tcBorders>
            <w:shd w:val="clear" w:color="auto" w:fill="auto"/>
          </w:tcPr>
          <w:p w14:paraId="3EDD0C40"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46.2</w:t>
            </w:r>
          </w:p>
        </w:tc>
        <w:tc>
          <w:tcPr>
            <w:tcW w:w="1418" w:type="dxa"/>
            <w:tcBorders>
              <w:top w:val="nil"/>
              <w:bottom w:val="nil"/>
            </w:tcBorders>
            <w:shd w:val="clear" w:color="auto" w:fill="auto"/>
          </w:tcPr>
          <w:p w14:paraId="412BCD50"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89.9</w:t>
            </w:r>
          </w:p>
        </w:tc>
      </w:tr>
      <w:tr w:rsidR="008B67F3" w:rsidRPr="00C917E2" w14:paraId="735A802A" w14:textId="77777777" w:rsidTr="00D06314">
        <w:tc>
          <w:tcPr>
            <w:tcW w:w="6062" w:type="dxa"/>
            <w:tcBorders>
              <w:top w:val="nil"/>
              <w:bottom w:val="nil"/>
            </w:tcBorders>
            <w:shd w:val="clear" w:color="auto" w:fill="auto"/>
          </w:tcPr>
          <w:p w14:paraId="199ECC9B" w14:textId="77777777" w:rsidR="008B67F3" w:rsidRPr="00C917E2" w:rsidRDefault="003D67FD" w:rsidP="00AC7F4F">
            <w:pPr>
              <w:keepNext/>
              <w:spacing w:after="0"/>
              <w:ind w:left="142"/>
              <w:rPr>
                <w:rFonts w:asciiTheme="minorHAnsi" w:hAnsiTheme="minorHAnsi"/>
                <w:sz w:val="20"/>
                <w:szCs w:val="20"/>
              </w:rPr>
            </w:pPr>
            <w:r w:rsidRPr="003D67FD">
              <w:rPr>
                <w:rFonts w:asciiTheme="minorHAnsi" w:hAnsiTheme="minorHAnsi"/>
                <w:sz w:val="20"/>
                <w:szCs w:val="20"/>
              </w:rPr>
              <w:t>Cesarean</w:t>
            </w:r>
            <w:r w:rsidRPr="003D67FD" w:rsidDel="003D67FD">
              <w:rPr>
                <w:rFonts w:asciiTheme="minorHAnsi" w:hAnsiTheme="minorHAnsi"/>
                <w:sz w:val="20"/>
                <w:szCs w:val="20"/>
              </w:rPr>
              <w:t xml:space="preserve"> </w:t>
            </w:r>
            <w:r w:rsidR="008B67F3" w:rsidRPr="00C917E2">
              <w:rPr>
                <w:rFonts w:asciiTheme="minorHAnsi" w:hAnsiTheme="minorHAnsi"/>
                <w:sz w:val="20"/>
                <w:szCs w:val="20"/>
              </w:rPr>
              <w:t>section (%)</w:t>
            </w:r>
          </w:p>
        </w:tc>
        <w:tc>
          <w:tcPr>
            <w:tcW w:w="1417" w:type="dxa"/>
            <w:tcBorders>
              <w:top w:val="nil"/>
              <w:left w:val="nil"/>
              <w:bottom w:val="nil"/>
              <w:right w:val="nil"/>
            </w:tcBorders>
            <w:shd w:val="clear" w:color="auto" w:fill="auto"/>
          </w:tcPr>
          <w:p w14:paraId="7C1C25A8"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2.5</w:t>
            </w:r>
          </w:p>
        </w:tc>
        <w:tc>
          <w:tcPr>
            <w:tcW w:w="1418" w:type="dxa"/>
            <w:tcBorders>
              <w:top w:val="nil"/>
              <w:bottom w:val="nil"/>
            </w:tcBorders>
            <w:shd w:val="clear" w:color="auto" w:fill="auto"/>
          </w:tcPr>
          <w:p w14:paraId="5EDD8595"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9.2</w:t>
            </w:r>
          </w:p>
        </w:tc>
      </w:tr>
      <w:tr w:rsidR="008B67F3" w:rsidRPr="00C917E2" w14:paraId="17E8E8BA" w14:textId="77777777" w:rsidTr="00D06314">
        <w:tc>
          <w:tcPr>
            <w:tcW w:w="6062" w:type="dxa"/>
            <w:tcBorders>
              <w:top w:val="nil"/>
              <w:bottom w:val="nil"/>
            </w:tcBorders>
            <w:shd w:val="clear" w:color="auto" w:fill="auto"/>
          </w:tcPr>
          <w:p w14:paraId="71F3BFB2" w14:textId="77777777" w:rsidR="008B67F3" w:rsidRPr="00C917E2" w:rsidRDefault="008B67F3" w:rsidP="003968D1">
            <w:pPr>
              <w:keepNext/>
              <w:spacing w:after="0"/>
              <w:ind w:left="142"/>
              <w:rPr>
                <w:rFonts w:asciiTheme="minorHAnsi" w:hAnsiTheme="minorHAnsi"/>
                <w:sz w:val="20"/>
                <w:szCs w:val="20"/>
              </w:rPr>
            </w:pPr>
            <w:r w:rsidRPr="00C917E2">
              <w:rPr>
                <w:rFonts w:asciiTheme="minorHAnsi" w:hAnsiTheme="minorHAnsi"/>
                <w:sz w:val="20"/>
                <w:szCs w:val="20"/>
              </w:rPr>
              <w:t>Postnatal checkup within first 2 days after birth (%)</w:t>
            </w:r>
          </w:p>
        </w:tc>
        <w:tc>
          <w:tcPr>
            <w:tcW w:w="1417" w:type="dxa"/>
            <w:tcBorders>
              <w:top w:val="nil"/>
              <w:bottom w:val="nil"/>
            </w:tcBorders>
            <w:shd w:val="clear" w:color="auto" w:fill="auto"/>
          </w:tcPr>
          <w:p w14:paraId="2F0DF3FF"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15.7</w:t>
            </w:r>
          </w:p>
        </w:tc>
        <w:tc>
          <w:tcPr>
            <w:tcW w:w="1418" w:type="dxa"/>
            <w:tcBorders>
              <w:top w:val="nil"/>
              <w:bottom w:val="nil"/>
            </w:tcBorders>
            <w:shd w:val="clear" w:color="auto" w:fill="auto"/>
          </w:tcPr>
          <w:p w14:paraId="45563981"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46.6</w:t>
            </w:r>
          </w:p>
        </w:tc>
      </w:tr>
      <w:tr w:rsidR="008B67F3" w:rsidRPr="00C917E2" w14:paraId="45ABFE60" w14:textId="77777777" w:rsidTr="00D06314">
        <w:trPr>
          <w:trHeight w:val="312"/>
        </w:trPr>
        <w:tc>
          <w:tcPr>
            <w:tcW w:w="6062" w:type="dxa"/>
            <w:tcBorders>
              <w:top w:val="nil"/>
              <w:bottom w:val="nil"/>
            </w:tcBorders>
            <w:shd w:val="clear" w:color="auto" w:fill="auto"/>
          </w:tcPr>
          <w:p w14:paraId="5D34D965" w14:textId="77777777" w:rsidR="008B67F3" w:rsidRPr="00C917E2" w:rsidRDefault="008B67F3" w:rsidP="00AC7F4F">
            <w:pPr>
              <w:keepNext/>
              <w:spacing w:after="0"/>
              <w:ind w:left="142"/>
              <w:rPr>
                <w:rFonts w:asciiTheme="minorHAnsi" w:hAnsiTheme="minorHAnsi"/>
                <w:sz w:val="20"/>
                <w:szCs w:val="20"/>
              </w:rPr>
            </w:pPr>
            <w:r w:rsidRPr="00C917E2">
              <w:rPr>
                <w:rFonts w:asciiTheme="minorHAnsi" w:hAnsiTheme="minorHAnsi"/>
                <w:sz w:val="20"/>
                <w:szCs w:val="20"/>
              </w:rPr>
              <w:t>Children 12–23 months reported receiving all basic vaccines (%)</w:t>
            </w:r>
          </w:p>
        </w:tc>
        <w:tc>
          <w:tcPr>
            <w:tcW w:w="1417" w:type="dxa"/>
            <w:tcBorders>
              <w:top w:val="nil"/>
              <w:left w:val="nil"/>
              <w:bottom w:val="nil"/>
              <w:right w:val="nil"/>
            </w:tcBorders>
            <w:shd w:val="clear" w:color="auto" w:fill="auto"/>
          </w:tcPr>
          <w:p w14:paraId="4F84EFE0"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54.6</w:t>
            </w:r>
          </w:p>
        </w:tc>
        <w:tc>
          <w:tcPr>
            <w:tcW w:w="1418" w:type="dxa"/>
            <w:tcBorders>
              <w:top w:val="nil"/>
              <w:bottom w:val="nil"/>
            </w:tcBorders>
            <w:shd w:val="clear" w:color="auto" w:fill="auto"/>
          </w:tcPr>
          <w:p w14:paraId="39F34BB4"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72.8</w:t>
            </w:r>
          </w:p>
        </w:tc>
      </w:tr>
      <w:tr w:rsidR="008B67F3" w:rsidRPr="00C917E2" w14:paraId="4D85FD15" w14:textId="77777777" w:rsidTr="00D06314">
        <w:trPr>
          <w:trHeight w:val="367"/>
        </w:trPr>
        <w:tc>
          <w:tcPr>
            <w:tcW w:w="6062" w:type="dxa"/>
            <w:tcBorders>
              <w:top w:val="nil"/>
              <w:bottom w:val="nil"/>
            </w:tcBorders>
            <w:shd w:val="clear" w:color="auto" w:fill="auto"/>
          </w:tcPr>
          <w:p w14:paraId="724A7560" w14:textId="77777777" w:rsidR="008B67F3" w:rsidRPr="00C917E2" w:rsidRDefault="008B67F3" w:rsidP="00AC7F4F">
            <w:pPr>
              <w:keepNext/>
              <w:spacing w:after="0"/>
              <w:ind w:left="142"/>
              <w:rPr>
                <w:rFonts w:asciiTheme="minorHAnsi" w:hAnsiTheme="minorHAnsi"/>
                <w:sz w:val="20"/>
                <w:szCs w:val="20"/>
              </w:rPr>
            </w:pPr>
            <w:r w:rsidRPr="00C917E2">
              <w:rPr>
                <w:rFonts w:asciiTheme="minorHAnsi" w:hAnsiTheme="minorHAnsi"/>
                <w:sz w:val="20"/>
                <w:szCs w:val="20"/>
              </w:rPr>
              <w:t>Children with diarrhea who received no treatment (%)</w:t>
            </w:r>
          </w:p>
        </w:tc>
        <w:tc>
          <w:tcPr>
            <w:tcW w:w="1417" w:type="dxa"/>
            <w:tcBorders>
              <w:top w:val="nil"/>
              <w:bottom w:val="nil"/>
            </w:tcBorders>
            <w:shd w:val="clear" w:color="auto" w:fill="auto"/>
          </w:tcPr>
          <w:p w14:paraId="2D85CF2C"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25.3</w:t>
            </w:r>
          </w:p>
        </w:tc>
        <w:tc>
          <w:tcPr>
            <w:tcW w:w="1418" w:type="dxa"/>
            <w:tcBorders>
              <w:top w:val="nil"/>
              <w:bottom w:val="nil"/>
            </w:tcBorders>
            <w:shd w:val="clear" w:color="auto" w:fill="auto"/>
          </w:tcPr>
          <w:p w14:paraId="0169A906"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11.8</w:t>
            </w:r>
          </w:p>
        </w:tc>
      </w:tr>
      <w:tr w:rsidR="008B67F3" w:rsidRPr="00C917E2" w14:paraId="1A126C61" w14:textId="77777777" w:rsidTr="00D06314">
        <w:tc>
          <w:tcPr>
            <w:tcW w:w="6062" w:type="dxa"/>
            <w:tcBorders>
              <w:top w:val="nil"/>
              <w:bottom w:val="nil"/>
            </w:tcBorders>
            <w:shd w:val="clear" w:color="auto" w:fill="auto"/>
          </w:tcPr>
          <w:p w14:paraId="284AE76C" w14:textId="77777777" w:rsidR="008B67F3" w:rsidRPr="00C917E2" w:rsidRDefault="008B67F3" w:rsidP="00D978BC">
            <w:pPr>
              <w:keepNext/>
              <w:spacing w:after="0"/>
              <w:rPr>
                <w:rFonts w:asciiTheme="minorHAnsi" w:hAnsiTheme="minorHAnsi"/>
                <w:b/>
                <w:sz w:val="20"/>
                <w:szCs w:val="20"/>
              </w:rPr>
            </w:pPr>
            <w:r w:rsidRPr="00C917E2">
              <w:rPr>
                <w:rFonts w:asciiTheme="minorHAnsi" w:hAnsiTheme="minorHAnsi"/>
                <w:b/>
                <w:sz w:val="20"/>
                <w:szCs w:val="20"/>
              </w:rPr>
              <w:t xml:space="preserve">Health Outcomes </w:t>
            </w:r>
          </w:p>
        </w:tc>
        <w:tc>
          <w:tcPr>
            <w:tcW w:w="1417" w:type="dxa"/>
            <w:tcBorders>
              <w:top w:val="nil"/>
              <w:left w:val="nil"/>
              <w:bottom w:val="nil"/>
              <w:right w:val="nil"/>
            </w:tcBorders>
            <w:shd w:val="clear" w:color="auto" w:fill="auto"/>
          </w:tcPr>
          <w:p w14:paraId="5C9CE28A" w14:textId="77777777" w:rsidR="008B67F3" w:rsidRPr="00C917E2" w:rsidRDefault="008B67F3" w:rsidP="00D978BC">
            <w:pPr>
              <w:spacing w:after="0"/>
              <w:jc w:val="center"/>
              <w:rPr>
                <w:rFonts w:asciiTheme="minorHAnsi" w:hAnsiTheme="minorHAnsi"/>
                <w:b/>
                <w:sz w:val="20"/>
                <w:szCs w:val="20"/>
              </w:rPr>
            </w:pPr>
          </w:p>
        </w:tc>
        <w:tc>
          <w:tcPr>
            <w:tcW w:w="1418" w:type="dxa"/>
            <w:tcBorders>
              <w:top w:val="nil"/>
              <w:bottom w:val="nil"/>
            </w:tcBorders>
            <w:shd w:val="clear" w:color="auto" w:fill="auto"/>
          </w:tcPr>
          <w:p w14:paraId="09ABACD7" w14:textId="77777777" w:rsidR="008B67F3" w:rsidRPr="00C917E2" w:rsidRDefault="008B67F3" w:rsidP="00D978BC">
            <w:pPr>
              <w:spacing w:after="0"/>
              <w:jc w:val="center"/>
              <w:rPr>
                <w:rFonts w:asciiTheme="minorHAnsi" w:hAnsiTheme="minorHAnsi"/>
                <w:b/>
                <w:sz w:val="20"/>
                <w:szCs w:val="20"/>
              </w:rPr>
            </w:pPr>
          </w:p>
        </w:tc>
      </w:tr>
      <w:tr w:rsidR="008B67F3" w:rsidRPr="00C917E2" w14:paraId="2E5DA9F6" w14:textId="77777777" w:rsidTr="00D06314">
        <w:tc>
          <w:tcPr>
            <w:tcW w:w="6062" w:type="dxa"/>
            <w:tcBorders>
              <w:top w:val="nil"/>
              <w:bottom w:val="nil"/>
            </w:tcBorders>
            <w:shd w:val="clear" w:color="auto" w:fill="auto"/>
          </w:tcPr>
          <w:p w14:paraId="4FD48886" w14:textId="77777777" w:rsidR="008B67F3" w:rsidRPr="00C917E2" w:rsidRDefault="008B67F3" w:rsidP="00AC7F4F">
            <w:pPr>
              <w:keepNext/>
              <w:spacing w:after="0"/>
              <w:ind w:left="142"/>
              <w:rPr>
                <w:rFonts w:asciiTheme="minorHAnsi" w:hAnsiTheme="minorHAnsi"/>
                <w:sz w:val="20"/>
                <w:szCs w:val="20"/>
              </w:rPr>
            </w:pPr>
            <w:r w:rsidRPr="00C917E2">
              <w:rPr>
                <w:rFonts w:asciiTheme="minorHAnsi" w:hAnsiTheme="minorHAnsi"/>
                <w:sz w:val="20"/>
                <w:szCs w:val="20"/>
              </w:rPr>
              <w:t>Infant mortality (per 1,000 live births)</w:t>
            </w:r>
          </w:p>
        </w:tc>
        <w:tc>
          <w:tcPr>
            <w:tcW w:w="1417" w:type="dxa"/>
            <w:tcBorders>
              <w:top w:val="nil"/>
              <w:bottom w:val="nil"/>
            </w:tcBorders>
            <w:shd w:val="clear" w:color="auto" w:fill="auto"/>
          </w:tcPr>
          <w:p w14:paraId="27865ADE"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55</w:t>
            </w:r>
          </w:p>
        </w:tc>
        <w:tc>
          <w:tcPr>
            <w:tcW w:w="1418" w:type="dxa"/>
            <w:tcBorders>
              <w:top w:val="nil"/>
              <w:bottom w:val="nil"/>
            </w:tcBorders>
            <w:shd w:val="clear" w:color="auto" w:fill="auto"/>
          </w:tcPr>
          <w:p w14:paraId="6858B67C" w14:textId="77777777" w:rsidR="008B67F3" w:rsidRPr="00C917E2" w:rsidRDefault="008B67F3" w:rsidP="00D978BC">
            <w:pPr>
              <w:spacing w:after="0"/>
              <w:jc w:val="center"/>
              <w:rPr>
                <w:rFonts w:asciiTheme="minorHAnsi" w:hAnsiTheme="minorHAnsi"/>
                <w:sz w:val="20"/>
                <w:szCs w:val="20"/>
              </w:rPr>
            </w:pPr>
            <w:r w:rsidRPr="00C917E2">
              <w:rPr>
                <w:rFonts w:asciiTheme="minorHAnsi" w:hAnsiTheme="minorHAnsi"/>
                <w:sz w:val="20"/>
                <w:szCs w:val="20"/>
              </w:rPr>
              <w:t>48</w:t>
            </w:r>
          </w:p>
        </w:tc>
      </w:tr>
      <w:tr w:rsidR="008B67F3" w:rsidRPr="00C917E2" w14:paraId="000A1432" w14:textId="77777777" w:rsidTr="00D06314">
        <w:tc>
          <w:tcPr>
            <w:tcW w:w="6062" w:type="dxa"/>
            <w:tcBorders>
              <w:top w:val="nil"/>
              <w:bottom w:val="single" w:sz="8" w:space="0" w:color="4F81BD"/>
            </w:tcBorders>
            <w:shd w:val="clear" w:color="auto" w:fill="auto"/>
          </w:tcPr>
          <w:p w14:paraId="5A4DFFF5" w14:textId="77777777" w:rsidR="008B67F3" w:rsidRPr="00C917E2" w:rsidRDefault="008B67F3" w:rsidP="00AC7F4F">
            <w:pPr>
              <w:keepNext/>
              <w:spacing w:after="0"/>
              <w:ind w:left="142"/>
              <w:rPr>
                <w:rFonts w:asciiTheme="minorHAnsi" w:hAnsiTheme="minorHAnsi"/>
                <w:sz w:val="20"/>
                <w:szCs w:val="20"/>
              </w:rPr>
            </w:pPr>
            <w:r w:rsidRPr="00C917E2">
              <w:rPr>
                <w:rFonts w:asciiTheme="minorHAnsi" w:hAnsiTheme="minorHAnsi"/>
                <w:sz w:val="20"/>
                <w:szCs w:val="20"/>
              </w:rPr>
              <w:t>Under-</w:t>
            </w:r>
            <w:r w:rsidR="003D67FD">
              <w:rPr>
                <w:rFonts w:asciiTheme="minorHAnsi" w:hAnsiTheme="minorHAnsi"/>
                <w:sz w:val="20"/>
                <w:szCs w:val="20"/>
              </w:rPr>
              <w:t>five</w:t>
            </w:r>
            <w:r w:rsidRPr="00C917E2">
              <w:rPr>
                <w:rFonts w:asciiTheme="minorHAnsi" w:hAnsiTheme="minorHAnsi"/>
                <w:sz w:val="20"/>
                <w:szCs w:val="20"/>
              </w:rPr>
              <w:t xml:space="preserve"> mortality (per 1,000 live births)</w:t>
            </w:r>
          </w:p>
        </w:tc>
        <w:tc>
          <w:tcPr>
            <w:tcW w:w="1417" w:type="dxa"/>
            <w:tcBorders>
              <w:top w:val="nil"/>
              <w:left w:val="nil"/>
              <w:bottom w:val="single" w:sz="8" w:space="0" w:color="4F81BD"/>
              <w:right w:val="nil"/>
            </w:tcBorders>
            <w:shd w:val="clear" w:color="auto" w:fill="auto"/>
          </w:tcPr>
          <w:p w14:paraId="7D613FAE" w14:textId="77777777" w:rsidR="008B67F3" w:rsidRPr="00C917E2" w:rsidRDefault="008B67F3" w:rsidP="00D978BC">
            <w:pPr>
              <w:keepNext/>
              <w:spacing w:after="0"/>
              <w:jc w:val="center"/>
              <w:rPr>
                <w:rFonts w:asciiTheme="minorHAnsi" w:hAnsiTheme="minorHAnsi"/>
                <w:sz w:val="20"/>
                <w:szCs w:val="20"/>
              </w:rPr>
            </w:pPr>
            <w:r w:rsidRPr="00C917E2">
              <w:rPr>
                <w:rFonts w:asciiTheme="minorHAnsi" w:hAnsiTheme="minorHAnsi"/>
                <w:sz w:val="20"/>
                <w:szCs w:val="20"/>
              </w:rPr>
              <w:t>85</w:t>
            </w:r>
          </w:p>
        </w:tc>
        <w:tc>
          <w:tcPr>
            <w:tcW w:w="1418" w:type="dxa"/>
            <w:tcBorders>
              <w:top w:val="nil"/>
              <w:bottom w:val="single" w:sz="8" w:space="0" w:color="4F81BD"/>
            </w:tcBorders>
            <w:shd w:val="clear" w:color="auto" w:fill="auto"/>
          </w:tcPr>
          <w:p w14:paraId="16D4E2B6" w14:textId="77777777" w:rsidR="008B67F3" w:rsidRPr="00C917E2" w:rsidRDefault="008B67F3" w:rsidP="00D978BC">
            <w:pPr>
              <w:keepNext/>
              <w:spacing w:after="0"/>
              <w:jc w:val="center"/>
              <w:rPr>
                <w:rFonts w:asciiTheme="minorHAnsi" w:hAnsiTheme="minorHAnsi"/>
                <w:sz w:val="20"/>
                <w:szCs w:val="20"/>
              </w:rPr>
            </w:pPr>
            <w:r w:rsidRPr="00C917E2">
              <w:rPr>
                <w:rFonts w:asciiTheme="minorHAnsi" w:hAnsiTheme="minorHAnsi"/>
                <w:sz w:val="20"/>
                <w:szCs w:val="20"/>
              </w:rPr>
              <w:t>58</w:t>
            </w:r>
          </w:p>
        </w:tc>
      </w:tr>
    </w:tbl>
    <w:p w14:paraId="1DB57EDC" w14:textId="77777777" w:rsidR="008B67F3" w:rsidRPr="00C917E2" w:rsidRDefault="008B67F3" w:rsidP="00736277">
      <w:pPr>
        <w:pStyle w:val="Source"/>
      </w:pPr>
      <w:r w:rsidRPr="00E94700">
        <w:rPr>
          <w:i/>
        </w:rPr>
        <w:t>Source:</w:t>
      </w:r>
      <w:r w:rsidRPr="00C917E2">
        <w:t xml:space="preserve"> ZDHS 2010–11</w:t>
      </w:r>
      <w:r w:rsidR="006B2D5F">
        <w:t>.</w:t>
      </w:r>
    </w:p>
    <w:p w14:paraId="56D07658" w14:textId="77777777" w:rsidR="008B67F3" w:rsidRPr="00C917E2" w:rsidRDefault="008B67F3" w:rsidP="00D37198">
      <w:pPr>
        <w:pStyle w:val="Numberpara"/>
      </w:pPr>
      <w:r w:rsidRPr="00C917E2">
        <w:t xml:space="preserve">Although per capita outpatient visits per year are close to expectations, the evidence consistently points to low utilization of formal health care services in cases of illness and this appears to be the case across all socioeconomic categories in </w:t>
      </w:r>
      <w:r w:rsidR="003D67FD" w:rsidRPr="00C917E2">
        <w:t xml:space="preserve">both </w:t>
      </w:r>
      <w:r w:rsidRPr="00C917E2">
        <w:t>rural and urban areas. The 2011/12 PICES reveals that more than one-third of the population does not seek care when they are ill, whether in the formal public or private sector or with traditional healers (</w:t>
      </w:r>
      <w:r w:rsidR="00C713A9" w:rsidRPr="00C917E2">
        <w:fldChar w:fldCharType="begin"/>
      </w:r>
      <w:r w:rsidRPr="00C917E2">
        <w:instrText xml:space="preserve"> REF _Ref411925899 \h </w:instrText>
      </w:r>
      <w:r w:rsidR="00C713A9" w:rsidRPr="00C917E2">
        <w:fldChar w:fldCharType="separate"/>
      </w:r>
      <w:r w:rsidR="003732A2" w:rsidRPr="00C917E2">
        <w:t xml:space="preserve">Figure </w:t>
      </w:r>
      <w:r w:rsidR="003732A2">
        <w:rPr>
          <w:noProof/>
        </w:rPr>
        <w:t>9</w:t>
      </w:r>
      <w:r w:rsidR="00C713A9" w:rsidRPr="00C917E2">
        <w:fldChar w:fldCharType="end"/>
      </w:r>
      <w:r w:rsidRPr="00C917E2">
        <w:t>). Although the shares are slightly higher among the poor and extremely poor, the difference is unlikely to be statistically significant. The shares are also slightly higher in urban areas, with 38.5 percent of the nonpoor, 44.4 percent of the poor</w:t>
      </w:r>
      <w:r w:rsidR="003D67FD">
        <w:t>,</w:t>
      </w:r>
      <w:r w:rsidRPr="00C917E2">
        <w:t xml:space="preserve"> and 45.8 percent of the extremely poor not seeking care. </w:t>
      </w:r>
    </w:p>
    <w:p w14:paraId="1658ECD5" w14:textId="77777777" w:rsidR="008B67F3" w:rsidRPr="00C917E2" w:rsidRDefault="008B67F3" w:rsidP="00DA23DA">
      <w:pPr>
        <w:pStyle w:val="Figure"/>
      </w:pPr>
      <w:bookmarkStart w:id="56" w:name="_Ref411925899"/>
      <w:bookmarkStart w:id="57" w:name="_Toc419004090"/>
      <w:r w:rsidRPr="00C917E2">
        <w:t xml:space="preserve">Figure </w:t>
      </w:r>
      <w:r w:rsidR="00113462">
        <w:fldChar w:fldCharType="begin"/>
      </w:r>
      <w:r w:rsidR="00113462">
        <w:instrText xml:space="preserve"> SEQ Figure \* ARABIC </w:instrText>
      </w:r>
      <w:r w:rsidR="00113462">
        <w:fldChar w:fldCharType="separate"/>
      </w:r>
      <w:r w:rsidR="003732A2">
        <w:rPr>
          <w:noProof/>
        </w:rPr>
        <w:t>9</w:t>
      </w:r>
      <w:r w:rsidR="00113462">
        <w:rPr>
          <w:noProof/>
        </w:rPr>
        <w:fldChar w:fldCharType="end"/>
      </w:r>
      <w:bookmarkEnd w:id="56"/>
      <w:r w:rsidRPr="00C917E2">
        <w:t xml:space="preserve"> Health</w:t>
      </w:r>
      <w:r w:rsidR="00E376A8">
        <w:t>-</w:t>
      </w:r>
      <w:r w:rsidRPr="00C917E2">
        <w:t xml:space="preserve">Seeking Behavior: Method of Treatment of Illness by Poverty Status, Evidence from </w:t>
      </w:r>
      <w:r w:rsidR="003D67FD" w:rsidRPr="003D67FD">
        <w:t xml:space="preserve">2011/12 </w:t>
      </w:r>
      <w:r w:rsidRPr="00C917E2">
        <w:t>PICES</w:t>
      </w:r>
      <w:bookmarkEnd w:id="57"/>
    </w:p>
    <w:p w14:paraId="6C825934" w14:textId="77777777" w:rsidR="008B67F3" w:rsidRPr="00C917E2" w:rsidRDefault="008B67F3" w:rsidP="003B45CD">
      <w:pPr>
        <w:keepNext/>
      </w:pPr>
      <w:r w:rsidRPr="00C917E2">
        <w:rPr>
          <w:noProof/>
        </w:rPr>
        <w:drawing>
          <wp:inline distT="0" distB="0" distL="0" distR="0" wp14:anchorId="720EB2AD" wp14:editId="38E978DB">
            <wp:extent cx="5082639" cy="2185059"/>
            <wp:effectExtent l="0" t="0" r="22860" b="24765"/>
            <wp:docPr id="30"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FA51813" w14:textId="77777777" w:rsidR="008B67F3" w:rsidRPr="00C917E2" w:rsidRDefault="008B67F3" w:rsidP="00B83AF3">
      <w:pPr>
        <w:pStyle w:val="Source"/>
      </w:pPr>
      <w:r w:rsidRPr="00E94700">
        <w:rPr>
          <w:i/>
        </w:rPr>
        <w:t>Source:</w:t>
      </w:r>
      <w:r w:rsidRPr="00C917E2">
        <w:t xml:space="preserve"> PICES 2011/12</w:t>
      </w:r>
      <w:r w:rsidR="003D67FD">
        <w:t>.</w:t>
      </w:r>
    </w:p>
    <w:p w14:paraId="5B99783A" w14:textId="77777777" w:rsidR="008B67F3" w:rsidRPr="00C917E2" w:rsidRDefault="008B67F3" w:rsidP="00D37198">
      <w:pPr>
        <w:pStyle w:val="Numberpara"/>
      </w:pPr>
      <w:r w:rsidRPr="00C917E2">
        <w:lastRenderedPageBreak/>
        <w:t>Additional evidence from the ZDHS 2010–11 corroborates these findings, showing that about one-half of women did not seek care for their last-born child who had cough or diarrhea, with relatively little variation across most quintiles. Women from the lowest quintile in fact had a higher rate (49.3</w:t>
      </w:r>
      <w:r w:rsidR="004E667A">
        <w:t> </w:t>
      </w:r>
      <w:r w:rsidRPr="00C917E2">
        <w:t>percent)</w:t>
      </w:r>
      <w:r w:rsidRPr="00C917E2" w:rsidDel="009E7D95">
        <w:t xml:space="preserve"> </w:t>
      </w:r>
      <w:r w:rsidRPr="00C917E2">
        <w:t>than those in all other quintiles save the richest (55.7</w:t>
      </w:r>
      <w:r w:rsidR="00B72993" w:rsidRPr="00C917E2">
        <w:t xml:space="preserve"> </w:t>
      </w:r>
      <w:r w:rsidRPr="00C917E2">
        <w:t>percent).</w:t>
      </w:r>
      <w:r w:rsidRPr="00C917E2">
        <w:rPr>
          <w:rStyle w:val="EndnoteReference"/>
        </w:rPr>
        <w:endnoteReference w:id="25"/>
      </w:r>
      <w:r w:rsidRPr="00C917E2">
        <w:t xml:space="preserve"> </w:t>
      </w:r>
    </w:p>
    <w:p w14:paraId="29A6356B" w14:textId="77777777" w:rsidR="008B67F3" w:rsidRPr="00C917E2" w:rsidRDefault="008B67F3" w:rsidP="00D37198">
      <w:pPr>
        <w:pStyle w:val="Numberpara"/>
      </w:pPr>
      <w:r w:rsidRPr="00C917E2">
        <w:t>Results from the 2011 Labour Force Survey are also consistent with these in magnitude but point to a larger difference between urban and rural areas: 41 percent of people in urban areas did not seek care in a health facility or with a traditional healer, against 31 percent in rural areas; in addition they find that more females than males visited the health facilities when ill.</w:t>
      </w:r>
      <w:r w:rsidRPr="00C917E2">
        <w:rPr>
          <w:rStyle w:val="EndnoteReference"/>
        </w:rPr>
        <w:endnoteReference w:id="26"/>
      </w:r>
    </w:p>
    <w:p w14:paraId="685C165F" w14:textId="77777777" w:rsidR="008B67F3" w:rsidRPr="00C917E2" w:rsidRDefault="008B67F3" w:rsidP="00D37198">
      <w:pPr>
        <w:pStyle w:val="Numberpara"/>
      </w:pPr>
      <w:r w:rsidRPr="00C917E2">
        <w:t>The reason for not seeking treatment when ill (in the four weeks preceding the 2011/12 PICES) is largely financial for the poor and particularly so for the extremely poor</w:t>
      </w:r>
      <w:r w:rsidR="000E7982">
        <w:t>,</w:t>
      </w:r>
      <w:r w:rsidRPr="00C917E2">
        <w:t xml:space="preserve"> with over 40 percent of th</w:t>
      </w:r>
      <w:r w:rsidR="000E7982">
        <w:t>is</w:t>
      </w:r>
      <w:r w:rsidRPr="00C917E2">
        <w:t xml:space="preserve"> </w:t>
      </w:r>
      <w:r w:rsidR="000E7982">
        <w:t xml:space="preserve">group </w:t>
      </w:r>
      <w:r w:rsidRPr="00C917E2">
        <w:t>indicating unaffordability as the major reason (</w:t>
      </w:r>
      <w:r w:rsidR="00C713A9" w:rsidRPr="00C917E2">
        <w:fldChar w:fldCharType="begin"/>
      </w:r>
      <w:r w:rsidRPr="00C917E2">
        <w:instrText xml:space="preserve"> REF _Ref411925901 \h </w:instrText>
      </w:r>
      <w:r w:rsidR="00C713A9" w:rsidRPr="00C917E2">
        <w:fldChar w:fldCharType="separate"/>
      </w:r>
      <w:r w:rsidR="003732A2" w:rsidRPr="00C917E2">
        <w:t xml:space="preserve">Figure </w:t>
      </w:r>
      <w:r w:rsidR="003732A2">
        <w:rPr>
          <w:noProof/>
        </w:rPr>
        <w:t>10</w:t>
      </w:r>
      <w:r w:rsidR="00C713A9" w:rsidRPr="00C917E2">
        <w:fldChar w:fldCharType="end"/>
      </w:r>
      <w:r w:rsidRPr="00C917E2">
        <w:t>). Although reliance on home treatment is the dominant reason for not seeking care among the nonpoor, unaffordability is still indicated as the primary reason by more than one</w:t>
      </w:r>
      <w:r w:rsidR="000E7982">
        <w:t>-</w:t>
      </w:r>
      <w:r w:rsidRPr="00C917E2">
        <w:t xml:space="preserve">quarter of nonpoor respondents. </w:t>
      </w:r>
    </w:p>
    <w:p w14:paraId="2FD325CF" w14:textId="77777777" w:rsidR="008B67F3" w:rsidRPr="00C917E2" w:rsidRDefault="008B67F3" w:rsidP="00D445B8">
      <w:pPr>
        <w:pStyle w:val="Figure"/>
      </w:pPr>
      <w:bookmarkStart w:id="58" w:name="_Ref411925901"/>
      <w:bookmarkStart w:id="59" w:name="_Toc419004091"/>
      <w:r w:rsidRPr="00C917E2">
        <w:t xml:space="preserve">Figure </w:t>
      </w:r>
      <w:r w:rsidR="00113462">
        <w:fldChar w:fldCharType="begin"/>
      </w:r>
      <w:r w:rsidR="00113462">
        <w:instrText xml:space="preserve"> SEQ Figure \* ARABIC </w:instrText>
      </w:r>
      <w:r w:rsidR="00113462">
        <w:fldChar w:fldCharType="separate"/>
      </w:r>
      <w:r w:rsidR="003732A2">
        <w:rPr>
          <w:noProof/>
        </w:rPr>
        <w:t>10</w:t>
      </w:r>
      <w:r w:rsidR="00113462">
        <w:rPr>
          <w:noProof/>
        </w:rPr>
        <w:fldChar w:fldCharType="end"/>
      </w:r>
      <w:bookmarkEnd w:id="58"/>
      <w:r w:rsidRPr="00C917E2">
        <w:t xml:space="preserve"> Reasons for Not Seeking Medical Treatment among those who Fell Ill</w:t>
      </w:r>
      <w:bookmarkEnd w:id="59"/>
    </w:p>
    <w:p w14:paraId="525E543C" w14:textId="77777777" w:rsidR="008B67F3" w:rsidRPr="00C917E2" w:rsidRDefault="008B67F3" w:rsidP="00E9343F">
      <w:pPr>
        <w:keepNext/>
      </w:pPr>
      <w:r w:rsidRPr="00C917E2">
        <w:rPr>
          <w:noProof/>
        </w:rPr>
        <w:drawing>
          <wp:inline distT="0" distB="0" distL="0" distR="0" wp14:anchorId="6FCE3383" wp14:editId="549B0D25">
            <wp:extent cx="5124450" cy="2486025"/>
            <wp:effectExtent l="0" t="0" r="19050" b="9525"/>
            <wp:docPr id="66"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7D25A11" w14:textId="77777777" w:rsidR="008B67F3" w:rsidRPr="00C917E2" w:rsidRDefault="008B67F3" w:rsidP="0023266A">
      <w:pPr>
        <w:pStyle w:val="Source"/>
      </w:pPr>
      <w:r w:rsidRPr="00E94700">
        <w:rPr>
          <w:i/>
        </w:rPr>
        <w:t>Source:</w:t>
      </w:r>
      <w:r w:rsidRPr="00C917E2">
        <w:t xml:space="preserve"> PICES 2011/12</w:t>
      </w:r>
      <w:r w:rsidR="006B2D5F">
        <w:t>.</w:t>
      </w:r>
    </w:p>
    <w:p w14:paraId="2BD5F09B" w14:textId="77777777" w:rsidR="008B67F3" w:rsidRPr="00C917E2" w:rsidRDefault="000E7982" w:rsidP="00D37198">
      <w:pPr>
        <w:pStyle w:val="Numberpara"/>
      </w:pPr>
      <w:r w:rsidRPr="00C917E2">
        <w:t xml:space="preserve">The </w:t>
      </w:r>
      <w:r w:rsidR="008B67F3" w:rsidRPr="00C917E2">
        <w:t xml:space="preserve">rural sample in the </w:t>
      </w:r>
      <w:r w:rsidR="004E667A" w:rsidRPr="00C917E2">
        <w:t xml:space="preserve">2011/12 </w:t>
      </w:r>
      <w:r w:rsidR="008B67F3" w:rsidRPr="00C917E2">
        <w:t>PICES does not reveal major differences in reasons for not seeking care. The proportion of respondents who gave distance as the primary reason is expectedly higher than for the urban sample</w:t>
      </w:r>
      <w:r>
        <w:t>,</w:t>
      </w:r>
      <w:r w:rsidR="008B67F3" w:rsidRPr="00C917E2">
        <w:t xml:space="preserve"> but remains below 6 percent in all categories. </w:t>
      </w:r>
    </w:p>
    <w:p w14:paraId="497C2726" w14:textId="77777777" w:rsidR="008B67F3" w:rsidRPr="00C917E2" w:rsidRDefault="008B67F3" w:rsidP="00D37198">
      <w:pPr>
        <w:pStyle w:val="Numberpara"/>
      </w:pPr>
      <w:r w:rsidRPr="00C917E2">
        <w:t>More recent evidence from rural areas in the 2014 midline household survey (conducted as part of the RBF program impact evaluation—Box </w:t>
      </w:r>
      <w:r w:rsidR="001C02D0" w:rsidRPr="00C917E2">
        <w:t>4</w:t>
      </w:r>
      <w:r w:rsidRPr="00C917E2">
        <w:t xml:space="preserve"> below) of 32 districts in eight rural provinces is consistent with the evidence presented above: 40–50 percent of respondents did not seek formal care when ill (</w:t>
      </w:r>
      <w:r w:rsidR="00C713A9" w:rsidRPr="00C917E2">
        <w:fldChar w:fldCharType="begin"/>
      </w:r>
      <w:r w:rsidRPr="00C917E2">
        <w:instrText xml:space="preserve"> REF _Ref411925902 \h </w:instrText>
      </w:r>
      <w:r w:rsidR="00C713A9" w:rsidRPr="00C917E2">
        <w:fldChar w:fldCharType="separate"/>
      </w:r>
      <w:r w:rsidR="003732A2" w:rsidRPr="00C917E2">
        <w:t xml:space="preserve">Figure </w:t>
      </w:r>
      <w:r w:rsidR="003732A2">
        <w:rPr>
          <w:noProof/>
        </w:rPr>
        <w:t>11</w:t>
      </w:r>
      <w:r w:rsidR="00C713A9" w:rsidRPr="00C917E2">
        <w:fldChar w:fldCharType="end"/>
      </w:r>
      <w:r w:rsidRPr="00C917E2">
        <w:t>).</w:t>
      </w:r>
      <w:r w:rsidRPr="00C917E2" w:rsidDel="00B928E0">
        <w:rPr>
          <w:rStyle w:val="EndnoteReference"/>
        </w:rPr>
        <w:t xml:space="preserve"> </w:t>
      </w:r>
      <w:r w:rsidRPr="00C917E2">
        <w:t xml:space="preserve">Cost was the main reason for about one-fourth of them, with no significant differences across quintiles (except in the poorest quintile where affordability was given as the main reason by 13 percent of respondents). By construction, about half the households in the RBF impact evaluation survey lived in districts where user fees were supposed to have been removed for services in the RBF benefit package, likely explaining why affordability was less of an issue </w:t>
      </w:r>
      <w:r w:rsidR="000E7982">
        <w:t xml:space="preserve">than in </w:t>
      </w:r>
      <w:r w:rsidRPr="00C917E2">
        <w:t>the PICES result.</w:t>
      </w:r>
      <w:r w:rsidRPr="00C917E2">
        <w:rPr>
          <w:rStyle w:val="EndnoteReference"/>
        </w:rPr>
        <w:t xml:space="preserve"> </w:t>
      </w:r>
      <w:r w:rsidRPr="00C917E2">
        <w:rPr>
          <w:rStyle w:val="EndnoteReference"/>
        </w:rPr>
        <w:endnoteReference w:id="27"/>
      </w:r>
      <w:r w:rsidRPr="00C917E2">
        <w:t xml:space="preserve"> In addition, the fact that the poorest people did not indicate cost as a main reason may </w:t>
      </w:r>
      <w:r w:rsidR="000E7982">
        <w:t xml:space="preserve">be </w:t>
      </w:r>
      <w:r w:rsidRPr="00C917E2">
        <w:t>because the</w:t>
      </w:r>
      <w:r w:rsidR="000E7982">
        <w:t>y</w:t>
      </w:r>
      <w:r w:rsidRPr="00C917E2">
        <w:t xml:space="preserve"> are more likely to go to facilities that do not charge user fees (below).</w:t>
      </w:r>
    </w:p>
    <w:p w14:paraId="3AF6C987" w14:textId="77777777" w:rsidR="008B67F3" w:rsidRPr="00C917E2" w:rsidRDefault="008B67F3" w:rsidP="00932930">
      <w:pPr>
        <w:pStyle w:val="Figure"/>
      </w:pPr>
      <w:bookmarkStart w:id="60" w:name="_Ref411925902"/>
      <w:bookmarkStart w:id="61" w:name="_Toc419004092"/>
      <w:r w:rsidRPr="00C917E2">
        <w:lastRenderedPageBreak/>
        <w:t xml:space="preserve">Figure </w:t>
      </w:r>
      <w:r w:rsidR="00113462">
        <w:fldChar w:fldCharType="begin"/>
      </w:r>
      <w:r w:rsidR="00113462">
        <w:instrText xml:space="preserve"> SEQ Figure \* A</w:instrText>
      </w:r>
      <w:r w:rsidR="00113462">
        <w:instrText xml:space="preserve">RABIC </w:instrText>
      </w:r>
      <w:r w:rsidR="00113462">
        <w:fldChar w:fldCharType="separate"/>
      </w:r>
      <w:r w:rsidR="003732A2">
        <w:rPr>
          <w:noProof/>
        </w:rPr>
        <w:t>11</w:t>
      </w:r>
      <w:r w:rsidR="00113462">
        <w:rPr>
          <w:noProof/>
        </w:rPr>
        <w:fldChar w:fldCharType="end"/>
      </w:r>
      <w:bookmarkEnd w:id="60"/>
      <w:r w:rsidRPr="00C917E2">
        <w:t xml:space="preserve"> Health</w:t>
      </w:r>
      <w:r w:rsidR="00E376A8">
        <w:t>-</w:t>
      </w:r>
      <w:r w:rsidRPr="00C917E2">
        <w:t>Seeking Behavior Across Quintiles: Evidence from Rural Areas, 2014</w:t>
      </w:r>
      <w:bookmarkEnd w:id="61"/>
    </w:p>
    <w:p w14:paraId="289E0906" w14:textId="77777777" w:rsidR="008B67F3" w:rsidRPr="00C917E2" w:rsidRDefault="008B67F3" w:rsidP="00932930">
      <w:pPr>
        <w:keepNext/>
      </w:pPr>
      <w:r w:rsidRPr="00C917E2">
        <w:rPr>
          <w:noProof/>
        </w:rPr>
        <w:drawing>
          <wp:inline distT="0" distB="0" distL="0" distR="0" wp14:anchorId="5B54154A" wp14:editId="43C19159">
            <wp:extent cx="4857750" cy="2552700"/>
            <wp:effectExtent l="0" t="0" r="19050" b="19050"/>
            <wp:docPr id="67" name="Chart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1CD01DF" w14:textId="77777777" w:rsidR="008B67F3" w:rsidRPr="00C917E2" w:rsidRDefault="008B67F3" w:rsidP="00F57675">
      <w:pPr>
        <w:pStyle w:val="Source"/>
      </w:pPr>
      <w:r w:rsidRPr="00E94700">
        <w:rPr>
          <w:i/>
        </w:rPr>
        <w:t>Source:</w:t>
      </w:r>
      <w:r w:rsidRPr="00C917E2">
        <w:t xml:space="preserve"> Authors’ analysis of 2014 RBF impact evaluation household survey data</w:t>
      </w:r>
      <w:r w:rsidR="006B2D5F">
        <w:t>.</w:t>
      </w:r>
    </w:p>
    <w:p w14:paraId="40CDA7EC" w14:textId="77777777" w:rsidR="008B67F3" w:rsidRPr="00C917E2" w:rsidRDefault="008B67F3" w:rsidP="00D37198">
      <w:pPr>
        <w:pStyle w:val="Numberpara"/>
        <w:rPr>
          <w:color w:val="244061"/>
          <w:sz w:val="18"/>
          <w:szCs w:val="18"/>
        </w:rPr>
      </w:pPr>
      <w:r w:rsidRPr="00C917E2">
        <w:t>It is</w:t>
      </w:r>
      <w:r w:rsidR="000E7982">
        <w:t>,</w:t>
      </w:r>
      <w:r w:rsidRPr="00C917E2">
        <w:t xml:space="preserve"> in fact</w:t>
      </w:r>
      <w:r w:rsidR="000E7982">
        <w:t>,</w:t>
      </w:r>
      <w:r w:rsidRPr="00C917E2">
        <w:t xml:space="preserve"> when looking at the type of facilities used by the different socioeconomic groups that inequalities </w:t>
      </w:r>
      <w:r w:rsidR="000E7982">
        <w:t>stand out more:</w:t>
      </w:r>
      <w:r w:rsidRPr="00C917E2">
        <w:t xml:space="preserve"> </w:t>
      </w:r>
      <w:r w:rsidR="000E7982" w:rsidRPr="00C917E2">
        <w:t xml:space="preserve">the </w:t>
      </w:r>
      <w:r w:rsidRPr="00C917E2">
        <w:t>patterns of health service utilization differ among the poor and the better off. Based on the household survey carried out for the NHA 2010, the poor constitute a larger proportion of inpatient service users at district level than the rich</w:t>
      </w:r>
      <w:r w:rsidR="000E7982">
        <w:t>,</w:t>
      </w:r>
      <w:r w:rsidRPr="00C917E2">
        <w:t xml:space="preserve"> while the opposite is true for provincial and central inpatient services (</w:t>
      </w:r>
      <w:r w:rsidR="00601E45">
        <w:fldChar w:fldCharType="begin"/>
      </w:r>
      <w:r w:rsidR="00601E45">
        <w:instrText xml:space="preserve"> REF _Ref411925903 \h  \* MERGEFORMAT </w:instrText>
      </w:r>
      <w:r w:rsidR="00601E45">
        <w:fldChar w:fldCharType="separate"/>
      </w:r>
      <w:r w:rsidR="003732A2" w:rsidRPr="00C917E2">
        <w:t xml:space="preserve">Figure </w:t>
      </w:r>
      <w:r w:rsidR="003732A2">
        <w:t>12</w:t>
      </w:r>
      <w:r w:rsidR="00601E45">
        <w:fldChar w:fldCharType="end"/>
      </w:r>
      <w:r w:rsidRPr="00C917E2">
        <w:t xml:space="preserve">). </w:t>
      </w:r>
    </w:p>
    <w:p w14:paraId="2CAFCF65" w14:textId="77777777" w:rsidR="008B67F3" w:rsidRPr="00C917E2" w:rsidRDefault="008B67F3" w:rsidP="00A159BE">
      <w:pPr>
        <w:pStyle w:val="Figure"/>
        <w:rPr>
          <w:lang w:eastAsia="en-ZW"/>
        </w:rPr>
      </w:pPr>
      <w:bookmarkStart w:id="62" w:name="_Ref411925903"/>
      <w:bookmarkStart w:id="63" w:name="_Toc419004093"/>
      <w:r w:rsidRPr="00C917E2">
        <w:t xml:space="preserve">Figure </w:t>
      </w:r>
      <w:r w:rsidR="00113462">
        <w:fldChar w:fldCharType="begin"/>
      </w:r>
      <w:r w:rsidR="00113462">
        <w:instrText xml:space="preserve"> SEQ Figure \* ARABIC </w:instrText>
      </w:r>
      <w:r w:rsidR="00113462">
        <w:fldChar w:fldCharType="separate"/>
      </w:r>
      <w:r w:rsidR="003732A2">
        <w:rPr>
          <w:noProof/>
        </w:rPr>
        <w:t>12</w:t>
      </w:r>
      <w:r w:rsidR="00113462">
        <w:rPr>
          <w:noProof/>
        </w:rPr>
        <w:fldChar w:fldCharType="end"/>
      </w:r>
      <w:bookmarkEnd w:id="62"/>
      <w:r w:rsidRPr="00C917E2">
        <w:t xml:space="preserve"> Inpatient and Outpatient Service Utilization by Wealth Quintile</w:t>
      </w:r>
      <w:r w:rsidRPr="00C917E2">
        <w:rPr>
          <w:lang w:eastAsia="en-ZW"/>
        </w:rPr>
        <w:t>, 2010</w:t>
      </w:r>
      <w:bookmarkEnd w:id="6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5"/>
        <w:gridCol w:w="4471"/>
      </w:tblGrid>
      <w:tr w:rsidR="008B67F3" w:rsidRPr="00C917E2" w14:paraId="75784CA3" w14:textId="77777777" w:rsidTr="00E141FC">
        <w:tc>
          <w:tcPr>
            <w:tcW w:w="4621" w:type="dxa"/>
          </w:tcPr>
          <w:p w14:paraId="6FB4142E" w14:textId="77777777" w:rsidR="008B67F3" w:rsidRPr="00C917E2" w:rsidRDefault="008B67F3" w:rsidP="00E141FC">
            <w:pPr>
              <w:spacing w:after="0"/>
              <w:rPr>
                <w:rFonts w:asciiTheme="minorHAnsi" w:hAnsiTheme="minorHAnsi" w:cs="Arial"/>
                <w:b/>
              </w:rPr>
            </w:pPr>
            <w:r w:rsidRPr="00C917E2">
              <w:rPr>
                <w:rFonts w:asciiTheme="minorHAnsi" w:hAnsiTheme="minorHAnsi" w:cs="Arial"/>
                <w:b/>
              </w:rPr>
              <w:t>Inpatient</w:t>
            </w:r>
          </w:p>
        </w:tc>
        <w:tc>
          <w:tcPr>
            <w:tcW w:w="4621" w:type="dxa"/>
          </w:tcPr>
          <w:p w14:paraId="6A771548" w14:textId="77777777" w:rsidR="008B67F3" w:rsidRPr="00C917E2" w:rsidRDefault="008B67F3" w:rsidP="00E141FC">
            <w:pPr>
              <w:spacing w:after="0"/>
              <w:rPr>
                <w:rFonts w:asciiTheme="minorHAnsi" w:hAnsiTheme="minorHAnsi" w:cs="Arial"/>
                <w:b/>
              </w:rPr>
            </w:pPr>
            <w:r w:rsidRPr="00C917E2">
              <w:rPr>
                <w:rFonts w:asciiTheme="minorHAnsi" w:hAnsiTheme="minorHAnsi" w:cs="Arial"/>
                <w:b/>
              </w:rPr>
              <w:t>Outpatient</w:t>
            </w:r>
          </w:p>
        </w:tc>
      </w:tr>
      <w:bookmarkStart w:id="64" w:name="_MON_1443435758"/>
      <w:bookmarkEnd w:id="64"/>
      <w:tr w:rsidR="008B67F3" w:rsidRPr="00C917E2" w14:paraId="3A02C143" w14:textId="77777777" w:rsidTr="00E141FC">
        <w:tc>
          <w:tcPr>
            <w:tcW w:w="4621" w:type="dxa"/>
          </w:tcPr>
          <w:p w14:paraId="2320EF1F" w14:textId="77777777" w:rsidR="008B67F3" w:rsidRPr="00C917E2" w:rsidRDefault="008B67F3" w:rsidP="00E141FC">
            <w:pPr>
              <w:keepNext/>
              <w:rPr>
                <w:lang w:eastAsia="en-ZW"/>
              </w:rPr>
            </w:pPr>
            <w:r w:rsidRPr="00C917E2">
              <w:rPr>
                <w:rFonts w:ascii="Arial" w:hAnsi="Arial" w:cs="Arial"/>
              </w:rPr>
              <w:object w:dxaOrig="13927" w:dyaOrig="5731" w14:anchorId="73F1D8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85pt;height:222.1pt" o:ole="">
                  <v:imagedata r:id="rId37" o:title=""/>
                </v:shape>
                <o:OLEObject Type="Embed" ProgID="Excel.Sheet.12" ShapeID="_x0000_i1025" DrawAspect="Content" ObjectID="_1498550400" r:id="rId38"/>
              </w:object>
            </w:r>
          </w:p>
        </w:tc>
        <w:bookmarkStart w:id="65" w:name="_MON_1486273484"/>
        <w:bookmarkEnd w:id="65"/>
        <w:tc>
          <w:tcPr>
            <w:tcW w:w="4621" w:type="dxa"/>
          </w:tcPr>
          <w:p w14:paraId="41822CF0" w14:textId="77777777" w:rsidR="008B67F3" w:rsidRPr="00C917E2" w:rsidRDefault="008B67F3" w:rsidP="00E141FC">
            <w:pPr>
              <w:keepNext/>
              <w:rPr>
                <w:lang w:eastAsia="en-ZW"/>
              </w:rPr>
            </w:pPr>
            <w:r w:rsidRPr="00C917E2">
              <w:rPr>
                <w:rFonts w:ascii="Arial" w:hAnsi="Arial" w:cs="Arial"/>
              </w:rPr>
              <w:object w:dxaOrig="15298" w:dyaOrig="6280" w14:anchorId="200C7AAD">
                <v:shape id="_x0000_i1026" type="#_x0000_t75" style="width:210.35pt;height:222pt" o:ole="">
                  <v:imagedata r:id="rId39" o:title=""/>
                </v:shape>
                <o:OLEObject Type="Embed" ProgID="Excel.Sheet.12" ShapeID="_x0000_i1026" DrawAspect="Content" ObjectID="_1498550401" r:id="rId40"/>
              </w:object>
            </w:r>
          </w:p>
        </w:tc>
      </w:tr>
    </w:tbl>
    <w:p w14:paraId="16BD0B86" w14:textId="77777777" w:rsidR="008B67F3" w:rsidRPr="00C917E2" w:rsidRDefault="008B67F3" w:rsidP="000353EB">
      <w:pPr>
        <w:pStyle w:val="Source"/>
        <w:rPr>
          <w:sz w:val="22"/>
          <w:szCs w:val="22"/>
        </w:rPr>
      </w:pPr>
      <w:r w:rsidRPr="00E94700">
        <w:rPr>
          <w:i/>
        </w:rPr>
        <w:t>Source:</w:t>
      </w:r>
      <w:r w:rsidRPr="00C917E2">
        <w:t xml:space="preserve"> Authors’ analysis of household survey data collected for </w:t>
      </w:r>
      <w:r w:rsidR="000E7982">
        <w:t>NHA</w:t>
      </w:r>
      <w:r w:rsidRPr="00C917E2">
        <w:t xml:space="preserve"> 2010</w:t>
      </w:r>
      <w:r w:rsidR="006B2D5F">
        <w:t>.</w:t>
      </w:r>
    </w:p>
    <w:p w14:paraId="6D6FC189" w14:textId="77777777" w:rsidR="008B67F3" w:rsidRPr="00C917E2" w:rsidRDefault="008B67F3" w:rsidP="00D37198">
      <w:pPr>
        <w:pStyle w:val="Numberpara"/>
      </w:pPr>
      <w:r w:rsidRPr="00C917E2">
        <w:t xml:space="preserve">Additional evidence of inequality in utilization patterns can be found in the 2014 RBF midline survey of rural areas. </w:t>
      </w:r>
      <w:r w:rsidR="00C713A9" w:rsidRPr="00C917E2">
        <w:fldChar w:fldCharType="begin"/>
      </w:r>
      <w:r w:rsidRPr="00C917E2">
        <w:instrText xml:space="preserve"> REF _Ref411925904 \h </w:instrText>
      </w:r>
      <w:r w:rsidR="00C713A9" w:rsidRPr="00C917E2">
        <w:fldChar w:fldCharType="separate"/>
      </w:r>
      <w:r w:rsidR="003732A2" w:rsidRPr="00C917E2">
        <w:t xml:space="preserve">Figure </w:t>
      </w:r>
      <w:r w:rsidR="003732A2">
        <w:rPr>
          <w:noProof/>
        </w:rPr>
        <w:t>13</w:t>
      </w:r>
      <w:r w:rsidR="00C713A9" w:rsidRPr="00C917E2">
        <w:fldChar w:fldCharType="end"/>
      </w:r>
      <w:r w:rsidRPr="00C917E2">
        <w:t xml:space="preserve"> shows a strong income gradient in the service utilization pattern, with the poor relying heavily on rural health centers for both inpatient and outpatient services, while the better off are more likely to use hospital services. The pattern suggests that the issue of income </w:t>
      </w:r>
      <w:r w:rsidRPr="00C917E2">
        <w:lastRenderedPageBreak/>
        <w:t xml:space="preserve">inequality in health is strongly associated with physical and financial access to </w:t>
      </w:r>
      <w:r w:rsidR="000E7982">
        <w:t>high-</w:t>
      </w:r>
      <w:r w:rsidRPr="00C917E2">
        <w:t>quality services</w:t>
      </w:r>
      <w:r w:rsidR="000E7982">
        <w:t>,</w:t>
      </w:r>
      <w:r w:rsidRPr="00C917E2">
        <w:t xml:space="preserve"> particular</w:t>
      </w:r>
      <w:r w:rsidR="000E7982">
        <w:t>ly</w:t>
      </w:r>
      <w:r w:rsidRPr="00C917E2">
        <w:t xml:space="preserve"> secondary levels of care. </w:t>
      </w:r>
    </w:p>
    <w:p w14:paraId="736084E6" w14:textId="77777777" w:rsidR="008B67F3" w:rsidRPr="00C917E2" w:rsidRDefault="008B67F3" w:rsidP="00A159BE">
      <w:pPr>
        <w:pStyle w:val="Figure"/>
      </w:pPr>
      <w:bookmarkStart w:id="66" w:name="_Ref411925904"/>
      <w:bookmarkStart w:id="67" w:name="_Toc419004094"/>
      <w:r w:rsidRPr="00C917E2">
        <w:t xml:space="preserve">Figure </w:t>
      </w:r>
      <w:r w:rsidR="00113462">
        <w:fldChar w:fldCharType="begin"/>
      </w:r>
      <w:r w:rsidR="00113462">
        <w:instrText xml:space="preserve"> SEQ Figure \* ARABIC </w:instrText>
      </w:r>
      <w:r w:rsidR="00113462">
        <w:fldChar w:fldCharType="separate"/>
      </w:r>
      <w:r w:rsidR="003732A2">
        <w:rPr>
          <w:noProof/>
        </w:rPr>
        <w:t>13</w:t>
      </w:r>
      <w:r w:rsidR="00113462">
        <w:rPr>
          <w:noProof/>
        </w:rPr>
        <w:fldChar w:fldCharType="end"/>
      </w:r>
      <w:bookmarkEnd w:id="66"/>
      <w:r w:rsidRPr="00C917E2">
        <w:t xml:space="preserve"> Utilization of Hospitals versus Health Centers for Inpatient and Outpatient care in Rural Areas, 2014</w:t>
      </w:r>
      <w:bookmarkEnd w:id="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2"/>
        <w:gridCol w:w="4564"/>
      </w:tblGrid>
      <w:tr w:rsidR="008B67F3" w:rsidRPr="00C917E2" w14:paraId="002ED725" w14:textId="77777777" w:rsidTr="00A159BE">
        <w:trPr>
          <w:trHeight w:val="373"/>
        </w:trPr>
        <w:tc>
          <w:tcPr>
            <w:tcW w:w="4449" w:type="dxa"/>
            <w:shd w:val="clear" w:color="auto" w:fill="auto"/>
          </w:tcPr>
          <w:p w14:paraId="58D76D8E" w14:textId="77777777" w:rsidR="008B67F3" w:rsidRPr="00C917E2" w:rsidRDefault="008B67F3" w:rsidP="00E754A5">
            <w:pPr>
              <w:keepNext/>
              <w:spacing w:after="0"/>
              <w:jc w:val="center"/>
              <w:rPr>
                <w:rFonts w:asciiTheme="minorHAnsi" w:hAnsiTheme="minorHAnsi"/>
                <w:b/>
              </w:rPr>
            </w:pPr>
            <w:r w:rsidRPr="00C917E2">
              <w:rPr>
                <w:rFonts w:asciiTheme="minorHAnsi" w:hAnsiTheme="minorHAnsi"/>
                <w:b/>
              </w:rPr>
              <w:t xml:space="preserve">Outpatient </w:t>
            </w:r>
            <w:r w:rsidR="00C0033A" w:rsidRPr="00C917E2">
              <w:rPr>
                <w:rFonts w:asciiTheme="minorHAnsi" w:hAnsiTheme="minorHAnsi"/>
                <w:b/>
              </w:rPr>
              <w:t>C</w:t>
            </w:r>
            <w:r w:rsidRPr="00C917E2">
              <w:rPr>
                <w:rFonts w:asciiTheme="minorHAnsi" w:hAnsiTheme="minorHAnsi"/>
                <w:b/>
              </w:rPr>
              <w:t xml:space="preserve">ontacts </w:t>
            </w:r>
          </w:p>
          <w:p w14:paraId="5B92C01E" w14:textId="77777777" w:rsidR="008B67F3" w:rsidRPr="00C917E2" w:rsidRDefault="00C0033A" w:rsidP="00A159BE">
            <w:pPr>
              <w:keepNext/>
              <w:jc w:val="center"/>
              <w:rPr>
                <w:rFonts w:asciiTheme="minorHAnsi" w:hAnsiTheme="minorHAnsi"/>
                <w:b/>
              </w:rPr>
            </w:pPr>
            <w:r w:rsidRPr="00C917E2">
              <w:rPr>
                <w:rFonts w:asciiTheme="minorHAnsi" w:hAnsiTheme="minorHAnsi"/>
                <w:b/>
              </w:rPr>
              <w:t>(</w:t>
            </w:r>
            <w:r w:rsidR="00E754A5" w:rsidRPr="00C917E2">
              <w:rPr>
                <w:rFonts w:asciiTheme="minorHAnsi" w:hAnsiTheme="minorHAnsi"/>
                <w:b/>
              </w:rPr>
              <w:t>over 4 weeks preceding survey</w:t>
            </w:r>
            <w:r w:rsidRPr="00C917E2">
              <w:rPr>
                <w:rFonts w:asciiTheme="minorHAnsi" w:hAnsiTheme="minorHAnsi"/>
                <w:b/>
              </w:rPr>
              <w:t>)</w:t>
            </w:r>
          </w:p>
        </w:tc>
        <w:tc>
          <w:tcPr>
            <w:tcW w:w="4762" w:type="dxa"/>
            <w:shd w:val="clear" w:color="auto" w:fill="auto"/>
          </w:tcPr>
          <w:p w14:paraId="27E12F71" w14:textId="77777777" w:rsidR="008B67F3" w:rsidRPr="00C917E2" w:rsidRDefault="008B67F3" w:rsidP="00E754A5">
            <w:pPr>
              <w:keepNext/>
              <w:spacing w:after="0"/>
              <w:jc w:val="center"/>
              <w:rPr>
                <w:rFonts w:asciiTheme="minorHAnsi" w:hAnsiTheme="minorHAnsi"/>
                <w:b/>
              </w:rPr>
            </w:pPr>
            <w:r w:rsidRPr="00C917E2">
              <w:rPr>
                <w:rFonts w:asciiTheme="minorHAnsi" w:hAnsiTheme="minorHAnsi"/>
                <w:b/>
              </w:rPr>
              <w:t xml:space="preserve">Inpatient </w:t>
            </w:r>
            <w:r w:rsidR="00C0033A" w:rsidRPr="00C917E2">
              <w:rPr>
                <w:rFonts w:asciiTheme="minorHAnsi" w:hAnsiTheme="minorHAnsi"/>
                <w:b/>
              </w:rPr>
              <w:t>A</w:t>
            </w:r>
            <w:r w:rsidRPr="00C917E2">
              <w:rPr>
                <w:rFonts w:asciiTheme="minorHAnsi" w:hAnsiTheme="minorHAnsi"/>
                <w:b/>
              </w:rPr>
              <w:t xml:space="preserve">dmissions </w:t>
            </w:r>
          </w:p>
          <w:p w14:paraId="04E5D526" w14:textId="77777777" w:rsidR="008B67F3" w:rsidRPr="00C917E2" w:rsidRDefault="00C0033A" w:rsidP="00A159BE">
            <w:pPr>
              <w:keepNext/>
              <w:jc w:val="center"/>
              <w:rPr>
                <w:rFonts w:asciiTheme="minorHAnsi" w:hAnsiTheme="minorHAnsi"/>
                <w:b/>
              </w:rPr>
            </w:pPr>
            <w:r w:rsidRPr="00C917E2">
              <w:rPr>
                <w:rFonts w:asciiTheme="minorHAnsi" w:hAnsiTheme="minorHAnsi"/>
                <w:b/>
              </w:rPr>
              <w:t>(</w:t>
            </w:r>
            <w:r w:rsidR="00E754A5" w:rsidRPr="00C917E2">
              <w:rPr>
                <w:rFonts w:asciiTheme="minorHAnsi" w:hAnsiTheme="minorHAnsi"/>
                <w:b/>
              </w:rPr>
              <w:t>over 6 months preceding survey</w:t>
            </w:r>
            <w:r w:rsidRPr="00C917E2">
              <w:rPr>
                <w:rFonts w:asciiTheme="minorHAnsi" w:hAnsiTheme="minorHAnsi"/>
                <w:b/>
              </w:rPr>
              <w:t>)</w:t>
            </w:r>
          </w:p>
        </w:tc>
      </w:tr>
      <w:tr w:rsidR="008B67F3" w:rsidRPr="00C917E2" w14:paraId="1569E705" w14:textId="77777777" w:rsidTr="00A159BE">
        <w:trPr>
          <w:trHeight w:val="2748"/>
        </w:trPr>
        <w:tc>
          <w:tcPr>
            <w:tcW w:w="4449" w:type="dxa"/>
            <w:shd w:val="clear" w:color="auto" w:fill="auto"/>
          </w:tcPr>
          <w:p w14:paraId="20004CBB" w14:textId="77777777" w:rsidR="008B67F3" w:rsidRPr="00C917E2" w:rsidRDefault="008B67F3" w:rsidP="00A159BE">
            <w:pPr>
              <w:keepNext/>
            </w:pPr>
            <w:r w:rsidRPr="00C917E2">
              <w:rPr>
                <w:noProof/>
              </w:rPr>
              <w:drawing>
                <wp:inline distT="0" distB="0" distL="0" distR="0" wp14:anchorId="19CB0B34" wp14:editId="1D7980E4">
                  <wp:extent cx="2867025" cy="1663700"/>
                  <wp:effectExtent l="0" t="0" r="9525" b="12700"/>
                  <wp:docPr id="68" name="Chart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4762" w:type="dxa"/>
            <w:shd w:val="clear" w:color="auto" w:fill="auto"/>
          </w:tcPr>
          <w:p w14:paraId="468C74CE" w14:textId="77777777" w:rsidR="008B67F3" w:rsidRPr="00C917E2" w:rsidRDefault="008B67F3" w:rsidP="00A159BE">
            <w:pPr>
              <w:keepNext/>
            </w:pPr>
            <w:r w:rsidRPr="00C917E2">
              <w:rPr>
                <w:noProof/>
              </w:rPr>
              <w:drawing>
                <wp:inline distT="0" distB="0" distL="0" distR="0" wp14:anchorId="59526ABE" wp14:editId="49D5D28A">
                  <wp:extent cx="2943225" cy="1663700"/>
                  <wp:effectExtent l="0" t="0" r="9525" b="12700"/>
                  <wp:docPr id="69" name="Chart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1AD058AD" w14:textId="77777777" w:rsidR="008B67F3" w:rsidRPr="00C917E2" w:rsidRDefault="008B67F3" w:rsidP="00A81E86">
      <w:pPr>
        <w:pStyle w:val="Source"/>
      </w:pPr>
      <w:r w:rsidRPr="00E94700">
        <w:rPr>
          <w:i/>
        </w:rPr>
        <w:t>Source:</w:t>
      </w:r>
      <w:r w:rsidRPr="00C917E2">
        <w:t xml:space="preserve"> Authors’ analysis of 2014 RBF impact evaluation household survey data</w:t>
      </w:r>
      <w:r w:rsidR="006B2D5F">
        <w:t>.</w:t>
      </w:r>
    </w:p>
    <w:p w14:paraId="45E69E9E" w14:textId="77777777" w:rsidR="008B67F3" w:rsidRPr="00C917E2" w:rsidRDefault="008B67F3" w:rsidP="00226FA8">
      <w:pPr>
        <w:pStyle w:val="Heading2"/>
      </w:pPr>
      <w:bookmarkStart w:id="68" w:name="_Toc401030248"/>
      <w:bookmarkStart w:id="69" w:name="_Toc401030902"/>
      <w:bookmarkStart w:id="70" w:name="_Toc419004000"/>
      <w:r w:rsidRPr="00C917E2">
        <w:t>2.3 Health Inputs</w:t>
      </w:r>
      <w:bookmarkEnd w:id="68"/>
      <w:bookmarkEnd w:id="69"/>
      <w:bookmarkEnd w:id="70"/>
    </w:p>
    <w:p w14:paraId="3B5FEEF6" w14:textId="77777777" w:rsidR="008B67F3" w:rsidRPr="00C917E2" w:rsidRDefault="008B67F3" w:rsidP="00320F82">
      <w:pPr>
        <w:pStyle w:val="Heading3"/>
      </w:pPr>
      <w:bookmarkStart w:id="71" w:name="_Toc401030249"/>
      <w:bookmarkStart w:id="72" w:name="_Toc401030903"/>
      <w:bookmarkStart w:id="73" w:name="_Toc419004001"/>
      <w:r w:rsidRPr="00C917E2">
        <w:t>Distribution of Inputs to Service Delivery</w:t>
      </w:r>
      <w:bookmarkEnd w:id="71"/>
      <w:bookmarkEnd w:id="72"/>
      <w:bookmarkEnd w:id="73"/>
      <w:r w:rsidRPr="00C917E2">
        <w:t xml:space="preserve"> </w:t>
      </w:r>
    </w:p>
    <w:p w14:paraId="6A5F2BDB" w14:textId="77777777" w:rsidR="008B67F3" w:rsidRPr="00C917E2" w:rsidRDefault="008B67F3" w:rsidP="00D37198">
      <w:pPr>
        <w:pStyle w:val="Numberpara"/>
      </w:pPr>
      <w:r w:rsidRPr="00C917E2">
        <w:t>The availability of resources—including the human resources, pharmaceuticals, equipment and infrastructure essential to enable the provision of services—has improved since 2008–09, when the health system reached a point of near collapse.</w:t>
      </w:r>
    </w:p>
    <w:p w14:paraId="60225E41" w14:textId="77777777" w:rsidR="008B67F3" w:rsidRPr="00C917E2" w:rsidRDefault="008B67F3" w:rsidP="00D37198">
      <w:pPr>
        <w:pStyle w:val="Numberpara"/>
      </w:pPr>
      <w:bookmarkStart w:id="74" w:name="_Ref411925905"/>
      <w:r w:rsidRPr="00C917E2">
        <w:t xml:space="preserve">According to the MOHCC database, Zimbabwe has 1,339 primary health care facilities and 200 referral-level institutions. Of the primary facilities, over 90 percent offer essential medical services such as outpatient treatment, </w:t>
      </w:r>
      <w:r w:rsidR="00E34BEA">
        <w:t xml:space="preserve">and </w:t>
      </w:r>
      <w:r w:rsidRPr="00C917E2">
        <w:t>reproductive and child health services.</w:t>
      </w:r>
      <w:r w:rsidRPr="00C917E2">
        <w:rPr>
          <w:rStyle w:val="EndnoteReference"/>
        </w:rPr>
        <w:t xml:space="preserve"> </w:t>
      </w:r>
      <w:r w:rsidRPr="00C917E2">
        <w:rPr>
          <w:rStyle w:val="EndnoteReference"/>
        </w:rPr>
        <w:endnoteReference w:id="28"/>
      </w:r>
      <w:r w:rsidRPr="00C917E2">
        <w:t xml:space="preserve"> The country’s facilities are distributed across the country to reflect population density (</w:t>
      </w:r>
      <w:r w:rsidR="00C713A9" w:rsidRPr="00C917E2">
        <w:fldChar w:fldCharType="begin"/>
      </w:r>
      <w:r w:rsidRPr="00C917E2">
        <w:instrText xml:space="preserve"> REF _Ref411936220 \h </w:instrText>
      </w:r>
      <w:r w:rsidR="00C713A9" w:rsidRPr="00C917E2">
        <w:fldChar w:fldCharType="separate"/>
      </w:r>
      <w:r w:rsidR="003732A2" w:rsidRPr="00C917E2">
        <w:t xml:space="preserve">Figure </w:t>
      </w:r>
      <w:r w:rsidR="003732A2">
        <w:rPr>
          <w:noProof/>
        </w:rPr>
        <w:t>14</w:t>
      </w:r>
      <w:r w:rsidR="00C713A9" w:rsidRPr="00C917E2">
        <w:fldChar w:fldCharType="end"/>
      </w:r>
      <w:r w:rsidRPr="00C917E2">
        <w:t xml:space="preserve">). </w:t>
      </w:r>
    </w:p>
    <w:p w14:paraId="2186BA75" w14:textId="77777777" w:rsidR="008B67F3" w:rsidRPr="00C917E2" w:rsidRDefault="008B67F3" w:rsidP="00C53C89">
      <w:pPr>
        <w:pStyle w:val="Figure"/>
      </w:pPr>
      <w:bookmarkStart w:id="75" w:name="_Ref411936220"/>
      <w:bookmarkStart w:id="76" w:name="_Toc419004095"/>
      <w:r w:rsidRPr="00C917E2">
        <w:t xml:space="preserve">Figure </w:t>
      </w:r>
      <w:r w:rsidR="00113462">
        <w:fldChar w:fldCharType="begin"/>
      </w:r>
      <w:r w:rsidR="00113462">
        <w:instrText xml:space="preserve"> SEQ Figure \* ARABIC </w:instrText>
      </w:r>
      <w:r w:rsidR="00113462">
        <w:fldChar w:fldCharType="separate"/>
      </w:r>
      <w:r w:rsidR="003732A2">
        <w:rPr>
          <w:noProof/>
        </w:rPr>
        <w:t>14</w:t>
      </w:r>
      <w:r w:rsidR="00113462">
        <w:rPr>
          <w:noProof/>
        </w:rPr>
        <w:fldChar w:fldCharType="end"/>
      </w:r>
      <w:bookmarkEnd w:id="74"/>
      <w:bookmarkEnd w:id="75"/>
      <w:r w:rsidRPr="00C917E2">
        <w:t xml:space="preserve"> Distribution of Health Facilities, by </w:t>
      </w:r>
      <w:r w:rsidR="00C0033A" w:rsidRPr="00C917E2">
        <w:t>P</w:t>
      </w:r>
      <w:r w:rsidRPr="00C917E2">
        <w:t xml:space="preserve">rovince and </w:t>
      </w:r>
      <w:r w:rsidR="00C0033A" w:rsidRPr="00C917E2">
        <w:t>P</w:t>
      </w:r>
      <w:r w:rsidRPr="00C917E2">
        <w:t xml:space="preserve">opulation </w:t>
      </w:r>
      <w:r w:rsidR="00C0033A" w:rsidRPr="00C917E2">
        <w:t>D</w:t>
      </w:r>
      <w:r w:rsidRPr="00C917E2">
        <w:t>ensity</w:t>
      </w:r>
      <w:bookmarkEnd w:id="76"/>
    </w:p>
    <w:p w14:paraId="48ABE1FC" w14:textId="77777777" w:rsidR="008B67F3" w:rsidRPr="00C917E2" w:rsidRDefault="008B67F3" w:rsidP="00D37198">
      <w:pPr>
        <w:keepNext/>
      </w:pPr>
      <w:r w:rsidRPr="00C917E2">
        <w:rPr>
          <w:noProof/>
        </w:rPr>
        <w:drawing>
          <wp:inline distT="0" distB="0" distL="0" distR="0" wp14:anchorId="2AFAD7F8" wp14:editId="743C04C8">
            <wp:extent cx="3398292" cy="2571330"/>
            <wp:effectExtent l="19050" t="19050" r="12065" b="1968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98144" cy="2571218"/>
                    </a:xfrm>
                    <a:prstGeom prst="rect">
                      <a:avLst/>
                    </a:prstGeom>
                    <a:noFill/>
                    <a:ln>
                      <a:solidFill>
                        <a:srgbClr val="4F81BD"/>
                      </a:solidFill>
                    </a:ln>
                  </pic:spPr>
                </pic:pic>
              </a:graphicData>
            </a:graphic>
          </wp:inline>
        </w:drawing>
      </w:r>
    </w:p>
    <w:p w14:paraId="05096554" w14:textId="77777777" w:rsidR="008B67F3" w:rsidRPr="00C917E2" w:rsidRDefault="008B67F3" w:rsidP="0062374B">
      <w:pPr>
        <w:pStyle w:val="Source"/>
      </w:pPr>
      <w:r w:rsidRPr="00E94700">
        <w:rPr>
          <w:i/>
        </w:rPr>
        <w:t>Source:</w:t>
      </w:r>
      <w:r w:rsidRPr="00C917E2">
        <w:t xml:space="preserve"> Authors </w:t>
      </w:r>
      <w:r w:rsidR="00E34BEA" w:rsidRPr="00C917E2">
        <w:t xml:space="preserve">using facility </w:t>
      </w:r>
      <w:r w:rsidRPr="00C917E2">
        <w:t xml:space="preserve">GIS </w:t>
      </w:r>
      <w:r w:rsidR="00E34BEA" w:rsidRPr="00C917E2">
        <w:t xml:space="preserve">data </w:t>
      </w:r>
      <w:r w:rsidRPr="00C917E2">
        <w:t>(MOHCC) and National Health Profile data</w:t>
      </w:r>
      <w:r w:rsidR="006B2D5F">
        <w:t>.</w:t>
      </w:r>
    </w:p>
    <w:p w14:paraId="548106C1" w14:textId="77777777" w:rsidR="008B67F3" w:rsidRPr="00C917E2" w:rsidRDefault="008B67F3" w:rsidP="00D37198">
      <w:pPr>
        <w:pStyle w:val="Numberpara"/>
      </w:pPr>
      <w:bookmarkStart w:id="77" w:name="_Ref411936229"/>
      <w:r w:rsidRPr="00C917E2">
        <w:lastRenderedPageBreak/>
        <w:t>Although distance still presents a barrier to access</w:t>
      </w:r>
      <w:r w:rsidR="00E34BEA">
        <w:t>—</w:t>
      </w:r>
      <w:r w:rsidRPr="00C917E2">
        <w:t>nearly one-fifth of the population lives more than 10 kilometers from the nearest facility</w:t>
      </w:r>
      <w:r w:rsidR="00E34BEA">
        <w:t>—</w:t>
      </w:r>
      <w:r w:rsidRPr="00C917E2">
        <w:t>such inequities are not associated with poverty prevalence. Matabeleland North for example, with the highest poverty prevalence of 82 percent, also has the highest number of primary health care facilities per 100,000 population.</w:t>
      </w:r>
      <w:r w:rsidRPr="00C917E2">
        <w:rPr>
          <w:rStyle w:val="EndnoteReference"/>
        </w:rPr>
        <w:endnoteReference w:id="29"/>
      </w:r>
      <w:r w:rsidRPr="00C917E2">
        <w:t xml:space="preserve"> The sparse population in this province also implies that the facilities generally serve a smaller population, though the picture is somewhat different for nurses and midwives as their per capita coverage is notably high relative to the poverty status of the province. Also notable is Matabeleland South, which shows a high poverty status </w:t>
      </w:r>
      <w:r w:rsidR="00E34BEA">
        <w:t xml:space="preserve">but </w:t>
      </w:r>
      <w:r w:rsidRPr="00C917E2">
        <w:t>very low coverage of facilities and health workers (</w:t>
      </w:r>
      <w:r w:rsidR="00C713A9" w:rsidRPr="00C917E2">
        <w:fldChar w:fldCharType="begin"/>
      </w:r>
      <w:r w:rsidR="00B27F5C" w:rsidRPr="00C917E2">
        <w:instrText xml:space="preserve"> REF _Ref413730232 \h </w:instrText>
      </w:r>
      <w:r w:rsidR="00C713A9" w:rsidRPr="00C917E2">
        <w:fldChar w:fldCharType="separate"/>
      </w:r>
      <w:r w:rsidR="003732A2" w:rsidRPr="00C917E2">
        <w:t xml:space="preserve">Figure </w:t>
      </w:r>
      <w:r w:rsidR="003732A2">
        <w:rPr>
          <w:noProof/>
        </w:rPr>
        <w:t>15</w:t>
      </w:r>
      <w:r w:rsidR="00C713A9" w:rsidRPr="00C917E2">
        <w:fldChar w:fldCharType="end"/>
      </w:r>
      <w:r w:rsidRPr="00C917E2">
        <w:t>).</w:t>
      </w:r>
    </w:p>
    <w:p w14:paraId="74ECFFA3" w14:textId="77777777" w:rsidR="008B67F3" w:rsidRPr="00C917E2" w:rsidRDefault="008B67F3" w:rsidP="00C53C89">
      <w:pPr>
        <w:pStyle w:val="Figure"/>
      </w:pPr>
      <w:bookmarkStart w:id="78" w:name="_Ref413730232"/>
      <w:bookmarkStart w:id="79" w:name="_Toc419004096"/>
      <w:r w:rsidRPr="00C917E2">
        <w:t xml:space="preserve">Figure </w:t>
      </w:r>
      <w:r w:rsidR="00113462">
        <w:fldChar w:fldCharType="begin"/>
      </w:r>
      <w:r w:rsidR="00113462">
        <w:instrText xml:space="preserve"> SEQ Figure \* ARABIC </w:instrText>
      </w:r>
      <w:r w:rsidR="00113462">
        <w:fldChar w:fldCharType="separate"/>
      </w:r>
      <w:r w:rsidR="003732A2">
        <w:rPr>
          <w:noProof/>
        </w:rPr>
        <w:t>15</w:t>
      </w:r>
      <w:r w:rsidR="00113462">
        <w:rPr>
          <w:noProof/>
        </w:rPr>
        <w:fldChar w:fldCharType="end"/>
      </w:r>
      <w:bookmarkEnd w:id="77"/>
      <w:bookmarkEnd w:id="78"/>
      <w:r w:rsidRPr="00C917E2">
        <w:t xml:space="preserve"> Provincial Distribution of Facilities, Nurses and Midwives, 2012</w:t>
      </w:r>
      <w:bookmarkEnd w:id="79"/>
    </w:p>
    <w:p w14:paraId="43181523" w14:textId="77777777" w:rsidR="008B67F3" w:rsidRPr="00C917E2" w:rsidRDefault="008B67F3" w:rsidP="00B624DD">
      <w:pPr>
        <w:keepNext/>
      </w:pPr>
      <w:r w:rsidRPr="00C917E2">
        <w:t xml:space="preserve"> </w:t>
      </w:r>
      <w:r w:rsidRPr="00C917E2">
        <w:rPr>
          <w:noProof/>
        </w:rPr>
        <w:drawing>
          <wp:inline distT="0" distB="0" distL="0" distR="0" wp14:anchorId="3D9055A2" wp14:editId="6531EDC2">
            <wp:extent cx="5372100" cy="3073400"/>
            <wp:effectExtent l="0" t="0" r="19050" b="1270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DEFC28C" w14:textId="77777777" w:rsidR="008B67F3" w:rsidRPr="00C917E2" w:rsidRDefault="008B67F3" w:rsidP="00B624DD">
      <w:pPr>
        <w:pStyle w:val="Source"/>
      </w:pPr>
      <w:r w:rsidRPr="00E94700">
        <w:rPr>
          <w:i/>
        </w:rPr>
        <w:t>Source:</w:t>
      </w:r>
      <w:r w:rsidRPr="00C917E2">
        <w:t xml:space="preserve"> MOHCC, National Health Profile 2012</w:t>
      </w:r>
      <w:r w:rsidR="006B2D5F">
        <w:t>.</w:t>
      </w:r>
    </w:p>
    <w:p w14:paraId="42073EBD" w14:textId="77777777" w:rsidR="008B67F3" w:rsidRPr="00C917E2" w:rsidRDefault="008B67F3" w:rsidP="00D37198">
      <w:pPr>
        <w:pStyle w:val="Numberpara"/>
      </w:pPr>
      <w:r w:rsidRPr="00C917E2">
        <w:t xml:space="preserve">The population-to-bed ratio is an important public health measure used to reflect the availability of hospital services in a location. Provinces show wide differences </w:t>
      </w:r>
      <w:r w:rsidR="00787F74">
        <w:t>o</w:t>
      </w:r>
      <w:r w:rsidRPr="00C917E2">
        <w:t>n this ratio, from 9.4 to 54.2 per 10,000 population, but with eight of the 10 provinces falling below the WHO-recommended 30 beds (</w:t>
      </w:r>
      <w:r w:rsidR="00C713A9" w:rsidRPr="00C917E2">
        <w:fldChar w:fldCharType="begin"/>
      </w:r>
      <w:r w:rsidRPr="00C917E2">
        <w:instrText xml:space="preserve"> REF _Ref411936733 \h </w:instrText>
      </w:r>
      <w:r w:rsidR="00C713A9" w:rsidRPr="00C917E2">
        <w:fldChar w:fldCharType="separate"/>
      </w:r>
      <w:r w:rsidR="003732A2" w:rsidRPr="00C917E2">
        <w:t xml:space="preserve">Figure </w:t>
      </w:r>
      <w:r w:rsidR="003732A2">
        <w:rPr>
          <w:noProof/>
        </w:rPr>
        <w:t>16</w:t>
      </w:r>
      <w:r w:rsidR="00C713A9" w:rsidRPr="00C917E2">
        <w:fldChar w:fldCharType="end"/>
      </w:r>
      <w:r w:rsidRPr="00C917E2">
        <w:t xml:space="preserve">). The bed occupancy rates of the hospitals within the </w:t>
      </w:r>
      <w:r w:rsidR="00787F74" w:rsidRPr="00C917E2">
        <w:t xml:space="preserve">provinces </w:t>
      </w:r>
      <w:r w:rsidRPr="00C917E2">
        <w:t xml:space="preserve">(excluding </w:t>
      </w:r>
      <w:r w:rsidR="00787F74" w:rsidRPr="00C917E2">
        <w:t>central hospitals</w:t>
      </w:r>
      <w:r w:rsidRPr="00C917E2">
        <w:t>) are also very low, with a national estimate of 6 percent.</w:t>
      </w:r>
      <w:r w:rsidRPr="00C917E2">
        <w:rPr>
          <w:rStyle w:val="EndnoteReference"/>
        </w:rPr>
        <w:endnoteReference w:id="30"/>
      </w:r>
    </w:p>
    <w:p w14:paraId="2AFEB63F" w14:textId="77777777" w:rsidR="008B67F3" w:rsidRPr="00C917E2" w:rsidRDefault="008B67F3" w:rsidP="00376420">
      <w:pPr>
        <w:pStyle w:val="Figure"/>
      </w:pPr>
      <w:bookmarkStart w:id="80" w:name="_Ref411936733"/>
      <w:bookmarkStart w:id="81" w:name="_Toc419004097"/>
      <w:r w:rsidRPr="00C917E2">
        <w:lastRenderedPageBreak/>
        <w:t xml:space="preserve">Figure </w:t>
      </w:r>
      <w:r w:rsidR="00113462">
        <w:fldChar w:fldCharType="begin"/>
      </w:r>
      <w:r w:rsidR="00113462">
        <w:instrText xml:space="preserve"> SEQ Figure \* ARABIC </w:instrText>
      </w:r>
      <w:r w:rsidR="00113462">
        <w:fldChar w:fldCharType="separate"/>
      </w:r>
      <w:r w:rsidR="003732A2">
        <w:rPr>
          <w:noProof/>
        </w:rPr>
        <w:t>16</w:t>
      </w:r>
      <w:r w:rsidR="00113462">
        <w:rPr>
          <w:noProof/>
        </w:rPr>
        <w:fldChar w:fldCharType="end"/>
      </w:r>
      <w:bookmarkEnd w:id="80"/>
      <w:r w:rsidRPr="00C917E2">
        <w:t xml:space="preserve"> Distribution of Hospital Beds by Province, 2012</w:t>
      </w:r>
      <w:bookmarkEnd w:id="81"/>
    </w:p>
    <w:p w14:paraId="08A263B6" w14:textId="77777777" w:rsidR="008B67F3" w:rsidRPr="00C917E2" w:rsidRDefault="008B67F3" w:rsidP="00B747C8">
      <w:pPr>
        <w:keepNext/>
      </w:pPr>
      <w:r w:rsidRPr="00C917E2">
        <w:rPr>
          <w:noProof/>
        </w:rPr>
        <w:drawing>
          <wp:inline distT="0" distB="0" distL="0" distR="0" wp14:anchorId="477B1760" wp14:editId="583C86EE">
            <wp:extent cx="5270500" cy="2632075"/>
            <wp:effectExtent l="0" t="0" r="2540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8D7E1E8" w14:textId="77777777" w:rsidR="008B67F3" w:rsidRPr="00C917E2" w:rsidRDefault="008B67F3" w:rsidP="00376420">
      <w:pPr>
        <w:pStyle w:val="Source"/>
      </w:pPr>
      <w:r w:rsidRPr="00E94700">
        <w:rPr>
          <w:i/>
        </w:rPr>
        <w:t>Source:</w:t>
      </w:r>
      <w:r w:rsidRPr="00C917E2">
        <w:t xml:space="preserve"> MOHCC, National Health Profile 2012</w:t>
      </w:r>
      <w:r w:rsidR="006B2D5F">
        <w:t>.</w:t>
      </w:r>
    </w:p>
    <w:p w14:paraId="6D02623C" w14:textId="77777777" w:rsidR="008B67F3" w:rsidRPr="00C917E2" w:rsidRDefault="008B67F3" w:rsidP="00320F82">
      <w:pPr>
        <w:pStyle w:val="Heading3"/>
      </w:pPr>
      <w:bookmarkStart w:id="82" w:name="_Toc401030250"/>
      <w:bookmarkStart w:id="83" w:name="_Toc401030904"/>
      <w:bookmarkStart w:id="84" w:name="_Toc419004002"/>
      <w:r w:rsidRPr="00C917E2">
        <w:t>Staffing</w:t>
      </w:r>
      <w:bookmarkEnd w:id="82"/>
      <w:bookmarkEnd w:id="83"/>
      <w:bookmarkEnd w:id="84"/>
    </w:p>
    <w:p w14:paraId="0F7F99A7" w14:textId="77777777" w:rsidR="008B67F3" w:rsidRPr="00C917E2" w:rsidRDefault="008B67F3" w:rsidP="00D37198">
      <w:pPr>
        <w:pStyle w:val="Numberpara"/>
      </w:pPr>
      <w:r w:rsidRPr="00C917E2">
        <w:t xml:space="preserve">Vacancy rates for critical health workers including doctors, nurses and midwives, but not pharmacists, generally fell during 2008–14. In 2012 the nurse: population ratio was 1 per 1,136 people (with a far lower vacancy rate than in 2008). Similarly the midwife: population ratio was 1 per 988 women of reproductive age, and the doctor: population ratio was 1 per 15,473 people (their vacancy rates declining after 2008). Vacancy rates in 2014 are in </w:t>
      </w:r>
      <w:r w:rsidR="00C713A9" w:rsidRPr="00C917E2">
        <w:fldChar w:fldCharType="begin"/>
      </w:r>
      <w:r w:rsidRPr="00C917E2">
        <w:instrText xml:space="preserve"> REF _Ref413723481 \h </w:instrText>
      </w:r>
      <w:r w:rsidR="00C713A9" w:rsidRPr="00C917E2">
        <w:fldChar w:fldCharType="separate"/>
      </w:r>
      <w:r w:rsidR="003732A2" w:rsidRPr="00C917E2">
        <w:t xml:space="preserve">Table </w:t>
      </w:r>
      <w:r w:rsidR="003732A2">
        <w:rPr>
          <w:noProof/>
        </w:rPr>
        <w:t>2</w:t>
      </w:r>
      <w:r w:rsidR="00C713A9" w:rsidRPr="00C917E2">
        <w:fldChar w:fldCharType="end"/>
      </w:r>
      <w:r w:rsidRPr="00C917E2">
        <w:t>.</w:t>
      </w:r>
    </w:p>
    <w:p w14:paraId="2D3646E7" w14:textId="77777777" w:rsidR="008B67F3" w:rsidRPr="00C917E2" w:rsidRDefault="008B67F3" w:rsidP="007B2BFB">
      <w:pPr>
        <w:pStyle w:val="Table"/>
      </w:pPr>
      <w:bookmarkStart w:id="85" w:name="_Ref413723481"/>
      <w:bookmarkStart w:id="86" w:name="_Toc419004070"/>
      <w:r w:rsidRPr="00C917E2">
        <w:t xml:space="preserve">Table </w:t>
      </w:r>
      <w:r w:rsidR="00113462">
        <w:fldChar w:fldCharType="begin"/>
      </w:r>
      <w:r w:rsidR="00113462">
        <w:instrText xml:space="preserve"> SEQ Table \* ARABIC </w:instrText>
      </w:r>
      <w:r w:rsidR="00113462">
        <w:fldChar w:fldCharType="separate"/>
      </w:r>
      <w:r w:rsidR="003732A2">
        <w:rPr>
          <w:noProof/>
        </w:rPr>
        <w:t>2</w:t>
      </w:r>
      <w:r w:rsidR="00113462">
        <w:rPr>
          <w:noProof/>
        </w:rPr>
        <w:fldChar w:fldCharType="end"/>
      </w:r>
      <w:bookmarkEnd w:id="85"/>
      <w:r w:rsidRPr="00C917E2">
        <w:t xml:space="preserve"> Staffing Levels for Select Critical Cadres</w:t>
      </w:r>
      <w:r w:rsidR="00787F74">
        <w:t>,</w:t>
      </w:r>
      <w:r w:rsidRPr="00C917E2">
        <w:t xml:space="preserve"> December 2014</w:t>
      </w:r>
      <w:bookmarkEnd w:id="86"/>
    </w:p>
    <w:tbl>
      <w:tblPr>
        <w:tblW w:w="9270" w:type="dxa"/>
        <w:tblInd w:w="25" w:type="dxa"/>
        <w:tblLayout w:type="fixed"/>
        <w:tblCellMar>
          <w:left w:w="115" w:type="dxa"/>
          <w:right w:w="115" w:type="dxa"/>
        </w:tblCellMar>
        <w:tblLook w:val="04A0" w:firstRow="1" w:lastRow="0" w:firstColumn="1" w:lastColumn="0" w:noHBand="0" w:noVBand="1"/>
      </w:tblPr>
      <w:tblGrid>
        <w:gridCol w:w="2790"/>
        <w:gridCol w:w="1710"/>
        <w:gridCol w:w="1192"/>
        <w:gridCol w:w="1193"/>
        <w:gridCol w:w="1192"/>
        <w:gridCol w:w="1193"/>
      </w:tblGrid>
      <w:tr w:rsidR="008B67F3" w:rsidRPr="00C917E2" w14:paraId="1094C8E7" w14:textId="77777777" w:rsidTr="00DB68B7">
        <w:trPr>
          <w:cantSplit/>
        </w:trPr>
        <w:tc>
          <w:tcPr>
            <w:tcW w:w="2790" w:type="dxa"/>
            <w:tcBorders>
              <w:top w:val="single" w:sz="4" w:space="0" w:color="auto"/>
              <w:bottom w:val="single" w:sz="4" w:space="0" w:color="auto"/>
            </w:tcBorders>
            <w:shd w:val="clear" w:color="auto" w:fill="auto"/>
            <w:noWrap/>
            <w:hideMark/>
          </w:tcPr>
          <w:p w14:paraId="164ADE58" w14:textId="77777777" w:rsidR="008B67F3" w:rsidRPr="00C917E2" w:rsidRDefault="008B67F3" w:rsidP="00113BB7">
            <w:pPr>
              <w:spacing w:after="0"/>
              <w:rPr>
                <w:rFonts w:asciiTheme="minorHAnsi" w:eastAsia="Times New Roman" w:hAnsiTheme="minorHAnsi"/>
                <w:b/>
                <w:bCs/>
                <w:sz w:val="20"/>
                <w:szCs w:val="20"/>
              </w:rPr>
            </w:pPr>
            <w:r w:rsidRPr="00C917E2">
              <w:rPr>
                <w:rFonts w:asciiTheme="minorHAnsi" w:eastAsia="Times New Roman" w:hAnsiTheme="minorHAnsi"/>
                <w:b/>
                <w:bCs/>
                <w:sz w:val="20"/>
                <w:szCs w:val="20"/>
              </w:rPr>
              <w:t>Cadre</w:t>
            </w:r>
          </w:p>
        </w:tc>
        <w:tc>
          <w:tcPr>
            <w:tcW w:w="1710" w:type="dxa"/>
            <w:tcBorders>
              <w:top w:val="single" w:sz="4" w:space="0" w:color="auto"/>
              <w:bottom w:val="single" w:sz="4" w:space="0" w:color="auto"/>
            </w:tcBorders>
            <w:shd w:val="clear" w:color="auto" w:fill="auto"/>
            <w:hideMark/>
          </w:tcPr>
          <w:p w14:paraId="514081F3" w14:textId="77777777" w:rsidR="008B67F3" w:rsidRPr="00C917E2" w:rsidRDefault="006509AE" w:rsidP="00113BB7">
            <w:pPr>
              <w:spacing w:after="0"/>
              <w:jc w:val="center"/>
              <w:rPr>
                <w:rFonts w:asciiTheme="minorHAnsi" w:eastAsia="Times New Roman" w:hAnsiTheme="minorHAnsi"/>
                <w:b/>
                <w:bCs/>
                <w:sz w:val="20"/>
                <w:szCs w:val="20"/>
              </w:rPr>
            </w:pPr>
            <w:r>
              <w:rPr>
                <w:rFonts w:asciiTheme="minorHAnsi" w:eastAsia="Times New Roman" w:hAnsiTheme="minorHAnsi"/>
                <w:b/>
                <w:bCs/>
                <w:sz w:val="20"/>
                <w:szCs w:val="20"/>
              </w:rPr>
              <w:t>Authoriz</w:t>
            </w:r>
            <w:r w:rsidR="008B67F3" w:rsidRPr="00C917E2">
              <w:rPr>
                <w:rFonts w:asciiTheme="minorHAnsi" w:eastAsia="Times New Roman" w:hAnsiTheme="minorHAnsi"/>
                <w:b/>
                <w:bCs/>
                <w:sz w:val="20"/>
                <w:szCs w:val="20"/>
              </w:rPr>
              <w:t>ed establishment</w:t>
            </w:r>
          </w:p>
        </w:tc>
        <w:tc>
          <w:tcPr>
            <w:tcW w:w="1192" w:type="dxa"/>
            <w:tcBorders>
              <w:top w:val="single" w:sz="4" w:space="0" w:color="auto"/>
              <w:bottom w:val="single" w:sz="4" w:space="0" w:color="auto"/>
            </w:tcBorders>
            <w:shd w:val="clear" w:color="auto" w:fill="auto"/>
            <w:noWrap/>
            <w:hideMark/>
          </w:tcPr>
          <w:p w14:paraId="32C63905" w14:textId="77777777" w:rsidR="008B67F3" w:rsidRPr="00C917E2" w:rsidRDefault="008B67F3" w:rsidP="00330FAD">
            <w:pPr>
              <w:spacing w:after="0"/>
              <w:jc w:val="center"/>
              <w:rPr>
                <w:rFonts w:asciiTheme="minorHAnsi" w:eastAsia="Times New Roman" w:hAnsiTheme="minorHAnsi"/>
                <w:b/>
                <w:bCs/>
                <w:color w:val="000000"/>
                <w:sz w:val="20"/>
                <w:szCs w:val="20"/>
              </w:rPr>
            </w:pPr>
            <w:r w:rsidRPr="00C917E2">
              <w:rPr>
                <w:rFonts w:asciiTheme="minorHAnsi" w:eastAsia="Times New Roman" w:hAnsiTheme="minorHAnsi"/>
                <w:b/>
                <w:bCs/>
                <w:color w:val="000000"/>
                <w:sz w:val="20"/>
                <w:szCs w:val="20"/>
              </w:rPr>
              <w:t>In-post</w:t>
            </w:r>
          </w:p>
        </w:tc>
        <w:tc>
          <w:tcPr>
            <w:tcW w:w="1193" w:type="dxa"/>
            <w:tcBorders>
              <w:top w:val="single" w:sz="4" w:space="0" w:color="auto"/>
              <w:bottom w:val="single" w:sz="4" w:space="0" w:color="auto"/>
            </w:tcBorders>
            <w:shd w:val="clear" w:color="auto" w:fill="auto"/>
            <w:noWrap/>
            <w:hideMark/>
          </w:tcPr>
          <w:p w14:paraId="79864450" w14:textId="77777777" w:rsidR="008B67F3" w:rsidRPr="00C917E2" w:rsidRDefault="008B67F3" w:rsidP="00330FAD">
            <w:pPr>
              <w:spacing w:after="0"/>
              <w:jc w:val="center"/>
              <w:rPr>
                <w:rFonts w:asciiTheme="minorHAnsi" w:eastAsia="Times New Roman" w:hAnsiTheme="minorHAnsi"/>
                <w:b/>
                <w:bCs/>
                <w:color w:val="000000"/>
                <w:sz w:val="20"/>
                <w:szCs w:val="20"/>
              </w:rPr>
            </w:pPr>
            <w:r w:rsidRPr="00C917E2">
              <w:rPr>
                <w:rFonts w:asciiTheme="minorHAnsi" w:eastAsia="Times New Roman" w:hAnsiTheme="minorHAnsi"/>
                <w:b/>
                <w:bCs/>
                <w:color w:val="000000"/>
                <w:sz w:val="20"/>
                <w:szCs w:val="20"/>
              </w:rPr>
              <w:t>Vacant</w:t>
            </w:r>
          </w:p>
        </w:tc>
        <w:tc>
          <w:tcPr>
            <w:tcW w:w="1192" w:type="dxa"/>
            <w:tcBorders>
              <w:top w:val="single" w:sz="4" w:space="0" w:color="auto"/>
              <w:bottom w:val="single" w:sz="4" w:space="0" w:color="auto"/>
            </w:tcBorders>
            <w:shd w:val="clear" w:color="auto" w:fill="auto"/>
            <w:noWrap/>
            <w:hideMark/>
          </w:tcPr>
          <w:p w14:paraId="2EF7A68D" w14:textId="77777777" w:rsidR="008B67F3" w:rsidRPr="00C917E2" w:rsidRDefault="008B67F3" w:rsidP="00330FAD">
            <w:pPr>
              <w:spacing w:after="0"/>
              <w:jc w:val="center"/>
              <w:rPr>
                <w:rFonts w:asciiTheme="minorHAnsi" w:eastAsia="Times New Roman" w:hAnsiTheme="minorHAnsi"/>
                <w:b/>
                <w:bCs/>
                <w:color w:val="000000"/>
                <w:sz w:val="20"/>
                <w:szCs w:val="20"/>
              </w:rPr>
            </w:pPr>
            <w:r w:rsidRPr="00C917E2">
              <w:rPr>
                <w:rFonts w:asciiTheme="minorHAnsi" w:eastAsia="Times New Roman" w:hAnsiTheme="minorHAnsi"/>
                <w:b/>
                <w:bCs/>
                <w:color w:val="000000"/>
                <w:sz w:val="20"/>
                <w:szCs w:val="20"/>
              </w:rPr>
              <w:t>In-</w:t>
            </w:r>
            <w:r w:rsidR="00787F74" w:rsidRPr="00C917E2">
              <w:rPr>
                <w:rFonts w:asciiTheme="minorHAnsi" w:eastAsia="Times New Roman" w:hAnsiTheme="minorHAnsi"/>
                <w:b/>
                <w:bCs/>
                <w:color w:val="000000"/>
                <w:sz w:val="20"/>
                <w:szCs w:val="20"/>
              </w:rPr>
              <w:t xml:space="preserve">post </w:t>
            </w:r>
            <w:r w:rsidRPr="00C917E2">
              <w:rPr>
                <w:rFonts w:asciiTheme="minorHAnsi" w:eastAsia="Times New Roman" w:hAnsiTheme="minorHAnsi"/>
                <w:b/>
                <w:bCs/>
                <w:color w:val="000000"/>
                <w:sz w:val="20"/>
                <w:szCs w:val="20"/>
              </w:rPr>
              <w:t>(%)</w:t>
            </w:r>
          </w:p>
        </w:tc>
        <w:tc>
          <w:tcPr>
            <w:tcW w:w="1193" w:type="dxa"/>
            <w:tcBorders>
              <w:top w:val="single" w:sz="4" w:space="0" w:color="auto"/>
              <w:bottom w:val="single" w:sz="4" w:space="0" w:color="auto"/>
            </w:tcBorders>
            <w:shd w:val="clear" w:color="auto" w:fill="auto"/>
            <w:noWrap/>
            <w:hideMark/>
          </w:tcPr>
          <w:p w14:paraId="6DBD41DE" w14:textId="77777777" w:rsidR="008B67F3" w:rsidRPr="00C917E2" w:rsidRDefault="008B67F3" w:rsidP="00330FAD">
            <w:pPr>
              <w:spacing w:after="0"/>
              <w:jc w:val="center"/>
              <w:rPr>
                <w:rFonts w:asciiTheme="minorHAnsi" w:eastAsia="Times New Roman" w:hAnsiTheme="minorHAnsi"/>
                <w:b/>
                <w:bCs/>
                <w:color w:val="000000"/>
                <w:sz w:val="20"/>
                <w:szCs w:val="20"/>
              </w:rPr>
            </w:pPr>
            <w:r w:rsidRPr="00C917E2">
              <w:rPr>
                <w:rFonts w:asciiTheme="minorHAnsi" w:eastAsia="Times New Roman" w:hAnsiTheme="minorHAnsi"/>
                <w:b/>
                <w:bCs/>
                <w:color w:val="000000"/>
                <w:sz w:val="20"/>
                <w:szCs w:val="20"/>
              </w:rPr>
              <w:t>Vacant (%)</w:t>
            </w:r>
          </w:p>
        </w:tc>
      </w:tr>
      <w:tr w:rsidR="008B67F3" w:rsidRPr="00C917E2" w14:paraId="519E8B34" w14:textId="77777777" w:rsidTr="00DB68B7">
        <w:trPr>
          <w:cantSplit/>
        </w:trPr>
        <w:tc>
          <w:tcPr>
            <w:tcW w:w="2790" w:type="dxa"/>
            <w:tcBorders>
              <w:top w:val="single" w:sz="4" w:space="0" w:color="auto"/>
            </w:tcBorders>
            <w:shd w:val="clear" w:color="auto" w:fill="auto"/>
            <w:noWrap/>
            <w:hideMark/>
          </w:tcPr>
          <w:p w14:paraId="36EC0515" w14:textId="77777777" w:rsidR="008B67F3" w:rsidRPr="00C917E2" w:rsidRDefault="008B67F3" w:rsidP="00113BB7">
            <w:pPr>
              <w:spacing w:after="0"/>
              <w:rPr>
                <w:rFonts w:asciiTheme="minorHAnsi" w:eastAsia="Times New Roman" w:hAnsiTheme="minorHAnsi"/>
                <w:sz w:val="20"/>
                <w:szCs w:val="20"/>
              </w:rPr>
            </w:pPr>
            <w:r w:rsidRPr="00C917E2">
              <w:rPr>
                <w:rFonts w:asciiTheme="minorHAnsi" w:eastAsia="Times New Roman" w:hAnsiTheme="minorHAnsi"/>
                <w:sz w:val="20"/>
                <w:szCs w:val="20"/>
              </w:rPr>
              <w:t xml:space="preserve">Junior </w:t>
            </w:r>
            <w:r w:rsidR="00787F74" w:rsidRPr="00C917E2">
              <w:rPr>
                <w:rFonts w:asciiTheme="minorHAnsi" w:eastAsia="Times New Roman" w:hAnsiTheme="minorHAnsi"/>
                <w:sz w:val="20"/>
                <w:szCs w:val="20"/>
              </w:rPr>
              <w:t>resident medical officer</w:t>
            </w:r>
          </w:p>
        </w:tc>
        <w:tc>
          <w:tcPr>
            <w:tcW w:w="1710" w:type="dxa"/>
            <w:tcBorders>
              <w:top w:val="single" w:sz="4" w:space="0" w:color="auto"/>
            </w:tcBorders>
            <w:shd w:val="clear" w:color="auto" w:fill="auto"/>
            <w:noWrap/>
            <w:hideMark/>
          </w:tcPr>
          <w:p w14:paraId="178BD531" w14:textId="77777777" w:rsidR="008B67F3" w:rsidRPr="00C917E2" w:rsidRDefault="008B67F3" w:rsidP="00B27F5C">
            <w:pPr>
              <w:spacing w:after="0"/>
              <w:jc w:val="center"/>
              <w:rPr>
                <w:rFonts w:asciiTheme="minorHAnsi" w:eastAsia="Times New Roman" w:hAnsiTheme="minorHAnsi"/>
                <w:bCs/>
                <w:sz w:val="20"/>
                <w:szCs w:val="20"/>
              </w:rPr>
            </w:pPr>
            <w:r w:rsidRPr="00C917E2">
              <w:rPr>
                <w:rFonts w:asciiTheme="minorHAnsi" w:eastAsia="Times New Roman" w:hAnsiTheme="minorHAnsi"/>
                <w:bCs/>
                <w:sz w:val="20"/>
                <w:szCs w:val="20"/>
              </w:rPr>
              <w:t>250</w:t>
            </w:r>
          </w:p>
        </w:tc>
        <w:tc>
          <w:tcPr>
            <w:tcW w:w="1192" w:type="dxa"/>
            <w:tcBorders>
              <w:top w:val="single" w:sz="4" w:space="0" w:color="auto"/>
            </w:tcBorders>
            <w:shd w:val="clear" w:color="auto" w:fill="auto"/>
            <w:noWrap/>
            <w:hideMark/>
          </w:tcPr>
          <w:p w14:paraId="6A7E751E"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219</w:t>
            </w:r>
          </w:p>
        </w:tc>
        <w:tc>
          <w:tcPr>
            <w:tcW w:w="1193" w:type="dxa"/>
            <w:tcBorders>
              <w:top w:val="single" w:sz="4" w:space="0" w:color="auto"/>
            </w:tcBorders>
            <w:shd w:val="clear" w:color="auto" w:fill="auto"/>
            <w:noWrap/>
            <w:hideMark/>
          </w:tcPr>
          <w:p w14:paraId="105FE235"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31</w:t>
            </w:r>
          </w:p>
        </w:tc>
        <w:tc>
          <w:tcPr>
            <w:tcW w:w="1192" w:type="dxa"/>
            <w:tcBorders>
              <w:top w:val="single" w:sz="4" w:space="0" w:color="auto"/>
            </w:tcBorders>
            <w:shd w:val="clear" w:color="auto" w:fill="auto"/>
            <w:noWrap/>
            <w:hideMark/>
          </w:tcPr>
          <w:p w14:paraId="4975CAB8"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88</w:t>
            </w:r>
          </w:p>
        </w:tc>
        <w:tc>
          <w:tcPr>
            <w:tcW w:w="1193" w:type="dxa"/>
            <w:tcBorders>
              <w:top w:val="single" w:sz="4" w:space="0" w:color="auto"/>
            </w:tcBorders>
            <w:shd w:val="clear" w:color="auto" w:fill="auto"/>
            <w:noWrap/>
            <w:hideMark/>
          </w:tcPr>
          <w:p w14:paraId="46EEC8EA"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12</w:t>
            </w:r>
          </w:p>
        </w:tc>
      </w:tr>
      <w:tr w:rsidR="008B67F3" w:rsidRPr="00C917E2" w14:paraId="40844A20" w14:textId="77777777" w:rsidTr="00DB68B7">
        <w:trPr>
          <w:cantSplit/>
        </w:trPr>
        <w:tc>
          <w:tcPr>
            <w:tcW w:w="2790" w:type="dxa"/>
            <w:shd w:val="clear" w:color="auto" w:fill="auto"/>
            <w:hideMark/>
          </w:tcPr>
          <w:p w14:paraId="4A4F2DB2" w14:textId="77777777" w:rsidR="008B67F3" w:rsidRPr="00C917E2" w:rsidRDefault="008B67F3" w:rsidP="00113BB7">
            <w:pPr>
              <w:spacing w:after="0"/>
              <w:rPr>
                <w:rFonts w:asciiTheme="minorHAnsi" w:eastAsia="Times New Roman" w:hAnsiTheme="minorHAnsi"/>
                <w:sz w:val="20"/>
                <w:szCs w:val="20"/>
              </w:rPr>
            </w:pPr>
            <w:r w:rsidRPr="00C917E2">
              <w:rPr>
                <w:rFonts w:asciiTheme="minorHAnsi" w:eastAsia="Times New Roman" w:hAnsiTheme="minorHAnsi"/>
                <w:sz w:val="20"/>
                <w:szCs w:val="20"/>
              </w:rPr>
              <w:t>RGN/SCN/Sr/</w:t>
            </w:r>
            <w:r w:rsidR="00787F74" w:rsidRPr="00C917E2">
              <w:rPr>
                <w:rFonts w:asciiTheme="minorHAnsi" w:eastAsia="Times New Roman" w:hAnsiTheme="minorHAnsi"/>
                <w:sz w:val="20"/>
                <w:szCs w:val="20"/>
              </w:rPr>
              <w:t>principal</w:t>
            </w:r>
          </w:p>
        </w:tc>
        <w:tc>
          <w:tcPr>
            <w:tcW w:w="1710" w:type="dxa"/>
            <w:shd w:val="clear" w:color="auto" w:fill="auto"/>
            <w:noWrap/>
            <w:hideMark/>
          </w:tcPr>
          <w:p w14:paraId="5A98DD67" w14:textId="77777777" w:rsidR="008B67F3" w:rsidRPr="00C917E2" w:rsidRDefault="008B67F3" w:rsidP="00B27F5C">
            <w:pPr>
              <w:spacing w:after="0"/>
              <w:jc w:val="center"/>
              <w:rPr>
                <w:rFonts w:asciiTheme="minorHAnsi" w:eastAsia="Times New Roman" w:hAnsiTheme="minorHAnsi"/>
                <w:bCs/>
                <w:sz w:val="20"/>
                <w:szCs w:val="20"/>
              </w:rPr>
            </w:pPr>
            <w:r w:rsidRPr="00C917E2">
              <w:rPr>
                <w:rFonts w:asciiTheme="minorHAnsi" w:eastAsia="Times New Roman" w:hAnsiTheme="minorHAnsi"/>
                <w:bCs/>
                <w:sz w:val="20"/>
                <w:szCs w:val="20"/>
              </w:rPr>
              <w:t>9,870</w:t>
            </w:r>
          </w:p>
        </w:tc>
        <w:tc>
          <w:tcPr>
            <w:tcW w:w="1192" w:type="dxa"/>
            <w:shd w:val="clear" w:color="auto" w:fill="auto"/>
            <w:noWrap/>
            <w:hideMark/>
          </w:tcPr>
          <w:p w14:paraId="3572AD28"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9,651</w:t>
            </w:r>
          </w:p>
        </w:tc>
        <w:tc>
          <w:tcPr>
            <w:tcW w:w="1193" w:type="dxa"/>
            <w:shd w:val="clear" w:color="auto" w:fill="auto"/>
            <w:noWrap/>
            <w:hideMark/>
          </w:tcPr>
          <w:p w14:paraId="0B69B139"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219</w:t>
            </w:r>
          </w:p>
        </w:tc>
        <w:tc>
          <w:tcPr>
            <w:tcW w:w="1192" w:type="dxa"/>
            <w:shd w:val="clear" w:color="auto" w:fill="auto"/>
            <w:noWrap/>
            <w:hideMark/>
          </w:tcPr>
          <w:p w14:paraId="70C09B71"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98</w:t>
            </w:r>
          </w:p>
        </w:tc>
        <w:tc>
          <w:tcPr>
            <w:tcW w:w="1193" w:type="dxa"/>
            <w:shd w:val="clear" w:color="auto" w:fill="auto"/>
            <w:noWrap/>
            <w:hideMark/>
          </w:tcPr>
          <w:p w14:paraId="28181FAF"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2</w:t>
            </w:r>
          </w:p>
        </w:tc>
      </w:tr>
      <w:tr w:rsidR="008B67F3" w:rsidRPr="00C917E2" w14:paraId="146B32B7" w14:textId="77777777" w:rsidTr="00DB68B7">
        <w:trPr>
          <w:cantSplit/>
        </w:trPr>
        <w:tc>
          <w:tcPr>
            <w:tcW w:w="2790" w:type="dxa"/>
            <w:shd w:val="clear" w:color="auto" w:fill="auto"/>
            <w:noWrap/>
            <w:hideMark/>
          </w:tcPr>
          <w:p w14:paraId="2E1C8764" w14:textId="77777777" w:rsidR="008B67F3" w:rsidRPr="00C917E2" w:rsidRDefault="008B67F3" w:rsidP="00113BB7">
            <w:pPr>
              <w:spacing w:after="0"/>
              <w:rPr>
                <w:rFonts w:asciiTheme="minorHAnsi" w:eastAsia="Times New Roman" w:hAnsiTheme="minorHAnsi"/>
                <w:sz w:val="20"/>
                <w:szCs w:val="20"/>
              </w:rPr>
            </w:pPr>
            <w:r w:rsidRPr="00C917E2">
              <w:rPr>
                <w:rFonts w:asciiTheme="minorHAnsi" w:eastAsia="Times New Roman" w:hAnsiTheme="minorHAnsi"/>
                <w:sz w:val="20"/>
                <w:szCs w:val="20"/>
              </w:rPr>
              <w:t xml:space="preserve">Primary </w:t>
            </w:r>
            <w:r w:rsidR="00787F74" w:rsidRPr="00C917E2">
              <w:rPr>
                <w:rFonts w:asciiTheme="minorHAnsi" w:eastAsia="Times New Roman" w:hAnsiTheme="minorHAnsi"/>
                <w:sz w:val="20"/>
                <w:szCs w:val="20"/>
              </w:rPr>
              <w:t>care nurse</w:t>
            </w:r>
          </w:p>
        </w:tc>
        <w:tc>
          <w:tcPr>
            <w:tcW w:w="1710" w:type="dxa"/>
            <w:shd w:val="clear" w:color="auto" w:fill="auto"/>
            <w:noWrap/>
            <w:hideMark/>
          </w:tcPr>
          <w:p w14:paraId="1782D209" w14:textId="77777777" w:rsidR="008B67F3" w:rsidRPr="00C917E2" w:rsidRDefault="008B67F3" w:rsidP="00B27F5C">
            <w:pPr>
              <w:spacing w:after="0"/>
              <w:jc w:val="center"/>
              <w:rPr>
                <w:rFonts w:asciiTheme="minorHAnsi" w:eastAsia="Times New Roman" w:hAnsiTheme="minorHAnsi"/>
                <w:bCs/>
                <w:sz w:val="20"/>
                <w:szCs w:val="20"/>
              </w:rPr>
            </w:pPr>
            <w:r w:rsidRPr="00C917E2">
              <w:rPr>
                <w:rFonts w:asciiTheme="minorHAnsi" w:eastAsia="Times New Roman" w:hAnsiTheme="minorHAnsi"/>
                <w:bCs/>
                <w:sz w:val="20"/>
                <w:szCs w:val="20"/>
              </w:rPr>
              <w:t>1,277</w:t>
            </w:r>
          </w:p>
        </w:tc>
        <w:tc>
          <w:tcPr>
            <w:tcW w:w="1192" w:type="dxa"/>
            <w:shd w:val="clear" w:color="auto" w:fill="auto"/>
            <w:noWrap/>
            <w:hideMark/>
          </w:tcPr>
          <w:p w14:paraId="10C05A6C"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1,231</w:t>
            </w:r>
          </w:p>
        </w:tc>
        <w:tc>
          <w:tcPr>
            <w:tcW w:w="1193" w:type="dxa"/>
            <w:shd w:val="clear" w:color="auto" w:fill="auto"/>
            <w:noWrap/>
            <w:hideMark/>
          </w:tcPr>
          <w:p w14:paraId="3E5988B9"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46</w:t>
            </w:r>
          </w:p>
        </w:tc>
        <w:tc>
          <w:tcPr>
            <w:tcW w:w="1192" w:type="dxa"/>
            <w:shd w:val="clear" w:color="auto" w:fill="auto"/>
            <w:noWrap/>
            <w:hideMark/>
          </w:tcPr>
          <w:p w14:paraId="0BDEF07C"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96</w:t>
            </w:r>
          </w:p>
        </w:tc>
        <w:tc>
          <w:tcPr>
            <w:tcW w:w="1193" w:type="dxa"/>
            <w:shd w:val="clear" w:color="auto" w:fill="auto"/>
            <w:noWrap/>
            <w:hideMark/>
          </w:tcPr>
          <w:p w14:paraId="02BC7F45"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4</w:t>
            </w:r>
          </w:p>
        </w:tc>
      </w:tr>
      <w:tr w:rsidR="008B67F3" w:rsidRPr="00C917E2" w14:paraId="36C85E05" w14:textId="77777777" w:rsidTr="00DB68B7">
        <w:trPr>
          <w:cantSplit/>
        </w:trPr>
        <w:tc>
          <w:tcPr>
            <w:tcW w:w="2790" w:type="dxa"/>
            <w:shd w:val="clear" w:color="auto" w:fill="auto"/>
            <w:hideMark/>
          </w:tcPr>
          <w:p w14:paraId="6F85563F" w14:textId="77777777" w:rsidR="008B67F3" w:rsidRPr="00C917E2" w:rsidRDefault="008B67F3" w:rsidP="00113BB7">
            <w:pPr>
              <w:spacing w:after="0"/>
              <w:rPr>
                <w:rFonts w:asciiTheme="minorHAnsi" w:eastAsia="Times New Roman" w:hAnsiTheme="minorHAnsi"/>
                <w:sz w:val="20"/>
                <w:szCs w:val="20"/>
              </w:rPr>
            </w:pPr>
            <w:r w:rsidRPr="00C917E2">
              <w:rPr>
                <w:rFonts w:asciiTheme="minorHAnsi" w:eastAsia="Times New Roman" w:hAnsiTheme="minorHAnsi"/>
                <w:sz w:val="20"/>
                <w:szCs w:val="20"/>
              </w:rPr>
              <w:t xml:space="preserve">Environmental </w:t>
            </w:r>
            <w:r w:rsidR="00787F74" w:rsidRPr="00C917E2">
              <w:rPr>
                <w:rFonts w:asciiTheme="minorHAnsi" w:eastAsia="Times New Roman" w:hAnsiTheme="minorHAnsi"/>
                <w:sz w:val="20"/>
                <w:szCs w:val="20"/>
              </w:rPr>
              <w:t>health technician senio</w:t>
            </w:r>
            <w:r w:rsidRPr="00C917E2">
              <w:rPr>
                <w:rFonts w:asciiTheme="minorHAnsi" w:eastAsia="Times New Roman" w:hAnsiTheme="minorHAnsi"/>
                <w:sz w:val="20"/>
                <w:szCs w:val="20"/>
              </w:rPr>
              <w:t>r/</w:t>
            </w:r>
            <w:r w:rsidR="00787F74" w:rsidRPr="00C917E2">
              <w:rPr>
                <w:rFonts w:asciiTheme="minorHAnsi" w:eastAsia="Times New Roman" w:hAnsiTheme="minorHAnsi"/>
                <w:sz w:val="20"/>
                <w:szCs w:val="20"/>
              </w:rPr>
              <w:t>principal</w:t>
            </w:r>
          </w:p>
        </w:tc>
        <w:tc>
          <w:tcPr>
            <w:tcW w:w="1710" w:type="dxa"/>
            <w:shd w:val="clear" w:color="auto" w:fill="auto"/>
            <w:noWrap/>
            <w:hideMark/>
          </w:tcPr>
          <w:p w14:paraId="694A8F78" w14:textId="77777777" w:rsidR="008B67F3" w:rsidRPr="00C917E2" w:rsidRDefault="008B67F3" w:rsidP="00B27F5C">
            <w:pPr>
              <w:spacing w:after="0"/>
              <w:jc w:val="center"/>
              <w:rPr>
                <w:rFonts w:asciiTheme="minorHAnsi" w:eastAsia="Times New Roman" w:hAnsiTheme="minorHAnsi"/>
                <w:bCs/>
                <w:sz w:val="20"/>
                <w:szCs w:val="20"/>
              </w:rPr>
            </w:pPr>
            <w:r w:rsidRPr="00C917E2">
              <w:rPr>
                <w:rFonts w:asciiTheme="minorHAnsi" w:eastAsia="Times New Roman" w:hAnsiTheme="minorHAnsi"/>
                <w:bCs/>
                <w:sz w:val="20"/>
                <w:szCs w:val="20"/>
              </w:rPr>
              <w:t>1,483</w:t>
            </w:r>
          </w:p>
        </w:tc>
        <w:tc>
          <w:tcPr>
            <w:tcW w:w="1192" w:type="dxa"/>
            <w:shd w:val="clear" w:color="auto" w:fill="auto"/>
            <w:noWrap/>
            <w:hideMark/>
          </w:tcPr>
          <w:p w14:paraId="6C6ECDAD"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986</w:t>
            </w:r>
          </w:p>
        </w:tc>
        <w:tc>
          <w:tcPr>
            <w:tcW w:w="1193" w:type="dxa"/>
            <w:shd w:val="clear" w:color="auto" w:fill="auto"/>
            <w:noWrap/>
            <w:hideMark/>
          </w:tcPr>
          <w:p w14:paraId="71D552F1"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497</w:t>
            </w:r>
          </w:p>
        </w:tc>
        <w:tc>
          <w:tcPr>
            <w:tcW w:w="1192" w:type="dxa"/>
            <w:shd w:val="clear" w:color="auto" w:fill="auto"/>
            <w:noWrap/>
            <w:hideMark/>
          </w:tcPr>
          <w:p w14:paraId="1FDBD360"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66</w:t>
            </w:r>
          </w:p>
        </w:tc>
        <w:tc>
          <w:tcPr>
            <w:tcW w:w="1193" w:type="dxa"/>
            <w:shd w:val="clear" w:color="auto" w:fill="auto"/>
            <w:noWrap/>
            <w:hideMark/>
          </w:tcPr>
          <w:p w14:paraId="4F48CC09"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34</w:t>
            </w:r>
          </w:p>
        </w:tc>
      </w:tr>
      <w:tr w:rsidR="008B67F3" w:rsidRPr="00C917E2" w14:paraId="68848E2E" w14:textId="77777777" w:rsidTr="00DB68B7">
        <w:trPr>
          <w:cantSplit/>
        </w:trPr>
        <w:tc>
          <w:tcPr>
            <w:tcW w:w="2790" w:type="dxa"/>
            <w:shd w:val="clear" w:color="auto" w:fill="auto"/>
            <w:noWrap/>
            <w:hideMark/>
          </w:tcPr>
          <w:p w14:paraId="3FCBBD1C" w14:textId="77777777" w:rsidR="008B67F3" w:rsidRPr="00C917E2" w:rsidRDefault="008B67F3" w:rsidP="00113BB7">
            <w:pPr>
              <w:spacing w:after="0"/>
              <w:rPr>
                <w:rFonts w:asciiTheme="minorHAnsi" w:eastAsia="Times New Roman" w:hAnsiTheme="minorHAnsi"/>
                <w:sz w:val="20"/>
                <w:szCs w:val="20"/>
              </w:rPr>
            </w:pPr>
            <w:r w:rsidRPr="00C917E2">
              <w:rPr>
                <w:rFonts w:asciiTheme="minorHAnsi" w:eastAsia="Times New Roman" w:hAnsiTheme="minorHAnsi"/>
                <w:sz w:val="20"/>
                <w:szCs w:val="20"/>
              </w:rPr>
              <w:t xml:space="preserve">Pharmacist </w:t>
            </w:r>
            <w:r w:rsidR="00787F74" w:rsidRPr="00C917E2">
              <w:rPr>
                <w:rFonts w:asciiTheme="minorHAnsi" w:eastAsia="Times New Roman" w:hAnsiTheme="minorHAnsi"/>
                <w:sz w:val="20"/>
                <w:szCs w:val="20"/>
              </w:rPr>
              <w:t>senior</w:t>
            </w:r>
            <w:r w:rsidRPr="00C917E2">
              <w:rPr>
                <w:rFonts w:asciiTheme="minorHAnsi" w:eastAsia="Times New Roman" w:hAnsiTheme="minorHAnsi"/>
                <w:sz w:val="20"/>
                <w:szCs w:val="20"/>
              </w:rPr>
              <w:t>/</w:t>
            </w:r>
            <w:r w:rsidR="00787F74" w:rsidRPr="00C917E2">
              <w:rPr>
                <w:rFonts w:asciiTheme="minorHAnsi" w:eastAsia="Times New Roman" w:hAnsiTheme="minorHAnsi"/>
                <w:sz w:val="20"/>
                <w:szCs w:val="20"/>
              </w:rPr>
              <w:t>principal</w:t>
            </w:r>
          </w:p>
        </w:tc>
        <w:tc>
          <w:tcPr>
            <w:tcW w:w="1710" w:type="dxa"/>
            <w:shd w:val="clear" w:color="auto" w:fill="auto"/>
            <w:noWrap/>
            <w:hideMark/>
          </w:tcPr>
          <w:p w14:paraId="0622A61B" w14:textId="77777777" w:rsidR="008B67F3" w:rsidRPr="00C917E2" w:rsidRDefault="008B67F3" w:rsidP="00B27F5C">
            <w:pPr>
              <w:spacing w:after="0"/>
              <w:jc w:val="center"/>
              <w:rPr>
                <w:rFonts w:asciiTheme="minorHAnsi" w:eastAsia="Times New Roman" w:hAnsiTheme="minorHAnsi"/>
                <w:bCs/>
                <w:sz w:val="20"/>
                <w:szCs w:val="20"/>
              </w:rPr>
            </w:pPr>
            <w:r w:rsidRPr="00C917E2">
              <w:rPr>
                <w:rFonts w:asciiTheme="minorHAnsi" w:eastAsia="Times New Roman" w:hAnsiTheme="minorHAnsi"/>
                <w:bCs/>
                <w:sz w:val="20"/>
                <w:szCs w:val="20"/>
              </w:rPr>
              <w:t>125</w:t>
            </w:r>
          </w:p>
        </w:tc>
        <w:tc>
          <w:tcPr>
            <w:tcW w:w="1192" w:type="dxa"/>
            <w:shd w:val="clear" w:color="auto" w:fill="auto"/>
            <w:noWrap/>
            <w:hideMark/>
          </w:tcPr>
          <w:p w14:paraId="7A4AFF7F"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58</w:t>
            </w:r>
          </w:p>
        </w:tc>
        <w:tc>
          <w:tcPr>
            <w:tcW w:w="1193" w:type="dxa"/>
            <w:shd w:val="clear" w:color="auto" w:fill="auto"/>
            <w:noWrap/>
            <w:hideMark/>
          </w:tcPr>
          <w:p w14:paraId="2A3892FD"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67</w:t>
            </w:r>
          </w:p>
        </w:tc>
        <w:tc>
          <w:tcPr>
            <w:tcW w:w="1192" w:type="dxa"/>
            <w:shd w:val="clear" w:color="auto" w:fill="auto"/>
            <w:noWrap/>
            <w:hideMark/>
          </w:tcPr>
          <w:p w14:paraId="576BC475"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46</w:t>
            </w:r>
          </w:p>
        </w:tc>
        <w:tc>
          <w:tcPr>
            <w:tcW w:w="1193" w:type="dxa"/>
            <w:shd w:val="clear" w:color="auto" w:fill="auto"/>
            <w:noWrap/>
            <w:hideMark/>
          </w:tcPr>
          <w:p w14:paraId="5C5CA075"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54</w:t>
            </w:r>
          </w:p>
        </w:tc>
      </w:tr>
      <w:tr w:rsidR="008B67F3" w:rsidRPr="00C917E2" w14:paraId="56FB2A5D" w14:textId="77777777" w:rsidTr="00DB68B7">
        <w:trPr>
          <w:cantSplit/>
        </w:trPr>
        <w:tc>
          <w:tcPr>
            <w:tcW w:w="2790" w:type="dxa"/>
            <w:tcBorders>
              <w:bottom w:val="single" w:sz="4" w:space="0" w:color="auto"/>
            </w:tcBorders>
            <w:shd w:val="clear" w:color="auto" w:fill="auto"/>
            <w:noWrap/>
            <w:hideMark/>
          </w:tcPr>
          <w:p w14:paraId="404F6735" w14:textId="77777777" w:rsidR="008B67F3" w:rsidRPr="00C917E2" w:rsidRDefault="008B67F3" w:rsidP="00113BB7">
            <w:pPr>
              <w:spacing w:after="0"/>
              <w:rPr>
                <w:rFonts w:asciiTheme="minorHAnsi" w:eastAsia="Times New Roman" w:hAnsiTheme="minorHAnsi"/>
                <w:sz w:val="20"/>
                <w:szCs w:val="20"/>
              </w:rPr>
            </w:pPr>
            <w:r w:rsidRPr="00C917E2">
              <w:rPr>
                <w:rFonts w:asciiTheme="minorHAnsi" w:eastAsia="Times New Roman" w:hAnsiTheme="minorHAnsi"/>
                <w:sz w:val="20"/>
                <w:szCs w:val="20"/>
              </w:rPr>
              <w:t xml:space="preserve">Pharmacy </w:t>
            </w:r>
            <w:r w:rsidR="00787F74" w:rsidRPr="00C917E2">
              <w:rPr>
                <w:rFonts w:asciiTheme="minorHAnsi" w:eastAsia="Times New Roman" w:hAnsiTheme="minorHAnsi"/>
                <w:sz w:val="20"/>
                <w:szCs w:val="20"/>
              </w:rPr>
              <w:t>technician senior/ principal</w:t>
            </w:r>
          </w:p>
        </w:tc>
        <w:tc>
          <w:tcPr>
            <w:tcW w:w="1710" w:type="dxa"/>
            <w:tcBorders>
              <w:bottom w:val="single" w:sz="4" w:space="0" w:color="auto"/>
            </w:tcBorders>
            <w:shd w:val="clear" w:color="auto" w:fill="auto"/>
            <w:noWrap/>
            <w:hideMark/>
          </w:tcPr>
          <w:p w14:paraId="413736B1" w14:textId="77777777" w:rsidR="008B67F3" w:rsidRPr="00C917E2" w:rsidRDefault="008B67F3" w:rsidP="00B27F5C">
            <w:pPr>
              <w:spacing w:after="0"/>
              <w:jc w:val="center"/>
              <w:rPr>
                <w:rFonts w:asciiTheme="minorHAnsi" w:eastAsia="Times New Roman" w:hAnsiTheme="minorHAnsi"/>
                <w:bCs/>
                <w:sz w:val="20"/>
                <w:szCs w:val="20"/>
              </w:rPr>
            </w:pPr>
            <w:r w:rsidRPr="00C917E2">
              <w:rPr>
                <w:rFonts w:asciiTheme="minorHAnsi" w:eastAsia="Times New Roman" w:hAnsiTheme="minorHAnsi"/>
                <w:bCs/>
                <w:sz w:val="20"/>
                <w:szCs w:val="20"/>
              </w:rPr>
              <w:t>186</w:t>
            </w:r>
          </w:p>
        </w:tc>
        <w:tc>
          <w:tcPr>
            <w:tcW w:w="1192" w:type="dxa"/>
            <w:tcBorders>
              <w:bottom w:val="single" w:sz="4" w:space="0" w:color="auto"/>
            </w:tcBorders>
            <w:shd w:val="clear" w:color="auto" w:fill="auto"/>
            <w:noWrap/>
            <w:hideMark/>
          </w:tcPr>
          <w:p w14:paraId="7E3A075A"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163</w:t>
            </w:r>
          </w:p>
        </w:tc>
        <w:tc>
          <w:tcPr>
            <w:tcW w:w="1193" w:type="dxa"/>
            <w:tcBorders>
              <w:bottom w:val="single" w:sz="4" w:space="0" w:color="auto"/>
            </w:tcBorders>
            <w:shd w:val="clear" w:color="auto" w:fill="auto"/>
            <w:noWrap/>
            <w:hideMark/>
          </w:tcPr>
          <w:p w14:paraId="13390CD9"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23</w:t>
            </w:r>
          </w:p>
        </w:tc>
        <w:tc>
          <w:tcPr>
            <w:tcW w:w="1192" w:type="dxa"/>
            <w:tcBorders>
              <w:bottom w:val="single" w:sz="4" w:space="0" w:color="auto"/>
            </w:tcBorders>
            <w:shd w:val="clear" w:color="auto" w:fill="auto"/>
            <w:noWrap/>
            <w:hideMark/>
          </w:tcPr>
          <w:p w14:paraId="0EAE8BC5"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88</w:t>
            </w:r>
          </w:p>
        </w:tc>
        <w:tc>
          <w:tcPr>
            <w:tcW w:w="1193" w:type="dxa"/>
            <w:tcBorders>
              <w:bottom w:val="single" w:sz="4" w:space="0" w:color="auto"/>
            </w:tcBorders>
            <w:shd w:val="clear" w:color="auto" w:fill="auto"/>
            <w:noWrap/>
            <w:hideMark/>
          </w:tcPr>
          <w:p w14:paraId="5934BB1D" w14:textId="77777777" w:rsidR="008B67F3" w:rsidRPr="00C917E2" w:rsidRDefault="008B67F3" w:rsidP="00B27F5C">
            <w:pPr>
              <w:spacing w:after="0"/>
              <w:jc w:val="center"/>
              <w:rPr>
                <w:rFonts w:asciiTheme="minorHAnsi" w:eastAsia="Times New Roman" w:hAnsiTheme="minorHAnsi"/>
                <w:bCs/>
                <w:color w:val="000000"/>
                <w:sz w:val="20"/>
                <w:szCs w:val="20"/>
              </w:rPr>
            </w:pPr>
            <w:r w:rsidRPr="00C917E2">
              <w:rPr>
                <w:rFonts w:asciiTheme="minorHAnsi" w:eastAsia="Times New Roman" w:hAnsiTheme="minorHAnsi"/>
                <w:bCs/>
                <w:color w:val="000000"/>
                <w:sz w:val="20"/>
                <w:szCs w:val="20"/>
              </w:rPr>
              <w:t>12</w:t>
            </w:r>
          </w:p>
        </w:tc>
      </w:tr>
    </w:tbl>
    <w:p w14:paraId="7C952206" w14:textId="77777777" w:rsidR="008B67F3" w:rsidRPr="00C917E2" w:rsidRDefault="00DB68B7" w:rsidP="00DB68B7">
      <w:pPr>
        <w:pStyle w:val="Source"/>
      </w:pPr>
      <w:r w:rsidRPr="00E94700">
        <w:rPr>
          <w:i/>
        </w:rPr>
        <w:t>Source:</w:t>
      </w:r>
      <w:r>
        <w:t xml:space="preserve"> </w:t>
      </w:r>
      <w:r w:rsidRPr="00DB68B7">
        <w:t>Ministry of Health and Child Care Human Resources for Health Directorate, Staff Return</w:t>
      </w:r>
      <w:r>
        <w:t>, January–</w:t>
      </w:r>
      <w:r w:rsidRPr="00DB68B7">
        <w:t>December 2014</w:t>
      </w:r>
      <w:r>
        <w:t>.</w:t>
      </w:r>
    </w:p>
    <w:p w14:paraId="00474422" w14:textId="77777777" w:rsidR="008B67F3" w:rsidRPr="00C917E2" w:rsidRDefault="008B67F3" w:rsidP="00D37198">
      <w:pPr>
        <w:pStyle w:val="Numberpara"/>
      </w:pPr>
      <w:r w:rsidRPr="00C917E2">
        <w:t>The decline in vacancy rates is mainly related to the training and retention policy under the HTF</w:t>
      </w:r>
      <w:r w:rsidR="00371F1E" w:rsidRPr="00C917E2">
        <w:t xml:space="preserve"> (</w:t>
      </w:r>
      <w:r w:rsidRPr="00C917E2">
        <w:t xml:space="preserve">discussed in </w:t>
      </w:r>
      <w:r w:rsidR="008937B1" w:rsidRPr="00C917E2">
        <w:t>Section </w:t>
      </w:r>
      <w:r w:rsidRPr="00C917E2">
        <w:t>3). The number of staff benefiting from the retention allowances edged up from 18,409 in December 2012 to 18,732 in November 2013, due to the unfreezing of posts within MOHCC.</w:t>
      </w:r>
      <w:r w:rsidRPr="00C917E2">
        <w:rPr>
          <w:rStyle w:val="EndnoteReference"/>
        </w:rPr>
        <w:endnoteReference w:id="31"/>
      </w:r>
      <w:r w:rsidRPr="00C917E2">
        <w:rPr>
          <w:vertAlign w:val="superscript"/>
        </w:rPr>
        <w:t>,</w:t>
      </w:r>
      <w:r w:rsidRPr="00C917E2">
        <w:rPr>
          <w:rStyle w:val="EndnoteReference"/>
        </w:rPr>
        <w:endnoteReference w:id="32"/>
      </w:r>
      <w:r w:rsidRPr="00C917E2">
        <w:t xml:space="preserve"> As at end-December 2014, 141 doctors were supported by </w:t>
      </w:r>
      <w:r w:rsidR="00337AB7" w:rsidRPr="00C917E2">
        <w:t xml:space="preserve">the </w:t>
      </w:r>
      <w:r w:rsidRPr="00C917E2">
        <w:t>HTF, up from 127 a year earlier; all district hospitals have at least two doctors while the number of practicing midwives increased from 1,511 (2012) to 3,991 as at end-2014.</w:t>
      </w:r>
      <w:r w:rsidRPr="00C917E2">
        <w:rPr>
          <w:vertAlign w:val="superscript"/>
        </w:rPr>
        <w:t xml:space="preserve"> </w:t>
      </w:r>
      <w:r w:rsidRPr="00C917E2">
        <w:rPr>
          <w:vertAlign w:val="superscript"/>
        </w:rPr>
        <w:endnoteReference w:id="33"/>
      </w:r>
      <w:r w:rsidRPr="00C917E2">
        <w:t xml:space="preserve"> There is however a shortfall of some 5,000 practicing midwives as the national target is to have 60 percent of Registered General Nurses trained as midwives—9,685 out of a total complement of 16,142 for government, missions, and councils. </w:t>
      </w:r>
    </w:p>
    <w:p w14:paraId="490D7AE2" w14:textId="77777777" w:rsidR="008B67F3" w:rsidRPr="00C917E2" w:rsidRDefault="008B67F3" w:rsidP="00D37198">
      <w:pPr>
        <w:pStyle w:val="Numberpara"/>
      </w:pPr>
      <w:r w:rsidRPr="00C917E2">
        <w:t xml:space="preserve">Despite reductions in vacancy rates, Zimbabwe’s health sector is still faced with critical shortages in staffing. The health worker density in the country falls far short of the WHO recommendation of 23 </w:t>
      </w:r>
      <w:r w:rsidRPr="00C917E2">
        <w:lastRenderedPageBreak/>
        <w:t xml:space="preserve">health workers (nurses, midwives, and doctors) per 10,000 people. The 2012 per capita coverage for nurses ranged from 1 to 10.9 nurses per 10,000 people across provinces. </w:t>
      </w:r>
    </w:p>
    <w:p w14:paraId="2530023A" w14:textId="77777777" w:rsidR="008B67F3" w:rsidRPr="00C917E2" w:rsidRDefault="008B67F3" w:rsidP="00320F82">
      <w:pPr>
        <w:pStyle w:val="Heading3"/>
      </w:pPr>
      <w:bookmarkStart w:id="87" w:name="_Toc401030251"/>
      <w:bookmarkStart w:id="88" w:name="_Toc401030905"/>
      <w:bookmarkStart w:id="89" w:name="_Toc419004003"/>
      <w:r w:rsidRPr="00C917E2">
        <w:t xml:space="preserve">Quality of </w:t>
      </w:r>
      <w:r w:rsidR="00C31FF2" w:rsidRPr="00C917E2">
        <w:t>Care</w:t>
      </w:r>
      <w:bookmarkEnd w:id="87"/>
      <w:bookmarkEnd w:id="88"/>
      <w:bookmarkEnd w:id="89"/>
    </w:p>
    <w:p w14:paraId="3DD22FEE" w14:textId="77777777" w:rsidR="008B67F3" w:rsidRPr="00C917E2" w:rsidRDefault="008B67F3" w:rsidP="00D37198">
      <w:pPr>
        <w:pStyle w:val="Numberpara"/>
      </w:pPr>
      <w:r w:rsidRPr="00C917E2">
        <w:t xml:space="preserve">Service delivery shows little adherence among practitioners to performance standards, </w:t>
      </w:r>
      <w:r w:rsidR="00C31FF2">
        <w:t>exacerbated</w:t>
      </w:r>
      <w:r w:rsidR="00C31FF2" w:rsidRPr="00C917E2">
        <w:t xml:space="preserve"> </w:t>
      </w:r>
      <w:r w:rsidRPr="00C917E2">
        <w:t>by lack of equipment and other supplies, mainly due to poor financial resourcing. The range of health services and their quality are unlikely to improve without an injection of new funds (Box 1 below).</w:t>
      </w:r>
    </w:p>
    <w:p w14:paraId="43859487" w14:textId="77777777" w:rsidR="008B67F3" w:rsidRPr="00C917E2" w:rsidRDefault="008B67F3" w:rsidP="00D37198">
      <w:pPr>
        <w:pStyle w:val="Numberpara"/>
      </w:pPr>
      <w:r w:rsidRPr="00C917E2">
        <w:t>The quality of antenatal care decreased over 1999–2009 on four main indicators (</w:t>
      </w:r>
      <w:r w:rsidR="00C713A9" w:rsidRPr="00C917E2">
        <w:fldChar w:fldCharType="begin"/>
      </w:r>
      <w:r w:rsidRPr="00C917E2">
        <w:instrText xml:space="preserve"> REF _Ref411938478 \h </w:instrText>
      </w:r>
      <w:r w:rsidR="00C713A9" w:rsidRPr="00C917E2">
        <w:fldChar w:fldCharType="separate"/>
      </w:r>
      <w:r w:rsidR="003732A2" w:rsidRPr="00C917E2">
        <w:t xml:space="preserve">Figure </w:t>
      </w:r>
      <w:r w:rsidR="003732A2">
        <w:rPr>
          <w:noProof/>
        </w:rPr>
        <w:t>17</w:t>
      </w:r>
      <w:r w:rsidR="00C713A9" w:rsidRPr="00C917E2">
        <w:fldChar w:fldCharType="end"/>
      </w:r>
      <w:r w:rsidRPr="00C917E2">
        <w:t>).</w:t>
      </w:r>
      <w:r w:rsidRPr="00C917E2">
        <w:rPr>
          <w:rStyle w:val="EndnoteReference"/>
        </w:rPr>
        <w:endnoteReference w:id="34"/>
      </w:r>
      <w:r w:rsidRPr="00C917E2">
        <w:t xml:space="preserve"> </w:t>
      </w:r>
    </w:p>
    <w:p w14:paraId="769FDB6D" w14:textId="77777777" w:rsidR="008B67F3" w:rsidRPr="00C917E2" w:rsidRDefault="008B67F3" w:rsidP="00C53C89">
      <w:pPr>
        <w:pStyle w:val="Figure"/>
      </w:pPr>
      <w:bookmarkStart w:id="90" w:name="_Ref411938478"/>
      <w:bookmarkStart w:id="91" w:name="_Toc401030709"/>
      <w:bookmarkStart w:id="92" w:name="_Toc401072412"/>
      <w:bookmarkStart w:id="93" w:name="_Toc401072618"/>
      <w:bookmarkStart w:id="94" w:name="_Toc401072766"/>
      <w:bookmarkStart w:id="95" w:name="_Toc419004098"/>
      <w:r w:rsidRPr="00C917E2">
        <w:t xml:space="preserve">Figure </w:t>
      </w:r>
      <w:r w:rsidR="00113462">
        <w:fldChar w:fldCharType="begin"/>
      </w:r>
      <w:r w:rsidR="00113462">
        <w:instrText xml:space="preserve"> SEQ Figure </w:instrText>
      </w:r>
      <w:r w:rsidR="00113462">
        <w:instrText xml:space="preserve">\* ARABIC </w:instrText>
      </w:r>
      <w:r w:rsidR="00113462">
        <w:fldChar w:fldCharType="separate"/>
      </w:r>
      <w:r w:rsidR="003732A2">
        <w:rPr>
          <w:noProof/>
        </w:rPr>
        <w:t>17</w:t>
      </w:r>
      <w:r w:rsidR="00113462">
        <w:rPr>
          <w:noProof/>
        </w:rPr>
        <w:fldChar w:fldCharType="end"/>
      </w:r>
      <w:bookmarkEnd w:id="90"/>
      <w:r w:rsidRPr="00C917E2">
        <w:t xml:space="preserve"> Quality Indicators for Antenatal Care Services, 1999–2009</w:t>
      </w:r>
      <w:bookmarkEnd w:id="91"/>
      <w:bookmarkEnd w:id="92"/>
      <w:bookmarkEnd w:id="93"/>
      <w:bookmarkEnd w:id="94"/>
      <w:bookmarkEnd w:id="95"/>
    </w:p>
    <w:p w14:paraId="6DB1E360" w14:textId="77777777" w:rsidR="008B67F3" w:rsidRPr="00C917E2" w:rsidRDefault="008B67F3" w:rsidP="00AB6801">
      <w:r w:rsidRPr="00C917E2">
        <w:rPr>
          <w:noProof/>
        </w:rPr>
        <w:drawing>
          <wp:inline distT="0" distB="0" distL="0" distR="0" wp14:anchorId="25113620" wp14:editId="20561F0D">
            <wp:extent cx="4752975" cy="2424430"/>
            <wp:effectExtent l="19050" t="19050" r="28575" b="13970"/>
            <wp:docPr id="90" name="Image 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a:srcRect/>
                    <a:stretch>
                      <a:fillRect/>
                    </a:stretch>
                  </pic:blipFill>
                  <pic:spPr bwMode="auto">
                    <a:xfrm>
                      <a:off x="0" y="0"/>
                      <a:ext cx="4752975" cy="2424430"/>
                    </a:xfrm>
                    <a:prstGeom prst="rect">
                      <a:avLst/>
                    </a:prstGeom>
                    <a:noFill/>
                    <a:ln w="9525">
                      <a:solidFill>
                        <a:srgbClr val="4F81BD"/>
                      </a:solidFill>
                      <a:miter lim="800000"/>
                      <a:headEnd/>
                      <a:tailEnd/>
                    </a:ln>
                  </pic:spPr>
                </pic:pic>
              </a:graphicData>
            </a:graphic>
          </wp:inline>
        </w:drawing>
      </w:r>
    </w:p>
    <w:p w14:paraId="5C6CC09A" w14:textId="77777777" w:rsidR="008B67F3" w:rsidRPr="00C917E2" w:rsidRDefault="008B67F3" w:rsidP="00C62FF0">
      <w:pPr>
        <w:pStyle w:val="Source"/>
      </w:pPr>
      <w:r w:rsidRPr="00E94700">
        <w:rPr>
          <w:i/>
        </w:rPr>
        <w:t>Source</w:t>
      </w:r>
      <w:r w:rsidR="00283D74" w:rsidRPr="00E94700">
        <w:rPr>
          <w:i/>
        </w:rPr>
        <w:t>s</w:t>
      </w:r>
      <w:r w:rsidRPr="00E94700">
        <w:rPr>
          <w:i/>
        </w:rPr>
        <w:t>:</w:t>
      </w:r>
      <w:r w:rsidRPr="00C917E2">
        <w:t xml:space="preserve"> ZDHS 1999 and 2005/6</w:t>
      </w:r>
      <w:r w:rsidR="00C31FF2">
        <w:t>;</w:t>
      </w:r>
      <w:r w:rsidRPr="00C917E2">
        <w:t xml:space="preserve"> MIMS 2009</w:t>
      </w:r>
      <w:r w:rsidR="006B2D5F">
        <w:t>.</w:t>
      </w:r>
    </w:p>
    <w:p w14:paraId="5325AEFB" w14:textId="007227E6" w:rsidR="00C31FF2" w:rsidRPr="00C917E2" w:rsidRDefault="008B67F3" w:rsidP="00D37198">
      <w:pPr>
        <w:pStyle w:val="Numberpara"/>
      </w:pPr>
      <w:r w:rsidRPr="00C917E2">
        <w:t>On average, only 29 percent of health facilities were meeting the criteria for provision of signal functions for basic emergency obstetric and newborn care in 2012.</w:t>
      </w:r>
      <w:r w:rsidRPr="00C917E2">
        <w:rPr>
          <w:rStyle w:val="EndnoteReference"/>
        </w:rPr>
        <w:endnoteReference w:id="35"/>
      </w:r>
      <w:r w:rsidRPr="00C917E2">
        <w:t xml:space="preserve"> Health workers had higher knowledge scores in child health {</w:t>
      </w:r>
      <w:r w:rsidRPr="00C917E2">
        <w:rPr>
          <w:rFonts w:eastAsia="Times New Roman"/>
          <w:color w:val="000000"/>
        </w:rPr>
        <w:t xml:space="preserve">56.8% (SD=17.9)} </w:t>
      </w:r>
      <w:r w:rsidRPr="00C917E2">
        <w:t>than maternal health {</w:t>
      </w:r>
      <w:r w:rsidRPr="00C917E2">
        <w:rPr>
          <w:rFonts w:eastAsia="Times New Roman"/>
          <w:color w:val="000000"/>
        </w:rPr>
        <w:t>47.7% (SD=16.9)}</w:t>
      </w:r>
      <w:r w:rsidRPr="00C917E2">
        <w:t>. Some variation of knowledge can be observed across provinces</w:t>
      </w:r>
      <w:r w:rsidR="00C31FF2">
        <w:t>,</w:t>
      </w:r>
      <w:r w:rsidRPr="00C917E2">
        <w:t xml:space="preserve"> although statistical association with poverty</w:t>
      </w:r>
      <w:r w:rsidR="00B72993" w:rsidRPr="00C917E2">
        <w:t xml:space="preserve"> </w:t>
      </w:r>
      <w:r w:rsidRPr="00C917E2">
        <w:t>cannot be established (</w:t>
      </w:r>
      <w:r w:rsidR="00C713A9" w:rsidRPr="00C917E2">
        <w:fldChar w:fldCharType="begin"/>
      </w:r>
      <w:r w:rsidRPr="00C917E2">
        <w:instrText xml:space="preserve"> REF _Ref412225909 \h </w:instrText>
      </w:r>
      <w:r w:rsidR="00C713A9" w:rsidRPr="00C917E2">
        <w:fldChar w:fldCharType="separate"/>
      </w:r>
      <w:r w:rsidR="003732A2" w:rsidRPr="00C917E2">
        <w:t xml:space="preserve">Figure </w:t>
      </w:r>
      <w:r w:rsidR="003732A2">
        <w:rPr>
          <w:noProof/>
        </w:rPr>
        <w:t>18</w:t>
      </w:r>
      <w:r w:rsidR="00C713A9" w:rsidRPr="00C917E2">
        <w:fldChar w:fldCharType="end"/>
      </w:r>
      <w:r w:rsidRPr="00C917E2">
        <w:t>).</w:t>
      </w:r>
      <w:r w:rsidR="00C31FF2" w:rsidRPr="00C31FF2">
        <w:t xml:space="preserve"> </w:t>
      </w:r>
      <w:r w:rsidR="00C31FF2" w:rsidRPr="00C917E2">
        <w:t>Average availability of equipment for emergency obstetric care was around 50 percent at facilities in 2012.</w:t>
      </w:r>
      <w:r w:rsidR="00C31FF2" w:rsidRPr="00C917E2">
        <w:rPr>
          <w:rStyle w:val="EndnoteReference"/>
        </w:rPr>
        <w:endnoteReference w:id="36"/>
      </w:r>
      <w:r w:rsidR="00C31FF2" w:rsidRPr="00C917E2">
        <w:t xml:space="preserve"> </w:t>
      </w:r>
    </w:p>
    <w:p w14:paraId="67B6C79F" w14:textId="77777777" w:rsidR="008B67F3" w:rsidRPr="00C917E2" w:rsidRDefault="008B67F3" w:rsidP="00C53C89">
      <w:pPr>
        <w:pStyle w:val="Figure"/>
      </w:pPr>
      <w:bookmarkStart w:id="96" w:name="_Ref412225909"/>
      <w:bookmarkStart w:id="97" w:name="_Toc419004099"/>
      <w:r w:rsidRPr="00C917E2">
        <w:lastRenderedPageBreak/>
        <w:t xml:space="preserve">Figure </w:t>
      </w:r>
      <w:r w:rsidR="00113462">
        <w:fldChar w:fldCharType="begin"/>
      </w:r>
      <w:r w:rsidR="00113462">
        <w:instrText xml:space="preserve"> SEQ Figure \* ARABIC </w:instrText>
      </w:r>
      <w:r w:rsidR="00113462">
        <w:fldChar w:fldCharType="separate"/>
      </w:r>
      <w:r w:rsidR="003732A2">
        <w:rPr>
          <w:noProof/>
        </w:rPr>
        <w:t>18</w:t>
      </w:r>
      <w:r w:rsidR="00113462">
        <w:rPr>
          <w:noProof/>
        </w:rPr>
        <w:fldChar w:fldCharType="end"/>
      </w:r>
      <w:bookmarkEnd w:id="96"/>
      <w:r w:rsidRPr="00C917E2">
        <w:t xml:space="preserve"> Knowledge Scores for Health Workers </w:t>
      </w:r>
      <w:r w:rsidR="00C31FF2" w:rsidRPr="00C917E2">
        <w:t xml:space="preserve">across </w:t>
      </w:r>
      <w:r w:rsidRPr="00C917E2">
        <w:t>Provinces, 2011</w:t>
      </w:r>
      <w:bookmarkEnd w:id="97"/>
    </w:p>
    <w:p w14:paraId="6A1502F0" w14:textId="77777777" w:rsidR="008B67F3" w:rsidRPr="00C917E2" w:rsidRDefault="008B67F3" w:rsidP="00E73060">
      <w:r w:rsidRPr="00C917E2">
        <w:rPr>
          <w:noProof/>
        </w:rPr>
        <w:drawing>
          <wp:inline distT="0" distB="0" distL="0" distR="0" wp14:anchorId="22F1FCC2" wp14:editId="387A5972">
            <wp:extent cx="5143500" cy="3111500"/>
            <wp:effectExtent l="0" t="0" r="19050" b="1270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31EABC5" w14:textId="77777777" w:rsidR="008B67F3" w:rsidRDefault="008B67F3" w:rsidP="00E73060">
      <w:pPr>
        <w:pStyle w:val="Source"/>
      </w:pPr>
      <w:r w:rsidRPr="00E94700">
        <w:rPr>
          <w:i/>
        </w:rPr>
        <w:t>Source:</w:t>
      </w:r>
      <w:r w:rsidRPr="00C917E2">
        <w:t xml:space="preserve"> NIHFA 2012</w:t>
      </w:r>
      <w:r w:rsidR="006B2D5F">
        <w:t>.</w:t>
      </w:r>
    </w:p>
    <w:p w14:paraId="0AB084B4" w14:textId="77777777" w:rsidR="008B67F3" w:rsidRPr="00C917E2" w:rsidRDefault="008B67F3" w:rsidP="00C31FF2">
      <w:pPr>
        <w:pStyle w:val="BOX"/>
        <w:keepLines/>
      </w:pPr>
      <w:bookmarkStart w:id="98" w:name="_Toc401072869"/>
      <w:bookmarkStart w:id="99" w:name="_Toc419004051"/>
      <w:r w:rsidRPr="00C917E2">
        <w:t xml:space="preserve">Box </w:t>
      </w:r>
      <w:r w:rsidR="00113462">
        <w:fldChar w:fldCharType="begin"/>
      </w:r>
      <w:r w:rsidR="00113462">
        <w:instrText xml:space="preserve"> SEQ Box \* ARABIC </w:instrText>
      </w:r>
      <w:r w:rsidR="00113462">
        <w:fldChar w:fldCharType="separate"/>
      </w:r>
      <w:r w:rsidR="003732A2">
        <w:rPr>
          <w:noProof/>
        </w:rPr>
        <w:t>1</w:t>
      </w:r>
      <w:r w:rsidR="00113462">
        <w:rPr>
          <w:noProof/>
        </w:rPr>
        <w:fldChar w:fldCharType="end"/>
      </w:r>
      <w:r w:rsidRPr="00C917E2">
        <w:t xml:space="preserve"> Constraints to Quality of Health Services</w:t>
      </w:r>
      <w:bookmarkEnd w:id="98"/>
      <w:bookmarkEnd w:id="99"/>
    </w:p>
    <w:p w14:paraId="30DFA297" w14:textId="77777777" w:rsidR="008B67F3" w:rsidRPr="00C917E2" w:rsidRDefault="008B67F3" w:rsidP="00C31FF2">
      <w:pPr>
        <w:pStyle w:val="Boxtext"/>
        <w:keepLines/>
      </w:pPr>
      <w:r w:rsidRPr="00C917E2">
        <w:t>The government and development partners acknowledge the need to prioritize quality in order to transform the system and reposition Zimbabwe as a regional leader in providing equitable, quality care. Several household and facility surveys show that MOHCC stakeholders, citizens, and partners widely acknowledge major deficits in the quality of ambulatory and hospital health care services, such as ZDHS 2000 and 2005;</w:t>
      </w:r>
      <w:r w:rsidR="00B72993" w:rsidRPr="00C917E2">
        <w:t xml:space="preserve"> </w:t>
      </w:r>
      <w:r w:rsidRPr="00C917E2">
        <w:t xml:space="preserve">2009; a study by the Maternal and Child Health Integrated Program (MCHIP) 2012; and NIHFA 2012. </w:t>
      </w:r>
    </w:p>
    <w:p w14:paraId="0E6D5359" w14:textId="77777777" w:rsidR="008B67F3" w:rsidRPr="00C917E2" w:rsidRDefault="008B67F3" w:rsidP="00C31FF2">
      <w:pPr>
        <w:pStyle w:val="Boxtext"/>
        <w:keepLines/>
      </w:pPr>
      <w:r w:rsidRPr="00C917E2">
        <w:t xml:space="preserve">Beyond providers being overstretched in understaffed facilities, and often lacking skills and confidence to manage common life-threatening complications, many district and regional administrative supervisors do not have up-to-date clinical knowledge and skills to assess or strengthen provider competence in priority clinical areas. As in many countries, national guidelines do not always include explicit case-management standards tailored to specific levels of the health system, resulting in lack of clarity about when and how to refer patients with life-threatening conditions and poor coordination of care across levels. </w:t>
      </w:r>
    </w:p>
    <w:p w14:paraId="132344AB" w14:textId="77777777" w:rsidR="008B67F3" w:rsidRPr="00C917E2" w:rsidRDefault="008B67F3" w:rsidP="00DE4A3B">
      <w:pPr>
        <w:pStyle w:val="Boxtext"/>
      </w:pPr>
      <w:r w:rsidRPr="00C917E2">
        <w:t xml:space="preserve">In many clinics and hospitals, medical records and registers do not document minimal elements of basic quality care, such as vital signs and physical exam findings. For example, outpatient pediatric and adult registers often include only the patient name, main complaint, diagnosis, and medication prescribed, without any results of vital signs, physical exam, or duration and severity of symptoms. Indeed, providers stagger under the burden of completing as many as 10 or 15 clinical registers to meet reporting requirements, yet there is very little integration of essential data. The health information system contains primarily coverage information </w:t>
      </w:r>
      <w:r w:rsidR="00C31FF2">
        <w:t>on</w:t>
      </w:r>
      <w:r w:rsidRPr="00C917E2">
        <w:t xml:space="preserve"> health care services, with infrequent inclusion of clinical</w:t>
      </w:r>
      <w:r w:rsidR="00C31FF2">
        <w:t>-</w:t>
      </w:r>
      <w:r w:rsidRPr="00C917E2">
        <w:t>quality measures even for very high-impact clinical interventions.</w:t>
      </w:r>
    </w:p>
    <w:p w14:paraId="4B0E0499" w14:textId="77777777" w:rsidR="008B67F3" w:rsidRPr="00C917E2" w:rsidRDefault="008B67F3" w:rsidP="00226FA8">
      <w:pPr>
        <w:pStyle w:val="Heading2"/>
      </w:pPr>
      <w:bookmarkStart w:id="100" w:name="_Toc401030252"/>
      <w:bookmarkStart w:id="101" w:name="_Toc401030906"/>
      <w:bookmarkStart w:id="102" w:name="_Toc419004004"/>
      <w:r w:rsidRPr="00C917E2">
        <w:t>2.4 Coverage of Important Public Health Programs</w:t>
      </w:r>
      <w:bookmarkEnd w:id="100"/>
      <w:bookmarkEnd w:id="101"/>
      <w:bookmarkEnd w:id="102"/>
      <w:r w:rsidRPr="00C917E2">
        <w:t xml:space="preserve"> </w:t>
      </w:r>
    </w:p>
    <w:p w14:paraId="73D34F6D" w14:textId="77777777" w:rsidR="008B67F3" w:rsidRPr="00C917E2" w:rsidRDefault="008B67F3" w:rsidP="00D37198">
      <w:pPr>
        <w:pStyle w:val="Numberpara"/>
      </w:pPr>
      <w:r w:rsidRPr="00C917E2">
        <w:t>Services are supported by a number of programs implemented within the public health service delivery system. Some are disease specific</w:t>
      </w:r>
      <w:r w:rsidR="00376B94">
        <w:t>,</w:t>
      </w:r>
      <w:r w:rsidRPr="00C917E2">
        <w:t xml:space="preserve"> others are integrated within the system’s elements or building blocks. </w:t>
      </w:r>
    </w:p>
    <w:p w14:paraId="0C9AED61" w14:textId="77777777" w:rsidR="008B67F3" w:rsidRPr="00C917E2" w:rsidRDefault="008B67F3" w:rsidP="00233BC5">
      <w:pPr>
        <w:pStyle w:val="Heading3"/>
      </w:pPr>
      <w:bookmarkStart w:id="103" w:name="_Toc401030907"/>
      <w:bookmarkStart w:id="104" w:name="_Toc419004005"/>
      <w:r w:rsidRPr="00C917E2">
        <w:lastRenderedPageBreak/>
        <w:t>Immunization</w:t>
      </w:r>
      <w:bookmarkEnd w:id="103"/>
      <w:bookmarkEnd w:id="104"/>
    </w:p>
    <w:p w14:paraId="2E91618E" w14:textId="77777777" w:rsidR="008B67F3" w:rsidRPr="00C917E2" w:rsidRDefault="008B67F3" w:rsidP="00D37198">
      <w:pPr>
        <w:pStyle w:val="Numberpara"/>
      </w:pPr>
      <w:r w:rsidRPr="00C917E2">
        <w:t xml:space="preserve">Through the national Extended Program on Immunization (EPI), supported primarily by </w:t>
      </w:r>
      <w:r w:rsidR="00337AB7" w:rsidRPr="00C917E2">
        <w:t xml:space="preserve">the </w:t>
      </w:r>
      <w:r w:rsidRPr="00C917E2">
        <w:t xml:space="preserve">HTF and </w:t>
      </w:r>
      <w:r w:rsidR="00D50875" w:rsidRPr="00C917E2">
        <w:t>the Global Alliance for Vaccines and Immunization</w:t>
      </w:r>
      <w:r w:rsidRPr="00C917E2">
        <w:t>, immunization coverage has improved in the past years with at least 83 percent of children under one year being immunized in 2014,</w:t>
      </w:r>
      <w:r w:rsidRPr="00C917E2">
        <w:rPr>
          <w:rStyle w:val="EndnoteReference"/>
        </w:rPr>
        <w:endnoteReference w:id="37"/>
      </w:r>
      <w:r w:rsidRPr="00C917E2">
        <w:t xml:space="preserve"> up from 76 percent in 2009. Good coverage has also been achieved for other antigens in recent years. The trends are, in general, in line with SSA averages. For instance the 2011 and 2012 DPT coverage for Zimbabwe was 89 percent, higher than the 78 percent average in other low-income SSA countries in both years. Similarly, measles coverage was 90 percent in 2011 and in 2012, against 76 percent and 77 percent for the other countries. Concerns have, however, been raised over the accuracy of the denominators used to calculate the immunization data.</w:t>
      </w:r>
      <w:r w:rsidR="00B72993" w:rsidRPr="00C917E2">
        <w:t xml:space="preserve"> </w:t>
      </w:r>
    </w:p>
    <w:p w14:paraId="1A584AB9" w14:textId="77777777" w:rsidR="008B67F3" w:rsidRPr="00C917E2" w:rsidRDefault="008B67F3" w:rsidP="00D37198">
      <w:pPr>
        <w:pStyle w:val="Numberpara"/>
      </w:pPr>
      <w:r w:rsidRPr="00C917E2">
        <w:t>Some geographic variations are notable, with the South Eastern border districts having the least coverage (</w:t>
      </w:r>
      <w:r w:rsidR="00C713A9" w:rsidRPr="00C917E2">
        <w:fldChar w:fldCharType="begin"/>
      </w:r>
      <w:r w:rsidRPr="00C917E2">
        <w:instrText xml:space="preserve"> REF _Ref411940663 \h </w:instrText>
      </w:r>
      <w:r w:rsidR="00C713A9" w:rsidRPr="00C917E2">
        <w:fldChar w:fldCharType="separate"/>
      </w:r>
      <w:r w:rsidR="003732A2" w:rsidRPr="00C917E2">
        <w:t xml:space="preserve">Figure </w:t>
      </w:r>
      <w:r w:rsidR="003732A2">
        <w:rPr>
          <w:noProof/>
        </w:rPr>
        <w:t>19</w:t>
      </w:r>
      <w:r w:rsidR="00C713A9" w:rsidRPr="00C917E2">
        <w:fldChar w:fldCharType="end"/>
      </w:r>
      <w:r w:rsidRPr="00C917E2">
        <w:t>). Factors influencing uptake include remoteness, education levels, religious practices</w:t>
      </w:r>
      <w:r w:rsidR="00376B94">
        <w:t>,</w:t>
      </w:r>
      <w:r w:rsidRPr="00C917E2">
        <w:t xml:space="preserve"> and the extent to which certain parts of the country adhere to cultural practices that constrain women and children’s use of</w:t>
      </w:r>
      <w:r w:rsidR="00B72993" w:rsidRPr="00C917E2">
        <w:t xml:space="preserve"> </w:t>
      </w:r>
      <w:r w:rsidRPr="00C917E2">
        <w:t xml:space="preserve">the modern health care system. </w:t>
      </w:r>
    </w:p>
    <w:p w14:paraId="48374F48" w14:textId="77777777" w:rsidR="008B67F3" w:rsidRPr="00C917E2" w:rsidRDefault="008B67F3" w:rsidP="00C53C89">
      <w:pPr>
        <w:pStyle w:val="Figure"/>
        <w:rPr>
          <w:sz w:val="24"/>
          <w:szCs w:val="24"/>
        </w:rPr>
      </w:pPr>
      <w:bookmarkStart w:id="105" w:name="_Ref411940663"/>
      <w:bookmarkStart w:id="106" w:name="_Toc419004100"/>
      <w:r w:rsidRPr="00C917E2">
        <w:t xml:space="preserve">Figure </w:t>
      </w:r>
      <w:r w:rsidR="00113462">
        <w:fldChar w:fldCharType="begin"/>
      </w:r>
      <w:r w:rsidR="00113462">
        <w:instrText xml:space="preserve"> SEQ Figure \* ARABIC </w:instrText>
      </w:r>
      <w:r w:rsidR="00113462">
        <w:fldChar w:fldCharType="separate"/>
      </w:r>
      <w:r w:rsidR="003732A2">
        <w:rPr>
          <w:noProof/>
        </w:rPr>
        <w:t>19</w:t>
      </w:r>
      <w:r w:rsidR="00113462">
        <w:rPr>
          <w:noProof/>
        </w:rPr>
        <w:fldChar w:fldCharType="end"/>
      </w:r>
      <w:bookmarkEnd w:id="105"/>
      <w:r w:rsidRPr="00C917E2">
        <w:t xml:space="preserve"> Immunization Coverage (Primary Course Completed)</w:t>
      </w:r>
      <w:bookmarkEnd w:id="106"/>
    </w:p>
    <w:p w14:paraId="0CE96037" w14:textId="77777777" w:rsidR="008B67F3" w:rsidRPr="00C917E2" w:rsidRDefault="008B67F3" w:rsidP="00976227">
      <w:r w:rsidRPr="00C917E2">
        <w:rPr>
          <w:noProof/>
        </w:rPr>
        <w:drawing>
          <wp:inline distT="0" distB="0" distL="0" distR="0" wp14:anchorId="48C64261" wp14:editId="78ED6684">
            <wp:extent cx="3914775" cy="3341370"/>
            <wp:effectExtent l="19050" t="19050" r="28575" b="11430"/>
            <wp:docPr id="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14775" cy="3341370"/>
                    </a:xfrm>
                    <a:prstGeom prst="rect">
                      <a:avLst/>
                    </a:prstGeom>
                    <a:noFill/>
                    <a:ln w="9525">
                      <a:solidFill>
                        <a:srgbClr val="95B3D7"/>
                      </a:solidFill>
                      <a:miter lim="800000"/>
                      <a:headEnd/>
                      <a:tailEnd/>
                    </a:ln>
                  </pic:spPr>
                </pic:pic>
              </a:graphicData>
            </a:graphic>
          </wp:inline>
        </w:drawing>
      </w:r>
    </w:p>
    <w:p w14:paraId="701CD666" w14:textId="77777777" w:rsidR="008B67F3" w:rsidRPr="00C917E2" w:rsidRDefault="006B2D5F" w:rsidP="00013713">
      <w:pPr>
        <w:pStyle w:val="Source"/>
      </w:pPr>
      <w:r w:rsidRPr="00E94700">
        <w:rPr>
          <w:i/>
        </w:rPr>
        <w:t>Source:</w:t>
      </w:r>
      <w:r w:rsidR="008B67F3" w:rsidRPr="00C917E2">
        <w:t xml:space="preserve"> HTF Annual Report, UNICEF 2012</w:t>
      </w:r>
      <w:r>
        <w:t>.</w:t>
      </w:r>
    </w:p>
    <w:p w14:paraId="1D59FEA5" w14:textId="77777777" w:rsidR="008B67F3" w:rsidRPr="00C917E2" w:rsidRDefault="008B67F3" w:rsidP="00233BC5">
      <w:pPr>
        <w:pStyle w:val="Heading3"/>
      </w:pPr>
      <w:bookmarkStart w:id="107" w:name="_Toc401030908"/>
      <w:bookmarkStart w:id="108" w:name="_Toc419004006"/>
      <w:r w:rsidRPr="00C917E2">
        <w:t>Maternal and Reproductive Health</w:t>
      </w:r>
      <w:bookmarkEnd w:id="107"/>
      <w:bookmarkEnd w:id="108"/>
    </w:p>
    <w:p w14:paraId="208AAF86" w14:textId="77777777" w:rsidR="008B67F3" w:rsidRPr="00C917E2" w:rsidRDefault="008B67F3" w:rsidP="00D37198">
      <w:pPr>
        <w:pStyle w:val="Numberpara"/>
      </w:pPr>
      <w:r w:rsidRPr="00C917E2">
        <w:t>Progress has also been observed in the coverage of antenatal care (ANC) services and institutional deliveries. The coverage of pregnant women who attended ANC four times or more increased from 62 percent in 2011 to 70 percent in 2013</w:t>
      </w:r>
      <w:r w:rsidR="00352E8B" w:rsidRPr="00C917E2">
        <w:t>,</w:t>
      </w:r>
      <w:r w:rsidRPr="00C917E2">
        <w:t xml:space="preserve"> the coverage by skilled birth attendants </w:t>
      </w:r>
      <w:r w:rsidR="00376B94">
        <w:t xml:space="preserve">rose </w:t>
      </w:r>
      <w:r w:rsidRPr="00C917E2">
        <w:t>from 67 percent in 2012 to 80 percent in 2013</w:t>
      </w:r>
      <w:r w:rsidR="00376B94">
        <w:t>,</w:t>
      </w:r>
      <w:r w:rsidRPr="00C917E2">
        <w:t xml:space="preserve"> and the </w:t>
      </w:r>
      <w:r w:rsidR="00376B94">
        <w:t xml:space="preserve">share </w:t>
      </w:r>
      <w:r w:rsidRPr="00C917E2">
        <w:t xml:space="preserve">of women who attended postnatal care at least twice </w:t>
      </w:r>
      <w:r w:rsidR="00376B94">
        <w:t xml:space="preserve">climbed </w:t>
      </w:r>
      <w:r w:rsidRPr="00C917E2">
        <w:t>from 27 percent in 2011 to 38 percent in 2013.</w:t>
      </w:r>
      <w:r w:rsidRPr="00C917E2">
        <w:rPr>
          <w:rStyle w:val="EndnoteReference"/>
        </w:rPr>
        <w:endnoteReference w:id="38"/>
      </w:r>
      <w:r w:rsidRPr="00C917E2">
        <w:t xml:space="preserve"> The contraceptive prevalence rate in 2014 was 67 percent (with an unmet need of 10.4 percent), a number similar to the 2009 estimate of 65 percent but an increase from the 2013 estimate of 59 percent.</w:t>
      </w:r>
      <w:r w:rsidRPr="00C917E2">
        <w:rPr>
          <w:rStyle w:val="EndnoteReference"/>
        </w:rPr>
        <w:endnoteReference w:id="39"/>
      </w:r>
      <w:r w:rsidRPr="00C917E2">
        <w:t xml:space="preserve"> Despite these gains, the poor performance of outcome indicators such as the MMR points to poor quality of care.</w:t>
      </w:r>
    </w:p>
    <w:p w14:paraId="037C6846" w14:textId="77777777" w:rsidR="008B67F3" w:rsidRPr="00C917E2" w:rsidRDefault="008B67F3" w:rsidP="00233BC5">
      <w:pPr>
        <w:pStyle w:val="Heading3"/>
      </w:pPr>
      <w:bookmarkStart w:id="109" w:name="_Toc401030909"/>
      <w:bookmarkStart w:id="110" w:name="_Toc419004007"/>
      <w:r w:rsidRPr="00C917E2">
        <w:lastRenderedPageBreak/>
        <w:t>Infectious Diseases</w:t>
      </w:r>
      <w:bookmarkEnd w:id="109"/>
      <w:bookmarkEnd w:id="110"/>
    </w:p>
    <w:p w14:paraId="56B8E892" w14:textId="77777777" w:rsidR="008B67F3" w:rsidRPr="00C917E2" w:rsidRDefault="008B67F3" w:rsidP="00D37198">
      <w:pPr>
        <w:pStyle w:val="Numberpara"/>
      </w:pPr>
      <w:r w:rsidRPr="00C917E2">
        <w:t>Zimbabwe seems to have made steady progress toward universal coverage of treatment to prevent mother-to-child-transmission of HIV: 93 percent of pregnant mothers who test positive receive treatment. Based on the previous WHO guidelines for antiretroviral therapy initiation of CD4 &lt;350, at least 85 percent of adult Zimbabweans who were tested and were eligible for HIV treatment were receiving it in 2012.</w:t>
      </w:r>
      <w:r w:rsidRPr="00C917E2">
        <w:rPr>
          <w:rStyle w:val="EndnoteReference"/>
        </w:rPr>
        <w:endnoteReference w:id="40"/>
      </w:r>
      <w:r w:rsidRPr="00C917E2">
        <w:t xml:space="preserve"> However, only 47 percent of men and only 54 percent of women had ever been tested for HIV.</w:t>
      </w:r>
      <w:r w:rsidRPr="00C917E2">
        <w:rPr>
          <w:rStyle w:val="EndnoteReference"/>
        </w:rPr>
        <w:endnoteReference w:id="41"/>
      </w:r>
      <w:r w:rsidRPr="00C917E2">
        <w:t xml:space="preserve"> </w:t>
      </w:r>
    </w:p>
    <w:p w14:paraId="0EBF0A26" w14:textId="77777777" w:rsidR="008B67F3" w:rsidRPr="00C917E2" w:rsidRDefault="008B67F3" w:rsidP="00D37198">
      <w:pPr>
        <w:pStyle w:val="Numberpara"/>
      </w:pPr>
      <w:r w:rsidRPr="00C917E2">
        <w:t>In addition, sustainability of progress is not ensured given that some important development partner programs are ending (a significant amount of funding to prevent mother-to-child-transmission of HIV is committed only up to 2015) and there is limited domestic financing to sustain service delivery.</w:t>
      </w:r>
    </w:p>
    <w:p w14:paraId="51F516DD" w14:textId="77777777" w:rsidR="008B67F3" w:rsidRPr="00C917E2" w:rsidRDefault="008B67F3" w:rsidP="00D37198">
      <w:pPr>
        <w:pStyle w:val="Numberpara"/>
      </w:pPr>
      <w:r w:rsidRPr="00C917E2">
        <w:t>Pediatric antiretroviral therapy coverage has experienced a recent decline—from 42 percent in 2012 to an estimated 40.5 percent in 2013.</w:t>
      </w:r>
      <w:r w:rsidRPr="00C917E2">
        <w:rPr>
          <w:rStyle w:val="EndnoteReference"/>
        </w:rPr>
        <w:endnoteReference w:id="42"/>
      </w:r>
      <w:r w:rsidRPr="00C917E2">
        <w:t xml:space="preserve"> The sexual reproductive health program targeting youth, one of the groups most highly vulnerable to HIV transmission, is focusing on prevention through behavior change and voluntary medical male circumcision, although the latter is an area quite new to the sector. The coverage of tuberculosis services is at 82 percent of smear-positive tuberculosis patients who completed treatment being cured</w:t>
      </w:r>
      <w:r w:rsidR="002C16B5">
        <w:t>,</w:t>
      </w:r>
      <w:r w:rsidRPr="00C917E2">
        <w:t xml:space="preserve"> against a global target of 85</w:t>
      </w:r>
      <w:r w:rsidR="006509AE">
        <w:t> percent</w:t>
      </w:r>
      <w:r w:rsidRPr="00C917E2">
        <w:t>.</w:t>
      </w:r>
      <w:r w:rsidR="00256B18">
        <w:rPr>
          <w:rStyle w:val="EndnoteReference"/>
        </w:rPr>
        <w:endnoteReference w:id="43"/>
      </w:r>
      <w:r w:rsidRPr="00C917E2">
        <w:t xml:space="preserve"> </w:t>
      </w:r>
    </w:p>
    <w:p w14:paraId="427B0BEE" w14:textId="77777777" w:rsidR="008B67F3" w:rsidRPr="00C917E2" w:rsidRDefault="008B67F3" w:rsidP="00233BC5">
      <w:pPr>
        <w:pStyle w:val="Heading3"/>
      </w:pPr>
      <w:bookmarkStart w:id="111" w:name="_Toc419004008"/>
      <w:r w:rsidRPr="00C917E2">
        <w:t>NCDs</w:t>
      </w:r>
      <w:bookmarkEnd w:id="111"/>
    </w:p>
    <w:p w14:paraId="058575AB" w14:textId="77777777" w:rsidR="008B67F3" w:rsidRPr="00C917E2" w:rsidRDefault="008B67F3" w:rsidP="00D37198">
      <w:pPr>
        <w:pStyle w:val="Numberpara"/>
      </w:pPr>
      <w:r w:rsidRPr="00C917E2">
        <w:t xml:space="preserve">The coverage of NCD interventions has generally been low. Current efforts include cervical cancer screening in selected districts as part of a national rollout plan. Discussions with key informants, including MOHCC officials, showed recognition of the need to strengthen NCD prevention efforts through awareness raising; increased coverage of early detection, screening and therapy (e.g. cryo-therapy for cancer of the cervix); and establishing health system mechanisms to manage chronic conditions. Among children </w:t>
      </w:r>
      <w:r w:rsidR="00B21355" w:rsidRPr="00C917E2">
        <w:t>with life</w:t>
      </w:r>
      <w:r w:rsidR="002C16B5">
        <w:t>-</w:t>
      </w:r>
      <w:r w:rsidR="00B21355" w:rsidRPr="00C917E2">
        <w:t>threatening and life</w:t>
      </w:r>
      <w:r w:rsidR="002C16B5">
        <w:t>-</w:t>
      </w:r>
      <w:r w:rsidR="00B21355" w:rsidRPr="00C917E2">
        <w:t xml:space="preserve">limiting conditions </w:t>
      </w:r>
      <w:r w:rsidRPr="00C917E2">
        <w:t xml:space="preserve">in South Africa, Zimbabwe, </w:t>
      </w:r>
      <w:r w:rsidR="002C16B5">
        <w:t xml:space="preserve">and </w:t>
      </w:r>
      <w:r w:rsidR="002C16B5" w:rsidRPr="00C917E2">
        <w:t xml:space="preserve">Kenya </w:t>
      </w:r>
      <w:r w:rsidRPr="00C917E2">
        <w:t xml:space="preserve">less than </w:t>
      </w:r>
      <w:r w:rsidR="00B21355" w:rsidRPr="00C917E2">
        <w:t>5</w:t>
      </w:r>
      <w:r w:rsidRPr="00C917E2">
        <w:t xml:space="preserve"> percent </w:t>
      </w:r>
      <w:r w:rsidR="00B21355" w:rsidRPr="00C917E2">
        <w:t>of those in</w:t>
      </w:r>
      <w:r w:rsidRPr="00C917E2">
        <w:t xml:space="preserve"> need of palliative care in </w:t>
      </w:r>
      <w:r w:rsidR="00B21355" w:rsidRPr="00C917E2">
        <w:t xml:space="preserve">South Africa </w:t>
      </w:r>
      <w:r w:rsidR="002C16B5">
        <w:t xml:space="preserve">and </w:t>
      </w:r>
      <w:r w:rsidR="002C16B5" w:rsidRPr="00C917E2">
        <w:t xml:space="preserve">Zimbabwe </w:t>
      </w:r>
      <w:r w:rsidR="00B21355" w:rsidRPr="00C917E2">
        <w:t>have</w:t>
      </w:r>
      <w:r w:rsidRPr="00C917E2">
        <w:t xml:space="preserve"> access </w:t>
      </w:r>
      <w:r w:rsidR="00B21355" w:rsidRPr="00C917E2">
        <w:t>to palliative care</w:t>
      </w:r>
      <w:r w:rsidR="002C16B5">
        <w:t>,</w:t>
      </w:r>
      <w:r w:rsidR="00B21355" w:rsidRPr="00C917E2">
        <w:t xml:space="preserve"> </w:t>
      </w:r>
      <w:r w:rsidR="002C16B5">
        <w:t xml:space="preserve">and in </w:t>
      </w:r>
      <w:r w:rsidR="00B21355" w:rsidRPr="00C917E2">
        <w:t>Ke</w:t>
      </w:r>
      <w:r w:rsidR="00A661F8" w:rsidRPr="00C917E2">
        <w:t>nya less than</w:t>
      </w:r>
      <w:r w:rsidR="00B21355" w:rsidRPr="00C917E2">
        <w:t xml:space="preserve"> 1</w:t>
      </w:r>
      <w:r w:rsidR="006509AE">
        <w:t> percent</w:t>
      </w:r>
      <w:r w:rsidRPr="00C917E2">
        <w:t>.</w:t>
      </w:r>
      <w:r w:rsidRPr="00C917E2">
        <w:rPr>
          <w:rStyle w:val="EndnoteReference"/>
        </w:rPr>
        <w:endnoteReference w:id="44"/>
      </w:r>
    </w:p>
    <w:p w14:paraId="6BFFCA2E" w14:textId="77777777" w:rsidR="008B67F3" w:rsidRPr="00C917E2" w:rsidRDefault="008B67F3" w:rsidP="00E73060"/>
    <w:p w14:paraId="4EFC353B" w14:textId="77777777" w:rsidR="008B67F3" w:rsidRPr="00C917E2" w:rsidRDefault="008B67F3" w:rsidP="00E73060">
      <w:pPr>
        <w:sectPr w:rsidR="008B67F3" w:rsidRPr="00C917E2" w:rsidSect="00B50A85">
          <w:headerReference w:type="default" r:id="rId49"/>
          <w:endnotePr>
            <w:numFmt w:val="decimal"/>
          </w:endnotePr>
          <w:pgSz w:w="11906" w:h="16838"/>
          <w:pgMar w:top="1440" w:right="1440" w:bottom="1440" w:left="1440" w:header="720" w:footer="720" w:gutter="0"/>
          <w:cols w:space="720"/>
          <w:docGrid w:linePitch="360"/>
        </w:sectPr>
      </w:pPr>
    </w:p>
    <w:p w14:paraId="3C92EF47" w14:textId="77777777" w:rsidR="008B67F3" w:rsidRPr="00C917E2" w:rsidRDefault="008B67F3" w:rsidP="00226FA8">
      <w:pPr>
        <w:pStyle w:val="Heading1"/>
      </w:pPr>
      <w:bookmarkStart w:id="112" w:name="_Toc401030254"/>
      <w:bookmarkStart w:id="113" w:name="_Toc401030915"/>
      <w:bookmarkStart w:id="114" w:name="_Toc419004009"/>
      <w:r w:rsidRPr="00C917E2">
        <w:lastRenderedPageBreak/>
        <w:t>3. Health Expenditures</w:t>
      </w:r>
      <w:bookmarkEnd w:id="112"/>
      <w:bookmarkEnd w:id="113"/>
      <w:bookmarkEnd w:id="114"/>
    </w:p>
    <w:tbl>
      <w:tblPr>
        <w:tblStyle w:val="TableGrid"/>
        <w:tblW w:w="0" w:type="auto"/>
        <w:shd w:val="clear" w:color="auto" w:fill="C6D9F1" w:themeFill="text2" w:themeFillTint="33"/>
        <w:tblLook w:val="04A0" w:firstRow="1" w:lastRow="0" w:firstColumn="1" w:lastColumn="0" w:noHBand="0" w:noVBand="1"/>
      </w:tblPr>
      <w:tblGrid>
        <w:gridCol w:w="9016"/>
      </w:tblGrid>
      <w:tr w:rsidR="008B67F3" w:rsidRPr="00C917E2" w14:paraId="1CBD571D" w14:textId="77777777" w:rsidTr="003A5510">
        <w:trPr>
          <w:trHeight w:val="1178"/>
        </w:trPr>
        <w:tc>
          <w:tcPr>
            <w:tcW w:w="9242" w:type="dxa"/>
            <w:shd w:val="clear" w:color="auto" w:fill="C6D9F1" w:themeFill="text2" w:themeFillTint="33"/>
          </w:tcPr>
          <w:p w14:paraId="6BF23E46" w14:textId="77777777" w:rsidR="008B67F3" w:rsidRPr="00C917E2" w:rsidRDefault="008B67F3" w:rsidP="00F252F4">
            <w:pPr>
              <w:pStyle w:val="KMtitle"/>
            </w:pPr>
            <w:r w:rsidRPr="00C917E2">
              <w:t>Key Messages</w:t>
            </w:r>
            <w:r w:rsidR="00AB5024" w:rsidRPr="00C917E2">
              <w:t>—</w:t>
            </w:r>
            <w:r w:rsidR="00D7327E" w:rsidRPr="00D7327E">
              <w:t>Section</w:t>
            </w:r>
            <w:r w:rsidR="00AB5024" w:rsidRPr="00C917E2">
              <w:t xml:space="preserve"> 3</w:t>
            </w:r>
          </w:p>
          <w:p w14:paraId="474BE835" w14:textId="77777777" w:rsidR="008B67F3" w:rsidRPr="00C917E2" w:rsidRDefault="00AB5024" w:rsidP="00F252F4">
            <w:pPr>
              <w:pStyle w:val="Heading6"/>
            </w:pPr>
            <w:r w:rsidRPr="00C917E2">
              <w:t xml:space="preserve">1. </w:t>
            </w:r>
            <w:r w:rsidR="00595ACF" w:rsidRPr="00C917E2">
              <w:t xml:space="preserve">Reversing Downtrends in Public Health </w:t>
            </w:r>
            <w:r w:rsidR="00F252F4" w:rsidRPr="00C917E2">
              <w:t>Spending</w:t>
            </w:r>
          </w:p>
          <w:p w14:paraId="46181EEE" w14:textId="77777777" w:rsidR="008B67F3" w:rsidRPr="0019307B" w:rsidRDefault="002C16B5" w:rsidP="00F252F4">
            <w:pPr>
              <w:pStyle w:val="KMpara"/>
            </w:pPr>
            <w:r w:rsidRPr="0019307B">
              <w:t xml:space="preserve">The </w:t>
            </w:r>
            <w:r w:rsidR="008B67F3" w:rsidRPr="0019307B">
              <w:t xml:space="preserve">general trend in developing countries has been to increase government responsibility in health care, </w:t>
            </w:r>
            <w:r w:rsidRPr="0019307B">
              <w:t xml:space="preserve">but </w:t>
            </w:r>
            <w:r w:rsidR="008B67F3" w:rsidRPr="0019307B">
              <w:t>in Zimbabwe</w:t>
            </w:r>
            <w:r w:rsidRPr="0019307B">
              <w:t>,</w:t>
            </w:r>
            <w:r w:rsidR="008B67F3" w:rsidRPr="0019307B">
              <w:t xml:space="preserve"> </w:t>
            </w:r>
            <w:r w:rsidRPr="0019307B">
              <w:t xml:space="preserve">economic crisis </w:t>
            </w:r>
            <w:r w:rsidR="008B67F3" w:rsidRPr="0019307B">
              <w:t>prompted the opposite trend</w:t>
            </w:r>
            <w:r w:rsidR="00F252F4" w:rsidRPr="0019307B">
              <w:t xml:space="preserve"> and,</w:t>
            </w:r>
            <w:r w:rsidR="008B67F3" w:rsidRPr="0019307B">
              <w:t xml:space="preserve"> </w:t>
            </w:r>
            <w:r w:rsidR="00F252F4" w:rsidRPr="0019307B">
              <w:t xml:space="preserve">despite some pickup in </w:t>
            </w:r>
            <w:r w:rsidR="008B67F3" w:rsidRPr="0019307B">
              <w:t>2009–1</w:t>
            </w:r>
            <w:r w:rsidR="00197E0D" w:rsidRPr="0019307B">
              <w:t>2</w:t>
            </w:r>
            <w:r w:rsidR="008B67F3" w:rsidRPr="0019307B">
              <w:t xml:space="preserve">, per capita spending is still lower than in most regional peers. Moreover, 2013’s </w:t>
            </w:r>
            <w:r w:rsidR="00F252F4" w:rsidRPr="0019307B">
              <w:t xml:space="preserve">and 2014’s </w:t>
            </w:r>
            <w:r w:rsidR="008B67F3" w:rsidRPr="0019307B">
              <w:t xml:space="preserve">health expenditures decreased in real terms and as a share of general government expenditures; budget allocations to health in 2015 also declined. </w:t>
            </w:r>
          </w:p>
          <w:p w14:paraId="26677CF6" w14:textId="77777777" w:rsidR="008B67F3" w:rsidRPr="00C917E2" w:rsidRDefault="00AB5024" w:rsidP="00F252F4">
            <w:pPr>
              <w:pStyle w:val="Heading6"/>
            </w:pPr>
            <w:r w:rsidRPr="00C917E2">
              <w:t xml:space="preserve">2. </w:t>
            </w:r>
            <w:r w:rsidR="00595ACF" w:rsidRPr="00C917E2">
              <w:t xml:space="preserve">Reallocating </w:t>
            </w:r>
            <w:r w:rsidR="008B67F3" w:rsidRPr="00C917E2">
              <w:t>Government Expenditure</w:t>
            </w:r>
            <w:r w:rsidR="00D258AD">
              <w:t>s</w:t>
            </w:r>
            <w:r w:rsidR="00595ACF" w:rsidRPr="00C917E2">
              <w:t xml:space="preserve"> More Efficiently</w:t>
            </w:r>
          </w:p>
          <w:p w14:paraId="6B319D71" w14:textId="77777777" w:rsidR="008B67F3" w:rsidRPr="0019307B" w:rsidRDefault="00F252F4" w:rsidP="00F252F4">
            <w:pPr>
              <w:pStyle w:val="KMpara"/>
            </w:pPr>
            <w:r w:rsidRPr="0019307B">
              <w:t xml:space="preserve">Labor </w:t>
            </w:r>
            <w:r w:rsidR="008B67F3" w:rsidRPr="0019307B">
              <w:t xml:space="preserve">outlays are </w:t>
            </w:r>
            <w:r w:rsidRPr="0019307B">
              <w:t xml:space="preserve">far too </w:t>
            </w:r>
            <w:r w:rsidR="008B67F3" w:rsidRPr="0019307B">
              <w:t>high share</w:t>
            </w:r>
            <w:r w:rsidRPr="0019307B">
              <w:t xml:space="preserve"> of public health spending</w:t>
            </w:r>
            <w:r w:rsidR="008B67F3" w:rsidRPr="0019307B">
              <w:t xml:space="preserve">, lowering system efficiency. </w:t>
            </w:r>
            <w:r w:rsidRPr="0019307B">
              <w:t xml:space="preserve">They are </w:t>
            </w:r>
            <w:r w:rsidR="008B67F3" w:rsidRPr="0019307B">
              <w:t xml:space="preserve">also unsustainable, especially </w:t>
            </w:r>
            <w:r w:rsidRPr="0019307B">
              <w:t xml:space="preserve">as </w:t>
            </w:r>
            <w:r w:rsidR="008B67F3" w:rsidRPr="0019307B">
              <w:t xml:space="preserve">wages are </w:t>
            </w:r>
            <w:r w:rsidRPr="0019307B">
              <w:t xml:space="preserve">generally </w:t>
            </w:r>
            <w:r w:rsidR="008B67F3" w:rsidRPr="0019307B">
              <w:t xml:space="preserve">inflexible downward and </w:t>
            </w:r>
            <w:r w:rsidRPr="0019307B">
              <w:t xml:space="preserve">as </w:t>
            </w:r>
            <w:r w:rsidR="008B67F3" w:rsidRPr="0019307B">
              <w:t xml:space="preserve">Zimbabwe is </w:t>
            </w:r>
            <w:r w:rsidR="00AE4043" w:rsidRPr="0019307B">
              <w:t xml:space="preserve">struggling to </w:t>
            </w:r>
            <w:r w:rsidR="008B67F3" w:rsidRPr="0019307B">
              <w:t xml:space="preserve">retain qualified personnel. </w:t>
            </w:r>
            <w:r w:rsidRPr="0019307B">
              <w:t>Further</w:t>
            </w:r>
            <w:r w:rsidR="008B67F3" w:rsidRPr="0019307B">
              <w:t xml:space="preserve">, too little funding goes to preventive and public health activities. Any new financing from the MOFED should first </w:t>
            </w:r>
            <w:r w:rsidRPr="0019307B">
              <w:t>go to these areas</w:t>
            </w:r>
            <w:r w:rsidR="008B67F3" w:rsidRPr="0019307B">
              <w:t xml:space="preserve">, </w:t>
            </w:r>
            <w:r w:rsidRPr="0019307B">
              <w:t xml:space="preserve">and to </w:t>
            </w:r>
            <w:r w:rsidR="008B67F3" w:rsidRPr="0019307B">
              <w:t xml:space="preserve">medical supplies and medicines. </w:t>
            </w:r>
            <w:r w:rsidRPr="0019307B">
              <w:t xml:space="preserve">Current </w:t>
            </w:r>
            <w:r w:rsidR="008B67F3" w:rsidRPr="0019307B">
              <w:t>budget classification</w:t>
            </w:r>
            <w:r w:rsidRPr="0019307B">
              <w:t xml:space="preserve">—largely curative </w:t>
            </w:r>
            <w:r w:rsidR="00672296" w:rsidRPr="0019307B">
              <w:t xml:space="preserve">not </w:t>
            </w:r>
            <w:r w:rsidRPr="0019307B">
              <w:t>preventive—does not allow any tracking of level of care, nor of some other public health expenditures. Revising this system sh</w:t>
            </w:r>
            <w:r w:rsidR="008B67F3" w:rsidRPr="0019307B">
              <w:t xml:space="preserve">ould improve accounting </w:t>
            </w:r>
            <w:r w:rsidRPr="0019307B">
              <w:t xml:space="preserve">for </w:t>
            </w:r>
            <w:r w:rsidR="008B67F3" w:rsidRPr="0019307B">
              <w:t xml:space="preserve">primary care activities </w:t>
            </w:r>
            <w:r w:rsidRPr="0019307B">
              <w:t>and thus resource allocation</w:t>
            </w:r>
            <w:r w:rsidR="008B67F3" w:rsidRPr="0019307B">
              <w:t xml:space="preserve">. </w:t>
            </w:r>
          </w:p>
          <w:p w14:paraId="6971DB1B" w14:textId="77777777" w:rsidR="008B67F3" w:rsidRPr="00C917E2" w:rsidRDefault="00AB5024" w:rsidP="00F252F4">
            <w:pPr>
              <w:pStyle w:val="Heading6"/>
            </w:pPr>
            <w:r w:rsidRPr="00C917E2">
              <w:t xml:space="preserve">3. </w:t>
            </w:r>
            <w:r w:rsidR="00595ACF" w:rsidRPr="00C917E2">
              <w:t xml:space="preserve">Coordinating </w:t>
            </w:r>
            <w:r w:rsidR="008B67F3" w:rsidRPr="00C917E2">
              <w:t xml:space="preserve">Donor–funded </w:t>
            </w:r>
            <w:r w:rsidR="00595ACF" w:rsidRPr="00C917E2">
              <w:t>Spending Better</w:t>
            </w:r>
            <w:r w:rsidR="008B67F3" w:rsidRPr="00C917E2">
              <w:tab/>
            </w:r>
          </w:p>
          <w:p w14:paraId="4FEF79BE" w14:textId="1CEFA113" w:rsidR="008B67F3" w:rsidRPr="0019307B" w:rsidRDefault="008B67F3" w:rsidP="00F252F4">
            <w:pPr>
              <w:pStyle w:val="KMpara"/>
            </w:pPr>
            <w:r w:rsidRPr="0019307B">
              <w:t>Donor spending per capita is</w:t>
            </w:r>
            <w:r w:rsidR="00B72993" w:rsidRPr="0019307B">
              <w:t xml:space="preserve"> </w:t>
            </w:r>
            <w:r w:rsidRPr="0019307B">
              <w:t>low in Zimbabwe</w:t>
            </w:r>
            <w:r w:rsidR="00197E0D" w:rsidRPr="0019307B">
              <w:t xml:space="preserve"> relative to regional peers</w:t>
            </w:r>
            <w:r w:rsidR="00595ACF" w:rsidRPr="0019307B">
              <w:t xml:space="preserve">, even if </w:t>
            </w:r>
            <w:r w:rsidRPr="0019307B">
              <w:t xml:space="preserve">the health system relies heavily on </w:t>
            </w:r>
            <w:r w:rsidR="003A5510" w:rsidRPr="0019307B">
              <w:t>it</w:t>
            </w:r>
            <w:r w:rsidR="00595ACF" w:rsidRPr="0019307B">
              <w:t xml:space="preserve">. </w:t>
            </w:r>
            <w:r w:rsidR="003A5510" w:rsidRPr="0019307B">
              <w:t xml:space="preserve">But more </w:t>
            </w:r>
            <w:r w:rsidR="00595ACF" w:rsidRPr="0019307B">
              <w:t xml:space="preserve">than simply increasing </w:t>
            </w:r>
            <w:r w:rsidR="003A5510" w:rsidRPr="0019307B">
              <w:t>such funding</w:t>
            </w:r>
            <w:r w:rsidR="00AE4043" w:rsidRPr="0019307B">
              <w:t xml:space="preserve">, </w:t>
            </w:r>
            <w:r w:rsidR="003A5510" w:rsidRPr="0019307B">
              <w:t xml:space="preserve">its </w:t>
            </w:r>
            <w:r w:rsidR="00FD3FB3" w:rsidRPr="0019307B">
              <w:t xml:space="preserve">efficiency </w:t>
            </w:r>
            <w:r w:rsidR="00595ACF" w:rsidRPr="0019307B">
              <w:t xml:space="preserve">and coordination with </w:t>
            </w:r>
            <w:r w:rsidR="00AE4043" w:rsidRPr="0019307B">
              <w:t>government</w:t>
            </w:r>
            <w:r w:rsidR="00595ACF" w:rsidRPr="0019307B">
              <w:t xml:space="preserve"> </w:t>
            </w:r>
            <w:r w:rsidR="003A5510" w:rsidRPr="0019307B">
              <w:t xml:space="preserve">spending plans </w:t>
            </w:r>
            <w:r w:rsidR="00AE4043" w:rsidRPr="0019307B">
              <w:t xml:space="preserve">need to be </w:t>
            </w:r>
            <w:r w:rsidR="002F3259" w:rsidRPr="0019307B">
              <w:t>strengthened</w:t>
            </w:r>
            <w:r w:rsidR="00FD3FB3" w:rsidRPr="0019307B">
              <w:t xml:space="preserve"> for proper prioritization</w:t>
            </w:r>
            <w:r w:rsidR="00292501" w:rsidRPr="0019307B">
              <w:t xml:space="preserve"> and achieving better value for money</w:t>
            </w:r>
            <w:r w:rsidRPr="0019307B">
              <w:t>.</w:t>
            </w:r>
          </w:p>
          <w:p w14:paraId="311E4D2F" w14:textId="77777777" w:rsidR="008B67F3" w:rsidRPr="00C917E2" w:rsidRDefault="00AB5024" w:rsidP="00F252F4">
            <w:pPr>
              <w:pStyle w:val="Heading6"/>
            </w:pPr>
            <w:r w:rsidRPr="00C917E2">
              <w:t xml:space="preserve">4. </w:t>
            </w:r>
            <w:r w:rsidR="006C0672" w:rsidRPr="00C917E2">
              <w:t xml:space="preserve">Reducing </w:t>
            </w:r>
            <w:r w:rsidR="008B67F3" w:rsidRPr="00C917E2">
              <w:t>Household Spending</w:t>
            </w:r>
            <w:r w:rsidR="006C0672" w:rsidRPr="00C917E2">
              <w:t xml:space="preserve"> on Health</w:t>
            </w:r>
          </w:p>
          <w:p w14:paraId="7283D1C6" w14:textId="30030C87" w:rsidR="008B67F3" w:rsidRPr="0019307B" w:rsidRDefault="00595ACF" w:rsidP="00F252F4">
            <w:pPr>
              <w:pStyle w:val="KMpara"/>
            </w:pPr>
            <w:r w:rsidRPr="0019307B">
              <w:t xml:space="preserve">User </w:t>
            </w:r>
            <w:r w:rsidR="008B67F3" w:rsidRPr="0019307B">
              <w:t>fees are still one of the biggest sources for government service providers</w:t>
            </w:r>
            <w:r w:rsidRPr="0019307B">
              <w:t>,</w:t>
            </w:r>
            <w:r w:rsidR="00AE4043" w:rsidRPr="0019307B">
              <w:t xml:space="preserve"> </w:t>
            </w:r>
            <w:r w:rsidR="008B67F3" w:rsidRPr="0019307B">
              <w:t>deter</w:t>
            </w:r>
            <w:r w:rsidR="00AE4043" w:rsidRPr="0019307B">
              <w:t xml:space="preserve">ring </w:t>
            </w:r>
            <w:r w:rsidRPr="0019307B">
              <w:t xml:space="preserve">many from </w:t>
            </w:r>
            <w:r w:rsidR="008B67F3" w:rsidRPr="0019307B">
              <w:t>seek</w:t>
            </w:r>
            <w:r w:rsidRPr="0019307B">
              <w:t>ing</w:t>
            </w:r>
            <w:r w:rsidR="008B67F3" w:rsidRPr="0019307B">
              <w:t xml:space="preserve"> health care</w:t>
            </w:r>
            <w:r w:rsidRPr="0019307B">
              <w:t xml:space="preserve"> </w:t>
            </w:r>
            <w:r w:rsidR="008B67F3" w:rsidRPr="0019307B">
              <w:t xml:space="preserve">at every income level. While </w:t>
            </w:r>
            <w:r w:rsidR="00A03C0F" w:rsidRPr="0019307B">
              <w:t>out-of-pocket (</w:t>
            </w:r>
            <w:r w:rsidR="008B67F3" w:rsidRPr="0019307B">
              <w:t>OOP</w:t>
            </w:r>
            <w:r w:rsidR="00A03C0F" w:rsidRPr="0019307B">
              <w:t>)</w:t>
            </w:r>
            <w:r w:rsidR="008B67F3" w:rsidRPr="0019307B">
              <w:t xml:space="preserve"> </w:t>
            </w:r>
            <w:r w:rsidR="00D258AD" w:rsidRPr="0019307B">
              <w:t xml:space="preserve">spending is </w:t>
            </w:r>
            <w:r w:rsidR="008B67F3" w:rsidRPr="0019307B">
              <w:t>distributed progressively, a strong regressive pattern is found by type of health facilities accessed by different socioeconomic groups. The great majority of the poor use</w:t>
            </w:r>
            <w:r w:rsidR="00FD3FB3" w:rsidRPr="0019307B">
              <w:t xml:space="preserve"> primary</w:t>
            </w:r>
            <w:r w:rsidR="008B67F3" w:rsidRPr="0019307B">
              <w:t xml:space="preserve"> health facilities for inpatient care.</w:t>
            </w:r>
            <w:r w:rsidR="00AE4043" w:rsidRPr="0019307B">
              <w:t xml:space="preserve"> Health care should be made more affordable.</w:t>
            </w:r>
            <w:r w:rsidR="006C0672" w:rsidRPr="0019307B">
              <w:t xml:space="preserve"> </w:t>
            </w:r>
            <w:r w:rsidR="006A3AE8" w:rsidRPr="0019307B">
              <w:t xml:space="preserve">Spending on private </w:t>
            </w:r>
            <w:r w:rsidR="008B67F3" w:rsidRPr="0019307B">
              <w:t>and parastatal health insurance</w:t>
            </w:r>
            <w:r w:rsidR="00AE4043" w:rsidRPr="0019307B">
              <w:t xml:space="preserve"> for </w:t>
            </w:r>
            <w:r w:rsidR="008B67F3" w:rsidRPr="0019307B">
              <w:t>government and large</w:t>
            </w:r>
            <w:r w:rsidR="00AE4043" w:rsidRPr="0019307B">
              <w:t>-</w:t>
            </w:r>
            <w:r w:rsidR="008B67F3" w:rsidRPr="0019307B">
              <w:t>compan</w:t>
            </w:r>
            <w:r w:rsidR="00AE4043" w:rsidRPr="0019307B">
              <w:t>y workers is appreciable</w:t>
            </w:r>
            <w:r w:rsidR="008B67F3" w:rsidRPr="0019307B">
              <w:t xml:space="preserve">, </w:t>
            </w:r>
            <w:r w:rsidR="00AE4043" w:rsidRPr="0019307B">
              <w:t xml:space="preserve">despite their small </w:t>
            </w:r>
            <w:r w:rsidR="008B67F3" w:rsidRPr="0019307B">
              <w:t>membership</w:t>
            </w:r>
            <w:r w:rsidR="00AE4043" w:rsidRPr="0019307B">
              <w:t>s</w:t>
            </w:r>
            <w:r w:rsidR="008B67F3" w:rsidRPr="0019307B">
              <w:t xml:space="preserve">. </w:t>
            </w:r>
            <w:r w:rsidR="006A3AE8" w:rsidRPr="0019307B">
              <w:t>Such options a</w:t>
            </w:r>
            <w:r w:rsidR="003A5510" w:rsidRPr="0019307B">
              <w:t>r</w:t>
            </w:r>
            <w:r w:rsidR="006A3AE8" w:rsidRPr="0019307B">
              <w:t xml:space="preserve">e </w:t>
            </w:r>
            <w:r w:rsidR="008B67F3" w:rsidRPr="0019307B">
              <w:t xml:space="preserve">almost nonexistent </w:t>
            </w:r>
            <w:r w:rsidR="006A3AE8" w:rsidRPr="0019307B">
              <w:t>for rural dwellers</w:t>
            </w:r>
            <w:r w:rsidR="008B67F3" w:rsidRPr="0019307B">
              <w:t>.</w:t>
            </w:r>
          </w:p>
          <w:p w14:paraId="461380A1" w14:textId="420FE671" w:rsidR="008B67F3" w:rsidRPr="00C917E2" w:rsidRDefault="00AB5024" w:rsidP="00F252F4">
            <w:pPr>
              <w:pStyle w:val="Heading6"/>
            </w:pPr>
            <w:r w:rsidRPr="00C917E2">
              <w:t xml:space="preserve">5. </w:t>
            </w:r>
            <w:r w:rsidR="002F3259">
              <w:t xml:space="preserve">Better Accounting </w:t>
            </w:r>
            <w:r w:rsidR="00281BB8" w:rsidRPr="00C917E2">
              <w:t xml:space="preserve">to </w:t>
            </w:r>
            <w:r w:rsidR="002F3259">
              <w:t xml:space="preserve">Achieve </w:t>
            </w:r>
            <w:r w:rsidR="00281BB8" w:rsidRPr="00C917E2">
              <w:t>Precrisis Spending Efficiency</w:t>
            </w:r>
          </w:p>
          <w:p w14:paraId="753A894F" w14:textId="77777777" w:rsidR="008B67F3" w:rsidRPr="0019307B" w:rsidRDefault="003A5510" w:rsidP="00F252F4">
            <w:pPr>
              <w:pStyle w:val="KMpara"/>
            </w:pPr>
            <w:r w:rsidRPr="0019307B">
              <w:t xml:space="preserve">Before the crisis </w:t>
            </w:r>
            <w:r w:rsidR="008B67F3" w:rsidRPr="0019307B">
              <w:t xml:space="preserve">Zimbabwe </w:t>
            </w:r>
            <w:r w:rsidRPr="0019307B">
              <w:t xml:space="preserve">seems to have </w:t>
            </w:r>
            <w:r w:rsidR="00D258AD" w:rsidRPr="0019307B">
              <w:t xml:space="preserve">been </w:t>
            </w:r>
            <w:r w:rsidR="008B67F3" w:rsidRPr="0019307B">
              <w:t xml:space="preserve">one of the most efficient countries for achieving better outcomes for less public money, but it lost this advantage after the crisis. Simply raising </w:t>
            </w:r>
            <w:r w:rsidRPr="0019307B">
              <w:t xml:space="preserve">public spending will not achieve much </w:t>
            </w:r>
            <w:r w:rsidR="008B67F3" w:rsidRPr="0019307B">
              <w:t>unless resource allocation is improved.</w:t>
            </w:r>
            <w:r w:rsidR="00281BB8" w:rsidRPr="0019307B">
              <w:t xml:space="preserve"> The government may well wish to </w:t>
            </w:r>
            <w:r w:rsidR="008B67F3" w:rsidRPr="0019307B">
              <w:t>consider a disaggregated budget allocation and reporting system that recognizes different geographic areas, levels of care, and facilities</w:t>
            </w:r>
            <w:r w:rsidR="00281BB8" w:rsidRPr="0019307B">
              <w:t xml:space="preserve">, as well as </w:t>
            </w:r>
            <w:r w:rsidR="008B67F3" w:rsidRPr="0019307B">
              <w:t>more decentralized budgeting systems</w:t>
            </w:r>
            <w:r w:rsidR="00281BB8" w:rsidRPr="0019307B">
              <w:t xml:space="preserve">, including </w:t>
            </w:r>
            <w:r w:rsidR="008B67F3" w:rsidRPr="0019307B">
              <w:t xml:space="preserve">management of community-responsive funds. </w:t>
            </w:r>
            <w:r w:rsidR="00281BB8" w:rsidRPr="0019307B">
              <w:t xml:space="preserve">Greater clarity on </w:t>
            </w:r>
            <w:r w:rsidR="008B67F3" w:rsidRPr="0019307B">
              <w:t xml:space="preserve">budget appropriation and allocation </w:t>
            </w:r>
            <w:r w:rsidR="00281BB8" w:rsidRPr="0019307B">
              <w:t xml:space="preserve">rules is needed, among which spending </w:t>
            </w:r>
            <w:r w:rsidR="008B67F3" w:rsidRPr="0019307B">
              <w:t>priorities need to be determined at the start of the budget process at program level (that is, by function).</w:t>
            </w:r>
          </w:p>
          <w:p w14:paraId="61B2A052" w14:textId="77777777" w:rsidR="008B67F3" w:rsidRPr="00C917E2" w:rsidRDefault="00281BB8" w:rsidP="00EB2A16">
            <w:pPr>
              <w:pStyle w:val="KMpara"/>
            </w:pPr>
            <w:r w:rsidRPr="0019307B">
              <w:t xml:space="preserve">A major stumbling block is that, while the district is the lowest administrative unit, data at that level are unavailable. A </w:t>
            </w:r>
            <w:r w:rsidR="00EB2A16" w:rsidRPr="0019307B">
              <w:t xml:space="preserve">public financial management </w:t>
            </w:r>
            <w:r w:rsidRPr="0019307B">
              <w:t xml:space="preserve">system rolled out to districts would enable on-time tracking of expenditures, </w:t>
            </w:r>
            <w:r w:rsidR="008B67F3" w:rsidRPr="0019307B">
              <w:t>strengthen</w:t>
            </w:r>
            <w:r w:rsidRPr="0019307B">
              <w:t>ing</w:t>
            </w:r>
            <w:r w:rsidR="008B67F3" w:rsidRPr="0019307B">
              <w:t xml:space="preserve"> </w:t>
            </w:r>
            <w:r w:rsidRPr="0019307B">
              <w:t xml:space="preserve">the </w:t>
            </w:r>
            <w:r w:rsidR="008B67F3" w:rsidRPr="0019307B">
              <w:t>capacity of the Finance and Administration Directorate to monitor budget execution and reporting.</w:t>
            </w:r>
          </w:p>
        </w:tc>
      </w:tr>
    </w:tbl>
    <w:p w14:paraId="26C3A78A" w14:textId="77777777" w:rsidR="008B67F3" w:rsidRPr="00C917E2" w:rsidRDefault="008B67F3" w:rsidP="00330FAD"/>
    <w:p w14:paraId="3AFF0EDB" w14:textId="77777777" w:rsidR="008B67F3" w:rsidRPr="00C917E2" w:rsidRDefault="008B67F3" w:rsidP="00D37198">
      <w:pPr>
        <w:pStyle w:val="Numberpara"/>
      </w:pPr>
      <w:r w:rsidRPr="00C917E2">
        <w:lastRenderedPageBreak/>
        <w:t xml:space="preserve">This section examines health-system expenditures by financing agent with special attention to efficiency and equity considerations within the limits imposed by data availability. There is no reliable estimate of total health expenditure in Zimbabwe. The latest NHA was conducted in 2010 when the country was emerging from an economic crisis, and the volatility of the pricing and currency at the time made it essentially impossible to consistently come up with expenditure figures, not only from the households, but also from different institutions and donors. The report therefore makes minimal references to NHA 2010 results. Relative magnitudes, however, should carry some meaning. They indicate that households are by far the largest source of funding, while foreign aid is the second largest (before domestic public resources), although large fluctuations in foreign aid </w:t>
      </w:r>
      <w:r w:rsidR="00163154" w:rsidRPr="00C917E2">
        <w:t>(</w:t>
      </w:r>
      <w:r w:rsidR="00C713A9" w:rsidRPr="00C917E2">
        <w:fldChar w:fldCharType="begin"/>
      </w:r>
      <w:r w:rsidR="00163154" w:rsidRPr="00C917E2">
        <w:instrText xml:space="preserve"> REF _Ref412006003 \h </w:instrText>
      </w:r>
      <w:r w:rsidR="00C713A9" w:rsidRPr="00C917E2">
        <w:fldChar w:fldCharType="separate"/>
      </w:r>
      <w:r w:rsidR="003732A2" w:rsidRPr="00C917E2">
        <w:t xml:space="preserve">Figure </w:t>
      </w:r>
      <w:r w:rsidR="003732A2">
        <w:rPr>
          <w:noProof/>
        </w:rPr>
        <w:t>30</w:t>
      </w:r>
      <w:r w:rsidR="00C713A9" w:rsidRPr="00C917E2">
        <w:fldChar w:fldCharType="end"/>
      </w:r>
      <w:r w:rsidR="00A661F8" w:rsidRPr="00C917E2">
        <w:t xml:space="preserve"> below</w:t>
      </w:r>
      <w:r w:rsidR="00163154" w:rsidRPr="00C917E2">
        <w:t xml:space="preserve">) </w:t>
      </w:r>
      <w:r w:rsidRPr="00C917E2">
        <w:t>likely reverse the order of domestic and external public funds in some years.</w:t>
      </w:r>
    </w:p>
    <w:p w14:paraId="65E9CA76" w14:textId="77777777" w:rsidR="008B67F3" w:rsidRPr="00627291" w:rsidRDefault="008B67F3" w:rsidP="00D37198">
      <w:pPr>
        <w:pStyle w:val="Numberpara"/>
      </w:pPr>
      <w:r w:rsidRPr="00627291">
        <w:t xml:space="preserve">The MOHCC is working on a plan to institutionalize the NHA in Zimbabwe, which will entail estimating an NHA every year. While such frequency is unlikely to be needed, an attempt to produce NHA estimates regularly is a welcome step. It is important for the MOHCC to work with ZIMSTAT to design a more elaborate health module to be incorporated in the PICES, which will be conducted at regular intervals, possibly every four years. The Bank and other partners can provide technical assistance in finalizing such a module. </w:t>
      </w:r>
    </w:p>
    <w:p w14:paraId="55090814" w14:textId="77777777" w:rsidR="008B67F3" w:rsidRPr="00627291" w:rsidRDefault="008B67F3" w:rsidP="00D37198">
      <w:pPr>
        <w:pStyle w:val="Numberpara"/>
      </w:pPr>
      <w:r w:rsidRPr="00627291">
        <w:t>Although there is no alternative to an NHA for providing a complete picture of health financing and expenditure, important insights can be gained from more recent and reliable data from other sources. They include detailed information from the MOFED on MOHCC expenditures, HIV/AIDS financing and expenditures from the NAC, partial information from donors and the private sector, the 2011/12 PICES, and household and facility surveys conducted in 32 rural districts as part of the 2014 midline impact evaluation of the RBF.</w:t>
      </w:r>
      <w:r w:rsidRPr="00627291">
        <w:rPr>
          <w:vertAlign w:val="superscript"/>
        </w:rPr>
        <w:endnoteReference w:id="45"/>
      </w:r>
      <w:r w:rsidRPr="00627291">
        <w:t xml:space="preserve"> </w:t>
      </w:r>
    </w:p>
    <w:p w14:paraId="5687C0BB" w14:textId="77777777" w:rsidR="008B67F3" w:rsidRPr="00C917E2" w:rsidRDefault="008B67F3" w:rsidP="00D37198">
      <w:pPr>
        <w:pStyle w:val="Numberpara"/>
      </w:pPr>
      <w:r w:rsidRPr="00C917E2">
        <w:t>Using these sources of data, three main sources of health expenditure are examined: government (including notably the MOHCC and NAC), donors, and the private sector (principally households through OOP spending and private prepayment schemes). The section concludes with an analysis of Zimbabwe’s public expenditure performance, making the link between expenditure and health outcomes.</w:t>
      </w:r>
    </w:p>
    <w:p w14:paraId="30F99B21" w14:textId="77777777" w:rsidR="008B67F3" w:rsidRPr="00C917E2" w:rsidRDefault="008B67F3" w:rsidP="00226FA8">
      <w:pPr>
        <w:pStyle w:val="Heading2"/>
      </w:pPr>
      <w:bookmarkStart w:id="115" w:name="_Toc401030255"/>
      <w:bookmarkStart w:id="116" w:name="_Toc401030916"/>
      <w:bookmarkStart w:id="117" w:name="_Toc419004010"/>
      <w:r w:rsidRPr="00C917E2">
        <w:t>3.1 Government Health Expenditure</w:t>
      </w:r>
      <w:bookmarkEnd w:id="115"/>
      <w:bookmarkEnd w:id="116"/>
      <w:r w:rsidRPr="00C917E2">
        <w:t>s</w:t>
      </w:r>
      <w:bookmarkEnd w:id="117"/>
    </w:p>
    <w:p w14:paraId="72C1089E" w14:textId="77777777" w:rsidR="008B67F3" w:rsidRPr="00C917E2" w:rsidRDefault="008B67F3" w:rsidP="00320F82">
      <w:pPr>
        <w:pStyle w:val="Heading3"/>
      </w:pPr>
      <w:bookmarkStart w:id="118" w:name="_Toc401030256"/>
      <w:bookmarkStart w:id="119" w:name="_Toc401030917"/>
      <w:bookmarkStart w:id="120" w:name="_Toc419004011"/>
      <w:r w:rsidRPr="00C917E2">
        <w:t>Overview</w:t>
      </w:r>
      <w:bookmarkEnd w:id="118"/>
      <w:bookmarkEnd w:id="119"/>
      <w:bookmarkEnd w:id="120"/>
    </w:p>
    <w:p w14:paraId="7274881C" w14:textId="77777777" w:rsidR="008B67F3" w:rsidRPr="00C917E2" w:rsidRDefault="008B67F3" w:rsidP="00D37198">
      <w:pPr>
        <w:pStyle w:val="Numberpara"/>
      </w:pPr>
      <w:r w:rsidRPr="00C917E2">
        <w:t>In 2013, government health expenditures (GHE) were at least 2.9 percent of GDP</w:t>
      </w:r>
      <w:r w:rsidR="00D05AF5">
        <w:t>,</w:t>
      </w:r>
      <w:r w:rsidRPr="00C917E2">
        <w:t xml:space="preserve"> or about US$29 per capita.</w:t>
      </w:r>
      <w:r w:rsidRPr="00C917E2">
        <w:rPr>
          <w:rStyle w:val="EndnoteReference"/>
        </w:rPr>
        <w:endnoteReference w:id="46"/>
      </w:r>
      <w:r w:rsidRPr="00C917E2">
        <w:t xml:space="preserve"> As a share of GDP, this is close to the 2012 SSA and </w:t>
      </w:r>
      <w:r w:rsidR="00D05AF5" w:rsidRPr="00D05AF5">
        <w:t xml:space="preserve">low-income country </w:t>
      </w:r>
      <w:r w:rsidR="00D05AF5">
        <w:t>(</w:t>
      </w:r>
      <w:r w:rsidRPr="00C917E2">
        <w:t>LIC</w:t>
      </w:r>
      <w:r w:rsidR="00D05AF5">
        <w:t>)</w:t>
      </w:r>
      <w:r w:rsidRPr="00C917E2">
        <w:t xml:space="preserve"> averages respectively at 3.1 percent and 2.7 percent of GDP, and equal to the 2012 average of African LICs. </w:t>
      </w:r>
      <w:bookmarkStart w:id="121" w:name="_Toc262084730"/>
      <w:r w:rsidRPr="00C917E2">
        <w:t xml:space="preserve">In per capita terms, it is well above the 2012 average of US$15 in LICs but well below the 2012 average of US$68 in the World Bank SSA region. </w:t>
      </w:r>
    </w:p>
    <w:p w14:paraId="7B969DF8" w14:textId="77777777" w:rsidR="008B67F3" w:rsidRPr="00627291" w:rsidRDefault="008B67F3" w:rsidP="00D37198">
      <w:pPr>
        <w:pStyle w:val="Numberpara"/>
      </w:pPr>
      <w:r w:rsidRPr="00C917E2">
        <w:t xml:space="preserve">International comparisons are complicated by the fact that most African countries’ GHE figures include a larger proportion of foreign aid on budget than is the case for Zimbabwe; and GHE data normally include all expenditure from local governments, which is not the case here. The largest difference would stem from the size of foreign aid in GHE: indeed, </w:t>
      </w:r>
      <w:r w:rsidR="006D69B0">
        <w:t xml:space="preserve">almost all </w:t>
      </w:r>
      <w:r w:rsidR="006D69B0" w:rsidRPr="0028044E">
        <w:t>official development assistance (ODA)</w:t>
      </w:r>
      <w:r w:rsidRPr="00C917E2">
        <w:t xml:space="preserve"> for health in Zimbabwe has been channeled off budget in the period considered</w:t>
      </w:r>
      <w:r w:rsidR="00EB208C">
        <w:t xml:space="preserve">. </w:t>
      </w:r>
      <w:r w:rsidRPr="00C917E2">
        <w:t xml:space="preserve">In addition, no data could be obtained on local GHE financed by local taxes and fees; the NHA 2010 suggests that the contribution of local governments to GHE decreased sharply over 2001–10 from about 10 percent to less than 3 percent of total GHE. This </w:t>
      </w:r>
      <w:r w:rsidR="006D69B0">
        <w:t xml:space="preserve">fall </w:t>
      </w:r>
      <w:r w:rsidRPr="00C917E2">
        <w:t xml:space="preserve">contributes to the downward bias in the GHE figures reported for Zimbabwe, but is small enough not </w:t>
      </w:r>
      <w:r w:rsidR="006D69B0">
        <w:t xml:space="preserve">to </w:t>
      </w:r>
      <w:r w:rsidRPr="00627291">
        <w:t>affect government expenditure analysis overall.</w:t>
      </w:r>
    </w:p>
    <w:bookmarkEnd w:id="121"/>
    <w:p w14:paraId="5C37206A" w14:textId="77777777" w:rsidR="008B67F3" w:rsidRPr="00627291" w:rsidRDefault="008B67F3" w:rsidP="00D37198">
      <w:pPr>
        <w:pStyle w:val="Numberpara"/>
      </w:pPr>
      <w:r w:rsidRPr="00627291">
        <w:lastRenderedPageBreak/>
        <w:t xml:space="preserve">Estimated trends suggest that GHE reached a very low point in 2009 but rapidly recovered, before showing signs of weakness in 2013. According to the WHO Government Health Expenditure Database (GHED), per capita </w:t>
      </w:r>
      <w:r w:rsidR="00BF7DFF" w:rsidRPr="00627291">
        <w:t xml:space="preserve">GHE </w:t>
      </w:r>
      <w:r w:rsidRPr="00627291">
        <w:t>were US$31 in 2000 and US$25 in 2001. These are the only two years for which data are available in an internationally comparable database for Zimbabwe.</w:t>
      </w:r>
      <w:r w:rsidRPr="00627291">
        <w:rPr>
          <w:vertAlign w:val="superscript"/>
        </w:rPr>
        <w:endnoteReference w:id="47"/>
      </w:r>
      <w:r w:rsidRPr="00627291">
        <w:t xml:space="preserve"> Based on MOHCC expenditure trends and assuming that the share of MOHCC expenditures in GHE remained constant, GHE per capita increased from about US$8 in 2009 to US$32 in 2012.</w:t>
      </w:r>
      <w:r w:rsidRPr="00627291">
        <w:rPr>
          <w:vertAlign w:val="superscript"/>
        </w:rPr>
        <w:endnoteReference w:id="48"/>
      </w:r>
      <w:r w:rsidRPr="00627291">
        <w:t xml:space="preserve"> This represent a full recovery relative to the 2000 figure in nominal terms and a threefold increase in real terms over 2009–12. However, 2013 marked the first year when expenditure of the MOHCC decrease</w:t>
      </w:r>
      <w:r w:rsidR="004F1105" w:rsidRPr="00627291">
        <w:t>d since the adoption of a multi</w:t>
      </w:r>
      <w:r w:rsidRPr="00627291">
        <w:t>currency regime in 2009 (whether in nominal, per capita, or share of GDP terms), translating into an estimated per capita GHE of US$29.</w:t>
      </w:r>
      <w:r w:rsidRPr="00627291">
        <w:rPr>
          <w:vertAlign w:val="superscript"/>
        </w:rPr>
        <w:endnoteReference w:id="49"/>
      </w:r>
    </w:p>
    <w:p w14:paraId="49E35CF2" w14:textId="77777777" w:rsidR="008B67F3" w:rsidRPr="00C917E2" w:rsidRDefault="008B67F3" w:rsidP="00D37198">
      <w:pPr>
        <w:pStyle w:val="Numberpara"/>
      </w:pPr>
      <w:r w:rsidRPr="00C917E2">
        <w:t xml:space="preserve">Within central government, health-related funding is channeled primarily through the MOHCC, but also </w:t>
      </w:r>
      <w:r w:rsidR="00727018">
        <w:t xml:space="preserve">goes </w:t>
      </w:r>
      <w:r w:rsidRPr="00C917E2">
        <w:t>through other government agencies such as ministries (including those responsible for defense, justice, home affairs, and labor) and the Workman’s Compensation Fund for injuries at work of the National Social Security Authority. Through the Ministry of Public Service, Labour and Social Welfare, the government allocates funds to a quasi-public medical aid scheme (Premier Services Medical Aid Society). These funds are meant as a coinsurance contribution for public sector workers and their families. Through a social protection assistance program known as the Assisted Medical Treatment Orders, the government also allocates targeted funds for poor and vulnerable people such as the elderly, under-fives, and those earning less than a set threshold of income.</w:t>
      </w:r>
      <w:r w:rsidRPr="00C917E2">
        <w:rPr>
          <w:rStyle w:val="EndnoteReference"/>
        </w:rPr>
        <w:endnoteReference w:id="50"/>
      </w:r>
      <w:r w:rsidRPr="00C917E2">
        <w:t xml:space="preserve"> In addition, the NAC constitutes an important source of funding for HIV/AIDS prevention, treatment, care, and support initiatives. </w:t>
      </w:r>
    </w:p>
    <w:p w14:paraId="327192F8" w14:textId="77777777" w:rsidR="008B67F3" w:rsidRDefault="008B67F3" w:rsidP="00D37198">
      <w:pPr>
        <w:pStyle w:val="Numberpara"/>
      </w:pPr>
      <w:r w:rsidRPr="00C917E2">
        <w:t>Central government expenditure in current US$ from the three main GHE sources in 2013 was US$379 million: US$268.5 million through the MOHCC; US$74.6 million through MOF</w:t>
      </w:r>
      <w:r w:rsidR="00CC2D5F">
        <w:t>ED</w:t>
      </w:r>
      <w:r w:rsidRPr="00C917E2">
        <w:t xml:space="preserve"> via other government entities including the Premier Services Medical Aid Society; and US$35.8 million through NAC (</w:t>
      </w:r>
      <w:r w:rsidR="00C713A9" w:rsidRPr="00C917E2">
        <w:fldChar w:fldCharType="begin"/>
      </w:r>
      <w:r w:rsidRPr="00C917E2">
        <w:instrText xml:space="preserve"> REF _Ref413724050 \h </w:instrText>
      </w:r>
      <w:r w:rsidR="00C713A9" w:rsidRPr="00C917E2">
        <w:fldChar w:fldCharType="separate"/>
      </w:r>
      <w:r w:rsidR="003732A2" w:rsidRPr="00C917E2">
        <w:t xml:space="preserve">Figure </w:t>
      </w:r>
      <w:r w:rsidR="003732A2">
        <w:rPr>
          <w:noProof/>
        </w:rPr>
        <w:t>20</w:t>
      </w:r>
      <w:r w:rsidR="00C713A9" w:rsidRPr="00C917E2">
        <w:fldChar w:fldCharType="end"/>
      </w:r>
      <w:r w:rsidRPr="00C917E2">
        <w:t>).</w:t>
      </w:r>
      <w:r w:rsidRPr="00C917E2">
        <w:rPr>
          <w:rStyle w:val="EndnoteReference"/>
        </w:rPr>
        <w:endnoteReference w:id="51"/>
      </w:r>
      <w:r w:rsidRPr="00C917E2">
        <w:t xml:space="preserve"> </w:t>
      </w:r>
      <w:r w:rsidR="00727018">
        <w:t xml:space="preserve">The </w:t>
      </w:r>
      <w:r w:rsidRPr="00C917E2">
        <w:t xml:space="preserve">government </w:t>
      </w:r>
      <w:r w:rsidR="001D5260">
        <w:t xml:space="preserve">health </w:t>
      </w:r>
      <w:r w:rsidRPr="00C917E2">
        <w:t xml:space="preserve">spending channeled through the MOHCC </w:t>
      </w:r>
      <w:r w:rsidR="00727018">
        <w:t xml:space="preserve">comes to around </w:t>
      </w:r>
      <w:r w:rsidRPr="00C917E2">
        <w:t>70</w:t>
      </w:r>
      <w:r w:rsidR="00727018">
        <w:t> </w:t>
      </w:r>
      <w:r w:rsidRPr="00C917E2">
        <w:t>percent. Health spending of other ministries, although slightly underestimated here, is not significant if we consider that spending on the Premier Services Medical Aid Society alone, which is included in the amount for other ministries, accounted for roughly US$70 million.</w:t>
      </w:r>
      <w:r w:rsidRPr="00C917E2">
        <w:rPr>
          <w:rStyle w:val="EndnoteReference"/>
        </w:rPr>
        <w:t xml:space="preserve"> </w:t>
      </w:r>
      <w:r w:rsidRPr="00C917E2">
        <w:rPr>
          <w:rStyle w:val="EndnoteReference"/>
        </w:rPr>
        <w:endnoteReference w:id="52"/>
      </w:r>
      <w:r w:rsidR="00B72993" w:rsidRPr="00C917E2">
        <w:t xml:space="preserve"> </w:t>
      </w:r>
    </w:p>
    <w:p w14:paraId="4A2012E1" w14:textId="77777777" w:rsidR="00727018" w:rsidRPr="00C917E2" w:rsidRDefault="00727018" w:rsidP="00727018">
      <w:pPr>
        <w:pStyle w:val="Figure"/>
      </w:pPr>
      <w:bookmarkStart w:id="122" w:name="_Ref413724050"/>
      <w:bookmarkStart w:id="123" w:name="_Toc419004101"/>
      <w:r w:rsidRPr="00C917E2">
        <w:t xml:space="preserve">Figure </w:t>
      </w:r>
      <w:r w:rsidR="00113462">
        <w:fldChar w:fldCharType="begin"/>
      </w:r>
      <w:r w:rsidR="00113462">
        <w:instrText xml:space="preserve"> SEQ Figure \* ARABIC </w:instrText>
      </w:r>
      <w:r w:rsidR="00113462">
        <w:fldChar w:fldCharType="separate"/>
      </w:r>
      <w:r w:rsidR="003732A2">
        <w:rPr>
          <w:noProof/>
        </w:rPr>
        <w:t>20</w:t>
      </w:r>
      <w:r w:rsidR="00113462">
        <w:rPr>
          <w:noProof/>
        </w:rPr>
        <w:fldChar w:fldCharType="end"/>
      </w:r>
      <w:bookmarkEnd w:id="122"/>
      <w:r w:rsidRPr="00C917E2">
        <w:t xml:space="preserve"> Central Government Spending on Health, 2013 (current US$)</w:t>
      </w:r>
      <w:bookmarkEnd w:id="123"/>
    </w:p>
    <w:p w14:paraId="4B8112F6" w14:textId="77777777" w:rsidR="00727018" w:rsidRDefault="008B67F3" w:rsidP="0028771D">
      <w:pPr>
        <w:pStyle w:val="Source"/>
      </w:pPr>
      <w:r w:rsidRPr="00C917E2">
        <w:rPr>
          <w:noProof/>
        </w:rPr>
        <w:drawing>
          <wp:inline distT="0" distB="0" distL="0" distR="0" wp14:anchorId="4682C9A4" wp14:editId="227E83CD">
            <wp:extent cx="4885690" cy="2689860"/>
            <wp:effectExtent l="0" t="0" r="10160" b="15240"/>
            <wp:docPr id="8" name="Chart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1C13D50" w14:textId="77777777" w:rsidR="008B67F3" w:rsidRPr="00C917E2" w:rsidRDefault="008B67F3" w:rsidP="0028771D">
      <w:pPr>
        <w:pStyle w:val="Source"/>
      </w:pPr>
      <w:r w:rsidRPr="00E94700">
        <w:rPr>
          <w:i/>
        </w:rPr>
        <w:t>Source:</w:t>
      </w:r>
      <w:r w:rsidRPr="00C917E2">
        <w:t xml:space="preserve"> Authors from MOF</w:t>
      </w:r>
      <w:r w:rsidR="00CC2D5F">
        <w:t>ED</w:t>
      </w:r>
      <w:r w:rsidRPr="00C917E2">
        <w:t xml:space="preserve"> and NAC data</w:t>
      </w:r>
      <w:r w:rsidR="006B2D5F">
        <w:t>.</w:t>
      </w:r>
    </w:p>
    <w:p w14:paraId="5D59E6A6" w14:textId="77777777" w:rsidR="008B67F3" w:rsidRPr="00C917E2" w:rsidRDefault="008B67F3" w:rsidP="00D37198">
      <w:pPr>
        <w:pStyle w:val="Numberpara"/>
      </w:pPr>
      <w:r w:rsidRPr="00C917E2">
        <w:lastRenderedPageBreak/>
        <w:t xml:space="preserve">Central GHE allocations and trends of the MOHCC and NAC are analyzed below (two sources for which relatively detailed data are available and together </w:t>
      </w:r>
      <w:r w:rsidR="00CC2D5F">
        <w:t xml:space="preserve">accounting for </w:t>
      </w:r>
      <w:r w:rsidRPr="00C917E2">
        <w:t>80 percent of expenditure</w:t>
      </w:r>
      <w:bookmarkStart w:id="124" w:name="_Toc388367949"/>
      <w:r w:rsidRPr="00C917E2">
        <w:t>) with the bulk of the analysis based on MOHCC expenditures.</w:t>
      </w:r>
    </w:p>
    <w:p w14:paraId="5CF25E2C" w14:textId="77777777" w:rsidR="008B67F3" w:rsidRPr="00C917E2" w:rsidRDefault="008B67F3" w:rsidP="00320F82">
      <w:pPr>
        <w:pStyle w:val="Heading3"/>
      </w:pPr>
      <w:bookmarkStart w:id="125" w:name="_Toc401030258"/>
      <w:bookmarkStart w:id="126" w:name="_Toc401030919"/>
      <w:bookmarkStart w:id="127" w:name="_Toc419004012"/>
      <w:r w:rsidRPr="00C917E2">
        <w:t>MOHCC: Health Expenditure</w:t>
      </w:r>
      <w:bookmarkEnd w:id="124"/>
      <w:bookmarkEnd w:id="125"/>
      <w:bookmarkEnd w:id="126"/>
      <w:r w:rsidRPr="00C917E2">
        <w:t xml:space="preserve"> Analysis</w:t>
      </w:r>
      <w:bookmarkEnd w:id="127"/>
    </w:p>
    <w:p w14:paraId="59139F17" w14:textId="77777777" w:rsidR="008B67F3" w:rsidRPr="00C917E2" w:rsidRDefault="008B67F3" w:rsidP="00D37198">
      <w:pPr>
        <w:pStyle w:val="Numberpara"/>
      </w:pPr>
      <w:r w:rsidRPr="00C917E2">
        <w:t>Th</w:t>
      </w:r>
      <w:r w:rsidR="00EE1D5B">
        <w:t>is</w:t>
      </w:r>
      <w:r w:rsidRPr="00C917E2">
        <w:t xml:space="preserve"> analysis is based on expenditure data provided by the MOFED and MOHCC. No attempt is made to compare budget appropriations to expenditures due to the high fungibility of appropriations across functions and economic categories. This is partly attributable to the cash-based budgeting system that restricts expenditures to available resources, but also to data quality, including discrepancies between appropriation figures</w:t>
      </w:r>
      <w:r w:rsidR="00EE1D5B">
        <w:t xml:space="preserve"> (</w:t>
      </w:r>
      <w:r w:rsidRPr="00C917E2">
        <w:t>original and revised</w:t>
      </w:r>
      <w:r w:rsidR="00EE1D5B">
        <w:t>)</w:t>
      </w:r>
      <w:r w:rsidRPr="00C917E2">
        <w:t xml:space="preserve"> in the different reports received.</w:t>
      </w:r>
      <w:r w:rsidRPr="00C917E2">
        <w:rPr>
          <w:vertAlign w:val="superscript"/>
        </w:rPr>
        <w:endnoteReference w:id="53"/>
      </w:r>
      <w:r w:rsidRPr="00C917E2">
        <w:t xml:space="preserve"> </w:t>
      </w:r>
      <w:r w:rsidR="00387498" w:rsidRPr="00C917E2">
        <w:t xml:space="preserve">Cash budgeting makes long-term planning by the MOHCC extremely difficult, which is one </w:t>
      </w:r>
      <w:r w:rsidR="00A633DC" w:rsidRPr="00C917E2">
        <w:t xml:space="preserve">possible </w:t>
      </w:r>
      <w:r w:rsidR="00387498" w:rsidRPr="00C917E2">
        <w:t>reason—alongside delayed disbursements to MOHCC from MOFED—why many major program interventions are financed by development partners.</w:t>
      </w:r>
    </w:p>
    <w:p w14:paraId="60CB1EC7" w14:textId="77777777" w:rsidR="008B67F3" w:rsidRPr="00C917E2" w:rsidRDefault="008B67F3" w:rsidP="00D37198">
      <w:pPr>
        <w:pStyle w:val="Numberpara"/>
      </w:pPr>
      <w:r w:rsidRPr="00C917E2">
        <w:t xml:space="preserve">Budgets have consistently focused on broad expenditure categories or economic line items rather than </w:t>
      </w:r>
      <w:r w:rsidR="008D58A9">
        <w:t xml:space="preserve">on </w:t>
      </w:r>
      <w:r w:rsidRPr="00C917E2">
        <w:t>output</w:t>
      </w:r>
      <w:r w:rsidR="008D58A9">
        <w:t>-</w:t>
      </w:r>
      <w:r w:rsidRPr="00C917E2">
        <w:t xml:space="preserve"> and outcome</w:t>
      </w:r>
      <w:r w:rsidR="008D58A9">
        <w:t>-</w:t>
      </w:r>
      <w:r w:rsidRPr="00C917E2">
        <w:t xml:space="preserve">related health functions, making it </w:t>
      </w:r>
      <w:r w:rsidR="008D58A9">
        <w:t>hard</w:t>
      </w:r>
      <w:r w:rsidR="008D58A9" w:rsidRPr="00C917E2">
        <w:t xml:space="preserve"> </w:t>
      </w:r>
      <w:r w:rsidRPr="00C917E2">
        <w:t xml:space="preserve">to use budget allocations to assess the country’s achievements </w:t>
      </w:r>
      <w:r w:rsidR="008D58A9">
        <w:t>on</w:t>
      </w:r>
      <w:r w:rsidR="008D58A9" w:rsidRPr="00C917E2">
        <w:t xml:space="preserve"> </w:t>
      </w:r>
      <w:r w:rsidRPr="00C917E2">
        <w:t xml:space="preserve">allocative efficiency and equity. In fact, Zimbabwe has experimented with different allocation methods based on simple incremental budgeting or workload-based resource allocation, but in effect little has changed in the way budgets are allocated. </w:t>
      </w:r>
    </w:p>
    <w:p w14:paraId="6B68A7EF" w14:textId="77777777" w:rsidR="008B67F3" w:rsidRPr="00C917E2" w:rsidRDefault="008B67F3" w:rsidP="00D37198">
      <w:pPr>
        <w:pStyle w:val="Numberpara"/>
      </w:pPr>
      <w:r w:rsidRPr="00C917E2">
        <w:t>Another issue concerns the way in which budget allocation and expenditure decisions are centralized. Provinces submit annual budget bids based on historic</w:t>
      </w:r>
      <w:r w:rsidR="008D58A9">
        <w:t>al</w:t>
      </w:r>
      <w:r w:rsidRPr="00C917E2">
        <w:t xml:space="preserve"> expenditures and needs, but final budget allocations by geographic area remain unclear, with no distinct format or method used in allocating the budget to different provinces. Based on interviews with district, provincial</w:t>
      </w:r>
      <w:r w:rsidR="008D58A9">
        <w:t>,</w:t>
      </w:r>
      <w:r w:rsidRPr="00C917E2">
        <w:t xml:space="preserve"> and national management teams in the MOHCC, for the past 10 years these teams seem to have viewed the planning process as a formality since most of their submissions are not fully honored. There is a perception that budget allocation from MOFED is an “envelope” regardless of MOHCC requirements. As a result, provinces do not engage in budget planning in that that they submit similar budget proposals each year. (Annex 2 reviews some features of the current budget allocation and expenditure accounting system.)</w:t>
      </w:r>
    </w:p>
    <w:p w14:paraId="28FF6E64" w14:textId="77777777" w:rsidR="008B67F3" w:rsidRPr="00C917E2" w:rsidRDefault="008B67F3" w:rsidP="00D37198">
      <w:pPr>
        <w:pStyle w:val="Numberpara"/>
      </w:pPr>
      <w:r w:rsidRPr="00C917E2">
        <w:t>As part of its efforts to implement the Zimbabwe Agenda for Sustainable Socio-Economic Transformation (Zim Asset), the government plans to adopt a performance-oriented budget strategy (</w:t>
      </w:r>
      <w:r w:rsidR="00A633DC" w:rsidRPr="00C917E2">
        <w:t>results</w:t>
      </w:r>
      <w:r w:rsidRPr="00C917E2">
        <w:t xml:space="preserve">-based budgeting) that identifies the input cost of alternative services necessary to reach desired outputs with a link between outputs and outcome objectives. This approach will highlight the choices the government has to make in financing alternative programs and empower the MOHCC to establish well-defined priorities. A periodic health sector </w:t>
      </w:r>
      <w:r w:rsidR="00EB2A16">
        <w:t>PER</w:t>
      </w:r>
      <w:r w:rsidRPr="00C917E2">
        <w:t xml:space="preserve"> can help identify relative priorities and make the link between expenditures, outputs, and outcomes in terms of technical and allocative efficiency and equity goals. It can also provide information on funding sources. Other practical approaches can be adopted without a huge drain on human capital resources (Box 2)</w:t>
      </w:r>
      <w:r w:rsidR="00EB2A16">
        <w:t>.</w:t>
      </w:r>
    </w:p>
    <w:p w14:paraId="6A3AC1D3" w14:textId="77777777" w:rsidR="008B67F3" w:rsidRPr="00C917E2" w:rsidRDefault="008B67F3" w:rsidP="00654DAE">
      <w:pPr>
        <w:pStyle w:val="BOX"/>
      </w:pPr>
      <w:bookmarkStart w:id="128" w:name="_Toc419004052"/>
      <w:r w:rsidRPr="00C917E2">
        <w:lastRenderedPageBreak/>
        <w:t xml:space="preserve">Box </w:t>
      </w:r>
      <w:r w:rsidR="00113462">
        <w:fldChar w:fldCharType="begin"/>
      </w:r>
      <w:r w:rsidR="00113462">
        <w:instrText xml:space="preserve"> SEQ Box \* ARABIC </w:instrText>
      </w:r>
      <w:r w:rsidR="00113462">
        <w:fldChar w:fldCharType="separate"/>
      </w:r>
      <w:r w:rsidR="003732A2">
        <w:rPr>
          <w:noProof/>
        </w:rPr>
        <w:t>2</w:t>
      </w:r>
      <w:r w:rsidR="00113462">
        <w:rPr>
          <w:noProof/>
        </w:rPr>
        <w:fldChar w:fldCharType="end"/>
      </w:r>
      <w:r w:rsidRPr="00C917E2">
        <w:t xml:space="preserve"> Practical Moves to Ease the Flow of Finance</w:t>
      </w:r>
      <w:bookmarkEnd w:id="128"/>
    </w:p>
    <w:p w14:paraId="6B2AB123" w14:textId="77777777" w:rsidR="008B67F3" w:rsidRPr="00C917E2" w:rsidRDefault="008B67F3" w:rsidP="00654DAE">
      <w:pPr>
        <w:pStyle w:val="Boxtext"/>
        <w:keepLines/>
      </w:pPr>
      <w:r w:rsidRPr="00C917E2">
        <w:t xml:space="preserve">The current system </w:t>
      </w:r>
      <w:r w:rsidR="00EB2A16">
        <w:t xml:space="preserve">of </w:t>
      </w:r>
      <w:r w:rsidRPr="00C917E2">
        <w:t>budgeting, interbudgetary transfers</w:t>
      </w:r>
      <w:r w:rsidR="00EB2A16">
        <w:t>,</w:t>
      </w:r>
      <w:r w:rsidRPr="00C917E2">
        <w:t xml:space="preserve"> and budget execution at national and subnational levels provides </w:t>
      </w:r>
      <w:r w:rsidR="00EB2A16">
        <w:t>enhancement avenues</w:t>
      </w:r>
      <w:r w:rsidRPr="00C917E2">
        <w:t>, including: (i) developing a financial module within the HMIS, building on the successful roll-out of DHIS2 software to subnational levels;</w:t>
      </w:r>
      <w:r w:rsidR="00BC7235" w:rsidRPr="00C917E2">
        <w:rPr>
          <w:rStyle w:val="EndnoteReference"/>
        </w:rPr>
        <w:endnoteReference w:id="54"/>
      </w:r>
      <w:r w:rsidRPr="00C917E2">
        <w:t xml:space="preserve"> (ii)</w:t>
      </w:r>
      <w:r w:rsidR="0018662B" w:rsidRPr="00C917E2">
        <w:t> </w:t>
      </w:r>
      <w:r w:rsidRPr="00C917E2">
        <w:t xml:space="preserve">rolling out the </w:t>
      </w:r>
      <w:r w:rsidR="00EB2A16" w:rsidRPr="00C917E2">
        <w:t xml:space="preserve">public financial management system </w:t>
      </w:r>
      <w:r w:rsidRPr="00C917E2">
        <w:t>from provincial to district level and further decentralizing the spending authority to enable district planning, spending</w:t>
      </w:r>
      <w:r w:rsidR="00EB2A16">
        <w:t>,</w:t>
      </w:r>
      <w:r w:rsidRPr="00C917E2">
        <w:t xml:space="preserve"> and reporting; (iii) adapting the formula for resource allocation by the MOHCC to include considerations of poverty, population</w:t>
      </w:r>
      <w:r w:rsidR="00EB2A16">
        <w:t>,</w:t>
      </w:r>
      <w:r w:rsidRPr="00C917E2">
        <w:t xml:space="preserve"> and burden of disease; and (iv) making nonwage health sector disbursements earlier in the financial year, thereby enabling the MOHCC</w:t>
      </w:r>
      <w:r w:rsidR="00EB2A16">
        <w:t xml:space="preserve"> </w:t>
      </w:r>
      <w:r w:rsidRPr="00C917E2">
        <w:t xml:space="preserve">to implement medium-term programs and interventions. </w:t>
      </w:r>
    </w:p>
    <w:p w14:paraId="5FDA84B9" w14:textId="77777777" w:rsidR="008B67F3" w:rsidRPr="00C917E2" w:rsidRDefault="008B67F3" w:rsidP="00D37198"/>
    <w:p w14:paraId="5D229488" w14:textId="77777777" w:rsidR="008B67F3" w:rsidRPr="00C917E2" w:rsidRDefault="008B67F3" w:rsidP="006B7978">
      <w:pPr>
        <w:pStyle w:val="Heading4"/>
      </w:pPr>
      <w:r w:rsidRPr="00C917E2">
        <w:t>MOHCC Total Expenditure: Size and Trends</w:t>
      </w:r>
    </w:p>
    <w:p w14:paraId="12A911C1" w14:textId="77777777" w:rsidR="002671BF" w:rsidRPr="00C917E2" w:rsidRDefault="008B67F3" w:rsidP="00D37198">
      <w:pPr>
        <w:pStyle w:val="Numberpara"/>
      </w:pPr>
      <w:r w:rsidRPr="00C917E2">
        <w:t xml:space="preserve">MOHCC spending increased nearly threefold in constant terms over 2009–12, from roughly US$73 million to US$229 million (2009 prices), but remained relatively stable </w:t>
      </w:r>
      <w:r w:rsidR="00EB2A16">
        <w:t>as a</w:t>
      </w:r>
      <w:r w:rsidR="00EB2A16" w:rsidRPr="00C917E2">
        <w:t xml:space="preserve"> </w:t>
      </w:r>
      <w:r w:rsidRPr="00C917E2">
        <w:t>share of the general budget.</w:t>
      </w:r>
      <w:r w:rsidRPr="00C917E2">
        <w:rPr>
          <w:vertAlign w:val="superscript"/>
        </w:rPr>
        <w:endnoteReference w:id="55"/>
      </w:r>
      <w:r w:rsidRPr="00C917E2">
        <w:t xml:space="preserve"> There was a slight decrease in 2013, however, in nominal terms and in share</w:t>
      </w:r>
      <w:r w:rsidR="00F67931" w:rsidRPr="00C917E2">
        <w:t xml:space="preserve"> (</w:t>
      </w:r>
      <w:r w:rsidR="00C713A9" w:rsidRPr="00C917E2">
        <w:fldChar w:fldCharType="begin"/>
      </w:r>
      <w:r w:rsidR="00F67931" w:rsidRPr="00C917E2">
        <w:instrText xml:space="preserve"> REF _Ref411949234 \h </w:instrText>
      </w:r>
      <w:r w:rsidR="00C713A9" w:rsidRPr="00C917E2">
        <w:fldChar w:fldCharType="separate"/>
      </w:r>
      <w:r w:rsidR="003732A2" w:rsidRPr="00C917E2">
        <w:t xml:space="preserve">Figure </w:t>
      </w:r>
      <w:r w:rsidR="003732A2">
        <w:rPr>
          <w:noProof/>
        </w:rPr>
        <w:t>21</w:t>
      </w:r>
      <w:r w:rsidR="00C713A9" w:rsidRPr="00C917E2">
        <w:fldChar w:fldCharType="end"/>
      </w:r>
      <w:r w:rsidR="00F67931" w:rsidRPr="00C917E2">
        <w:t>)</w:t>
      </w:r>
      <w:r w:rsidRPr="00C917E2">
        <w:t>.</w:t>
      </w:r>
      <w:r w:rsidR="002671BF" w:rsidRPr="002671BF">
        <w:t xml:space="preserve"> </w:t>
      </w:r>
      <w:r w:rsidR="002671BF" w:rsidRPr="00C917E2">
        <w:t>More recent data, though based on appropriations rather than actual expenditures, indicate that the commitment to health has been further reduced.</w:t>
      </w:r>
    </w:p>
    <w:p w14:paraId="7B1AE59D" w14:textId="77777777" w:rsidR="008B67F3" w:rsidRPr="00C917E2" w:rsidRDefault="008B67F3" w:rsidP="00C53C89">
      <w:pPr>
        <w:pStyle w:val="Figure"/>
      </w:pPr>
      <w:bookmarkStart w:id="129" w:name="_Ref411949234"/>
      <w:bookmarkStart w:id="130" w:name="_Toc419004102"/>
      <w:r w:rsidRPr="00C917E2">
        <w:t xml:space="preserve">Figure </w:t>
      </w:r>
      <w:r w:rsidR="00113462">
        <w:fldChar w:fldCharType="begin"/>
      </w:r>
      <w:r w:rsidR="00113462">
        <w:instrText xml:space="preserve"> SEQ Figure \* ARABIC </w:instrText>
      </w:r>
      <w:r w:rsidR="00113462">
        <w:fldChar w:fldCharType="separate"/>
      </w:r>
      <w:r w:rsidR="003732A2">
        <w:rPr>
          <w:noProof/>
        </w:rPr>
        <w:t>21</w:t>
      </w:r>
      <w:r w:rsidR="00113462">
        <w:rPr>
          <w:noProof/>
        </w:rPr>
        <w:fldChar w:fldCharType="end"/>
      </w:r>
      <w:bookmarkEnd w:id="129"/>
      <w:r w:rsidRPr="00C917E2">
        <w:t xml:space="preserve"> MOHCC Expenditure</w:t>
      </w:r>
      <w:r w:rsidR="00270929">
        <w:t xml:space="preserve"> in </w:t>
      </w:r>
      <w:r w:rsidRPr="00C917E2">
        <w:t>Total and as a Share of General Government, 2009–13</w:t>
      </w:r>
      <w:bookmarkEnd w:id="130"/>
    </w:p>
    <w:p w14:paraId="51E7A355" w14:textId="77777777" w:rsidR="008B67F3" w:rsidRPr="00C917E2" w:rsidRDefault="008B67F3" w:rsidP="00B3475D">
      <w:r w:rsidRPr="00C917E2">
        <w:rPr>
          <w:noProof/>
        </w:rPr>
        <w:drawing>
          <wp:inline distT="0" distB="0" distL="0" distR="0" wp14:anchorId="6A932689" wp14:editId="2A3A5885">
            <wp:extent cx="5370959" cy="2472824"/>
            <wp:effectExtent l="0" t="0" r="20320" b="22860"/>
            <wp:docPr id="79"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E71D1EA" w14:textId="77777777" w:rsidR="008B67F3" w:rsidRPr="00C917E2" w:rsidRDefault="008B67F3" w:rsidP="00E73060">
      <w:pPr>
        <w:pStyle w:val="Source"/>
      </w:pPr>
      <w:r w:rsidRPr="00E94700">
        <w:rPr>
          <w:i/>
        </w:rPr>
        <w:t>Source:</w:t>
      </w:r>
      <w:r w:rsidRPr="00C917E2">
        <w:t xml:space="preserve"> Authors using MOFED data</w:t>
      </w:r>
      <w:r w:rsidR="006B2D5F">
        <w:t>.</w:t>
      </w:r>
    </w:p>
    <w:p w14:paraId="2F8ED646" w14:textId="77777777" w:rsidR="008B67F3" w:rsidRPr="00C917E2" w:rsidRDefault="002671BF" w:rsidP="00D37198">
      <w:pPr>
        <w:pStyle w:val="Numberpara"/>
      </w:pPr>
      <w:r w:rsidRPr="00C917E2">
        <w:t xml:space="preserve">Based </w:t>
      </w:r>
      <w:r w:rsidR="008B67F3" w:rsidRPr="00C917E2">
        <w:t xml:space="preserve">on WHO’s definition of GHE, which includes government expenditures channeled outside the </w:t>
      </w:r>
      <w:r>
        <w:t>ministry of health</w:t>
      </w:r>
      <w:r w:rsidR="008B67F3" w:rsidRPr="00C917E2">
        <w:t>, the share of health in general government expenditures is lower than the Abuja target of 15 percent</w:t>
      </w:r>
      <w:r>
        <w:t>,</w:t>
      </w:r>
      <w:r w:rsidR="008B67F3" w:rsidRPr="00C917E2">
        <w:t xml:space="preserve"> but slightly higher than the SSA and LIC averages (</w:t>
      </w:r>
      <w:r w:rsidR="00C713A9" w:rsidRPr="00C917E2">
        <w:fldChar w:fldCharType="begin"/>
      </w:r>
      <w:r w:rsidR="00FF3BD3" w:rsidRPr="00C917E2">
        <w:instrText xml:space="preserve"> REF _Ref414597297 \h </w:instrText>
      </w:r>
      <w:r w:rsidR="00C713A9" w:rsidRPr="00C917E2">
        <w:fldChar w:fldCharType="separate"/>
      </w:r>
      <w:r w:rsidR="003732A2" w:rsidRPr="00C917E2">
        <w:t xml:space="preserve">Table </w:t>
      </w:r>
      <w:r w:rsidR="003732A2">
        <w:rPr>
          <w:noProof/>
        </w:rPr>
        <w:t>3</w:t>
      </w:r>
      <w:r w:rsidR="00C713A9" w:rsidRPr="00C917E2">
        <w:fldChar w:fldCharType="end"/>
      </w:r>
      <w:r w:rsidR="008B67F3" w:rsidRPr="00C917E2">
        <w:t>).</w:t>
      </w:r>
      <w:r w:rsidR="008B67F3" w:rsidRPr="00C917E2">
        <w:rPr>
          <w:rStyle w:val="EndnoteReference"/>
        </w:rPr>
        <w:endnoteReference w:id="56"/>
      </w:r>
    </w:p>
    <w:p w14:paraId="15BF1439" w14:textId="77777777" w:rsidR="008B67F3" w:rsidRPr="00C917E2" w:rsidRDefault="008B67F3" w:rsidP="00860625">
      <w:pPr>
        <w:pStyle w:val="Table"/>
        <w:rPr>
          <w:rFonts w:eastAsia="Cambria"/>
        </w:rPr>
      </w:pPr>
      <w:bookmarkStart w:id="131" w:name="_Ref414597297"/>
      <w:bookmarkStart w:id="132" w:name="_Toc401030777"/>
      <w:bookmarkStart w:id="133" w:name="_Toc401072562"/>
      <w:bookmarkStart w:id="134" w:name="_Toc401072588"/>
      <w:bookmarkStart w:id="135" w:name="_Toc401072737"/>
      <w:bookmarkStart w:id="136" w:name="_Toc419004071"/>
      <w:r w:rsidRPr="00C917E2">
        <w:lastRenderedPageBreak/>
        <w:t xml:space="preserve">Table </w:t>
      </w:r>
      <w:r w:rsidR="00113462">
        <w:fldChar w:fldCharType="begin"/>
      </w:r>
      <w:r w:rsidR="00113462">
        <w:instrText xml:space="preserve"> SEQ Table \* ARABIC </w:instrText>
      </w:r>
      <w:r w:rsidR="00113462">
        <w:fldChar w:fldCharType="separate"/>
      </w:r>
      <w:r w:rsidR="003732A2">
        <w:rPr>
          <w:noProof/>
        </w:rPr>
        <w:t>3</w:t>
      </w:r>
      <w:r w:rsidR="00113462">
        <w:rPr>
          <w:noProof/>
        </w:rPr>
        <w:fldChar w:fldCharType="end"/>
      </w:r>
      <w:bookmarkEnd w:id="131"/>
      <w:r w:rsidRPr="00C917E2">
        <w:t xml:space="preserve"> GHE in General Government Expenditures, 201</w:t>
      </w:r>
      <w:bookmarkEnd w:id="132"/>
      <w:bookmarkEnd w:id="133"/>
      <w:bookmarkEnd w:id="134"/>
      <w:bookmarkEnd w:id="135"/>
      <w:r w:rsidRPr="00C917E2">
        <w:t>2</w:t>
      </w:r>
      <w:bookmarkEnd w:id="136"/>
    </w:p>
    <w:tbl>
      <w:tblPr>
        <w:tblW w:w="5000" w:type="pct"/>
        <w:jc w:val="center"/>
        <w:tblBorders>
          <w:top w:val="single" w:sz="8" w:space="0" w:color="4F81BD"/>
          <w:bottom w:val="single" w:sz="8" w:space="0" w:color="4F81BD"/>
        </w:tblBorders>
        <w:tblLook w:val="04A0" w:firstRow="1" w:lastRow="0" w:firstColumn="1" w:lastColumn="0" w:noHBand="0" w:noVBand="1"/>
      </w:tblPr>
      <w:tblGrid>
        <w:gridCol w:w="5277"/>
        <w:gridCol w:w="3749"/>
      </w:tblGrid>
      <w:tr w:rsidR="008B67F3" w:rsidRPr="00C917E2" w14:paraId="21392B1C" w14:textId="77777777" w:rsidTr="00476F84">
        <w:trPr>
          <w:jc w:val="center"/>
        </w:trPr>
        <w:tc>
          <w:tcPr>
            <w:tcW w:w="2923" w:type="pct"/>
            <w:tcBorders>
              <w:top w:val="single" w:sz="8" w:space="0" w:color="4F81BD"/>
              <w:bottom w:val="single" w:sz="8" w:space="0" w:color="4F81BD"/>
            </w:tcBorders>
            <w:shd w:val="clear" w:color="auto" w:fill="auto"/>
          </w:tcPr>
          <w:p w14:paraId="5E778B8C" w14:textId="77777777" w:rsidR="008B67F3" w:rsidRPr="00C917E2" w:rsidRDefault="008B67F3" w:rsidP="00860625">
            <w:pPr>
              <w:keepNext/>
              <w:rPr>
                <w:rFonts w:asciiTheme="minorHAnsi" w:hAnsiTheme="minorHAnsi"/>
                <w:b/>
              </w:rPr>
            </w:pPr>
          </w:p>
        </w:tc>
        <w:tc>
          <w:tcPr>
            <w:tcW w:w="2077" w:type="pct"/>
            <w:tcBorders>
              <w:top w:val="single" w:sz="8" w:space="0" w:color="4F81BD"/>
              <w:bottom w:val="single" w:sz="8" w:space="0" w:color="4F81BD"/>
            </w:tcBorders>
            <w:shd w:val="clear" w:color="auto" w:fill="auto"/>
          </w:tcPr>
          <w:p w14:paraId="2B316695" w14:textId="77777777" w:rsidR="008B67F3" w:rsidRPr="00C917E2" w:rsidRDefault="008B67F3" w:rsidP="008F772C">
            <w:pPr>
              <w:keepNext/>
              <w:jc w:val="center"/>
              <w:rPr>
                <w:rFonts w:asciiTheme="minorHAnsi" w:hAnsiTheme="minorHAnsi"/>
                <w:b/>
              </w:rPr>
            </w:pPr>
            <w:r w:rsidRPr="00C917E2">
              <w:rPr>
                <w:rFonts w:asciiTheme="minorHAnsi" w:hAnsiTheme="minorHAnsi"/>
                <w:b/>
              </w:rPr>
              <w:t xml:space="preserve">GHE (% of </w:t>
            </w:r>
            <w:r w:rsidR="00512162" w:rsidRPr="00C917E2">
              <w:rPr>
                <w:rFonts w:asciiTheme="minorHAnsi" w:hAnsiTheme="minorHAnsi"/>
                <w:b/>
              </w:rPr>
              <w:t>gen. gov. exp</w:t>
            </w:r>
            <w:r w:rsidRPr="00C917E2">
              <w:rPr>
                <w:rFonts w:asciiTheme="minorHAnsi" w:hAnsiTheme="minorHAnsi"/>
                <w:b/>
              </w:rPr>
              <w:t>.)</w:t>
            </w:r>
          </w:p>
        </w:tc>
      </w:tr>
      <w:tr w:rsidR="008B67F3" w:rsidRPr="00C917E2" w14:paraId="5A7AA9D2" w14:textId="77777777" w:rsidTr="00D06314">
        <w:trPr>
          <w:jc w:val="center"/>
        </w:trPr>
        <w:tc>
          <w:tcPr>
            <w:tcW w:w="2923" w:type="pct"/>
            <w:shd w:val="clear" w:color="auto" w:fill="auto"/>
          </w:tcPr>
          <w:p w14:paraId="2937A7DE" w14:textId="77777777" w:rsidR="008B67F3" w:rsidRPr="00C917E2" w:rsidRDefault="008B67F3" w:rsidP="00512162">
            <w:pPr>
              <w:keepNext/>
              <w:spacing w:after="0"/>
              <w:rPr>
                <w:rFonts w:asciiTheme="minorHAnsi" w:hAnsiTheme="minorHAnsi"/>
                <w:sz w:val="20"/>
                <w:szCs w:val="20"/>
              </w:rPr>
            </w:pPr>
            <w:r w:rsidRPr="00C917E2">
              <w:rPr>
                <w:rFonts w:asciiTheme="minorHAnsi" w:hAnsiTheme="minorHAnsi"/>
                <w:sz w:val="20"/>
                <w:szCs w:val="20"/>
              </w:rPr>
              <w:t>High</w:t>
            </w:r>
            <w:r w:rsidR="00512162">
              <w:rPr>
                <w:rFonts w:asciiTheme="minorHAnsi" w:hAnsiTheme="minorHAnsi"/>
                <w:sz w:val="20"/>
                <w:szCs w:val="20"/>
              </w:rPr>
              <w:t>-</w:t>
            </w:r>
            <w:r w:rsidR="00512162" w:rsidRPr="00C917E2">
              <w:rPr>
                <w:rFonts w:asciiTheme="minorHAnsi" w:hAnsiTheme="minorHAnsi"/>
                <w:sz w:val="20"/>
                <w:szCs w:val="20"/>
              </w:rPr>
              <w:t>income</w:t>
            </w:r>
          </w:p>
        </w:tc>
        <w:tc>
          <w:tcPr>
            <w:tcW w:w="2077" w:type="pct"/>
            <w:tcBorders>
              <w:left w:val="nil"/>
              <w:right w:val="nil"/>
            </w:tcBorders>
            <w:shd w:val="clear" w:color="auto" w:fill="auto"/>
          </w:tcPr>
          <w:p w14:paraId="572FA931" w14:textId="77777777" w:rsidR="008B67F3" w:rsidRPr="00C917E2" w:rsidRDefault="008B67F3" w:rsidP="00860625">
            <w:pPr>
              <w:keepNext/>
              <w:spacing w:after="0"/>
              <w:jc w:val="center"/>
              <w:rPr>
                <w:rFonts w:asciiTheme="minorHAnsi" w:hAnsiTheme="minorHAnsi"/>
                <w:sz w:val="20"/>
                <w:szCs w:val="20"/>
              </w:rPr>
            </w:pPr>
            <w:r w:rsidRPr="00C917E2">
              <w:rPr>
                <w:rFonts w:asciiTheme="minorHAnsi" w:hAnsiTheme="minorHAnsi"/>
                <w:sz w:val="20"/>
                <w:szCs w:val="20"/>
              </w:rPr>
              <w:t>12.88</w:t>
            </w:r>
          </w:p>
        </w:tc>
      </w:tr>
      <w:tr w:rsidR="008B67F3" w:rsidRPr="00C917E2" w14:paraId="05BE80B7" w14:textId="77777777" w:rsidTr="00476F84">
        <w:trPr>
          <w:jc w:val="center"/>
        </w:trPr>
        <w:tc>
          <w:tcPr>
            <w:tcW w:w="2923" w:type="pct"/>
            <w:shd w:val="clear" w:color="auto" w:fill="auto"/>
          </w:tcPr>
          <w:p w14:paraId="2ED1C225" w14:textId="77777777" w:rsidR="008B67F3" w:rsidRPr="00C917E2" w:rsidRDefault="008B67F3" w:rsidP="00860625">
            <w:pPr>
              <w:keepNext/>
              <w:spacing w:after="0"/>
              <w:rPr>
                <w:rFonts w:asciiTheme="minorHAnsi" w:hAnsiTheme="minorHAnsi"/>
                <w:sz w:val="20"/>
                <w:szCs w:val="20"/>
              </w:rPr>
            </w:pPr>
            <w:r w:rsidRPr="00C917E2">
              <w:rPr>
                <w:rFonts w:asciiTheme="minorHAnsi" w:hAnsiTheme="minorHAnsi"/>
                <w:sz w:val="20"/>
                <w:szCs w:val="20"/>
              </w:rPr>
              <w:t>Low</w:t>
            </w:r>
            <w:r w:rsidR="00512162">
              <w:rPr>
                <w:rFonts w:asciiTheme="minorHAnsi" w:hAnsiTheme="minorHAnsi"/>
                <w:sz w:val="20"/>
                <w:szCs w:val="20"/>
              </w:rPr>
              <w:t>-</w:t>
            </w:r>
            <w:r w:rsidRPr="00C917E2">
              <w:rPr>
                <w:rFonts w:asciiTheme="minorHAnsi" w:hAnsiTheme="minorHAnsi"/>
                <w:sz w:val="20"/>
                <w:szCs w:val="20"/>
              </w:rPr>
              <w:t xml:space="preserve"> and </w:t>
            </w:r>
            <w:r w:rsidR="00512162" w:rsidRPr="00C917E2">
              <w:rPr>
                <w:rFonts w:asciiTheme="minorHAnsi" w:hAnsiTheme="minorHAnsi"/>
                <w:sz w:val="20"/>
                <w:szCs w:val="20"/>
              </w:rPr>
              <w:t>middle</w:t>
            </w:r>
            <w:r w:rsidR="00512162">
              <w:rPr>
                <w:rFonts w:asciiTheme="minorHAnsi" w:hAnsiTheme="minorHAnsi"/>
                <w:sz w:val="20"/>
                <w:szCs w:val="20"/>
              </w:rPr>
              <w:t>-</w:t>
            </w:r>
            <w:r w:rsidR="00512162" w:rsidRPr="00C917E2">
              <w:rPr>
                <w:rFonts w:asciiTheme="minorHAnsi" w:hAnsiTheme="minorHAnsi"/>
                <w:sz w:val="20"/>
                <w:szCs w:val="20"/>
              </w:rPr>
              <w:t>income</w:t>
            </w:r>
          </w:p>
        </w:tc>
        <w:tc>
          <w:tcPr>
            <w:tcW w:w="2077" w:type="pct"/>
            <w:shd w:val="clear" w:color="auto" w:fill="auto"/>
          </w:tcPr>
          <w:p w14:paraId="4011CBA6" w14:textId="77777777" w:rsidR="008B67F3" w:rsidRPr="00C917E2" w:rsidRDefault="008B67F3" w:rsidP="00860625">
            <w:pPr>
              <w:keepNext/>
              <w:spacing w:after="0"/>
              <w:jc w:val="center"/>
              <w:rPr>
                <w:rFonts w:asciiTheme="minorHAnsi" w:hAnsiTheme="minorHAnsi"/>
                <w:sz w:val="20"/>
                <w:szCs w:val="20"/>
              </w:rPr>
            </w:pPr>
            <w:r w:rsidRPr="00C917E2">
              <w:rPr>
                <w:rFonts w:asciiTheme="minorHAnsi" w:hAnsiTheme="minorHAnsi"/>
                <w:sz w:val="20"/>
                <w:szCs w:val="20"/>
              </w:rPr>
              <w:t>10.50</w:t>
            </w:r>
          </w:p>
        </w:tc>
      </w:tr>
      <w:tr w:rsidR="008B67F3" w:rsidRPr="00C917E2" w14:paraId="242525F4" w14:textId="77777777" w:rsidTr="00D06314">
        <w:trPr>
          <w:jc w:val="center"/>
        </w:trPr>
        <w:tc>
          <w:tcPr>
            <w:tcW w:w="2923" w:type="pct"/>
            <w:shd w:val="clear" w:color="auto" w:fill="auto"/>
          </w:tcPr>
          <w:p w14:paraId="785CA50C" w14:textId="77777777" w:rsidR="008B67F3" w:rsidRPr="00C917E2" w:rsidRDefault="008B67F3" w:rsidP="00860625">
            <w:pPr>
              <w:keepNext/>
              <w:spacing w:after="0"/>
              <w:rPr>
                <w:rFonts w:asciiTheme="minorHAnsi" w:hAnsiTheme="minorHAnsi"/>
                <w:sz w:val="20"/>
                <w:szCs w:val="20"/>
              </w:rPr>
            </w:pPr>
            <w:r w:rsidRPr="00C917E2">
              <w:rPr>
                <w:rFonts w:asciiTheme="minorHAnsi" w:hAnsiTheme="minorHAnsi"/>
                <w:sz w:val="20"/>
                <w:szCs w:val="20"/>
              </w:rPr>
              <w:t>Low</w:t>
            </w:r>
            <w:r w:rsidR="00512162">
              <w:rPr>
                <w:rFonts w:asciiTheme="minorHAnsi" w:hAnsiTheme="minorHAnsi"/>
                <w:sz w:val="20"/>
                <w:szCs w:val="20"/>
              </w:rPr>
              <w:t>-</w:t>
            </w:r>
            <w:r w:rsidR="00512162" w:rsidRPr="00C917E2">
              <w:rPr>
                <w:rFonts w:asciiTheme="minorHAnsi" w:hAnsiTheme="minorHAnsi"/>
                <w:sz w:val="20"/>
                <w:szCs w:val="20"/>
              </w:rPr>
              <w:t>income</w:t>
            </w:r>
          </w:p>
        </w:tc>
        <w:tc>
          <w:tcPr>
            <w:tcW w:w="2077" w:type="pct"/>
            <w:tcBorders>
              <w:left w:val="nil"/>
              <w:right w:val="nil"/>
            </w:tcBorders>
            <w:shd w:val="clear" w:color="auto" w:fill="auto"/>
          </w:tcPr>
          <w:p w14:paraId="1534C2E2" w14:textId="77777777" w:rsidR="008B67F3" w:rsidRPr="00C917E2" w:rsidRDefault="008B67F3" w:rsidP="00860625">
            <w:pPr>
              <w:keepNext/>
              <w:spacing w:after="0"/>
              <w:jc w:val="center"/>
              <w:rPr>
                <w:rFonts w:asciiTheme="minorHAnsi" w:hAnsiTheme="minorHAnsi"/>
                <w:sz w:val="20"/>
                <w:szCs w:val="20"/>
              </w:rPr>
            </w:pPr>
            <w:r w:rsidRPr="00C917E2">
              <w:rPr>
                <w:rFonts w:asciiTheme="minorHAnsi" w:hAnsiTheme="minorHAnsi"/>
                <w:sz w:val="20"/>
                <w:szCs w:val="20"/>
              </w:rPr>
              <w:t>9.68</w:t>
            </w:r>
          </w:p>
        </w:tc>
      </w:tr>
      <w:tr w:rsidR="008B67F3" w:rsidRPr="00C917E2" w14:paraId="7FDC5CDC" w14:textId="77777777" w:rsidTr="00476F84">
        <w:trPr>
          <w:jc w:val="center"/>
        </w:trPr>
        <w:tc>
          <w:tcPr>
            <w:tcW w:w="2923" w:type="pct"/>
            <w:shd w:val="clear" w:color="auto" w:fill="auto"/>
          </w:tcPr>
          <w:p w14:paraId="402DD0EA" w14:textId="77777777" w:rsidR="008B67F3" w:rsidRPr="00C917E2" w:rsidRDefault="008B67F3" w:rsidP="00860625">
            <w:pPr>
              <w:keepNext/>
              <w:spacing w:after="0"/>
              <w:rPr>
                <w:rFonts w:asciiTheme="minorHAnsi" w:hAnsiTheme="minorHAnsi"/>
                <w:sz w:val="20"/>
                <w:szCs w:val="20"/>
              </w:rPr>
            </w:pPr>
            <w:r w:rsidRPr="00C917E2">
              <w:rPr>
                <w:rFonts w:asciiTheme="minorHAnsi" w:hAnsiTheme="minorHAnsi"/>
                <w:sz w:val="20"/>
                <w:szCs w:val="20"/>
              </w:rPr>
              <w:t xml:space="preserve">Lower </w:t>
            </w:r>
            <w:r w:rsidR="00512162" w:rsidRPr="00C917E2">
              <w:rPr>
                <w:rFonts w:asciiTheme="minorHAnsi" w:hAnsiTheme="minorHAnsi"/>
                <w:sz w:val="20"/>
                <w:szCs w:val="20"/>
              </w:rPr>
              <w:t>middle</w:t>
            </w:r>
            <w:r w:rsidR="00512162">
              <w:rPr>
                <w:rFonts w:asciiTheme="minorHAnsi" w:hAnsiTheme="minorHAnsi"/>
                <w:sz w:val="20"/>
                <w:szCs w:val="20"/>
              </w:rPr>
              <w:t>-</w:t>
            </w:r>
            <w:r w:rsidR="00512162" w:rsidRPr="00C917E2">
              <w:rPr>
                <w:rFonts w:asciiTheme="minorHAnsi" w:hAnsiTheme="minorHAnsi"/>
                <w:sz w:val="20"/>
                <w:szCs w:val="20"/>
              </w:rPr>
              <w:t>income</w:t>
            </w:r>
          </w:p>
        </w:tc>
        <w:tc>
          <w:tcPr>
            <w:tcW w:w="2077" w:type="pct"/>
            <w:shd w:val="clear" w:color="auto" w:fill="auto"/>
          </w:tcPr>
          <w:p w14:paraId="38B48197" w14:textId="77777777" w:rsidR="008B67F3" w:rsidRPr="00C917E2" w:rsidRDefault="008B67F3" w:rsidP="00860625">
            <w:pPr>
              <w:keepNext/>
              <w:spacing w:after="0"/>
              <w:jc w:val="center"/>
              <w:rPr>
                <w:rFonts w:asciiTheme="minorHAnsi" w:hAnsiTheme="minorHAnsi"/>
                <w:sz w:val="20"/>
                <w:szCs w:val="20"/>
              </w:rPr>
            </w:pPr>
            <w:r w:rsidRPr="00C917E2">
              <w:rPr>
                <w:rFonts w:asciiTheme="minorHAnsi" w:hAnsiTheme="minorHAnsi"/>
                <w:sz w:val="20"/>
                <w:szCs w:val="20"/>
              </w:rPr>
              <w:t>10.38</w:t>
            </w:r>
          </w:p>
        </w:tc>
      </w:tr>
      <w:tr w:rsidR="008B67F3" w:rsidRPr="00C917E2" w14:paraId="7D487FEF" w14:textId="77777777" w:rsidTr="00D06314">
        <w:trPr>
          <w:jc w:val="center"/>
        </w:trPr>
        <w:tc>
          <w:tcPr>
            <w:tcW w:w="2923" w:type="pct"/>
            <w:shd w:val="clear" w:color="auto" w:fill="auto"/>
          </w:tcPr>
          <w:p w14:paraId="43E3706A" w14:textId="77777777" w:rsidR="008B67F3" w:rsidRPr="00C917E2" w:rsidRDefault="008B67F3" w:rsidP="00860625">
            <w:pPr>
              <w:keepNext/>
              <w:spacing w:after="0"/>
              <w:rPr>
                <w:rFonts w:asciiTheme="minorHAnsi" w:hAnsiTheme="minorHAnsi"/>
                <w:sz w:val="20"/>
                <w:szCs w:val="20"/>
              </w:rPr>
            </w:pPr>
            <w:r w:rsidRPr="00C917E2">
              <w:rPr>
                <w:rFonts w:asciiTheme="minorHAnsi" w:hAnsiTheme="minorHAnsi"/>
                <w:sz w:val="20"/>
                <w:szCs w:val="20"/>
              </w:rPr>
              <w:t xml:space="preserve">Upper </w:t>
            </w:r>
            <w:r w:rsidR="00512162" w:rsidRPr="00C917E2">
              <w:rPr>
                <w:rFonts w:asciiTheme="minorHAnsi" w:hAnsiTheme="minorHAnsi"/>
                <w:sz w:val="20"/>
                <w:szCs w:val="20"/>
              </w:rPr>
              <w:t>middle</w:t>
            </w:r>
            <w:r w:rsidR="00512162">
              <w:rPr>
                <w:rFonts w:asciiTheme="minorHAnsi" w:hAnsiTheme="minorHAnsi"/>
                <w:sz w:val="20"/>
                <w:szCs w:val="20"/>
              </w:rPr>
              <w:t>-</w:t>
            </w:r>
            <w:r w:rsidR="00512162" w:rsidRPr="00C917E2">
              <w:rPr>
                <w:rFonts w:asciiTheme="minorHAnsi" w:hAnsiTheme="minorHAnsi"/>
                <w:sz w:val="20"/>
                <w:szCs w:val="20"/>
              </w:rPr>
              <w:t>income</w:t>
            </w:r>
          </w:p>
        </w:tc>
        <w:tc>
          <w:tcPr>
            <w:tcW w:w="2077" w:type="pct"/>
            <w:tcBorders>
              <w:left w:val="nil"/>
              <w:right w:val="nil"/>
            </w:tcBorders>
            <w:shd w:val="clear" w:color="auto" w:fill="auto"/>
          </w:tcPr>
          <w:p w14:paraId="075C5C2B" w14:textId="77777777" w:rsidR="008B67F3" w:rsidRPr="00C917E2" w:rsidRDefault="008B67F3" w:rsidP="00860625">
            <w:pPr>
              <w:keepNext/>
              <w:spacing w:after="0"/>
              <w:jc w:val="center"/>
              <w:rPr>
                <w:rFonts w:asciiTheme="minorHAnsi" w:hAnsiTheme="minorHAnsi"/>
                <w:sz w:val="20"/>
                <w:szCs w:val="20"/>
              </w:rPr>
            </w:pPr>
            <w:r w:rsidRPr="00C917E2">
              <w:rPr>
                <w:rFonts w:asciiTheme="minorHAnsi" w:hAnsiTheme="minorHAnsi"/>
                <w:sz w:val="20"/>
                <w:szCs w:val="20"/>
              </w:rPr>
              <w:t>11.16</w:t>
            </w:r>
          </w:p>
        </w:tc>
      </w:tr>
      <w:tr w:rsidR="008B67F3" w:rsidRPr="00C917E2" w14:paraId="4A4DBA86" w14:textId="77777777" w:rsidTr="00476F84">
        <w:trPr>
          <w:jc w:val="center"/>
        </w:trPr>
        <w:tc>
          <w:tcPr>
            <w:tcW w:w="2923" w:type="pct"/>
            <w:shd w:val="clear" w:color="auto" w:fill="auto"/>
          </w:tcPr>
          <w:p w14:paraId="6160FB5E" w14:textId="77777777" w:rsidR="008B67F3" w:rsidRPr="00C917E2" w:rsidRDefault="008B67F3" w:rsidP="00860625">
            <w:pPr>
              <w:keepNext/>
              <w:spacing w:after="0"/>
              <w:rPr>
                <w:rFonts w:asciiTheme="minorHAnsi" w:hAnsiTheme="minorHAnsi"/>
                <w:sz w:val="20"/>
                <w:szCs w:val="20"/>
              </w:rPr>
            </w:pPr>
            <w:r w:rsidRPr="00C917E2">
              <w:rPr>
                <w:rFonts w:asciiTheme="minorHAnsi" w:hAnsiTheme="minorHAnsi"/>
                <w:sz w:val="20"/>
                <w:szCs w:val="20"/>
              </w:rPr>
              <w:t>Sub-Saharan Africa</w:t>
            </w:r>
          </w:p>
        </w:tc>
        <w:tc>
          <w:tcPr>
            <w:tcW w:w="2077" w:type="pct"/>
            <w:shd w:val="clear" w:color="auto" w:fill="auto"/>
          </w:tcPr>
          <w:p w14:paraId="6098359D" w14:textId="77777777" w:rsidR="008B67F3" w:rsidRPr="00C917E2" w:rsidRDefault="008B67F3" w:rsidP="00860625">
            <w:pPr>
              <w:keepNext/>
              <w:spacing w:after="0"/>
              <w:jc w:val="center"/>
              <w:rPr>
                <w:rFonts w:asciiTheme="minorHAnsi" w:hAnsiTheme="minorHAnsi"/>
                <w:sz w:val="20"/>
                <w:szCs w:val="20"/>
              </w:rPr>
            </w:pPr>
            <w:r w:rsidRPr="00C917E2">
              <w:rPr>
                <w:rFonts w:asciiTheme="minorHAnsi" w:hAnsiTheme="minorHAnsi"/>
                <w:sz w:val="20"/>
                <w:szCs w:val="20"/>
              </w:rPr>
              <w:t>9.71</w:t>
            </w:r>
          </w:p>
        </w:tc>
      </w:tr>
      <w:tr w:rsidR="008B67F3" w:rsidRPr="00C917E2" w14:paraId="18DB77B0" w14:textId="77777777" w:rsidTr="00D06314">
        <w:trPr>
          <w:jc w:val="center"/>
        </w:trPr>
        <w:tc>
          <w:tcPr>
            <w:tcW w:w="2923" w:type="pct"/>
            <w:shd w:val="clear" w:color="auto" w:fill="auto"/>
          </w:tcPr>
          <w:p w14:paraId="22F99580" w14:textId="77777777" w:rsidR="008B67F3" w:rsidRPr="00C917E2" w:rsidRDefault="008B67F3" w:rsidP="00860625">
            <w:pPr>
              <w:keepNext/>
              <w:spacing w:after="0"/>
              <w:rPr>
                <w:rFonts w:asciiTheme="minorHAnsi" w:hAnsiTheme="minorHAnsi"/>
                <w:sz w:val="20"/>
                <w:szCs w:val="20"/>
              </w:rPr>
            </w:pPr>
            <w:r w:rsidRPr="00C917E2">
              <w:rPr>
                <w:rFonts w:asciiTheme="minorHAnsi" w:hAnsiTheme="minorHAnsi"/>
                <w:sz w:val="20"/>
                <w:szCs w:val="20"/>
              </w:rPr>
              <w:t>Zimbabwe (2013)</w:t>
            </w:r>
          </w:p>
        </w:tc>
        <w:tc>
          <w:tcPr>
            <w:tcW w:w="2077" w:type="pct"/>
            <w:tcBorders>
              <w:left w:val="nil"/>
              <w:right w:val="nil"/>
            </w:tcBorders>
            <w:shd w:val="clear" w:color="auto" w:fill="auto"/>
          </w:tcPr>
          <w:p w14:paraId="5BE91BC7" w14:textId="77777777" w:rsidR="008B67F3" w:rsidRPr="00C917E2" w:rsidRDefault="008B67F3" w:rsidP="00860625">
            <w:pPr>
              <w:keepNext/>
              <w:spacing w:after="0"/>
              <w:jc w:val="center"/>
              <w:rPr>
                <w:rFonts w:asciiTheme="minorHAnsi" w:hAnsiTheme="minorHAnsi"/>
                <w:sz w:val="20"/>
                <w:szCs w:val="20"/>
              </w:rPr>
            </w:pPr>
            <w:r w:rsidRPr="00C917E2">
              <w:rPr>
                <w:rFonts w:asciiTheme="minorHAnsi" w:hAnsiTheme="minorHAnsi"/>
                <w:sz w:val="20"/>
                <w:szCs w:val="20"/>
              </w:rPr>
              <w:t>10.05</w:t>
            </w:r>
          </w:p>
        </w:tc>
      </w:tr>
    </w:tbl>
    <w:p w14:paraId="368B5EF9" w14:textId="77777777" w:rsidR="008B67F3" w:rsidRPr="00C917E2" w:rsidRDefault="008B67F3" w:rsidP="00E73060">
      <w:pPr>
        <w:pStyle w:val="Source"/>
      </w:pPr>
      <w:r w:rsidRPr="00E94700">
        <w:rPr>
          <w:i/>
        </w:rPr>
        <w:t>Source:</w:t>
      </w:r>
      <w:r w:rsidRPr="00C917E2">
        <w:t xml:space="preserve"> Authors’ calculation</w:t>
      </w:r>
      <w:r w:rsidR="00283D74">
        <w:t>s</w:t>
      </w:r>
      <w:r w:rsidRPr="00C917E2">
        <w:t xml:space="preserve"> from WHO (GHED) and MOFED</w:t>
      </w:r>
      <w:r w:rsidR="006B2D5F">
        <w:t>.</w:t>
      </w:r>
    </w:p>
    <w:p w14:paraId="1BC74D9A" w14:textId="77777777" w:rsidR="008B67F3" w:rsidRPr="00C917E2" w:rsidRDefault="008B67F3" w:rsidP="006B7978">
      <w:pPr>
        <w:pStyle w:val="Heading4"/>
      </w:pPr>
      <w:bookmarkStart w:id="137" w:name="_Toc401030920"/>
      <w:r w:rsidRPr="00C917E2">
        <w:t xml:space="preserve">MOHCC </w:t>
      </w:r>
      <w:r w:rsidR="001C02D0" w:rsidRPr="00C917E2">
        <w:t>Total Expenditure: Assessing Allocative Efficiency</w:t>
      </w:r>
    </w:p>
    <w:bookmarkEnd w:id="137"/>
    <w:p w14:paraId="47F8C9F0" w14:textId="77777777" w:rsidR="008B67F3" w:rsidRPr="00C917E2" w:rsidRDefault="008B67F3" w:rsidP="00D37198">
      <w:pPr>
        <w:pStyle w:val="Numberpara"/>
      </w:pPr>
      <w:r w:rsidRPr="00C917E2">
        <w:t>Given the needs of the health system presented in Section 2 and the known properties of different health functions in terms of their public goods characteristics and best value for money, efficiency requires that primary care and prevention/public health activities be given priority (Box 3).</w:t>
      </w:r>
    </w:p>
    <w:p w14:paraId="2E67D07C" w14:textId="77777777" w:rsidR="008B67F3" w:rsidRPr="00C917E2" w:rsidRDefault="008B67F3" w:rsidP="00DE4A3B">
      <w:pPr>
        <w:pStyle w:val="BOX"/>
      </w:pPr>
      <w:bookmarkStart w:id="138" w:name="_Toc400793311"/>
      <w:bookmarkStart w:id="139" w:name="_Toc401072871"/>
      <w:bookmarkStart w:id="140" w:name="_Toc419004053"/>
      <w:r w:rsidRPr="00C917E2">
        <w:t xml:space="preserve">Box </w:t>
      </w:r>
      <w:r w:rsidR="00113462">
        <w:fldChar w:fldCharType="begin"/>
      </w:r>
      <w:r w:rsidR="00113462">
        <w:instrText xml:space="preserve"> SEQ Box \* ARABIC </w:instrText>
      </w:r>
      <w:r w:rsidR="00113462">
        <w:fldChar w:fldCharType="separate"/>
      </w:r>
      <w:r w:rsidR="003732A2">
        <w:rPr>
          <w:noProof/>
        </w:rPr>
        <w:t>3</w:t>
      </w:r>
      <w:r w:rsidR="00113462">
        <w:rPr>
          <w:noProof/>
        </w:rPr>
        <w:fldChar w:fldCharType="end"/>
      </w:r>
      <w:r w:rsidRPr="00C917E2">
        <w:t xml:space="preserve"> Allocative Efficiency Analysis </w:t>
      </w:r>
      <w:r w:rsidR="001C02D0" w:rsidRPr="00C917E2">
        <w:t xml:space="preserve">Using </w:t>
      </w:r>
      <w:r w:rsidRPr="00C917E2">
        <w:t>Functional Allocations of Health Expenditure</w:t>
      </w:r>
      <w:bookmarkEnd w:id="138"/>
      <w:bookmarkEnd w:id="139"/>
      <w:bookmarkEnd w:id="140"/>
    </w:p>
    <w:p w14:paraId="5FB5E5C9" w14:textId="77777777" w:rsidR="008B67F3" w:rsidRPr="00C917E2" w:rsidRDefault="008B67F3" w:rsidP="00DE4A3B">
      <w:pPr>
        <w:pStyle w:val="Boxtext"/>
      </w:pPr>
      <w:r w:rsidRPr="00C917E2">
        <w:t>Allocative efficiency analysis generally examines the types and combinations of goods and services produced in relation to demand. The term allocative efficiency is loosely interpreted here in the sense that consumer preferences and demand are not directly measured. Instead, the analysis rests on some general appreciation of needs and on well-known characteristics of the different types of health provision (functions) in terms of their public good</w:t>
      </w:r>
      <w:r w:rsidR="00793585">
        <w:t>s</w:t>
      </w:r>
      <w:r w:rsidRPr="00C917E2">
        <w:t xml:space="preserve"> (public health activities) and best value-for-money (primary care and prevention) characteristics. </w:t>
      </w:r>
    </w:p>
    <w:p w14:paraId="603D2776" w14:textId="77777777" w:rsidR="008B67F3" w:rsidRPr="00C917E2" w:rsidRDefault="008B67F3" w:rsidP="00DE4A3B">
      <w:pPr>
        <w:pStyle w:val="Boxtext"/>
      </w:pPr>
      <w:r w:rsidRPr="00C917E2">
        <w:t xml:space="preserve">By affecting parameters such as accessibility and quality, the allocation of health expenditures across different types of health service does not just reflect a response to demand pressures or need but can also influence the types of services that will be effectively used by individuals and therefore affect short- and long-run cost-efficiency. Indeed, there is some degree of substitutability between the different kinds of care dispensed at the primary, secondary, or tertiary levels or in different types of facilities in terms of reaching desired outcomes (lower mortality and morbidity). Expenditures on prevention, for example, complement current expenditures on curative care contemporaneously but substitute for future expenditures on curative care and are therefore recommended in a sustainability perspective. Finally, while efficiency and equity often involve a trade-off in other sectors, the two goals tend to be complementary in the health sector. In particular, directing more resources to primary health care and </w:t>
      </w:r>
      <w:r w:rsidR="00BA7DB1">
        <w:t xml:space="preserve">disease </w:t>
      </w:r>
      <w:r w:rsidRPr="00C917E2">
        <w:t>prevention is usually recommended both as efficiency and equity</w:t>
      </w:r>
      <w:r w:rsidR="00BA7DB1">
        <w:t xml:space="preserve"> </w:t>
      </w:r>
      <w:r w:rsidRPr="00C917E2">
        <w:t xml:space="preserve">enhancing. </w:t>
      </w:r>
    </w:p>
    <w:p w14:paraId="251FB2BC" w14:textId="77777777" w:rsidR="008B67F3" w:rsidRPr="00C917E2" w:rsidRDefault="008B67F3" w:rsidP="00DE4A3B">
      <w:pPr>
        <w:pStyle w:val="Boxtext"/>
      </w:pPr>
      <w:r w:rsidRPr="00C917E2">
        <w:t xml:space="preserve">In addition to looking at functions in terms of health services and levels, analysis of the distribution of expenditures by health priorities is useful to assess allocative efficiency in responding to needs. The question is whether efforts are placed where they are most needed and where they will have most effect. The need to prioritize some health programs against others in the name of allocative efficiency depends on specific conditions of the country, based on an evaluation of the situation and evolution of major health outcomes, utilization indicators, and demographic changes. </w:t>
      </w:r>
    </w:p>
    <w:p w14:paraId="4C189A1B" w14:textId="77777777" w:rsidR="008B67F3" w:rsidRPr="00C917E2" w:rsidRDefault="008B67F3" w:rsidP="0039606B"/>
    <w:p w14:paraId="66DCE668" w14:textId="77777777" w:rsidR="008B67F3" w:rsidRPr="00C917E2" w:rsidRDefault="008B67F3" w:rsidP="00D37198">
      <w:pPr>
        <w:pStyle w:val="Numberpara"/>
      </w:pPr>
      <w:r w:rsidRPr="00C917E2">
        <w:t>The distribution of recurrent and capital MOHCC expenditures by function (across all types of economic classifications) over 2010–13 reveals that expenditures on curative services absorbed 75–81 percent of all MOHCC expenditures, effectively driving the increase until 2012 (</w:t>
      </w:r>
      <w:r w:rsidR="00C713A9" w:rsidRPr="00C917E2">
        <w:fldChar w:fldCharType="begin"/>
      </w:r>
      <w:r w:rsidRPr="00C917E2">
        <w:instrText xml:space="preserve"> REF _Ref411949270 \h </w:instrText>
      </w:r>
      <w:r w:rsidR="00C713A9" w:rsidRPr="00C917E2">
        <w:fldChar w:fldCharType="separate"/>
      </w:r>
      <w:r w:rsidR="003732A2" w:rsidRPr="00C917E2">
        <w:t xml:space="preserve">Figure </w:t>
      </w:r>
      <w:r w:rsidR="003732A2">
        <w:rPr>
          <w:noProof/>
        </w:rPr>
        <w:t>22</w:t>
      </w:r>
      <w:r w:rsidR="00C713A9" w:rsidRPr="00C917E2">
        <w:fldChar w:fldCharType="end"/>
      </w:r>
      <w:r w:rsidRPr="00C917E2">
        <w:t>).</w:t>
      </w:r>
      <w:r w:rsidRPr="00C917E2">
        <w:rPr>
          <w:vertAlign w:val="superscript"/>
        </w:rPr>
        <w:endnoteReference w:id="57"/>
      </w:r>
      <w:r w:rsidRPr="00C917E2">
        <w:rPr>
          <w:vertAlign w:val="superscript"/>
        </w:rPr>
        <w:t>,</w:t>
      </w:r>
      <w:r w:rsidRPr="00C917E2">
        <w:rPr>
          <w:rStyle w:val="EndnoteReference"/>
        </w:rPr>
        <w:endnoteReference w:id="58"/>
      </w:r>
      <w:r w:rsidRPr="00C917E2">
        <w:rPr>
          <w:vertAlign w:val="superscript"/>
        </w:rPr>
        <w:t xml:space="preserve"> </w:t>
      </w:r>
      <w:r w:rsidRPr="00C917E2">
        <w:t xml:space="preserve">While the share of curative services dropped slightly or remained stable as total spending increased over 2010–12, it increased as total spending went down in 2013. This may be a signal that the budget is already tight relative to curative needs, and that further reductions in spending would further reduce the space allocated to noncurative functions. It is also possible that some of the expenditures labeled </w:t>
      </w:r>
      <w:r w:rsidRPr="00C917E2">
        <w:lastRenderedPageBreak/>
        <w:t>“curative” in 2013 are in fact related to past rather than current expenditures on curative services. Indeed, hospitals are known to have accumulated large debts to suppliers.</w:t>
      </w:r>
      <w:r w:rsidRPr="00C917E2">
        <w:rPr>
          <w:rStyle w:val="EndnoteReference"/>
        </w:rPr>
        <w:endnoteReference w:id="59"/>
      </w:r>
      <w:r w:rsidRPr="00C917E2">
        <w:t xml:space="preserve"> </w:t>
      </w:r>
    </w:p>
    <w:p w14:paraId="43801380" w14:textId="77777777" w:rsidR="008B67F3" w:rsidRPr="00C917E2" w:rsidRDefault="008B67F3" w:rsidP="00C53C89">
      <w:pPr>
        <w:pStyle w:val="Figure"/>
      </w:pPr>
      <w:bookmarkStart w:id="141" w:name="_Ref411949270"/>
      <w:bookmarkStart w:id="142" w:name="_Toc419004103"/>
      <w:r w:rsidRPr="00C917E2">
        <w:t xml:space="preserve">Figure </w:t>
      </w:r>
      <w:r w:rsidR="00113462">
        <w:fldChar w:fldCharType="begin"/>
      </w:r>
      <w:r w:rsidR="00113462">
        <w:instrText xml:space="preserve"> SEQ Figure \* ARABIC </w:instrText>
      </w:r>
      <w:r w:rsidR="00113462">
        <w:fldChar w:fldCharType="separate"/>
      </w:r>
      <w:r w:rsidR="003732A2">
        <w:rPr>
          <w:noProof/>
        </w:rPr>
        <w:t>22</w:t>
      </w:r>
      <w:r w:rsidR="00113462">
        <w:rPr>
          <w:noProof/>
        </w:rPr>
        <w:fldChar w:fldCharType="end"/>
      </w:r>
      <w:bookmarkEnd w:id="141"/>
      <w:r w:rsidRPr="00C917E2">
        <w:t xml:space="preserve"> Functional Classification of MOHCC Expenditure in Shares and Levels, 2010–13</w:t>
      </w:r>
      <w:bookmarkEnd w:id="142"/>
    </w:p>
    <w:p w14:paraId="2378E8AC" w14:textId="77777777" w:rsidR="008B67F3" w:rsidRPr="00C917E2" w:rsidRDefault="008B67F3" w:rsidP="00E73060">
      <w:r w:rsidRPr="00C917E2">
        <w:rPr>
          <w:noProof/>
        </w:rPr>
        <w:drawing>
          <wp:inline distT="0" distB="0" distL="0" distR="0" wp14:anchorId="1B62BEBC" wp14:editId="363BF2A9">
            <wp:extent cx="5731510" cy="2714625"/>
            <wp:effectExtent l="0" t="0" r="21590" b="9525"/>
            <wp:docPr id="80" name="Graphique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082D9C9" w14:textId="77777777" w:rsidR="008B67F3" w:rsidRPr="00C917E2" w:rsidRDefault="008B67F3" w:rsidP="00F252F4">
      <w:pPr>
        <w:pStyle w:val="Source"/>
        <w:tabs>
          <w:tab w:val="left" w:pos="6976"/>
        </w:tabs>
      </w:pPr>
      <w:r w:rsidRPr="00E94700">
        <w:rPr>
          <w:i/>
        </w:rPr>
        <w:t>Source:</w:t>
      </w:r>
      <w:r w:rsidRPr="00C917E2">
        <w:t xml:space="preserve"> Authors using MOFED data</w:t>
      </w:r>
      <w:r w:rsidR="006B2D5F">
        <w:t>.</w:t>
      </w:r>
      <w:r w:rsidR="00F252F4" w:rsidRPr="00C917E2">
        <w:tab/>
      </w:r>
    </w:p>
    <w:p w14:paraId="66E9E2E9" w14:textId="77777777" w:rsidR="008B67F3" w:rsidRPr="00C917E2" w:rsidRDefault="008B67F3" w:rsidP="00D37198">
      <w:pPr>
        <w:pStyle w:val="Numberpara"/>
      </w:pPr>
      <w:r w:rsidRPr="00C917E2">
        <w:t>The current budget classification of health care activities into curative versus preventive, however, does not permit the tracking of primary care and some public health expenditures. Along with prevention, these activities are generally recommended on allocative efficiency grounds because they are also cost-effective and include high positive externalities; they also often include a strong prevention component. Unfortunately, given the way the budget is structured, it is not possible to use budget expenditure data to</w:t>
      </w:r>
      <w:r w:rsidRPr="00C917E2">
        <w:rPr>
          <w:color w:val="FFFFFF" w:themeColor="background1"/>
        </w:rPr>
        <w:t xml:space="preserve"> </w:t>
      </w:r>
      <w:r w:rsidRPr="00C917E2">
        <w:t>separate the share of MOHCC expenditures that went to finance primary care facilities versus hospitals, nor how much primary care is actually dispensed in hospital</w:t>
      </w:r>
      <w:r w:rsidR="00BA7DB1">
        <w:t>s</w:t>
      </w:r>
      <w:r w:rsidRPr="00C917E2">
        <w:t xml:space="preserve">. This information would be very useful to evaluate the allocative efficiency and sustainability of the system. The only </w:t>
      </w:r>
      <w:r w:rsidR="00BA7DB1">
        <w:t xml:space="preserve">trace </w:t>
      </w:r>
      <w:r w:rsidRPr="00C917E2">
        <w:t xml:space="preserve">of efforts toward low-cost, high-impact activities </w:t>
      </w:r>
      <w:r w:rsidR="00BA7DB1">
        <w:t xml:space="preserve">comes from </w:t>
      </w:r>
      <w:r w:rsidR="00BA7DB1" w:rsidRPr="00C917E2">
        <w:t xml:space="preserve">prevention </w:t>
      </w:r>
      <w:r w:rsidRPr="00C917E2">
        <w:t xml:space="preserve">expenditures and </w:t>
      </w:r>
      <w:r w:rsidR="00BA7DB1">
        <w:t xml:space="preserve">from </w:t>
      </w:r>
      <w:r w:rsidRPr="00C917E2">
        <w:t>vertical health programs.</w:t>
      </w:r>
      <w:r w:rsidRPr="00C917E2" w:rsidDel="009F3FF1">
        <w:rPr>
          <w:highlight w:val="yellow"/>
        </w:rPr>
        <w:t xml:space="preserve"> </w:t>
      </w:r>
    </w:p>
    <w:p w14:paraId="35B2FE41" w14:textId="77777777" w:rsidR="004B6415" w:rsidRDefault="008B67F3" w:rsidP="00D37198">
      <w:pPr>
        <w:pStyle w:val="Numberpara"/>
      </w:pPr>
      <w:r w:rsidRPr="00C917E2">
        <w:t>Relative to the overwhelming share of curative services, preventive services and research appear to have received little attention from the government, representing together about 10 percent of MOHCC expenditures (7–8 percent preventive, 2–3 percent research). If we consider that budget appropriations on preventive services mainly consist of administrative expenditures for the provincial medical director’s offices, the government is in fact not investing at all in health prevention, leaving most preventive health activities to be financed by development partners. Adding all noncurative expenditures on activities and programs of the NAC increases the figure by 1.7 percent.</w:t>
      </w:r>
      <w:r w:rsidRPr="00C917E2">
        <w:rPr>
          <w:rStyle w:val="EndnoteReference"/>
        </w:rPr>
        <w:endnoteReference w:id="60"/>
      </w:r>
      <w:r w:rsidRPr="00C917E2">
        <w:t xml:space="preserve"> </w:t>
      </w:r>
    </w:p>
    <w:p w14:paraId="2ED0D5E3" w14:textId="77777777" w:rsidR="008B67F3" w:rsidRPr="00C917E2" w:rsidRDefault="008B67F3" w:rsidP="00D37198">
      <w:pPr>
        <w:pStyle w:val="Numberpara"/>
      </w:pPr>
      <w:r w:rsidRPr="00C917E2">
        <w:t>Thus compared with other African countries, spending on preventive services in Zimbabwe is low. For example, NHA data around the years 2009–10 in Kenya, Tanzania, and Uganda showed that these countries spent more than 20 percent of total health expenditure on preventive services.</w:t>
      </w:r>
      <w:r w:rsidRPr="00C917E2">
        <w:rPr>
          <w:vertAlign w:val="superscript"/>
        </w:rPr>
        <w:endnoteReference w:id="61"/>
      </w:r>
      <w:r w:rsidRPr="00C917E2">
        <w:t xml:space="preserve"> One positive sign, however—considering that preventive activities increase the long-run efficiency of the system by substituting for future increases in curative expenses—is that absolute amounts devoted to these functions </w:t>
      </w:r>
      <w:r w:rsidR="00793585" w:rsidRPr="00C917E2">
        <w:t xml:space="preserve">in Zimbabwe </w:t>
      </w:r>
      <w:r w:rsidRPr="00C917E2">
        <w:t xml:space="preserve">have </w:t>
      </w:r>
      <w:r w:rsidR="00793585">
        <w:t xml:space="preserve">come close to </w:t>
      </w:r>
      <w:r w:rsidRPr="00C917E2">
        <w:t>doubl</w:t>
      </w:r>
      <w:r w:rsidR="00793585">
        <w:t>ing</w:t>
      </w:r>
      <w:r w:rsidRPr="00C917E2">
        <w:t xml:space="preserve"> since 2010.</w:t>
      </w:r>
    </w:p>
    <w:p w14:paraId="1CAA29E0" w14:textId="77777777" w:rsidR="008B67F3" w:rsidRPr="00C917E2" w:rsidRDefault="008B67F3" w:rsidP="00D37198">
      <w:pPr>
        <w:pStyle w:val="Numberpara"/>
      </w:pPr>
      <w:r w:rsidRPr="00C917E2">
        <w:t xml:space="preserve">While it is </w:t>
      </w:r>
      <w:r w:rsidR="00793585">
        <w:t>un</w:t>
      </w:r>
      <w:r w:rsidRPr="00C917E2">
        <w:t xml:space="preserve">desirable to have vertical silo programs, it is important to devote more funds from the general government budget to important public health issues. This is particularly the case for the </w:t>
      </w:r>
      <w:r w:rsidRPr="00C917E2">
        <w:lastRenderedPageBreak/>
        <w:t>central government budget because of the public good</w:t>
      </w:r>
      <w:r w:rsidR="00793585">
        <w:t>s</w:t>
      </w:r>
      <w:r w:rsidRPr="00C917E2">
        <w:t xml:space="preserve"> nature of such programs; the private cost of obtaining the service is likely bigger than the private benefit, but positive externalities are large. </w:t>
      </w:r>
      <w:r w:rsidR="00C713A9" w:rsidRPr="00C917E2">
        <w:fldChar w:fldCharType="begin"/>
      </w:r>
      <w:r w:rsidR="00FF3BD3" w:rsidRPr="00C917E2">
        <w:instrText xml:space="preserve"> REF _Ref414597316 \h </w:instrText>
      </w:r>
      <w:r w:rsidR="00C713A9" w:rsidRPr="00C917E2">
        <w:fldChar w:fldCharType="separate"/>
      </w:r>
      <w:r w:rsidR="003732A2" w:rsidRPr="00C917E2">
        <w:t xml:space="preserve">Table </w:t>
      </w:r>
      <w:r w:rsidR="003732A2">
        <w:rPr>
          <w:noProof/>
        </w:rPr>
        <w:t>4</w:t>
      </w:r>
      <w:r w:rsidR="00C713A9" w:rsidRPr="00C917E2">
        <w:fldChar w:fldCharType="end"/>
      </w:r>
      <w:r w:rsidRPr="00C917E2">
        <w:t xml:space="preserve"> shows that public health programs together seldom accounted for even 1 percent of the MOHCC budget (although this does not include funds going to </w:t>
      </w:r>
      <w:r w:rsidR="00793585">
        <w:t xml:space="preserve">HIV/AIDS </w:t>
      </w:r>
      <w:r w:rsidRPr="00C917E2">
        <w:t>activities and programs through the NAC, which represent</w:t>
      </w:r>
      <w:r w:rsidR="00793585">
        <w:t>ed</w:t>
      </w:r>
      <w:r w:rsidRPr="00C917E2">
        <w:t xml:space="preserve"> 6.4 percent of total MOHCC and NAC expenditures</w:t>
      </w:r>
      <w:r w:rsidR="00793585">
        <w:t xml:space="preserve"> in 2013</w:t>
      </w:r>
      <w:r w:rsidRPr="00C917E2">
        <w:t xml:space="preserve">). </w:t>
      </w:r>
    </w:p>
    <w:p w14:paraId="471549FF" w14:textId="77777777" w:rsidR="008B67F3" w:rsidRPr="00C917E2" w:rsidRDefault="008B67F3" w:rsidP="00C53C89">
      <w:pPr>
        <w:pStyle w:val="Table"/>
      </w:pPr>
      <w:bookmarkStart w:id="143" w:name="_Ref414597316"/>
      <w:bookmarkStart w:id="144" w:name="_Toc401030778"/>
      <w:bookmarkStart w:id="145" w:name="_Toc401072501"/>
      <w:bookmarkStart w:id="146" w:name="_Toc401072589"/>
      <w:bookmarkStart w:id="147" w:name="_Toc401072738"/>
      <w:bookmarkStart w:id="148" w:name="_Toc419004072"/>
      <w:r w:rsidRPr="00C917E2">
        <w:t xml:space="preserve">Table </w:t>
      </w:r>
      <w:r w:rsidR="00113462">
        <w:fldChar w:fldCharType="begin"/>
      </w:r>
      <w:r w:rsidR="00113462">
        <w:instrText xml:space="preserve"> SEQ Table \* ARABIC </w:instrText>
      </w:r>
      <w:r w:rsidR="00113462">
        <w:fldChar w:fldCharType="separate"/>
      </w:r>
      <w:r w:rsidR="003732A2">
        <w:rPr>
          <w:noProof/>
        </w:rPr>
        <w:t>4</w:t>
      </w:r>
      <w:r w:rsidR="00113462">
        <w:rPr>
          <w:noProof/>
        </w:rPr>
        <w:fldChar w:fldCharType="end"/>
      </w:r>
      <w:bookmarkEnd w:id="143"/>
      <w:r w:rsidRPr="00C917E2">
        <w:t xml:space="preserve"> MOHCC Spending on Public Health Programs, 2009–13 (US$</w:t>
      </w:r>
      <w:r w:rsidR="00F67A69">
        <w:t> thousand</w:t>
      </w:r>
      <w:r w:rsidRPr="00C917E2">
        <w:t>)</w:t>
      </w:r>
      <w:bookmarkEnd w:id="144"/>
      <w:bookmarkEnd w:id="145"/>
      <w:bookmarkEnd w:id="146"/>
      <w:bookmarkEnd w:id="147"/>
      <w:bookmarkEnd w:id="148"/>
    </w:p>
    <w:tbl>
      <w:tblPr>
        <w:tblW w:w="9235" w:type="dxa"/>
        <w:tblBorders>
          <w:top w:val="single" w:sz="8" w:space="0" w:color="4F81BD"/>
          <w:bottom w:val="single" w:sz="8" w:space="0" w:color="4F81BD"/>
        </w:tblBorders>
        <w:tblLayout w:type="fixed"/>
        <w:tblLook w:val="04A0" w:firstRow="1" w:lastRow="0" w:firstColumn="1" w:lastColumn="0" w:noHBand="0" w:noVBand="1"/>
      </w:tblPr>
      <w:tblGrid>
        <w:gridCol w:w="4644"/>
        <w:gridCol w:w="709"/>
        <w:gridCol w:w="851"/>
        <w:gridCol w:w="1107"/>
        <w:gridCol w:w="1019"/>
        <w:gridCol w:w="905"/>
      </w:tblGrid>
      <w:tr w:rsidR="008B67F3" w:rsidRPr="00C917E2" w14:paraId="56DBAA4D" w14:textId="77777777" w:rsidTr="00D06314">
        <w:trPr>
          <w:trHeight w:val="170"/>
          <w:tblHeader/>
        </w:trPr>
        <w:tc>
          <w:tcPr>
            <w:tcW w:w="4644" w:type="dxa"/>
            <w:tcBorders>
              <w:top w:val="single" w:sz="4" w:space="0" w:color="365F91" w:themeColor="accent1" w:themeShade="BF"/>
              <w:bottom w:val="single" w:sz="4" w:space="0" w:color="365F91" w:themeColor="accent1" w:themeShade="BF"/>
            </w:tcBorders>
            <w:shd w:val="clear" w:color="auto" w:fill="auto"/>
            <w:noWrap/>
            <w:hideMark/>
          </w:tcPr>
          <w:p w14:paraId="16C48A64"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 </w:t>
            </w:r>
          </w:p>
        </w:tc>
        <w:tc>
          <w:tcPr>
            <w:tcW w:w="709" w:type="dxa"/>
            <w:tcBorders>
              <w:top w:val="single" w:sz="4" w:space="0" w:color="365F91" w:themeColor="accent1" w:themeShade="BF"/>
              <w:bottom w:val="single" w:sz="4" w:space="0" w:color="365F91" w:themeColor="accent1" w:themeShade="BF"/>
            </w:tcBorders>
            <w:shd w:val="clear" w:color="auto" w:fill="auto"/>
            <w:noWrap/>
            <w:hideMark/>
          </w:tcPr>
          <w:p w14:paraId="0CFDCE23"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2009</w:t>
            </w:r>
          </w:p>
        </w:tc>
        <w:tc>
          <w:tcPr>
            <w:tcW w:w="851" w:type="dxa"/>
            <w:tcBorders>
              <w:top w:val="single" w:sz="4" w:space="0" w:color="365F91" w:themeColor="accent1" w:themeShade="BF"/>
              <w:bottom w:val="single" w:sz="4" w:space="0" w:color="365F91" w:themeColor="accent1" w:themeShade="BF"/>
            </w:tcBorders>
            <w:shd w:val="clear" w:color="auto" w:fill="auto"/>
            <w:noWrap/>
            <w:hideMark/>
          </w:tcPr>
          <w:p w14:paraId="7FD9C3D7"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2010</w:t>
            </w:r>
          </w:p>
        </w:tc>
        <w:tc>
          <w:tcPr>
            <w:tcW w:w="1107" w:type="dxa"/>
            <w:tcBorders>
              <w:top w:val="single" w:sz="4" w:space="0" w:color="365F91" w:themeColor="accent1" w:themeShade="BF"/>
              <w:bottom w:val="single" w:sz="4" w:space="0" w:color="365F91" w:themeColor="accent1" w:themeShade="BF"/>
            </w:tcBorders>
            <w:shd w:val="clear" w:color="auto" w:fill="auto"/>
            <w:noWrap/>
            <w:hideMark/>
          </w:tcPr>
          <w:p w14:paraId="603B18F9"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2011</w:t>
            </w:r>
          </w:p>
        </w:tc>
        <w:tc>
          <w:tcPr>
            <w:tcW w:w="1019" w:type="dxa"/>
            <w:tcBorders>
              <w:top w:val="single" w:sz="4" w:space="0" w:color="365F91" w:themeColor="accent1" w:themeShade="BF"/>
              <w:bottom w:val="single" w:sz="4" w:space="0" w:color="365F91" w:themeColor="accent1" w:themeShade="BF"/>
            </w:tcBorders>
            <w:shd w:val="clear" w:color="auto" w:fill="auto"/>
            <w:noWrap/>
            <w:hideMark/>
          </w:tcPr>
          <w:p w14:paraId="5639EAB0"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2012</w:t>
            </w:r>
          </w:p>
        </w:tc>
        <w:tc>
          <w:tcPr>
            <w:tcW w:w="905" w:type="dxa"/>
            <w:tcBorders>
              <w:top w:val="single" w:sz="4" w:space="0" w:color="365F91" w:themeColor="accent1" w:themeShade="BF"/>
              <w:bottom w:val="single" w:sz="4" w:space="0" w:color="365F91" w:themeColor="accent1" w:themeShade="BF"/>
            </w:tcBorders>
            <w:shd w:val="clear" w:color="auto" w:fill="auto"/>
            <w:noWrap/>
            <w:hideMark/>
          </w:tcPr>
          <w:p w14:paraId="06ED40CD"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2013</w:t>
            </w:r>
          </w:p>
        </w:tc>
      </w:tr>
      <w:tr w:rsidR="008B67F3" w:rsidRPr="00C917E2" w14:paraId="2372D2ED" w14:textId="77777777" w:rsidTr="00D06314">
        <w:trPr>
          <w:trHeight w:val="227"/>
          <w:tblHeader/>
        </w:trPr>
        <w:tc>
          <w:tcPr>
            <w:tcW w:w="4644" w:type="dxa"/>
            <w:tcBorders>
              <w:top w:val="single" w:sz="4" w:space="0" w:color="365F91" w:themeColor="accent1" w:themeShade="BF"/>
              <w:bottom w:val="nil"/>
            </w:tcBorders>
            <w:shd w:val="clear" w:color="auto" w:fill="auto"/>
            <w:noWrap/>
            <w:hideMark/>
          </w:tcPr>
          <w:p w14:paraId="44211DCB"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Environmental Health</w:t>
            </w:r>
          </w:p>
        </w:tc>
        <w:tc>
          <w:tcPr>
            <w:tcW w:w="709" w:type="dxa"/>
            <w:tcBorders>
              <w:top w:val="single" w:sz="4" w:space="0" w:color="365F91" w:themeColor="accent1" w:themeShade="BF"/>
              <w:bottom w:val="nil"/>
            </w:tcBorders>
            <w:shd w:val="clear" w:color="auto" w:fill="auto"/>
            <w:noWrap/>
            <w:hideMark/>
          </w:tcPr>
          <w:p w14:paraId="4580DC12"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11</w:t>
            </w:r>
          </w:p>
        </w:tc>
        <w:tc>
          <w:tcPr>
            <w:tcW w:w="851" w:type="dxa"/>
            <w:tcBorders>
              <w:top w:val="single" w:sz="4" w:space="0" w:color="365F91" w:themeColor="accent1" w:themeShade="BF"/>
              <w:bottom w:val="nil"/>
            </w:tcBorders>
            <w:shd w:val="clear" w:color="auto" w:fill="auto"/>
            <w:noWrap/>
            <w:hideMark/>
          </w:tcPr>
          <w:p w14:paraId="7B878AE2"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24</w:t>
            </w:r>
          </w:p>
        </w:tc>
        <w:tc>
          <w:tcPr>
            <w:tcW w:w="1107" w:type="dxa"/>
            <w:tcBorders>
              <w:top w:val="single" w:sz="4" w:space="0" w:color="365F91" w:themeColor="accent1" w:themeShade="BF"/>
              <w:bottom w:val="nil"/>
            </w:tcBorders>
            <w:shd w:val="clear" w:color="auto" w:fill="auto"/>
            <w:noWrap/>
            <w:hideMark/>
          </w:tcPr>
          <w:p w14:paraId="19E7F2F8"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130</w:t>
            </w:r>
          </w:p>
        </w:tc>
        <w:tc>
          <w:tcPr>
            <w:tcW w:w="1019" w:type="dxa"/>
            <w:tcBorders>
              <w:top w:val="single" w:sz="4" w:space="0" w:color="365F91" w:themeColor="accent1" w:themeShade="BF"/>
              <w:bottom w:val="nil"/>
            </w:tcBorders>
            <w:shd w:val="clear" w:color="auto" w:fill="auto"/>
            <w:noWrap/>
            <w:hideMark/>
          </w:tcPr>
          <w:p w14:paraId="7260D91A"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78</w:t>
            </w:r>
          </w:p>
        </w:tc>
        <w:tc>
          <w:tcPr>
            <w:tcW w:w="905" w:type="dxa"/>
            <w:tcBorders>
              <w:top w:val="single" w:sz="4" w:space="0" w:color="365F91" w:themeColor="accent1" w:themeShade="BF"/>
              <w:bottom w:val="nil"/>
            </w:tcBorders>
            <w:shd w:val="clear" w:color="auto" w:fill="auto"/>
            <w:noWrap/>
            <w:hideMark/>
          </w:tcPr>
          <w:p w14:paraId="08759F74"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56</w:t>
            </w:r>
          </w:p>
        </w:tc>
      </w:tr>
      <w:tr w:rsidR="008B67F3" w:rsidRPr="00C917E2" w14:paraId="078D69AE" w14:textId="77777777" w:rsidTr="00D06314">
        <w:trPr>
          <w:trHeight w:val="227"/>
          <w:tblHeader/>
        </w:trPr>
        <w:tc>
          <w:tcPr>
            <w:tcW w:w="4644" w:type="dxa"/>
            <w:tcBorders>
              <w:top w:val="nil"/>
              <w:bottom w:val="nil"/>
            </w:tcBorders>
            <w:shd w:val="clear" w:color="auto" w:fill="auto"/>
            <w:noWrap/>
            <w:hideMark/>
          </w:tcPr>
          <w:p w14:paraId="071280E7"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EPI</w:t>
            </w:r>
          </w:p>
        </w:tc>
        <w:tc>
          <w:tcPr>
            <w:tcW w:w="709" w:type="dxa"/>
            <w:tcBorders>
              <w:top w:val="nil"/>
              <w:bottom w:val="nil"/>
            </w:tcBorders>
            <w:shd w:val="clear" w:color="auto" w:fill="auto"/>
            <w:noWrap/>
            <w:hideMark/>
          </w:tcPr>
          <w:p w14:paraId="6BE7D73C"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 </w:t>
            </w:r>
          </w:p>
        </w:tc>
        <w:tc>
          <w:tcPr>
            <w:tcW w:w="851" w:type="dxa"/>
            <w:tcBorders>
              <w:top w:val="nil"/>
              <w:bottom w:val="nil"/>
            </w:tcBorders>
            <w:shd w:val="clear" w:color="auto" w:fill="auto"/>
            <w:noWrap/>
            <w:hideMark/>
          </w:tcPr>
          <w:p w14:paraId="38391747"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39</w:t>
            </w:r>
          </w:p>
        </w:tc>
        <w:tc>
          <w:tcPr>
            <w:tcW w:w="1107" w:type="dxa"/>
            <w:tcBorders>
              <w:top w:val="nil"/>
              <w:bottom w:val="nil"/>
            </w:tcBorders>
            <w:shd w:val="clear" w:color="auto" w:fill="auto"/>
            <w:noWrap/>
            <w:hideMark/>
          </w:tcPr>
          <w:p w14:paraId="013EC9A7"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58</w:t>
            </w:r>
          </w:p>
        </w:tc>
        <w:tc>
          <w:tcPr>
            <w:tcW w:w="1019" w:type="dxa"/>
            <w:tcBorders>
              <w:top w:val="nil"/>
              <w:bottom w:val="nil"/>
            </w:tcBorders>
            <w:shd w:val="clear" w:color="auto" w:fill="auto"/>
            <w:noWrap/>
            <w:hideMark/>
          </w:tcPr>
          <w:p w14:paraId="60CAAA63"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187</w:t>
            </w:r>
          </w:p>
        </w:tc>
        <w:tc>
          <w:tcPr>
            <w:tcW w:w="905" w:type="dxa"/>
            <w:tcBorders>
              <w:top w:val="nil"/>
              <w:bottom w:val="nil"/>
            </w:tcBorders>
            <w:shd w:val="clear" w:color="auto" w:fill="auto"/>
            <w:noWrap/>
            <w:hideMark/>
          </w:tcPr>
          <w:p w14:paraId="59F783F0"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207</w:t>
            </w:r>
          </w:p>
        </w:tc>
      </w:tr>
      <w:tr w:rsidR="008B67F3" w:rsidRPr="00C917E2" w14:paraId="317CBB4A" w14:textId="77777777" w:rsidTr="00D06314">
        <w:trPr>
          <w:trHeight w:val="227"/>
          <w:tblHeader/>
        </w:trPr>
        <w:tc>
          <w:tcPr>
            <w:tcW w:w="4644" w:type="dxa"/>
            <w:tcBorders>
              <w:top w:val="nil"/>
              <w:bottom w:val="nil"/>
            </w:tcBorders>
            <w:shd w:val="clear" w:color="auto" w:fill="auto"/>
            <w:noWrap/>
            <w:hideMark/>
          </w:tcPr>
          <w:p w14:paraId="571BE35E"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Emergency Preparedness and Response</w:t>
            </w:r>
          </w:p>
        </w:tc>
        <w:tc>
          <w:tcPr>
            <w:tcW w:w="709" w:type="dxa"/>
            <w:tcBorders>
              <w:top w:val="nil"/>
              <w:bottom w:val="nil"/>
            </w:tcBorders>
            <w:shd w:val="clear" w:color="auto" w:fill="auto"/>
            <w:noWrap/>
            <w:hideMark/>
          </w:tcPr>
          <w:p w14:paraId="63EE7EF6"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8</w:t>
            </w:r>
          </w:p>
        </w:tc>
        <w:tc>
          <w:tcPr>
            <w:tcW w:w="851" w:type="dxa"/>
            <w:tcBorders>
              <w:top w:val="nil"/>
              <w:bottom w:val="nil"/>
            </w:tcBorders>
            <w:shd w:val="clear" w:color="auto" w:fill="auto"/>
            <w:noWrap/>
            <w:hideMark/>
          </w:tcPr>
          <w:p w14:paraId="4F89A032"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14</w:t>
            </w:r>
          </w:p>
        </w:tc>
        <w:tc>
          <w:tcPr>
            <w:tcW w:w="1107" w:type="dxa"/>
            <w:tcBorders>
              <w:top w:val="nil"/>
              <w:bottom w:val="nil"/>
            </w:tcBorders>
            <w:shd w:val="clear" w:color="auto" w:fill="auto"/>
            <w:noWrap/>
            <w:hideMark/>
          </w:tcPr>
          <w:p w14:paraId="6DD38F87"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5</w:t>
            </w:r>
          </w:p>
        </w:tc>
        <w:tc>
          <w:tcPr>
            <w:tcW w:w="1019" w:type="dxa"/>
            <w:tcBorders>
              <w:top w:val="nil"/>
              <w:bottom w:val="nil"/>
            </w:tcBorders>
            <w:shd w:val="clear" w:color="auto" w:fill="auto"/>
            <w:noWrap/>
            <w:hideMark/>
          </w:tcPr>
          <w:p w14:paraId="6836276D"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8</w:t>
            </w:r>
          </w:p>
        </w:tc>
        <w:tc>
          <w:tcPr>
            <w:tcW w:w="905" w:type="dxa"/>
            <w:tcBorders>
              <w:top w:val="nil"/>
              <w:bottom w:val="nil"/>
            </w:tcBorders>
            <w:shd w:val="clear" w:color="auto" w:fill="auto"/>
            <w:noWrap/>
            <w:hideMark/>
          </w:tcPr>
          <w:p w14:paraId="00936455"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11</w:t>
            </w:r>
          </w:p>
        </w:tc>
      </w:tr>
      <w:tr w:rsidR="008B67F3" w:rsidRPr="00C917E2" w14:paraId="5E1F389E" w14:textId="77777777" w:rsidTr="00D06314">
        <w:trPr>
          <w:trHeight w:val="227"/>
          <w:tblHeader/>
        </w:trPr>
        <w:tc>
          <w:tcPr>
            <w:tcW w:w="4644" w:type="dxa"/>
            <w:tcBorders>
              <w:top w:val="nil"/>
              <w:bottom w:val="nil"/>
            </w:tcBorders>
            <w:shd w:val="clear" w:color="auto" w:fill="auto"/>
            <w:noWrap/>
            <w:hideMark/>
          </w:tcPr>
          <w:p w14:paraId="1929D862"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Health Education</w:t>
            </w:r>
          </w:p>
        </w:tc>
        <w:tc>
          <w:tcPr>
            <w:tcW w:w="709" w:type="dxa"/>
            <w:tcBorders>
              <w:top w:val="nil"/>
              <w:bottom w:val="nil"/>
            </w:tcBorders>
            <w:shd w:val="clear" w:color="auto" w:fill="auto"/>
            <w:noWrap/>
            <w:hideMark/>
          </w:tcPr>
          <w:p w14:paraId="755EE60D"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 </w:t>
            </w:r>
          </w:p>
        </w:tc>
        <w:tc>
          <w:tcPr>
            <w:tcW w:w="851" w:type="dxa"/>
            <w:tcBorders>
              <w:top w:val="nil"/>
              <w:bottom w:val="nil"/>
            </w:tcBorders>
            <w:shd w:val="clear" w:color="auto" w:fill="auto"/>
            <w:noWrap/>
            <w:hideMark/>
          </w:tcPr>
          <w:p w14:paraId="54AC7CFE"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11</w:t>
            </w:r>
          </w:p>
        </w:tc>
        <w:tc>
          <w:tcPr>
            <w:tcW w:w="1107" w:type="dxa"/>
            <w:tcBorders>
              <w:top w:val="nil"/>
              <w:bottom w:val="nil"/>
            </w:tcBorders>
            <w:shd w:val="clear" w:color="auto" w:fill="auto"/>
            <w:noWrap/>
            <w:hideMark/>
          </w:tcPr>
          <w:p w14:paraId="7843ECAB"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40</w:t>
            </w:r>
          </w:p>
        </w:tc>
        <w:tc>
          <w:tcPr>
            <w:tcW w:w="1019" w:type="dxa"/>
            <w:tcBorders>
              <w:top w:val="nil"/>
              <w:bottom w:val="nil"/>
            </w:tcBorders>
            <w:shd w:val="clear" w:color="auto" w:fill="auto"/>
            <w:noWrap/>
            <w:hideMark/>
          </w:tcPr>
          <w:p w14:paraId="60DB5880"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94</w:t>
            </w:r>
          </w:p>
        </w:tc>
        <w:tc>
          <w:tcPr>
            <w:tcW w:w="905" w:type="dxa"/>
            <w:tcBorders>
              <w:top w:val="nil"/>
              <w:bottom w:val="nil"/>
            </w:tcBorders>
            <w:shd w:val="clear" w:color="auto" w:fill="auto"/>
            <w:noWrap/>
            <w:hideMark/>
          </w:tcPr>
          <w:p w14:paraId="59DF146B"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178</w:t>
            </w:r>
          </w:p>
        </w:tc>
      </w:tr>
      <w:tr w:rsidR="008B67F3" w:rsidRPr="00C917E2" w14:paraId="4415D4E7" w14:textId="77777777" w:rsidTr="00D06314">
        <w:trPr>
          <w:trHeight w:val="227"/>
          <w:tblHeader/>
        </w:trPr>
        <w:tc>
          <w:tcPr>
            <w:tcW w:w="4644" w:type="dxa"/>
            <w:tcBorders>
              <w:top w:val="nil"/>
              <w:bottom w:val="nil"/>
            </w:tcBorders>
            <w:shd w:val="clear" w:color="auto" w:fill="auto"/>
            <w:noWrap/>
            <w:hideMark/>
          </w:tcPr>
          <w:p w14:paraId="6ECBE6E1"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HIV/AIDS/STD/Tuberculosis (does not include HIV/AIDS funds through NAC)</w:t>
            </w:r>
            <w:r w:rsidRPr="00793585">
              <w:rPr>
                <w:rFonts w:asciiTheme="minorHAnsi" w:hAnsiTheme="minorHAnsi"/>
                <w:sz w:val="20"/>
                <w:szCs w:val="20"/>
                <w:vertAlign w:val="superscript"/>
              </w:rPr>
              <w:t>a</w:t>
            </w:r>
          </w:p>
        </w:tc>
        <w:tc>
          <w:tcPr>
            <w:tcW w:w="709" w:type="dxa"/>
            <w:tcBorders>
              <w:top w:val="nil"/>
              <w:bottom w:val="nil"/>
            </w:tcBorders>
            <w:shd w:val="clear" w:color="auto" w:fill="auto"/>
            <w:noWrap/>
            <w:hideMark/>
          </w:tcPr>
          <w:p w14:paraId="1F652BA5"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9</w:t>
            </w:r>
          </w:p>
        </w:tc>
        <w:tc>
          <w:tcPr>
            <w:tcW w:w="851" w:type="dxa"/>
            <w:tcBorders>
              <w:top w:val="nil"/>
              <w:bottom w:val="nil"/>
            </w:tcBorders>
            <w:shd w:val="clear" w:color="auto" w:fill="auto"/>
            <w:noWrap/>
            <w:hideMark/>
          </w:tcPr>
          <w:p w14:paraId="07480D9F"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42</w:t>
            </w:r>
          </w:p>
        </w:tc>
        <w:tc>
          <w:tcPr>
            <w:tcW w:w="1107" w:type="dxa"/>
            <w:tcBorders>
              <w:top w:val="nil"/>
              <w:bottom w:val="nil"/>
            </w:tcBorders>
            <w:shd w:val="clear" w:color="auto" w:fill="auto"/>
            <w:noWrap/>
            <w:hideMark/>
          </w:tcPr>
          <w:p w14:paraId="723F3479"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57</w:t>
            </w:r>
          </w:p>
        </w:tc>
        <w:tc>
          <w:tcPr>
            <w:tcW w:w="1019" w:type="dxa"/>
            <w:tcBorders>
              <w:top w:val="nil"/>
              <w:bottom w:val="nil"/>
            </w:tcBorders>
            <w:shd w:val="clear" w:color="auto" w:fill="auto"/>
            <w:noWrap/>
            <w:hideMark/>
          </w:tcPr>
          <w:p w14:paraId="7DCCEA22"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119</w:t>
            </w:r>
          </w:p>
        </w:tc>
        <w:tc>
          <w:tcPr>
            <w:tcW w:w="905" w:type="dxa"/>
            <w:tcBorders>
              <w:top w:val="nil"/>
              <w:bottom w:val="nil"/>
            </w:tcBorders>
            <w:shd w:val="clear" w:color="auto" w:fill="auto"/>
            <w:noWrap/>
            <w:hideMark/>
          </w:tcPr>
          <w:p w14:paraId="393F1503"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99</w:t>
            </w:r>
          </w:p>
        </w:tc>
      </w:tr>
      <w:tr w:rsidR="008B67F3" w:rsidRPr="00C917E2" w14:paraId="5AB5879D" w14:textId="77777777" w:rsidTr="00D06314">
        <w:trPr>
          <w:trHeight w:val="227"/>
          <w:tblHeader/>
        </w:trPr>
        <w:tc>
          <w:tcPr>
            <w:tcW w:w="4644" w:type="dxa"/>
            <w:tcBorders>
              <w:top w:val="nil"/>
              <w:bottom w:val="nil"/>
            </w:tcBorders>
            <w:shd w:val="clear" w:color="auto" w:fill="auto"/>
            <w:noWrap/>
            <w:hideMark/>
          </w:tcPr>
          <w:p w14:paraId="14958055"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Integrated Management of Childhood Illnesses</w:t>
            </w:r>
          </w:p>
        </w:tc>
        <w:tc>
          <w:tcPr>
            <w:tcW w:w="709" w:type="dxa"/>
            <w:tcBorders>
              <w:top w:val="nil"/>
              <w:bottom w:val="nil"/>
            </w:tcBorders>
            <w:shd w:val="clear" w:color="auto" w:fill="auto"/>
            <w:noWrap/>
            <w:hideMark/>
          </w:tcPr>
          <w:p w14:paraId="4668EB42"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 </w:t>
            </w:r>
          </w:p>
        </w:tc>
        <w:tc>
          <w:tcPr>
            <w:tcW w:w="851" w:type="dxa"/>
            <w:tcBorders>
              <w:top w:val="nil"/>
              <w:bottom w:val="nil"/>
            </w:tcBorders>
            <w:shd w:val="clear" w:color="auto" w:fill="auto"/>
            <w:noWrap/>
            <w:hideMark/>
          </w:tcPr>
          <w:p w14:paraId="42162D86"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15</w:t>
            </w:r>
          </w:p>
        </w:tc>
        <w:tc>
          <w:tcPr>
            <w:tcW w:w="1107" w:type="dxa"/>
            <w:tcBorders>
              <w:top w:val="nil"/>
              <w:bottom w:val="nil"/>
            </w:tcBorders>
            <w:shd w:val="clear" w:color="auto" w:fill="auto"/>
            <w:noWrap/>
            <w:hideMark/>
          </w:tcPr>
          <w:p w14:paraId="67DD52C1"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17</w:t>
            </w:r>
          </w:p>
        </w:tc>
        <w:tc>
          <w:tcPr>
            <w:tcW w:w="1019" w:type="dxa"/>
            <w:tcBorders>
              <w:top w:val="nil"/>
              <w:bottom w:val="nil"/>
            </w:tcBorders>
            <w:shd w:val="clear" w:color="auto" w:fill="auto"/>
            <w:noWrap/>
            <w:hideMark/>
          </w:tcPr>
          <w:p w14:paraId="30BCB797"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40</w:t>
            </w:r>
          </w:p>
        </w:tc>
        <w:tc>
          <w:tcPr>
            <w:tcW w:w="905" w:type="dxa"/>
            <w:tcBorders>
              <w:top w:val="nil"/>
              <w:bottom w:val="nil"/>
            </w:tcBorders>
            <w:shd w:val="clear" w:color="auto" w:fill="auto"/>
            <w:noWrap/>
            <w:hideMark/>
          </w:tcPr>
          <w:p w14:paraId="52DBF0E6"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60</w:t>
            </w:r>
          </w:p>
        </w:tc>
      </w:tr>
      <w:tr w:rsidR="008B67F3" w:rsidRPr="00C917E2" w14:paraId="7BF2F554" w14:textId="77777777" w:rsidTr="00D06314">
        <w:trPr>
          <w:trHeight w:val="227"/>
          <w:tblHeader/>
        </w:trPr>
        <w:tc>
          <w:tcPr>
            <w:tcW w:w="4644" w:type="dxa"/>
            <w:tcBorders>
              <w:top w:val="nil"/>
              <w:bottom w:val="nil"/>
            </w:tcBorders>
            <w:shd w:val="clear" w:color="auto" w:fill="auto"/>
            <w:noWrap/>
            <w:hideMark/>
          </w:tcPr>
          <w:p w14:paraId="012066A2"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Mental Health</w:t>
            </w:r>
          </w:p>
        </w:tc>
        <w:tc>
          <w:tcPr>
            <w:tcW w:w="709" w:type="dxa"/>
            <w:tcBorders>
              <w:top w:val="nil"/>
              <w:bottom w:val="nil"/>
            </w:tcBorders>
            <w:shd w:val="clear" w:color="auto" w:fill="auto"/>
            <w:noWrap/>
            <w:hideMark/>
          </w:tcPr>
          <w:p w14:paraId="530E0B19"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6</w:t>
            </w:r>
          </w:p>
        </w:tc>
        <w:tc>
          <w:tcPr>
            <w:tcW w:w="851" w:type="dxa"/>
            <w:tcBorders>
              <w:top w:val="nil"/>
              <w:bottom w:val="nil"/>
            </w:tcBorders>
            <w:shd w:val="clear" w:color="auto" w:fill="auto"/>
            <w:noWrap/>
            <w:hideMark/>
          </w:tcPr>
          <w:p w14:paraId="5CCCAB67"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4</w:t>
            </w:r>
          </w:p>
        </w:tc>
        <w:tc>
          <w:tcPr>
            <w:tcW w:w="1107" w:type="dxa"/>
            <w:tcBorders>
              <w:top w:val="nil"/>
              <w:bottom w:val="nil"/>
            </w:tcBorders>
            <w:shd w:val="clear" w:color="auto" w:fill="auto"/>
            <w:noWrap/>
            <w:hideMark/>
          </w:tcPr>
          <w:p w14:paraId="32D8743F"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29</w:t>
            </w:r>
          </w:p>
        </w:tc>
        <w:tc>
          <w:tcPr>
            <w:tcW w:w="1019" w:type="dxa"/>
            <w:tcBorders>
              <w:top w:val="nil"/>
              <w:bottom w:val="nil"/>
            </w:tcBorders>
            <w:shd w:val="clear" w:color="auto" w:fill="auto"/>
            <w:noWrap/>
            <w:hideMark/>
          </w:tcPr>
          <w:p w14:paraId="34F068F5"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33</w:t>
            </w:r>
          </w:p>
        </w:tc>
        <w:tc>
          <w:tcPr>
            <w:tcW w:w="905" w:type="dxa"/>
            <w:tcBorders>
              <w:top w:val="nil"/>
              <w:bottom w:val="nil"/>
            </w:tcBorders>
            <w:shd w:val="clear" w:color="auto" w:fill="auto"/>
            <w:noWrap/>
            <w:hideMark/>
          </w:tcPr>
          <w:p w14:paraId="05F75134"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20</w:t>
            </w:r>
          </w:p>
        </w:tc>
      </w:tr>
      <w:tr w:rsidR="008B67F3" w:rsidRPr="00C917E2" w14:paraId="000A97E0" w14:textId="77777777" w:rsidTr="00D06314">
        <w:trPr>
          <w:trHeight w:val="227"/>
          <w:tblHeader/>
        </w:trPr>
        <w:tc>
          <w:tcPr>
            <w:tcW w:w="4644" w:type="dxa"/>
            <w:tcBorders>
              <w:top w:val="nil"/>
              <w:bottom w:val="nil"/>
            </w:tcBorders>
            <w:shd w:val="clear" w:color="auto" w:fill="auto"/>
            <w:noWrap/>
            <w:hideMark/>
          </w:tcPr>
          <w:p w14:paraId="32BA959F"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National HIS</w:t>
            </w:r>
          </w:p>
        </w:tc>
        <w:tc>
          <w:tcPr>
            <w:tcW w:w="709" w:type="dxa"/>
            <w:tcBorders>
              <w:top w:val="nil"/>
              <w:bottom w:val="nil"/>
            </w:tcBorders>
            <w:shd w:val="clear" w:color="auto" w:fill="auto"/>
            <w:noWrap/>
            <w:hideMark/>
          </w:tcPr>
          <w:p w14:paraId="3B0AC336"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 </w:t>
            </w:r>
          </w:p>
        </w:tc>
        <w:tc>
          <w:tcPr>
            <w:tcW w:w="851" w:type="dxa"/>
            <w:tcBorders>
              <w:top w:val="nil"/>
              <w:bottom w:val="nil"/>
            </w:tcBorders>
            <w:shd w:val="clear" w:color="auto" w:fill="auto"/>
            <w:noWrap/>
            <w:hideMark/>
          </w:tcPr>
          <w:p w14:paraId="26EFCF47"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10</w:t>
            </w:r>
          </w:p>
        </w:tc>
        <w:tc>
          <w:tcPr>
            <w:tcW w:w="1107" w:type="dxa"/>
            <w:tcBorders>
              <w:top w:val="nil"/>
              <w:bottom w:val="nil"/>
            </w:tcBorders>
            <w:shd w:val="clear" w:color="auto" w:fill="auto"/>
            <w:noWrap/>
            <w:hideMark/>
          </w:tcPr>
          <w:p w14:paraId="58EF9668"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39</w:t>
            </w:r>
          </w:p>
        </w:tc>
        <w:tc>
          <w:tcPr>
            <w:tcW w:w="1019" w:type="dxa"/>
            <w:tcBorders>
              <w:top w:val="nil"/>
              <w:bottom w:val="nil"/>
            </w:tcBorders>
            <w:shd w:val="clear" w:color="auto" w:fill="auto"/>
            <w:noWrap/>
            <w:hideMark/>
          </w:tcPr>
          <w:p w14:paraId="7A69F5C9"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17</w:t>
            </w:r>
          </w:p>
        </w:tc>
        <w:tc>
          <w:tcPr>
            <w:tcW w:w="905" w:type="dxa"/>
            <w:tcBorders>
              <w:top w:val="nil"/>
              <w:bottom w:val="nil"/>
            </w:tcBorders>
            <w:shd w:val="clear" w:color="auto" w:fill="auto"/>
            <w:noWrap/>
            <w:hideMark/>
          </w:tcPr>
          <w:p w14:paraId="4E071056"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10</w:t>
            </w:r>
          </w:p>
        </w:tc>
      </w:tr>
      <w:tr w:rsidR="008B67F3" w:rsidRPr="00C917E2" w14:paraId="73019D49" w14:textId="77777777" w:rsidTr="00D06314">
        <w:trPr>
          <w:trHeight w:val="227"/>
          <w:tblHeader/>
        </w:trPr>
        <w:tc>
          <w:tcPr>
            <w:tcW w:w="4644" w:type="dxa"/>
            <w:tcBorders>
              <w:top w:val="nil"/>
              <w:bottom w:val="nil"/>
            </w:tcBorders>
            <w:shd w:val="clear" w:color="auto" w:fill="auto"/>
            <w:noWrap/>
            <w:hideMark/>
          </w:tcPr>
          <w:p w14:paraId="31711DAE"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National Malaria Control</w:t>
            </w:r>
          </w:p>
        </w:tc>
        <w:tc>
          <w:tcPr>
            <w:tcW w:w="709" w:type="dxa"/>
            <w:tcBorders>
              <w:top w:val="nil"/>
              <w:bottom w:val="nil"/>
            </w:tcBorders>
            <w:shd w:val="clear" w:color="auto" w:fill="auto"/>
            <w:noWrap/>
            <w:hideMark/>
          </w:tcPr>
          <w:p w14:paraId="5B8C639E"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699</w:t>
            </w:r>
          </w:p>
        </w:tc>
        <w:tc>
          <w:tcPr>
            <w:tcW w:w="851" w:type="dxa"/>
            <w:tcBorders>
              <w:top w:val="nil"/>
              <w:bottom w:val="nil"/>
            </w:tcBorders>
            <w:shd w:val="clear" w:color="auto" w:fill="auto"/>
            <w:noWrap/>
            <w:hideMark/>
          </w:tcPr>
          <w:p w14:paraId="33D68FD9"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1,131</w:t>
            </w:r>
          </w:p>
        </w:tc>
        <w:tc>
          <w:tcPr>
            <w:tcW w:w="1107" w:type="dxa"/>
            <w:tcBorders>
              <w:top w:val="nil"/>
              <w:bottom w:val="nil"/>
            </w:tcBorders>
            <w:shd w:val="clear" w:color="auto" w:fill="auto"/>
            <w:noWrap/>
            <w:hideMark/>
          </w:tcPr>
          <w:p w14:paraId="49593D71"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907</w:t>
            </w:r>
          </w:p>
        </w:tc>
        <w:tc>
          <w:tcPr>
            <w:tcW w:w="1019" w:type="dxa"/>
            <w:tcBorders>
              <w:top w:val="nil"/>
              <w:bottom w:val="nil"/>
            </w:tcBorders>
            <w:shd w:val="clear" w:color="auto" w:fill="auto"/>
            <w:noWrap/>
            <w:hideMark/>
          </w:tcPr>
          <w:p w14:paraId="7F96E812"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711</w:t>
            </w:r>
          </w:p>
        </w:tc>
        <w:tc>
          <w:tcPr>
            <w:tcW w:w="905" w:type="dxa"/>
            <w:tcBorders>
              <w:top w:val="nil"/>
              <w:bottom w:val="nil"/>
            </w:tcBorders>
            <w:shd w:val="clear" w:color="auto" w:fill="auto"/>
            <w:noWrap/>
            <w:hideMark/>
          </w:tcPr>
          <w:p w14:paraId="5B51FA71"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441</w:t>
            </w:r>
          </w:p>
        </w:tc>
      </w:tr>
      <w:tr w:rsidR="008B67F3" w:rsidRPr="00C917E2" w14:paraId="30A06176" w14:textId="77777777" w:rsidTr="00D06314">
        <w:trPr>
          <w:trHeight w:val="227"/>
          <w:tblHeader/>
        </w:trPr>
        <w:tc>
          <w:tcPr>
            <w:tcW w:w="4644" w:type="dxa"/>
            <w:tcBorders>
              <w:top w:val="nil"/>
              <w:bottom w:val="nil"/>
            </w:tcBorders>
            <w:shd w:val="clear" w:color="auto" w:fill="auto"/>
            <w:noWrap/>
            <w:hideMark/>
          </w:tcPr>
          <w:p w14:paraId="1FFBEA5D"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National Program of Action for Children</w:t>
            </w:r>
          </w:p>
        </w:tc>
        <w:tc>
          <w:tcPr>
            <w:tcW w:w="709" w:type="dxa"/>
            <w:tcBorders>
              <w:top w:val="nil"/>
              <w:bottom w:val="nil"/>
            </w:tcBorders>
            <w:shd w:val="clear" w:color="auto" w:fill="auto"/>
            <w:noWrap/>
            <w:hideMark/>
          </w:tcPr>
          <w:p w14:paraId="1E5ABA8B"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 </w:t>
            </w:r>
          </w:p>
        </w:tc>
        <w:tc>
          <w:tcPr>
            <w:tcW w:w="851" w:type="dxa"/>
            <w:tcBorders>
              <w:top w:val="nil"/>
              <w:bottom w:val="nil"/>
            </w:tcBorders>
            <w:shd w:val="clear" w:color="auto" w:fill="auto"/>
            <w:noWrap/>
            <w:hideMark/>
          </w:tcPr>
          <w:p w14:paraId="19B32849"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3</w:t>
            </w:r>
          </w:p>
        </w:tc>
        <w:tc>
          <w:tcPr>
            <w:tcW w:w="1107" w:type="dxa"/>
            <w:tcBorders>
              <w:top w:val="nil"/>
              <w:bottom w:val="nil"/>
            </w:tcBorders>
            <w:shd w:val="clear" w:color="auto" w:fill="auto"/>
            <w:noWrap/>
            <w:hideMark/>
          </w:tcPr>
          <w:p w14:paraId="091D3E6E"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38</w:t>
            </w:r>
          </w:p>
        </w:tc>
        <w:tc>
          <w:tcPr>
            <w:tcW w:w="1019" w:type="dxa"/>
            <w:tcBorders>
              <w:top w:val="nil"/>
              <w:bottom w:val="nil"/>
            </w:tcBorders>
            <w:shd w:val="clear" w:color="auto" w:fill="auto"/>
            <w:noWrap/>
            <w:hideMark/>
          </w:tcPr>
          <w:p w14:paraId="41F0C77F"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67</w:t>
            </w:r>
          </w:p>
        </w:tc>
        <w:tc>
          <w:tcPr>
            <w:tcW w:w="905" w:type="dxa"/>
            <w:tcBorders>
              <w:top w:val="nil"/>
              <w:bottom w:val="nil"/>
            </w:tcBorders>
            <w:shd w:val="clear" w:color="auto" w:fill="auto"/>
            <w:noWrap/>
            <w:hideMark/>
          </w:tcPr>
          <w:p w14:paraId="4D221C31"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22</w:t>
            </w:r>
          </w:p>
        </w:tc>
      </w:tr>
      <w:tr w:rsidR="008B67F3" w:rsidRPr="00C917E2" w14:paraId="61693B23" w14:textId="77777777" w:rsidTr="00D06314">
        <w:trPr>
          <w:trHeight w:val="227"/>
          <w:tblHeader/>
        </w:trPr>
        <w:tc>
          <w:tcPr>
            <w:tcW w:w="4644" w:type="dxa"/>
            <w:tcBorders>
              <w:top w:val="nil"/>
              <w:bottom w:val="nil"/>
            </w:tcBorders>
            <w:shd w:val="clear" w:color="auto" w:fill="auto"/>
            <w:noWrap/>
            <w:hideMark/>
          </w:tcPr>
          <w:p w14:paraId="13C7C7A8"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NCD</w:t>
            </w:r>
          </w:p>
        </w:tc>
        <w:tc>
          <w:tcPr>
            <w:tcW w:w="709" w:type="dxa"/>
            <w:tcBorders>
              <w:top w:val="nil"/>
              <w:bottom w:val="nil"/>
            </w:tcBorders>
            <w:shd w:val="clear" w:color="auto" w:fill="auto"/>
            <w:noWrap/>
            <w:hideMark/>
          </w:tcPr>
          <w:p w14:paraId="72433F0F"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 </w:t>
            </w:r>
          </w:p>
        </w:tc>
        <w:tc>
          <w:tcPr>
            <w:tcW w:w="851" w:type="dxa"/>
            <w:tcBorders>
              <w:top w:val="nil"/>
              <w:bottom w:val="nil"/>
            </w:tcBorders>
            <w:shd w:val="clear" w:color="auto" w:fill="auto"/>
            <w:noWrap/>
            <w:hideMark/>
          </w:tcPr>
          <w:p w14:paraId="18D72A26"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5</w:t>
            </w:r>
          </w:p>
        </w:tc>
        <w:tc>
          <w:tcPr>
            <w:tcW w:w="1107" w:type="dxa"/>
            <w:tcBorders>
              <w:top w:val="nil"/>
              <w:bottom w:val="nil"/>
            </w:tcBorders>
            <w:shd w:val="clear" w:color="auto" w:fill="auto"/>
            <w:noWrap/>
            <w:hideMark/>
          </w:tcPr>
          <w:p w14:paraId="1178A57C"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125</w:t>
            </w:r>
          </w:p>
        </w:tc>
        <w:tc>
          <w:tcPr>
            <w:tcW w:w="1019" w:type="dxa"/>
            <w:tcBorders>
              <w:top w:val="nil"/>
              <w:bottom w:val="nil"/>
            </w:tcBorders>
            <w:shd w:val="clear" w:color="auto" w:fill="auto"/>
            <w:noWrap/>
            <w:hideMark/>
          </w:tcPr>
          <w:p w14:paraId="5C7149EE"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91</w:t>
            </w:r>
          </w:p>
        </w:tc>
        <w:tc>
          <w:tcPr>
            <w:tcW w:w="905" w:type="dxa"/>
            <w:tcBorders>
              <w:top w:val="nil"/>
              <w:bottom w:val="nil"/>
            </w:tcBorders>
            <w:shd w:val="clear" w:color="auto" w:fill="auto"/>
            <w:noWrap/>
            <w:hideMark/>
          </w:tcPr>
          <w:p w14:paraId="012E1F09"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91</w:t>
            </w:r>
          </w:p>
        </w:tc>
      </w:tr>
      <w:tr w:rsidR="008B67F3" w:rsidRPr="00C917E2" w14:paraId="70F6E3E7" w14:textId="77777777" w:rsidTr="00D06314">
        <w:trPr>
          <w:trHeight w:val="227"/>
          <w:tblHeader/>
        </w:trPr>
        <w:tc>
          <w:tcPr>
            <w:tcW w:w="4644" w:type="dxa"/>
            <w:tcBorders>
              <w:top w:val="nil"/>
              <w:bottom w:val="nil"/>
            </w:tcBorders>
            <w:shd w:val="clear" w:color="auto" w:fill="auto"/>
            <w:noWrap/>
            <w:hideMark/>
          </w:tcPr>
          <w:p w14:paraId="1D0EA7A0"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Nutrition</w:t>
            </w:r>
          </w:p>
        </w:tc>
        <w:tc>
          <w:tcPr>
            <w:tcW w:w="709" w:type="dxa"/>
            <w:tcBorders>
              <w:top w:val="nil"/>
              <w:bottom w:val="nil"/>
            </w:tcBorders>
            <w:shd w:val="clear" w:color="auto" w:fill="auto"/>
            <w:noWrap/>
            <w:hideMark/>
          </w:tcPr>
          <w:p w14:paraId="5641785F"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4</w:t>
            </w:r>
          </w:p>
        </w:tc>
        <w:tc>
          <w:tcPr>
            <w:tcW w:w="851" w:type="dxa"/>
            <w:tcBorders>
              <w:top w:val="nil"/>
              <w:bottom w:val="nil"/>
            </w:tcBorders>
            <w:shd w:val="clear" w:color="auto" w:fill="auto"/>
            <w:noWrap/>
            <w:hideMark/>
          </w:tcPr>
          <w:p w14:paraId="28B3A6C9"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16</w:t>
            </w:r>
          </w:p>
        </w:tc>
        <w:tc>
          <w:tcPr>
            <w:tcW w:w="1107" w:type="dxa"/>
            <w:tcBorders>
              <w:top w:val="nil"/>
              <w:bottom w:val="nil"/>
            </w:tcBorders>
            <w:shd w:val="clear" w:color="auto" w:fill="auto"/>
            <w:noWrap/>
            <w:hideMark/>
          </w:tcPr>
          <w:p w14:paraId="0F12316F"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157</w:t>
            </w:r>
          </w:p>
        </w:tc>
        <w:tc>
          <w:tcPr>
            <w:tcW w:w="1019" w:type="dxa"/>
            <w:tcBorders>
              <w:top w:val="nil"/>
              <w:bottom w:val="nil"/>
            </w:tcBorders>
            <w:shd w:val="clear" w:color="auto" w:fill="auto"/>
            <w:noWrap/>
            <w:hideMark/>
          </w:tcPr>
          <w:p w14:paraId="47FF1C95"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254</w:t>
            </w:r>
          </w:p>
        </w:tc>
        <w:tc>
          <w:tcPr>
            <w:tcW w:w="905" w:type="dxa"/>
            <w:tcBorders>
              <w:top w:val="nil"/>
              <w:bottom w:val="nil"/>
            </w:tcBorders>
            <w:shd w:val="clear" w:color="auto" w:fill="auto"/>
            <w:noWrap/>
            <w:hideMark/>
          </w:tcPr>
          <w:p w14:paraId="20F84EE1"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399</w:t>
            </w:r>
          </w:p>
        </w:tc>
      </w:tr>
      <w:tr w:rsidR="008B67F3" w:rsidRPr="00C917E2" w14:paraId="3813C1F7" w14:textId="77777777" w:rsidTr="00D06314">
        <w:trPr>
          <w:trHeight w:val="227"/>
          <w:tblHeader/>
        </w:trPr>
        <w:tc>
          <w:tcPr>
            <w:tcW w:w="4644" w:type="dxa"/>
            <w:tcBorders>
              <w:top w:val="nil"/>
              <w:bottom w:val="nil"/>
            </w:tcBorders>
            <w:shd w:val="clear" w:color="auto" w:fill="auto"/>
            <w:noWrap/>
            <w:hideMark/>
          </w:tcPr>
          <w:p w14:paraId="4A9210C6"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Rehabilitation</w:t>
            </w:r>
          </w:p>
        </w:tc>
        <w:tc>
          <w:tcPr>
            <w:tcW w:w="709" w:type="dxa"/>
            <w:tcBorders>
              <w:top w:val="nil"/>
              <w:bottom w:val="nil"/>
            </w:tcBorders>
            <w:shd w:val="clear" w:color="auto" w:fill="auto"/>
            <w:noWrap/>
            <w:hideMark/>
          </w:tcPr>
          <w:p w14:paraId="609A5F82"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16</w:t>
            </w:r>
          </w:p>
        </w:tc>
        <w:tc>
          <w:tcPr>
            <w:tcW w:w="851" w:type="dxa"/>
            <w:tcBorders>
              <w:top w:val="nil"/>
              <w:bottom w:val="nil"/>
            </w:tcBorders>
            <w:shd w:val="clear" w:color="auto" w:fill="auto"/>
            <w:noWrap/>
            <w:hideMark/>
          </w:tcPr>
          <w:p w14:paraId="1D4EE76E"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4</w:t>
            </w:r>
          </w:p>
        </w:tc>
        <w:tc>
          <w:tcPr>
            <w:tcW w:w="1107" w:type="dxa"/>
            <w:tcBorders>
              <w:top w:val="nil"/>
              <w:bottom w:val="nil"/>
            </w:tcBorders>
            <w:shd w:val="clear" w:color="auto" w:fill="auto"/>
            <w:noWrap/>
            <w:hideMark/>
          </w:tcPr>
          <w:p w14:paraId="77111B55"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26</w:t>
            </w:r>
          </w:p>
        </w:tc>
        <w:tc>
          <w:tcPr>
            <w:tcW w:w="1019" w:type="dxa"/>
            <w:tcBorders>
              <w:top w:val="nil"/>
              <w:bottom w:val="nil"/>
            </w:tcBorders>
            <w:shd w:val="clear" w:color="auto" w:fill="auto"/>
            <w:noWrap/>
            <w:hideMark/>
          </w:tcPr>
          <w:p w14:paraId="66528ACE"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49</w:t>
            </w:r>
          </w:p>
        </w:tc>
        <w:tc>
          <w:tcPr>
            <w:tcW w:w="905" w:type="dxa"/>
            <w:tcBorders>
              <w:top w:val="nil"/>
              <w:bottom w:val="nil"/>
            </w:tcBorders>
            <w:shd w:val="clear" w:color="auto" w:fill="auto"/>
            <w:noWrap/>
            <w:hideMark/>
          </w:tcPr>
          <w:p w14:paraId="07A3F5A7"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52</w:t>
            </w:r>
          </w:p>
        </w:tc>
      </w:tr>
      <w:tr w:rsidR="008B67F3" w:rsidRPr="00C917E2" w14:paraId="3DD5A1D1" w14:textId="77777777" w:rsidTr="00D06314">
        <w:trPr>
          <w:trHeight w:val="227"/>
          <w:tblHeader/>
        </w:trPr>
        <w:tc>
          <w:tcPr>
            <w:tcW w:w="4644" w:type="dxa"/>
            <w:tcBorders>
              <w:top w:val="nil"/>
              <w:bottom w:val="nil"/>
            </w:tcBorders>
            <w:shd w:val="clear" w:color="auto" w:fill="auto"/>
            <w:noWrap/>
            <w:hideMark/>
          </w:tcPr>
          <w:p w14:paraId="6904E058"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Reproductive Health</w:t>
            </w:r>
          </w:p>
        </w:tc>
        <w:tc>
          <w:tcPr>
            <w:tcW w:w="709" w:type="dxa"/>
            <w:tcBorders>
              <w:top w:val="nil"/>
              <w:bottom w:val="nil"/>
            </w:tcBorders>
            <w:shd w:val="clear" w:color="auto" w:fill="auto"/>
            <w:noWrap/>
            <w:hideMark/>
          </w:tcPr>
          <w:p w14:paraId="7B1F71F9"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 </w:t>
            </w:r>
          </w:p>
        </w:tc>
        <w:tc>
          <w:tcPr>
            <w:tcW w:w="851" w:type="dxa"/>
            <w:tcBorders>
              <w:top w:val="nil"/>
              <w:bottom w:val="nil"/>
            </w:tcBorders>
            <w:shd w:val="clear" w:color="auto" w:fill="auto"/>
            <w:noWrap/>
            <w:hideMark/>
          </w:tcPr>
          <w:p w14:paraId="00644DC7"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w:t>
            </w:r>
          </w:p>
        </w:tc>
        <w:tc>
          <w:tcPr>
            <w:tcW w:w="1107" w:type="dxa"/>
            <w:tcBorders>
              <w:top w:val="nil"/>
              <w:bottom w:val="nil"/>
            </w:tcBorders>
            <w:shd w:val="clear" w:color="auto" w:fill="auto"/>
            <w:noWrap/>
            <w:hideMark/>
          </w:tcPr>
          <w:p w14:paraId="2308898F"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6</w:t>
            </w:r>
          </w:p>
        </w:tc>
        <w:tc>
          <w:tcPr>
            <w:tcW w:w="1019" w:type="dxa"/>
            <w:tcBorders>
              <w:top w:val="nil"/>
              <w:bottom w:val="nil"/>
            </w:tcBorders>
            <w:shd w:val="clear" w:color="auto" w:fill="auto"/>
            <w:noWrap/>
            <w:hideMark/>
          </w:tcPr>
          <w:p w14:paraId="19920A9F"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28</w:t>
            </w:r>
          </w:p>
        </w:tc>
        <w:tc>
          <w:tcPr>
            <w:tcW w:w="905" w:type="dxa"/>
            <w:tcBorders>
              <w:top w:val="nil"/>
              <w:bottom w:val="nil"/>
            </w:tcBorders>
            <w:shd w:val="clear" w:color="auto" w:fill="auto"/>
            <w:noWrap/>
            <w:hideMark/>
          </w:tcPr>
          <w:p w14:paraId="12AE2532"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3</w:t>
            </w:r>
          </w:p>
        </w:tc>
      </w:tr>
      <w:tr w:rsidR="008B67F3" w:rsidRPr="00C917E2" w14:paraId="394702E9" w14:textId="77777777" w:rsidTr="00D06314">
        <w:trPr>
          <w:trHeight w:val="227"/>
          <w:tblHeader/>
        </w:trPr>
        <w:tc>
          <w:tcPr>
            <w:tcW w:w="4644" w:type="dxa"/>
            <w:tcBorders>
              <w:top w:val="nil"/>
              <w:bottom w:val="nil"/>
            </w:tcBorders>
            <w:shd w:val="clear" w:color="auto" w:fill="auto"/>
            <w:noWrap/>
            <w:hideMark/>
          </w:tcPr>
          <w:p w14:paraId="47ADA0AC" w14:textId="77777777" w:rsidR="008B67F3" w:rsidRPr="00C917E2" w:rsidRDefault="008B67F3" w:rsidP="00203E9F">
            <w:pPr>
              <w:keepNext/>
              <w:spacing w:after="0"/>
              <w:rPr>
                <w:rFonts w:asciiTheme="minorHAnsi" w:hAnsiTheme="minorHAnsi"/>
                <w:sz w:val="20"/>
                <w:szCs w:val="20"/>
              </w:rPr>
            </w:pPr>
            <w:r w:rsidRPr="00C917E2">
              <w:rPr>
                <w:rFonts w:asciiTheme="minorHAnsi" w:hAnsiTheme="minorHAnsi"/>
                <w:sz w:val="20"/>
                <w:szCs w:val="20"/>
              </w:rPr>
              <w:t>Village Health Workers</w:t>
            </w:r>
          </w:p>
        </w:tc>
        <w:tc>
          <w:tcPr>
            <w:tcW w:w="709" w:type="dxa"/>
            <w:tcBorders>
              <w:top w:val="nil"/>
              <w:bottom w:val="nil"/>
            </w:tcBorders>
            <w:shd w:val="clear" w:color="auto" w:fill="auto"/>
            <w:noWrap/>
            <w:hideMark/>
          </w:tcPr>
          <w:p w14:paraId="6AF9C6D7"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 </w:t>
            </w:r>
          </w:p>
        </w:tc>
        <w:tc>
          <w:tcPr>
            <w:tcW w:w="851" w:type="dxa"/>
            <w:tcBorders>
              <w:top w:val="nil"/>
              <w:bottom w:val="nil"/>
            </w:tcBorders>
            <w:shd w:val="clear" w:color="auto" w:fill="auto"/>
            <w:noWrap/>
            <w:hideMark/>
          </w:tcPr>
          <w:p w14:paraId="0B4E1694"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28</w:t>
            </w:r>
          </w:p>
        </w:tc>
        <w:tc>
          <w:tcPr>
            <w:tcW w:w="1107" w:type="dxa"/>
            <w:tcBorders>
              <w:top w:val="nil"/>
              <w:bottom w:val="nil"/>
            </w:tcBorders>
            <w:shd w:val="clear" w:color="auto" w:fill="auto"/>
            <w:noWrap/>
            <w:hideMark/>
          </w:tcPr>
          <w:p w14:paraId="4DC4D19B"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33</w:t>
            </w:r>
          </w:p>
        </w:tc>
        <w:tc>
          <w:tcPr>
            <w:tcW w:w="1019" w:type="dxa"/>
            <w:tcBorders>
              <w:top w:val="nil"/>
              <w:bottom w:val="nil"/>
            </w:tcBorders>
            <w:shd w:val="clear" w:color="auto" w:fill="auto"/>
            <w:noWrap/>
            <w:hideMark/>
          </w:tcPr>
          <w:p w14:paraId="12A9F6BC"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20</w:t>
            </w:r>
          </w:p>
        </w:tc>
        <w:tc>
          <w:tcPr>
            <w:tcW w:w="905" w:type="dxa"/>
            <w:tcBorders>
              <w:top w:val="nil"/>
              <w:bottom w:val="nil"/>
            </w:tcBorders>
            <w:shd w:val="clear" w:color="auto" w:fill="auto"/>
            <w:noWrap/>
            <w:hideMark/>
          </w:tcPr>
          <w:p w14:paraId="1D6B5275" w14:textId="77777777" w:rsidR="008B67F3" w:rsidRPr="00C917E2" w:rsidRDefault="008B67F3" w:rsidP="00203E9F">
            <w:pPr>
              <w:keepNext/>
              <w:spacing w:after="0"/>
              <w:jc w:val="right"/>
              <w:rPr>
                <w:rFonts w:asciiTheme="minorHAnsi" w:hAnsiTheme="minorHAnsi"/>
                <w:sz w:val="20"/>
                <w:szCs w:val="20"/>
              </w:rPr>
            </w:pPr>
            <w:r w:rsidRPr="00C917E2">
              <w:rPr>
                <w:rFonts w:asciiTheme="minorHAnsi" w:hAnsiTheme="minorHAnsi"/>
                <w:sz w:val="20"/>
                <w:szCs w:val="20"/>
              </w:rPr>
              <w:t>59</w:t>
            </w:r>
          </w:p>
        </w:tc>
      </w:tr>
      <w:tr w:rsidR="008B67F3" w:rsidRPr="00C917E2" w14:paraId="25E5BE5A" w14:textId="77777777" w:rsidTr="00D06314">
        <w:trPr>
          <w:trHeight w:val="227"/>
          <w:tblHeader/>
        </w:trPr>
        <w:tc>
          <w:tcPr>
            <w:tcW w:w="4644" w:type="dxa"/>
            <w:tcBorders>
              <w:top w:val="nil"/>
              <w:bottom w:val="nil"/>
            </w:tcBorders>
            <w:shd w:val="clear" w:color="auto" w:fill="auto"/>
            <w:noWrap/>
            <w:hideMark/>
          </w:tcPr>
          <w:p w14:paraId="74476528" w14:textId="77777777" w:rsidR="008B67F3" w:rsidRPr="00C917E2" w:rsidRDefault="008B67F3" w:rsidP="00203E9F">
            <w:pPr>
              <w:keepNext/>
              <w:spacing w:before="120" w:after="0"/>
              <w:rPr>
                <w:rFonts w:asciiTheme="minorHAnsi" w:hAnsiTheme="minorHAnsi"/>
                <w:b/>
                <w:sz w:val="20"/>
                <w:szCs w:val="20"/>
              </w:rPr>
            </w:pPr>
            <w:r w:rsidRPr="00C917E2">
              <w:rPr>
                <w:rFonts w:asciiTheme="minorHAnsi" w:hAnsiTheme="minorHAnsi"/>
                <w:b/>
                <w:sz w:val="20"/>
                <w:szCs w:val="20"/>
              </w:rPr>
              <w:t>Total</w:t>
            </w:r>
          </w:p>
        </w:tc>
        <w:tc>
          <w:tcPr>
            <w:tcW w:w="709" w:type="dxa"/>
            <w:tcBorders>
              <w:top w:val="nil"/>
              <w:bottom w:val="nil"/>
            </w:tcBorders>
            <w:shd w:val="clear" w:color="auto" w:fill="auto"/>
            <w:noWrap/>
            <w:hideMark/>
          </w:tcPr>
          <w:p w14:paraId="7200986E" w14:textId="77777777" w:rsidR="008B67F3" w:rsidRPr="00C917E2" w:rsidRDefault="008B67F3" w:rsidP="00203E9F">
            <w:pPr>
              <w:keepNext/>
              <w:spacing w:before="120" w:after="0"/>
              <w:jc w:val="right"/>
              <w:rPr>
                <w:rFonts w:asciiTheme="minorHAnsi" w:hAnsiTheme="minorHAnsi"/>
                <w:b/>
                <w:sz w:val="20"/>
                <w:szCs w:val="20"/>
              </w:rPr>
            </w:pPr>
            <w:r w:rsidRPr="00C917E2">
              <w:rPr>
                <w:rFonts w:asciiTheme="minorHAnsi" w:hAnsiTheme="minorHAnsi"/>
                <w:b/>
                <w:sz w:val="20"/>
                <w:szCs w:val="20"/>
              </w:rPr>
              <w:t>754</w:t>
            </w:r>
          </w:p>
        </w:tc>
        <w:tc>
          <w:tcPr>
            <w:tcW w:w="851" w:type="dxa"/>
            <w:tcBorders>
              <w:top w:val="nil"/>
              <w:bottom w:val="nil"/>
            </w:tcBorders>
            <w:shd w:val="clear" w:color="auto" w:fill="auto"/>
            <w:noWrap/>
            <w:hideMark/>
          </w:tcPr>
          <w:p w14:paraId="1BE49931" w14:textId="77777777" w:rsidR="008B67F3" w:rsidRPr="00C917E2" w:rsidRDefault="008B67F3" w:rsidP="00203E9F">
            <w:pPr>
              <w:keepNext/>
              <w:spacing w:before="120" w:after="0"/>
              <w:jc w:val="right"/>
              <w:rPr>
                <w:rFonts w:asciiTheme="minorHAnsi" w:hAnsiTheme="minorHAnsi"/>
                <w:b/>
                <w:sz w:val="20"/>
                <w:szCs w:val="20"/>
              </w:rPr>
            </w:pPr>
            <w:r w:rsidRPr="00C917E2">
              <w:rPr>
                <w:rFonts w:asciiTheme="minorHAnsi" w:hAnsiTheme="minorHAnsi"/>
                <w:b/>
                <w:sz w:val="20"/>
                <w:szCs w:val="20"/>
              </w:rPr>
              <w:t>1,346</w:t>
            </w:r>
          </w:p>
        </w:tc>
        <w:tc>
          <w:tcPr>
            <w:tcW w:w="1107" w:type="dxa"/>
            <w:tcBorders>
              <w:top w:val="nil"/>
              <w:bottom w:val="nil"/>
            </w:tcBorders>
            <w:shd w:val="clear" w:color="auto" w:fill="auto"/>
            <w:noWrap/>
            <w:hideMark/>
          </w:tcPr>
          <w:p w14:paraId="2BD5AF90" w14:textId="77777777" w:rsidR="008B67F3" w:rsidRPr="00C917E2" w:rsidRDefault="008B67F3" w:rsidP="00203E9F">
            <w:pPr>
              <w:keepNext/>
              <w:spacing w:before="120" w:after="0"/>
              <w:jc w:val="right"/>
              <w:rPr>
                <w:rFonts w:asciiTheme="minorHAnsi" w:hAnsiTheme="minorHAnsi"/>
                <w:b/>
                <w:sz w:val="20"/>
                <w:szCs w:val="20"/>
              </w:rPr>
            </w:pPr>
            <w:r w:rsidRPr="00C917E2">
              <w:rPr>
                <w:rFonts w:asciiTheme="minorHAnsi" w:hAnsiTheme="minorHAnsi"/>
                <w:b/>
                <w:sz w:val="20"/>
                <w:szCs w:val="20"/>
              </w:rPr>
              <w:t>1,668</w:t>
            </w:r>
          </w:p>
        </w:tc>
        <w:tc>
          <w:tcPr>
            <w:tcW w:w="1019" w:type="dxa"/>
            <w:tcBorders>
              <w:top w:val="nil"/>
              <w:bottom w:val="nil"/>
            </w:tcBorders>
            <w:shd w:val="clear" w:color="auto" w:fill="auto"/>
            <w:noWrap/>
            <w:hideMark/>
          </w:tcPr>
          <w:p w14:paraId="3FBCFB15" w14:textId="77777777" w:rsidR="008B67F3" w:rsidRPr="00C917E2" w:rsidRDefault="008B67F3" w:rsidP="00203E9F">
            <w:pPr>
              <w:keepNext/>
              <w:spacing w:before="120" w:after="0"/>
              <w:jc w:val="right"/>
              <w:rPr>
                <w:rFonts w:asciiTheme="minorHAnsi" w:hAnsiTheme="minorHAnsi"/>
                <w:b/>
                <w:sz w:val="20"/>
                <w:szCs w:val="20"/>
              </w:rPr>
            </w:pPr>
            <w:r w:rsidRPr="00C917E2">
              <w:rPr>
                <w:rFonts w:asciiTheme="minorHAnsi" w:hAnsiTheme="minorHAnsi"/>
                <w:b/>
                <w:sz w:val="20"/>
                <w:szCs w:val="20"/>
              </w:rPr>
              <w:t>1,796</w:t>
            </w:r>
          </w:p>
        </w:tc>
        <w:tc>
          <w:tcPr>
            <w:tcW w:w="905" w:type="dxa"/>
            <w:tcBorders>
              <w:top w:val="nil"/>
              <w:bottom w:val="nil"/>
            </w:tcBorders>
            <w:shd w:val="clear" w:color="auto" w:fill="auto"/>
            <w:noWrap/>
            <w:hideMark/>
          </w:tcPr>
          <w:p w14:paraId="4FF93151" w14:textId="77777777" w:rsidR="008B67F3" w:rsidRPr="00C917E2" w:rsidRDefault="008B67F3" w:rsidP="00203E9F">
            <w:pPr>
              <w:keepNext/>
              <w:spacing w:before="120" w:after="0"/>
              <w:jc w:val="right"/>
              <w:rPr>
                <w:rFonts w:asciiTheme="minorHAnsi" w:hAnsiTheme="minorHAnsi"/>
                <w:b/>
                <w:sz w:val="20"/>
                <w:szCs w:val="20"/>
              </w:rPr>
            </w:pPr>
            <w:r w:rsidRPr="00C917E2">
              <w:rPr>
                <w:rFonts w:asciiTheme="minorHAnsi" w:hAnsiTheme="minorHAnsi"/>
                <w:b/>
                <w:sz w:val="20"/>
                <w:szCs w:val="20"/>
              </w:rPr>
              <w:t>1,708</w:t>
            </w:r>
          </w:p>
        </w:tc>
      </w:tr>
      <w:tr w:rsidR="008B67F3" w:rsidRPr="00C917E2" w14:paraId="454CC30B" w14:textId="77777777" w:rsidTr="00D06314">
        <w:trPr>
          <w:trHeight w:val="227"/>
          <w:tblHeader/>
        </w:trPr>
        <w:tc>
          <w:tcPr>
            <w:tcW w:w="4644" w:type="dxa"/>
            <w:tcBorders>
              <w:top w:val="nil"/>
              <w:bottom w:val="single" w:sz="8" w:space="0" w:color="4F81BD"/>
            </w:tcBorders>
            <w:shd w:val="clear" w:color="auto" w:fill="auto"/>
            <w:noWrap/>
            <w:hideMark/>
          </w:tcPr>
          <w:p w14:paraId="79C458EF" w14:textId="77777777" w:rsidR="008B67F3" w:rsidRPr="00C917E2" w:rsidRDefault="008B67F3" w:rsidP="00793585">
            <w:pPr>
              <w:keepNext/>
              <w:spacing w:after="0"/>
              <w:rPr>
                <w:rFonts w:asciiTheme="minorHAnsi" w:hAnsiTheme="minorHAnsi"/>
                <w:b/>
                <w:sz w:val="20"/>
                <w:szCs w:val="20"/>
              </w:rPr>
            </w:pPr>
            <w:r w:rsidRPr="00C917E2">
              <w:rPr>
                <w:rFonts w:asciiTheme="minorHAnsi" w:hAnsiTheme="minorHAnsi"/>
                <w:b/>
                <w:sz w:val="20"/>
                <w:szCs w:val="20"/>
              </w:rPr>
              <w:t>% of MOHCC spending</w:t>
            </w:r>
          </w:p>
        </w:tc>
        <w:tc>
          <w:tcPr>
            <w:tcW w:w="709" w:type="dxa"/>
            <w:tcBorders>
              <w:top w:val="nil"/>
              <w:bottom w:val="single" w:sz="8" w:space="0" w:color="4F81BD"/>
            </w:tcBorders>
            <w:shd w:val="clear" w:color="auto" w:fill="auto"/>
            <w:noWrap/>
            <w:hideMark/>
          </w:tcPr>
          <w:p w14:paraId="7C94CBA5"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1.03</w:t>
            </w:r>
          </w:p>
        </w:tc>
        <w:tc>
          <w:tcPr>
            <w:tcW w:w="851" w:type="dxa"/>
            <w:tcBorders>
              <w:top w:val="nil"/>
              <w:bottom w:val="single" w:sz="8" w:space="0" w:color="4F81BD"/>
            </w:tcBorders>
            <w:shd w:val="clear" w:color="auto" w:fill="auto"/>
            <w:noWrap/>
            <w:hideMark/>
          </w:tcPr>
          <w:p w14:paraId="73557ED6"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0.89</w:t>
            </w:r>
          </w:p>
        </w:tc>
        <w:tc>
          <w:tcPr>
            <w:tcW w:w="1107" w:type="dxa"/>
            <w:tcBorders>
              <w:top w:val="nil"/>
              <w:bottom w:val="single" w:sz="8" w:space="0" w:color="4F81BD"/>
            </w:tcBorders>
            <w:shd w:val="clear" w:color="auto" w:fill="auto"/>
            <w:noWrap/>
            <w:hideMark/>
          </w:tcPr>
          <w:p w14:paraId="31EFC85C"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0.75</w:t>
            </w:r>
          </w:p>
        </w:tc>
        <w:tc>
          <w:tcPr>
            <w:tcW w:w="1019" w:type="dxa"/>
            <w:tcBorders>
              <w:top w:val="nil"/>
              <w:bottom w:val="single" w:sz="8" w:space="0" w:color="4F81BD"/>
            </w:tcBorders>
            <w:shd w:val="clear" w:color="auto" w:fill="auto"/>
            <w:noWrap/>
            <w:hideMark/>
          </w:tcPr>
          <w:p w14:paraId="56E64B8F"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0.62</w:t>
            </w:r>
          </w:p>
        </w:tc>
        <w:tc>
          <w:tcPr>
            <w:tcW w:w="905" w:type="dxa"/>
            <w:tcBorders>
              <w:top w:val="nil"/>
              <w:bottom w:val="single" w:sz="8" w:space="0" w:color="4F81BD"/>
            </w:tcBorders>
            <w:shd w:val="clear" w:color="auto" w:fill="auto"/>
            <w:noWrap/>
            <w:hideMark/>
          </w:tcPr>
          <w:p w14:paraId="5BED9A7E" w14:textId="77777777" w:rsidR="008B67F3" w:rsidRPr="00C917E2" w:rsidRDefault="008B67F3" w:rsidP="00203E9F">
            <w:pPr>
              <w:keepNext/>
              <w:spacing w:after="0"/>
              <w:jc w:val="right"/>
              <w:rPr>
                <w:rFonts w:asciiTheme="minorHAnsi" w:hAnsiTheme="minorHAnsi"/>
                <w:b/>
                <w:sz w:val="20"/>
                <w:szCs w:val="20"/>
              </w:rPr>
            </w:pPr>
            <w:r w:rsidRPr="00C917E2">
              <w:rPr>
                <w:rFonts w:asciiTheme="minorHAnsi" w:hAnsiTheme="minorHAnsi"/>
                <w:b/>
                <w:sz w:val="20"/>
                <w:szCs w:val="20"/>
              </w:rPr>
              <w:t>0.64</w:t>
            </w:r>
          </w:p>
        </w:tc>
      </w:tr>
    </w:tbl>
    <w:p w14:paraId="2CE34CB9" w14:textId="77777777" w:rsidR="008B67F3" w:rsidRDefault="008B67F3" w:rsidP="00D04BDC">
      <w:pPr>
        <w:pStyle w:val="Source"/>
      </w:pPr>
      <w:r w:rsidRPr="00E94700">
        <w:rPr>
          <w:i/>
        </w:rPr>
        <w:t>Source:</w:t>
      </w:r>
      <w:r w:rsidRPr="00C917E2">
        <w:t xml:space="preserve"> MOFED data</w:t>
      </w:r>
      <w:r w:rsidR="006B2D5F">
        <w:t>.</w:t>
      </w:r>
    </w:p>
    <w:p w14:paraId="270312E0" w14:textId="77777777" w:rsidR="009C649E" w:rsidRPr="00C917E2" w:rsidRDefault="009C649E" w:rsidP="009C649E">
      <w:pPr>
        <w:pStyle w:val="Source"/>
      </w:pPr>
      <w:r w:rsidRPr="00C917E2">
        <w:t xml:space="preserve">a. </w:t>
      </w:r>
      <w:r>
        <w:t xml:space="preserve">Excluding </w:t>
      </w:r>
      <w:r w:rsidRPr="00C917E2">
        <w:t>the NAC</w:t>
      </w:r>
      <w:r>
        <w:t>’s</w:t>
      </w:r>
      <w:r w:rsidRPr="00C917E2">
        <w:t xml:space="preserve"> HIV/AIDS</w:t>
      </w:r>
      <w:r>
        <w:t xml:space="preserve"> </w:t>
      </w:r>
      <w:r w:rsidRPr="00C917E2">
        <w:t>activities and programs.</w:t>
      </w:r>
    </w:p>
    <w:p w14:paraId="3BF7E1A9" w14:textId="77777777" w:rsidR="008B67F3" w:rsidRPr="00C917E2" w:rsidRDefault="008B67F3" w:rsidP="00D37198">
      <w:pPr>
        <w:pStyle w:val="Numberpara"/>
      </w:pPr>
      <w:bookmarkStart w:id="149" w:name="_Toc401030921"/>
      <w:r w:rsidRPr="00C917E2">
        <w:t>On the positive side, some diversification is observable: the malaria control program, which alone constituted 92 percent of these program-specific MOHCC funds in 2009, received one-quarter of the funds in 2013. Programs that have received increased attention include notably EPI, Health Education, NCD, and Nutrition. However, many important programs had less than US$100,000 a year to operate on, which raises the question of what they can achieve.</w:t>
      </w:r>
    </w:p>
    <w:p w14:paraId="2F98D268" w14:textId="77777777" w:rsidR="008B67F3" w:rsidRPr="00C917E2" w:rsidRDefault="008B67F3" w:rsidP="00621BB5">
      <w:pPr>
        <w:pStyle w:val="Heading4"/>
      </w:pPr>
      <w:r w:rsidRPr="00C917E2">
        <w:t xml:space="preserve">MOHCC </w:t>
      </w:r>
      <w:r w:rsidR="00F82C23" w:rsidRPr="00C917E2">
        <w:t>Total Expenditure: Elements to Assess Technical Efficiency</w:t>
      </w:r>
    </w:p>
    <w:bookmarkEnd w:id="149"/>
    <w:p w14:paraId="14CCBA99" w14:textId="77777777" w:rsidR="008B67F3" w:rsidRPr="00C917E2" w:rsidRDefault="008B67F3" w:rsidP="00D37198">
      <w:pPr>
        <w:pStyle w:val="Numberpara"/>
      </w:pPr>
      <w:r w:rsidRPr="00C917E2">
        <w:t>Efficiency is also greatly affected by the balance of health system inputs. In particular, long-run technical efficiency and sustainability cannot be ensured if labor expenditures are so high that equipment and medicine cannot be purchased</w:t>
      </w:r>
      <w:r w:rsidR="00F82C23">
        <w:t>.</w:t>
      </w:r>
      <w:r w:rsidRPr="00C917E2">
        <w:t xml:space="preserve"> </w:t>
      </w:r>
      <w:r w:rsidR="00F82C23" w:rsidRPr="00C917E2">
        <w:t>Similarly</w:t>
      </w:r>
      <w:r w:rsidRPr="00C917E2">
        <w:t>, new facilities and equipment do not achieve value for money if the maintenance budget is drained or if there is no adequately qualified staff to run them.</w:t>
      </w:r>
    </w:p>
    <w:p w14:paraId="0D1F38C1" w14:textId="77777777" w:rsidR="008B67F3" w:rsidRPr="00C917E2" w:rsidRDefault="00C713A9" w:rsidP="00D37198">
      <w:pPr>
        <w:pStyle w:val="Numberpara"/>
        <w:rPr>
          <w:rFonts w:eastAsia="Calibri"/>
          <w:bCs/>
        </w:rPr>
      </w:pPr>
      <w:r w:rsidRPr="00C917E2">
        <w:fldChar w:fldCharType="begin"/>
      </w:r>
      <w:r w:rsidR="008B67F3" w:rsidRPr="00C917E2">
        <w:instrText xml:space="preserve"> REF _Ref411949305 \h </w:instrText>
      </w:r>
      <w:r w:rsidRPr="00C917E2">
        <w:fldChar w:fldCharType="separate"/>
      </w:r>
      <w:r w:rsidR="003732A2" w:rsidRPr="00C917E2">
        <w:t xml:space="preserve">Figure </w:t>
      </w:r>
      <w:r w:rsidR="003732A2">
        <w:rPr>
          <w:noProof/>
        </w:rPr>
        <w:t>23</w:t>
      </w:r>
      <w:r w:rsidRPr="00C917E2">
        <w:fldChar w:fldCharType="end"/>
      </w:r>
      <w:r w:rsidR="008B67F3" w:rsidRPr="00C917E2">
        <w:t xml:space="preserve"> shows the breakdown of MOHCC expenditures by economic classification for 2010–13.</w:t>
      </w:r>
      <w:r w:rsidR="008B67F3" w:rsidRPr="00C917E2">
        <w:rPr>
          <w:vertAlign w:val="superscript"/>
        </w:rPr>
        <w:endnoteReference w:id="62"/>
      </w:r>
      <w:r w:rsidR="008B67F3" w:rsidRPr="00C917E2">
        <w:t xml:space="preserve"> Labor costs doubled in real terms over 2009–12 and their share in MOHCC expenditures went up by 23 percentage points, significantly crowding out other inputs.</w:t>
      </w:r>
      <w:r w:rsidR="008B67F3" w:rsidRPr="00C917E2">
        <w:rPr>
          <w:vertAlign w:val="superscript"/>
        </w:rPr>
        <w:endnoteReference w:id="63"/>
      </w:r>
      <w:r w:rsidR="008B67F3" w:rsidRPr="00C917E2">
        <w:rPr>
          <w:vertAlign w:val="superscript"/>
        </w:rPr>
        <w:t>,</w:t>
      </w:r>
      <w:r w:rsidR="008B67F3" w:rsidRPr="00C917E2">
        <w:rPr>
          <w:vertAlign w:val="superscript"/>
        </w:rPr>
        <w:endnoteReference w:id="64"/>
      </w:r>
      <w:r w:rsidR="008B67F3" w:rsidRPr="00C917E2">
        <w:t xml:space="preserve"> As of 2013, 80 percent of all MOHCC expenditures were for salaries and allowances.</w:t>
      </w:r>
      <w:r w:rsidR="008B67F3" w:rsidRPr="00C917E2">
        <w:rPr>
          <w:rStyle w:val="EndnoteReference"/>
        </w:rPr>
        <w:endnoteReference w:id="65"/>
      </w:r>
      <w:r w:rsidR="008B67F3" w:rsidRPr="00C917E2">
        <w:t xml:space="preserve"> While it is obvious that capital </w:t>
      </w:r>
      <w:r w:rsidR="00F82C23">
        <w:t xml:space="preserve">spending </w:t>
      </w:r>
      <w:r w:rsidR="008B67F3" w:rsidRPr="00C917E2">
        <w:t>and operation and maintenance (O&amp;M)</w:t>
      </w:r>
      <w:r w:rsidR="00F82C23">
        <w:t xml:space="preserve"> outlays</w:t>
      </w:r>
      <w:r w:rsidR="008B67F3" w:rsidRPr="00C917E2">
        <w:t xml:space="preserve">, including transfers to health facilities, were crowded out by labor costs, expenditures on medical supplies, equipment, and health programs remained very low during the period. </w:t>
      </w:r>
    </w:p>
    <w:p w14:paraId="01D10E4C" w14:textId="77777777" w:rsidR="008B67F3" w:rsidRPr="00C917E2" w:rsidRDefault="008B67F3" w:rsidP="00C53C89">
      <w:pPr>
        <w:pStyle w:val="Figure"/>
      </w:pPr>
      <w:bookmarkStart w:id="150" w:name="_Ref411949305"/>
      <w:bookmarkStart w:id="151" w:name="_Toc419004104"/>
      <w:r w:rsidRPr="00C917E2">
        <w:lastRenderedPageBreak/>
        <w:t xml:space="preserve">Figure </w:t>
      </w:r>
      <w:r w:rsidR="00113462">
        <w:fldChar w:fldCharType="begin"/>
      </w:r>
      <w:r w:rsidR="00113462">
        <w:instrText xml:space="preserve"> SEQ Figure \* ARABIC </w:instrText>
      </w:r>
      <w:r w:rsidR="00113462">
        <w:fldChar w:fldCharType="separate"/>
      </w:r>
      <w:r w:rsidR="003732A2">
        <w:rPr>
          <w:noProof/>
        </w:rPr>
        <w:t>23</w:t>
      </w:r>
      <w:r w:rsidR="00113462">
        <w:rPr>
          <w:noProof/>
        </w:rPr>
        <w:fldChar w:fldCharType="end"/>
      </w:r>
      <w:bookmarkEnd w:id="150"/>
      <w:r w:rsidRPr="00C917E2">
        <w:t xml:space="preserve"> Economic Classification of MOHCC Expenditure</w:t>
      </w:r>
      <w:r w:rsidR="00F82C23">
        <w:t xml:space="preserve">, </w:t>
      </w:r>
      <w:r w:rsidR="00F82C23" w:rsidRPr="00F82C23">
        <w:t>2010–13</w:t>
      </w:r>
      <w:bookmarkEnd w:id="151"/>
    </w:p>
    <w:p w14:paraId="4C1E2657" w14:textId="77777777" w:rsidR="008B67F3" w:rsidRPr="00C917E2" w:rsidRDefault="008B67F3" w:rsidP="00A64EC4">
      <w:pPr>
        <w:keepNext/>
      </w:pPr>
      <w:r w:rsidRPr="00C917E2">
        <w:rPr>
          <w:noProof/>
        </w:rPr>
        <w:drawing>
          <wp:inline distT="0" distB="0" distL="0" distR="0" wp14:anchorId="34D9185C" wp14:editId="07884888">
            <wp:extent cx="5743575" cy="3467100"/>
            <wp:effectExtent l="0" t="0" r="9525" b="19050"/>
            <wp:docPr id="81"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BB1C24E" w14:textId="77777777" w:rsidR="009C649E" w:rsidRPr="00C917E2" w:rsidRDefault="009C649E" w:rsidP="009C649E">
      <w:pPr>
        <w:pStyle w:val="Source"/>
      </w:pPr>
      <w:r w:rsidRPr="00E94700">
        <w:rPr>
          <w:i/>
        </w:rPr>
        <w:t>Source:</w:t>
      </w:r>
      <w:r w:rsidRPr="00C917E2">
        <w:t xml:space="preserve"> Authors using MOFED data</w:t>
      </w:r>
      <w:r>
        <w:t>.</w:t>
      </w:r>
    </w:p>
    <w:p w14:paraId="2D780DFE" w14:textId="77777777" w:rsidR="008B67F3" w:rsidRPr="00C917E2" w:rsidRDefault="008B67F3" w:rsidP="00D04BDC">
      <w:pPr>
        <w:pStyle w:val="Source"/>
      </w:pPr>
      <w:r w:rsidRPr="00E94700">
        <w:rPr>
          <w:i/>
        </w:rPr>
        <w:t>Note:</w:t>
      </w:r>
      <w:r w:rsidRPr="00C917E2">
        <w:t xml:space="preserve"> </w:t>
      </w:r>
      <w:r w:rsidR="00B754B7">
        <w:t xml:space="preserve">The </w:t>
      </w:r>
      <w:r w:rsidR="00B754B7" w:rsidRPr="00C917E2">
        <w:t xml:space="preserve">labor </w:t>
      </w:r>
      <w:r w:rsidRPr="00C917E2">
        <w:t xml:space="preserve">costs </w:t>
      </w:r>
      <w:r w:rsidR="00B754B7">
        <w:t xml:space="preserve">item </w:t>
      </w:r>
      <w:r w:rsidRPr="00C917E2">
        <w:t xml:space="preserve">includes basic salary in 2010, and from 2011 includes allowances. Health programs include vertical programs and other special programs such as the </w:t>
      </w:r>
      <w:r w:rsidR="00337AB7" w:rsidRPr="00C917E2">
        <w:t>HTF, Global Fund</w:t>
      </w:r>
      <w:r w:rsidR="008828C6">
        <w:t xml:space="preserve"> </w:t>
      </w:r>
      <w:r w:rsidR="008828C6" w:rsidRPr="008828C6">
        <w:t>to Fight AIDS, Tuberculosis and Malaria</w:t>
      </w:r>
      <w:r w:rsidR="00337AB7" w:rsidRPr="00C917E2">
        <w:t xml:space="preserve">, and government </w:t>
      </w:r>
      <w:r w:rsidRPr="00C917E2">
        <w:t>retention program</w:t>
      </w:r>
      <w:r w:rsidR="00337AB7" w:rsidRPr="00C917E2">
        <w:t>s</w:t>
      </w:r>
      <w:r w:rsidRPr="00C917E2">
        <w:t xml:space="preserve">. Expenditure for central hospitals and government health providers in the provinces are included in O&amp;M. </w:t>
      </w:r>
    </w:p>
    <w:p w14:paraId="71BD9313" w14:textId="77777777" w:rsidR="008B67F3" w:rsidRDefault="008B67F3" w:rsidP="00D37198">
      <w:pPr>
        <w:pStyle w:val="Numberpara"/>
      </w:pPr>
      <w:r w:rsidRPr="00C917E2">
        <w:t>Few countries have labor shares that high: a study of World Bank PERs released in 2000–11 returned one subnational zone and one country in Sub-Saharan Africa with high labor shares: Zanzibar (2003 PER) with 80–85 percent and Ghana with about 70 percent (2009 PER);</w:t>
      </w:r>
      <w:r w:rsidRPr="00C917E2">
        <w:rPr>
          <w:vertAlign w:val="superscript"/>
        </w:rPr>
        <w:endnoteReference w:id="66"/>
      </w:r>
      <w:r w:rsidRPr="00C917E2">
        <w:t xml:space="preserve"> most other PERs for SSA countries reported labor shares around 50 percent.</w:t>
      </w:r>
      <w:r w:rsidRPr="00C917E2">
        <w:rPr>
          <w:rStyle w:val="EndnoteReference"/>
          <w:rFonts w:eastAsia="Calibri"/>
          <w:bCs/>
        </w:rPr>
        <w:endnoteReference w:id="67"/>
      </w:r>
      <w:r w:rsidRPr="00C917E2">
        <w:t xml:space="preserve"> In general, although there are no specific benchmarks, labor costs over 60 percent are considered too high to be sustainable and incompatible with the provision of quality health care.</w:t>
      </w:r>
      <w:r w:rsidRPr="00C917E2">
        <w:rPr>
          <w:rStyle w:val="EndnoteReference"/>
          <w:rFonts w:eastAsia="Calibri"/>
          <w:bCs/>
        </w:rPr>
        <w:endnoteReference w:id="68"/>
      </w:r>
      <w:r w:rsidRPr="00C917E2">
        <w:t xml:space="preserve"> Comparative international figures are in </w:t>
      </w:r>
      <w:r w:rsidR="00C713A9" w:rsidRPr="00C917E2">
        <w:fldChar w:fldCharType="begin"/>
      </w:r>
      <w:r w:rsidRPr="00C917E2">
        <w:instrText xml:space="preserve"> REF _Ref411949326 \h </w:instrText>
      </w:r>
      <w:r w:rsidR="00C713A9" w:rsidRPr="00C917E2">
        <w:fldChar w:fldCharType="separate"/>
      </w:r>
      <w:r w:rsidR="003732A2" w:rsidRPr="00C917E2">
        <w:t xml:space="preserve">Figure </w:t>
      </w:r>
      <w:r w:rsidR="003732A2">
        <w:rPr>
          <w:noProof/>
        </w:rPr>
        <w:t>24</w:t>
      </w:r>
      <w:r w:rsidR="00C713A9" w:rsidRPr="00C917E2">
        <w:fldChar w:fldCharType="end"/>
      </w:r>
      <w:r w:rsidRPr="00C917E2">
        <w:t xml:space="preserve">. </w:t>
      </w:r>
    </w:p>
    <w:p w14:paraId="10C03CE3" w14:textId="77777777" w:rsidR="00B754B7" w:rsidRPr="00C917E2" w:rsidRDefault="00B754B7" w:rsidP="00D37198">
      <w:pPr>
        <w:pStyle w:val="Numberpara"/>
        <w:rPr>
          <w:rFonts w:eastAsia="Calibri"/>
          <w:bCs/>
        </w:rPr>
      </w:pPr>
      <w:r w:rsidRPr="00C917E2">
        <w:t xml:space="preserve">Given that wages are </w:t>
      </w:r>
      <w:r>
        <w:t xml:space="preserve">largely </w:t>
      </w:r>
      <w:r w:rsidRPr="00C917E2">
        <w:t xml:space="preserve">inflexible downward and that Zimbabwe is still in a tight position on staffing medical facilities and retaining qualified personnel, the situation is unsustainable. Indeed, allocating such a high share of the budget to labor implies reliance on external financing for medical supplies and drugs as well as for </w:t>
      </w:r>
      <w:r>
        <w:t xml:space="preserve">O&amp;M </w:t>
      </w:r>
      <w:r w:rsidRPr="00C917E2">
        <w:t xml:space="preserve">and equipment. These pressures create vulnerability </w:t>
      </w:r>
      <w:r w:rsidR="00990FD0">
        <w:t>for</w:t>
      </w:r>
      <w:r w:rsidR="00990FD0" w:rsidRPr="00C917E2">
        <w:t xml:space="preserve"> </w:t>
      </w:r>
      <w:r w:rsidRPr="00C917E2">
        <w:t>health care delivery as development-partner financing, which covers most complementary inputs, is also vulnerable to external shocks and shifts in these countries’ priorities.</w:t>
      </w:r>
      <w:r w:rsidRPr="00C917E2">
        <w:rPr>
          <w:rStyle w:val="EndnoteReference"/>
        </w:rPr>
        <w:endnoteReference w:id="69"/>
      </w:r>
      <w:r w:rsidRPr="00C917E2">
        <w:rPr>
          <w:rFonts w:eastAsia="Calibri"/>
          <w:bCs/>
        </w:rPr>
        <w:t xml:space="preserve"> </w:t>
      </w:r>
    </w:p>
    <w:p w14:paraId="39EC830B" w14:textId="77777777" w:rsidR="008B67F3" w:rsidRPr="00C917E2" w:rsidRDefault="008B67F3" w:rsidP="00C53C89">
      <w:pPr>
        <w:pStyle w:val="Figure"/>
      </w:pPr>
      <w:bookmarkStart w:id="152" w:name="_Ref411949326"/>
      <w:bookmarkStart w:id="153" w:name="_Toc419004105"/>
      <w:r w:rsidRPr="00C917E2">
        <w:lastRenderedPageBreak/>
        <w:t xml:space="preserve">Figure </w:t>
      </w:r>
      <w:r w:rsidR="00113462">
        <w:fldChar w:fldCharType="begin"/>
      </w:r>
      <w:r w:rsidR="00113462">
        <w:instrText xml:space="preserve"> SEQ Figure \* ARABIC </w:instrText>
      </w:r>
      <w:r w:rsidR="00113462">
        <w:fldChar w:fldCharType="separate"/>
      </w:r>
      <w:r w:rsidR="003732A2">
        <w:rPr>
          <w:noProof/>
        </w:rPr>
        <w:t>24</w:t>
      </w:r>
      <w:r w:rsidR="00113462">
        <w:rPr>
          <w:noProof/>
        </w:rPr>
        <w:fldChar w:fldCharType="end"/>
      </w:r>
      <w:bookmarkEnd w:id="152"/>
      <w:r w:rsidRPr="00C917E2">
        <w:t xml:space="preserve"> International Comparisons and Benchmarks for Share of Wages in GHE</w:t>
      </w:r>
      <w:bookmarkEnd w:id="153"/>
    </w:p>
    <w:p w14:paraId="416C07C6" w14:textId="77777777" w:rsidR="008B67F3" w:rsidRPr="00C917E2" w:rsidRDefault="008B67F3" w:rsidP="000A2162">
      <w:r w:rsidRPr="00C917E2">
        <w:t xml:space="preserve"> </w:t>
      </w:r>
      <w:r w:rsidRPr="00C917E2">
        <w:rPr>
          <w:noProof/>
        </w:rPr>
        <w:drawing>
          <wp:inline distT="0" distB="0" distL="0" distR="0" wp14:anchorId="12534B59" wp14:editId="207E42D1">
            <wp:extent cx="2943225" cy="2870200"/>
            <wp:effectExtent l="19050" t="19050" r="28575" b="25400"/>
            <wp:docPr id="102" name="Image 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54"/>
                    <a:srcRect/>
                    <a:stretch>
                      <a:fillRect/>
                    </a:stretch>
                  </pic:blipFill>
                  <pic:spPr bwMode="auto">
                    <a:xfrm>
                      <a:off x="0" y="0"/>
                      <a:ext cx="2943225" cy="2870200"/>
                    </a:xfrm>
                    <a:prstGeom prst="rect">
                      <a:avLst/>
                    </a:prstGeom>
                    <a:noFill/>
                    <a:ln w="9525" cmpd="sng">
                      <a:solidFill>
                        <a:srgbClr val="4F81BD"/>
                      </a:solidFill>
                      <a:miter lim="800000"/>
                      <a:headEnd/>
                      <a:tailEnd/>
                    </a:ln>
                    <a:effectLst/>
                  </pic:spPr>
                </pic:pic>
              </a:graphicData>
            </a:graphic>
          </wp:inline>
        </w:drawing>
      </w:r>
      <w:r w:rsidRPr="00C917E2">
        <w:rPr>
          <w:noProof/>
        </w:rPr>
        <w:drawing>
          <wp:inline distT="0" distB="0" distL="0" distR="0" wp14:anchorId="26D60938" wp14:editId="7C2C7325">
            <wp:extent cx="2400300" cy="2819400"/>
            <wp:effectExtent l="38100" t="19050" r="19050" b="19050"/>
            <wp:docPr id="103" name="Image 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5"/>
                    <a:srcRect/>
                    <a:stretch>
                      <a:fillRect/>
                    </a:stretch>
                  </pic:blipFill>
                  <pic:spPr bwMode="auto">
                    <a:xfrm>
                      <a:off x="0" y="0"/>
                      <a:ext cx="2400300" cy="2819400"/>
                    </a:xfrm>
                    <a:prstGeom prst="rect">
                      <a:avLst/>
                    </a:prstGeom>
                    <a:noFill/>
                    <a:ln w="9525">
                      <a:solidFill>
                        <a:srgbClr val="4F81BD"/>
                      </a:solidFill>
                      <a:miter lim="800000"/>
                      <a:headEnd/>
                      <a:tailEnd/>
                    </a:ln>
                  </pic:spPr>
                </pic:pic>
              </a:graphicData>
            </a:graphic>
          </wp:inline>
        </w:drawing>
      </w:r>
    </w:p>
    <w:p w14:paraId="68731B68" w14:textId="77777777" w:rsidR="009C649E" w:rsidRPr="00C917E2" w:rsidRDefault="009C649E" w:rsidP="009C649E">
      <w:pPr>
        <w:pStyle w:val="Source"/>
      </w:pPr>
      <w:r w:rsidRPr="00E94700">
        <w:rPr>
          <w:i/>
        </w:rPr>
        <w:t>Source:</w:t>
      </w:r>
      <w:r w:rsidRPr="00C917E2">
        <w:t xml:space="preserve"> Reproduced from </w:t>
      </w:r>
      <w:r w:rsidRPr="00C917E2">
        <w:rPr>
          <w:i/>
        </w:rPr>
        <w:t>Working in Health</w:t>
      </w:r>
      <w:r w:rsidRPr="00C917E2">
        <w:t>, World Bank, 2009; original data from WHO.</w:t>
      </w:r>
    </w:p>
    <w:p w14:paraId="22EF54E0" w14:textId="77777777" w:rsidR="008B67F3" w:rsidRPr="00C917E2" w:rsidRDefault="008B67F3" w:rsidP="009C649E">
      <w:pPr>
        <w:pStyle w:val="Source"/>
      </w:pPr>
      <w:r w:rsidRPr="00E94700">
        <w:rPr>
          <w:i/>
        </w:rPr>
        <w:t>Note:</w:t>
      </w:r>
      <w:r w:rsidRPr="00C917E2">
        <w:t xml:space="preserve"> Comparison with SSA countries based on 1998–2004 data. Benchmarks by region and income based on 2000–04 data</w:t>
      </w:r>
      <w:r w:rsidR="006B2D5F">
        <w:t>.</w:t>
      </w:r>
    </w:p>
    <w:p w14:paraId="5297E506" w14:textId="77777777" w:rsidR="008B67F3" w:rsidRPr="00C917E2" w:rsidRDefault="008B67F3" w:rsidP="0081741D">
      <w:pPr>
        <w:pStyle w:val="Heading4"/>
      </w:pPr>
      <w:r w:rsidRPr="00C917E2">
        <w:t>MOHCC Central Expenditure to Provinces and their Distribution</w:t>
      </w:r>
    </w:p>
    <w:p w14:paraId="2839F43E" w14:textId="77777777" w:rsidR="008B67F3" w:rsidRPr="00C917E2" w:rsidRDefault="008B67F3" w:rsidP="0081741D">
      <w:pPr>
        <w:pStyle w:val="Heading5"/>
      </w:pPr>
      <w:bookmarkStart w:id="154" w:name="_Toc401030922"/>
      <w:r w:rsidRPr="00C917E2">
        <w:t>Concentration</w:t>
      </w:r>
      <w:bookmarkEnd w:id="154"/>
    </w:p>
    <w:p w14:paraId="525BB8ED" w14:textId="77777777" w:rsidR="008B67F3" w:rsidRPr="00C917E2" w:rsidRDefault="008B67F3" w:rsidP="00D37198">
      <w:pPr>
        <w:pStyle w:val="Numberpara"/>
      </w:pPr>
      <w:r w:rsidRPr="00C917E2">
        <w:t>MOHCC central expenditure</w:t>
      </w:r>
      <w:r w:rsidR="00990FD0">
        <w:t>s</w:t>
      </w:r>
      <w:r w:rsidRPr="00C917E2">
        <w:t xml:space="preserve"> include some direct transfers to hospitals and health centers that are broken down by province.</w:t>
      </w:r>
      <w:r w:rsidRPr="00C917E2">
        <w:rPr>
          <w:rStyle w:val="EndnoteReference"/>
        </w:rPr>
        <w:endnoteReference w:id="70"/>
      </w:r>
      <w:r w:rsidRPr="00C917E2">
        <w:t xml:space="preserve"> The</w:t>
      </w:r>
      <w:r w:rsidR="00990FD0">
        <w:t>se</w:t>
      </w:r>
      <w:r w:rsidRPr="00C917E2">
        <w:t xml:space="preserve"> transfers represented 18 percent of MOHCC </w:t>
      </w:r>
      <w:r w:rsidR="00990FD0">
        <w:t xml:space="preserve">spending </w:t>
      </w:r>
      <w:r w:rsidRPr="00C917E2">
        <w:t>in 2010 but only 6 percent in 2013. A</w:t>
      </w:r>
      <w:r w:rsidR="00B72993" w:rsidRPr="00C917E2">
        <w:t xml:space="preserve"> </w:t>
      </w:r>
      <w:r w:rsidRPr="00C917E2">
        <w:t>large part of these allocations went to only five major hospitals in the country, although the proportion is decreasing (</w:t>
      </w:r>
      <w:r w:rsidR="00C713A9" w:rsidRPr="00C917E2">
        <w:fldChar w:fldCharType="begin"/>
      </w:r>
      <w:r w:rsidRPr="00C917E2">
        <w:instrText xml:space="preserve"> REF _Ref411949349 \h </w:instrText>
      </w:r>
      <w:r w:rsidR="00C713A9" w:rsidRPr="00C917E2">
        <w:fldChar w:fldCharType="separate"/>
      </w:r>
      <w:r w:rsidR="003732A2" w:rsidRPr="00C917E2">
        <w:t xml:space="preserve">Figure </w:t>
      </w:r>
      <w:r w:rsidR="003732A2">
        <w:rPr>
          <w:noProof/>
        </w:rPr>
        <w:t>25</w:t>
      </w:r>
      <w:r w:rsidR="00C713A9" w:rsidRPr="00C917E2">
        <w:fldChar w:fldCharType="end"/>
      </w:r>
      <w:r w:rsidRPr="00C917E2">
        <w:t>).</w:t>
      </w:r>
    </w:p>
    <w:p w14:paraId="23D2441A" w14:textId="77777777" w:rsidR="008B67F3" w:rsidRPr="00C917E2" w:rsidRDefault="008B67F3" w:rsidP="00C53C89">
      <w:pPr>
        <w:pStyle w:val="Figure"/>
      </w:pPr>
      <w:bookmarkStart w:id="155" w:name="_Ref411949349"/>
      <w:bookmarkStart w:id="156" w:name="_Toc419004106"/>
      <w:r w:rsidRPr="00C917E2">
        <w:t xml:space="preserve">Figure </w:t>
      </w:r>
      <w:r w:rsidR="00113462">
        <w:fldChar w:fldCharType="begin"/>
      </w:r>
      <w:r w:rsidR="00113462">
        <w:instrText xml:space="preserve"> SEQ Figure \* ARABIC </w:instrText>
      </w:r>
      <w:r w:rsidR="00113462">
        <w:fldChar w:fldCharType="separate"/>
      </w:r>
      <w:r w:rsidR="003732A2">
        <w:rPr>
          <w:noProof/>
        </w:rPr>
        <w:t>25</w:t>
      </w:r>
      <w:r w:rsidR="00113462">
        <w:rPr>
          <w:noProof/>
        </w:rPr>
        <w:fldChar w:fldCharType="end"/>
      </w:r>
      <w:bookmarkEnd w:id="155"/>
      <w:r w:rsidRPr="00C917E2">
        <w:t xml:space="preserve"> Government </w:t>
      </w:r>
      <w:r w:rsidR="001C02D0" w:rsidRPr="00C917E2">
        <w:t xml:space="preserve">Spending </w:t>
      </w:r>
      <w:r w:rsidRPr="00C917E2">
        <w:t xml:space="preserve">on </w:t>
      </w:r>
      <w:r w:rsidR="001C02D0" w:rsidRPr="00C917E2">
        <w:t xml:space="preserve">Hospitals </w:t>
      </w:r>
      <w:r w:rsidRPr="00C917E2">
        <w:t xml:space="preserve">and </w:t>
      </w:r>
      <w:r w:rsidR="001C02D0" w:rsidRPr="00C917E2">
        <w:t>Health Centers</w:t>
      </w:r>
      <w:r w:rsidRPr="00C917E2">
        <w:t>, 2009–13</w:t>
      </w:r>
      <w:bookmarkEnd w:id="156"/>
    </w:p>
    <w:p w14:paraId="548B516A" w14:textId="77777777" w:rsidR="008B67F3" w:rsidRPr="00C917E2" w:rsidRDefault="008B67F3" w:rsidP="00E73060">
      <w:r w:rsidRPr="00C917E2">
        <w:rPr>
          <w:noProof/>
        </w:rPr>
        <w:drawing>
          <wp:inline distT="0" distB="0" distL="0" distR="0" wp14:anchorId="504A4F6C" wp14:editId="4DD5BB2C">
            <wp:extent cx="5234305" cy="2276475"/>
            <wp:effectExtent l="0" t="0" r="23495" b="9525"/>
            <wp:docPr id="82" name="Graphique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FBF43A5" w14:textId="77777777" w:rsidR="00EC35B6" w:rsidRPr="00C917E2" w:rsidRDefault="00EC35B6" w:rsidP="00EC35B6">
      <w:pPr>
        <w:pStyle w:val="Source"/>
      </w:pPr>
      <w:r w:rsidRPr="00E94700">
        <w:rPr>
          <w:i/>
        </w:rPr>
        <w:t>Source:</w:t>
      </w:r>
      <w:r w:rsidRPr="00C917E2">
        <w:t xml:space="preserve"> Author</w:t>
      </w:r>
      <w:r>
        <w:t>s</w:t>
      </w:r>
      <w:r w:rsidRPr="00C917E2">
        <w:t xml:space="preserve"> using MOFED data</w:t>
      </w:r>
      <w:r>
        <w:t>.</w:t>
      </w:r>
    </w:p>
    <w:p w14:paraId="6792FF9C" w14:textId="77777777" w:rsidR="008B67F3" w:rsidRPr="00C917E2" w:rsidRDefault="008B67F3" w:rsidP="00EC35B6">
      <w:pPr>
        <w:pStyle w:val="Source"/>
      </w:pPr>
      <w:r w:rsidRPr="00E94700">
        <w:rPr>
          <w:i/>
        </w:rPr>
        <w:t>Note:</w:t>
      </w:r>
      <w:r w:rsidRPr="00C917E2">
        <w:t xml:space="preserve"> Spending does not include employment costs and </w:t>
      </w:r>
      <w:r w:rsidR="00DA36C0" w:rsidRPr="00C917E2">
        <w:t xml:space="preserve">mission </w:t>
      </w:r>
      <w:r w:rsidRPr="00C917E2">
        <w:t xml:space="preserve">hospitals (which represent a relatively small share). The </w:t>
      </w:r>
      <w:r w:rsidR="00D14FF8" w:rsidRPr="00C917E2">
        <w:t xml:space="preserve">five major hospitals </w:t>
      </w:r>
      <w:r w:rsidR="00D14FF8">
        <w:t xml:space="preserve">are </w:t>
      </w:r>
      <w:r w:rsidRPr="00C917E2">
        <w:t xml:space="preserve">Chinhoyi Provincial Hospital, Chitungwiza Central Hospital, Harare Central Hospital, Mpilo Central Hospital, and United Bulawayo Hospital. </w:t>
      </w:r>
    </w:p>
    <w:p w14:paraId="0D64E874" w14:textId="77777777" w:rsidR="008B67F3" w:rsidRPr="00C917E2" w:rsidRDefault="008B67F3" w:rsidP="00D37198">
      <w:pPr>
        <w:pStyle w:val="Numberpara"/>
      </w:pPr>
      <w:r w:rsidRPr="00C917E2">
        <w:lastRenderedPageBreak/>
        <w:t xml:space="preserve">The 2014 midline facility survey conducted as part of the RBF program impact evaluation reveals that central government spending does not constitute a large source of nonwage recurrent expenditure funding for district and primary level health facilities. Central government spending </w:t>
      </w:r>
      <w:r w:rsidR="00D14FF8" w:rsidRPr="00C917E2">
        <w:t xml:space="preserve">in 2013 </w:t>
      </w:r>
      <w:r w:rsidRPr="00C917E2">
        <w:t>accounted for only 20 percent of all revenue in district-level hospitals (district hospitals and mission hospitals) and 2 percent in rural health centers (</w:t>
      </w:r>
      <w:r w:rsidR="00C713A9" w:rsidRPr="00C917E2">
        <w:fldChar w:fldCharType="begin"/>
      </w:r>
      <w:r w:rsidRPr="00C917E2">
        <w:instrText xml:space="preserve"> REF _Ref412002834 \h </w:instrText>
      </w:r>
      <w:r w:rsidR="00C713A9" w:rsidRPr="00C917E2">
        <w:fldChar w:fldCharType="separate"/>
      </w:r>
      <w:r w:rsidR="003732A2" w:rsidRPr="00C917E2">
        <w:t xml:space="preserve">Figure </w:t>
      </w:r>
      <w:r w:rsidR="003732A2">
        <w:rPr>
          <w:noProof/>
        </w:rPr>
        <w:t>26</w:t>
      </w:r>
      <w:r w:rsidR="00C713A9" w:rsidRPr="00C917E2">
        <w:fldChar w:fldCharType="end"/>
      </w:r>
      <w:r w:rsidRPr="00C917E2">
        <w:t>). For hospitals, the single largest source of funding is user fees and drug sales (54 percent)</w:t>
      </w:r>
      <w:r w:rsidR="00D14FF8">
        <w:t>;</w:t>
      </w:r>
      <w:r w:rsidRPr="00C917E2">
        <w:t xml:space="preserve"> for health centers, external donors followed by user fees (76 percent and 15 percent</w:t>
      </w:r>
      <w:r w:rsidR="00D14FF8">
        <w:t>,</w:t>
      </w:r>
      <w:r w:rsidRPr="00C917E2">
        <w:t xml:space="preserve"> respectively). Contribution from local government and insurance of all types (private, community-</w:t>
      </w:r>
      <w:r w:rsidR="00F67A69">
        <w:t>based) is close to zero.</w:t>
      </w:r>
      <w:r w:rsidRPr="00C917E2">
        <w:t xml:space="preserve"> The revenue and expenditure data collected at facility level does not, however, capture salaries, which are paid out of central government fund</w:t>
      </w:r>
      <w:r w:rsidR="00D14FF8">
        <w:t>s</w:t>
      </w:r>
      <w:r w:rsidRPr="00C917E2">
        <w:t xml:space="preserve">. </w:t>
      </w:r>
    </w:p>
    <w:p w14:paraId="73366961" w14:textId="1BCB5A60" w:rsidR="008B67F3" w:rsidRPr="00C917E2" w:rsidRDefault="008B67F3" w:rsidP="00C53C89">
      <w:pPr>
        <w:pStyle w:val="Figure"/>
      </w:pPr>
      <w:bookmarkStart w:id="157" w:name="_Ref412002834"/>
      <w:bookmarkStart w:id="158" w:name="_Toc419004107"/>
      <w:r w:rsidRPr="00C917E2">
        <w:t xml:space="preserve">Figure </w:t>
      </w:r>
      <w:r w:rsidR="00113462">
        <w:fldChar w:fldCharType="begin"/>
      </w:r>
      <w:r w:rsidR="00113462">
        <w:instrText xml:space="preserve"> SEQ Figure \* ARABIC </w:instrText>
      </w:r>
      <w:r w:rsidR="00113462">
        <w:fldChar w:fldCharType="separate"/>
      </w:r>
      <w:r w:rsidR="003732A2">
        <w:rPr>
          <w:noProof/>
        </w:rPr>
        <w:t>26</w:t>
      </w:r>
      <w:r w:rsidR="00113462">
        <w:rPr>
          <w:noProof/>
        </w:rPr>
        <w:fldChar w:fldCharType="end"/>
      </w:r>
      <w:bookmarkEnd w:id="157"/>
      <w:r w:rsidRPr="00C917E2">
        <w:t xml:space="preserve"> Share of Sources of Revenue </w:t>
      </w:r>
      <w:r w:rsidR="00FD3FB3">
        <w:t>i</w:t>
      </w:r>
      <w:r w:rsidRPr="00C917E2">
        <w:t>n Hospitals and Health Centers (%)</w:t>
      </w:r>
      <w:bookmarkEnd w:id="1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1"/>
        <w:gridCol w:w="4328"/>
      </w:tblGrid>
      <w:tr w:rsidR="008B67F3" w:rsidRPr="00C917E2" w14:paraId="266A8F65" w14:textId="77777777" w:rsidTr="002B2E0F">
        <w:trPr>
          <w:trHeight w:val="222"/>
        </w:trPr>
        <w:tc>
          <w:tcPr>
            <w:tcW w:w="3981" w:type="dxa"/>
            <w:shd w:val="clear" w:color="auto" w:fill="auto"/>
          </w:tcPr>
          <w:p w14:paraId="097593C5" w14:textId="77777777" w:rsidR="008B67F3" w:rsidRPr="00C917E2" w:rsidRDefault="008B67F3" w:rsidP="00EA0642">
            <w:pPr>
              <w:keepNext/>
              <w:jc w:val="center"/>
              <w:rPr>
                <w:rFonts w:asciiTheme="minorHAnsi" w:hAnsiTheme="minorHAnsi"/>
                <w:b/>
              </w:rPr>
            </w:pPr>
            <w:r w:rsidRPr="00C917E2">
              <w:rPr>
                <w:rFonts w:asciiTheme="minorHAnsi" w:hAnsiTheme="minorHAnsi"/>
                <w:b/>
              </w:rPr>
              <w:t xml:space="preserve">District, </w:t>
            </w:r>
            <w:r w:rsidR="00D14FF8" w:rsidRPr="00C917E2">
              <w:rPr>
                <w:rFonts w:asciiTheme="minorHAnsi" w:hAnsiTheme="minorHAnsi"/>
                <w:b/>
              </w:rPr>
              <w:t>Rural</w:t>
            </w:r>
            <w:r w:rsidRPr="00C917E2">
              <w:rPr>
                <w:rFonts w:asciiTheme="minorHAnsi" w:hAnsiTheme="minorHAnsi"/>
                <w:b/>
              </w:rPr>
              <w:t xml:space="preserve">, and </w:t>
            </w:r>
            <w:r w:rsidR="00D14FF8" w:rsidRPr="00C917E2">
              <w:rPr>
                <w:rFonts w:asciiTheme="minorHAnsi" w:hAnsiTheme="minorHAnsi"/>
                <w:b/>
              </w:rPr>
              <w:t>Mission Hospitals</w:t>
            </w:r>
          </w:p>
        </w:tc>
        <w:tc>
          <w:tcPr>
            <w:tcW w:w="4328" w:type="dxa"/>
            <w:shd w:val="clear" w:color="auto" w:fill="auto"/>
          </w:tcPr>
          <w:p w14:paraId="7EB2A4D6" w14:textId="77777777" w:rsidR="008B67F3" w:rsidRPr="00C917E2" w:rsidRDefault="008B67F3" w:rsidP="00EA0642">
            <w:pPr>
              <w:keepNext/>
              <w:jc w:val="center"/>
              <w:rPr>
                <w:rFonts w:asciiTheme="minorHAnsi" w:hAnsiTheme="minorHAnsi"/>
                <w:b/>
              </w:rPr>
            </w:pPr>
            <w:r w:rsidRPr="00C917E2">
              <w:rPr>
                <w:rFonts w:asciiTheme="minorHAnsi" w:hAnsiTheme="minorHAnsi"/>
                <w:b/>
              </w:rPr>
              <w:t xml:space="preserve">Rural </w:t>
            </w:r>
            <w:r w:rsidR="00D14FF8" w:rsidRPr="00C917E2">
              <w:rPr>
                <w:rFonts w:asciiTheme="minorHAnsi" w:hAnsiTheme="minorHAnsi"/>
                <w:b/>
              </w:rPr>
              <w:t>Health Centers</w:t>
            </w:r>
          </w:p>
        </w:tc>
      </w:tr>
      <w:tr w:rsidR="008B67F3" w:rsidRPr="00C917E2" w14:paraId="02301014" w14:textId="77777777" w:rsidTr="002B2E0F">
        <w:trPr>
          <w:trHeight w:val="3558"/>
        </w:trPr>
        <w:tc>
          <w:tcPr>
            <w:tcW w:w="3981" w:type="dxa"/>
            <w:shd w:val="clear" w:color="auto" w:fill="auto"/>
          </w:tcPr>
          <w:p w14:paraId="610BCDA9" w14:textId="77777777" w:rsidR="008B67F3" w:rsidRPr="00C917E2" w:rsidRDefault="008B67F3" w:rsidP="007145F5">
            <w:pPr>
              <w:keepNext/>
            </w:pPr>
            <w:r w:rsidRPr="00C917E2">
              <w:rPr>
                <w:noProof/>
              </w:rPr>
              <w:drawing>
                <wp:inline distT="0" distB="0" distL="0" distR="0" wp14:anchorId="1B7A7821" wp14:editId="445F481B">
                  <wp:extent cx="2352675" cy="2905125"/>
                  <wp:effectExtent l="0" t="0" r="0" b="0"/>
                  <wp:docPr id="83" name="Chart 2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c>
          <w:tcPr>
            <w:tcW w:w="4328" w:type="dxa"/>
            <w:shd w:val="clear" w:color="auto" w:fill="auto"/>
          </w:tcPr>
          <w:p w14:paraId="1CDDC089" w14:textId="77777777" w:rsidR="008B67F3" w:rsidRPr="00C917E2" w:rsidRDefault="008B67F3" w:rsidP="00860625">
            <w:pPr>
              <w:keepNext/>
            </w:pPr>
            <w:r w:rsidRPr="00C917E2">
              <w:rPr>
                <w:noProof/>
              </w:rPr>
              <w:drawing>
                <wp:inline distT="0" distB="0" distL="0" distR="0" wp14:anchorId="165DFD8A" wp14:editId="2ED466C8">
                  <wp:extent cx="2162175" cy="2905125"/>
                  <wp:effectExtent l="0" t="0" r="0" b="0"/>
                  <wp:docPr id="84" name="Chart 2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08E58D9C" w14:textId="77777777" w:rsidR="008B67F3" w:rsidRPr="00C917E2" w:rsidRDefault="008B67F3" w:rsidP="007145F5">
      <w:pPr>
        <w:pStyle w:val="Source"/>
      </w:pPr>
      <w:r w:rsidRPr="00E94700">
        <w:rPr>
          <w:i/>
        </w:rPr>
        <w:t>Source:</w:t>
      </w:r>
      <w:r w:rsidRPr="00C917E2">
        <w:t xml:space="preserve"> Authors’ analysis of 2014 RBF impact evaluation facility survey data</w:t>
      </w:r>
      <w:r w:rsidR="006B2D5F">
        <w:t>.</w:t>
      </w:r>
    </w:p>
    <w:p w14:paraId="697651F1" w14:textId="77777777" w:rsidR="008B67F3" w:rsidRPr="00C917E2" w:rsidRDefault="008B67F3" w:rsidP="00D37198">
      <w:pPr>
        <w:pStyle w:val="Numberpara"/>
      </w:pPr>
      <w:r w:rsidRPr="00C917E2">
        <w:t xml:space="preserve">An important implication of these data is that the basic level of health system in Zimbabwe is highly dependent on donor funding and on revenues from private OOP payments, which has negative implications for sustainability and equity. It also confirms the minimal role of local government in funding the health sector and the limited scope of any form of third-party payment in rural health care settings. </w:t>
      </w:r>
    </w:p>
    <w:p w14:paraId="7B328B31" w14:textId="77777777" w:rsidR="008B67F3" w:rsidRPr="00C917E2" w:rsidRDefault="008B67F3" w:rsidP="0081741D">
      <w:pPr>
        <w:pStyle w:val="Heading5"/>
      </w:pPr>
      <w:bookmarkStart w:id="159" w:name="_Toc401030923"/>
      <w:r w:rsidRPr="00C917E2">
        <w:t>Distribution of MOHCC expenditure by province versus poverty</w:t>
      </w:r>
      <w:bookmarkEnd w:id="159"/>
    </w:p>
    <w:p w14:paraId="5D12C2FF" w14:textId="77777777" w:rsidR="008B67F3" w:rsidRPr="00C917E2" w:rsidRDefault="009B76E0" w:rsidP="00D37198">
      <w:pPr>
        <w:pStyle w:val="Numberpara"/>
      </w:pPr>
      <w:r w:rsidRPr="00C917E2">
        <w:t xml:space="preserve">Allocations </w:t>
      </w:r>
      <w:r w:rsidR="008B67F3" w:rsidRPr="00C917E2">
        <w:t xml:space="preserve">to government hospitals and health centers account for </w:t>
      </w:r>
      <w:r w:rsidRPr="00C917E2">
        <w:t xml:space="preserve">only </w:t>
      </w:r>
      <w:r w:rsidR="008B67F3" w:rsidRPr="00C917E2">
        <w:t xml:space="preserve">a small share of total MOHCC spending, </w:t>
      </w:r>
      <w:r w:rsidRPr="00C917E2">
        <w:t xml:space="preserve">but as </w:t>
      </w:r>
      <w:r w:rsidR="008B67F3" w:rsidRPr="00C917E2">
        <w:t>no other MOHCC expenditures are broken down at provincial level, an analysis of their distribution by province against poverty was made, to judge whether central government expenditure for service provision prioritized poorer areas.</w:t>
      </w:r>
      <w:r w:rsidR="008B67F3" w:rsidRPr="00C917E2" w:rsidDel="0083562D">
        <w:t xml:space="preserve"> </w:t>
      </w:r>
    </w:p>
    <w:p w14:paraId="33CF9591" w14:textId="77777777" w:rsidR="008B67F3" w:rsidRPr="00C917E2" w:rsidRDefault="008B67F3" w:rsidP="00D37198">
      <w:pPr>
        <w:pStyle w:val="Numberpara"/>
      </w:pPr>
      <w:r w:rsidRPr="00C917E2">
        <w:t>Excluding Mashonaland West, per capita spending appears slightly higher in provinces with a higher proportion of extremely poor (</w:t>
      </w:r>
      <w:r w:rsidR="00C713A9" w:rsidRPr="00C917E2">
        <w:fldChar w:fldCharType="begin"/>
      </w:r>
      <w:r w:rsidRPr="00C917E2">
        <w:instrText xml:space="preserve"> REF _Ref412003891 \h </w:instrText>
      </w:r>
      <w:r w:rsidR="00C713A9" w:rsidRPr="00C917E2">
        <w:fldChar w:fldCharType="separate"/>
      </w:r>
      <w:r w:rsidR="003732A2" w:rsidRPr="00C917E2">
        <w:t xml:space="preserve">Figure </w:t>
      </w:r>
      <w:r w:rsidR="003732A2">
        <w:rPr>
          <w:noProof/>
        </w:rPr>
        <w:t>27</w:t>
      </w:r>
      <w:r w:rsidR="00C713A9" w:rsidRPr="00C917E2">
        <w:fldChar w:fldCharType="end"/>
      </w:r>
      <w:r w:rsidRPr="00C917E2">
        <w:t>). The pattern is very similar for other years (data not shown). The differences are, however, too small to establish statistical significance (given the small number of provinces), and no inference can be drawn.</w:t>
      </w:r>
    </w:p>
    <w:p w14:paraId="3DA9A8DA" w14:textId="77777777" w:rsidR="008B67F3" w:rsidRPr="00C917E2" w:rsidRDefault="008B67F3" w:rsidP="00C53C89">
      <w:pPr>
        <w:pStyle w:val="Figure"/>
      </w:pPr>
      <w:bookmarkStart w:id="160" w:name="_Ref412003891"/>
      <w:bookmarkStart w:id="161" w:name="_Toc419004108"/>
      <w:r w:rsidRPr="00C917E2">
        <w:lastRenderedPageBreak/>
        <w:t xml:space="preserve">Figure </w:t>
      </w:r>
      <w:r w:rsidR="00113462">
        <w:fldChar w:fldCharType="begin"/>
      </w:r>
      <w:r w:rsidR="00113462">
        <w:instrText xml:space="preserve"> SEQ Figur</w:instrText>
      </w:r>
      <w:r w:rsidR="00113462">
        <w:instrText xml:space="preserve">e \* ARABIC </w:instrText>
      </w:r>
      <w:r w:rsidR="00113462">
        <w:fldChar w:fldCharType="separate"/>
      </w:r>
      <w:r w:rsidR="003732A2">
        <w:rPr>
          <w:noProof/>
        </w:rPr>
        <w:t>27</w:t>
      </w:r>
      <w:r w:rsidR="00113462">
        <w:rPr>
          <w:noProof/>
        </w:rPr>
        <w:fldChar w:fldCharType="end"/>
      </w:r>
      <w:bookmarkEnd w:id="160"/>
      <w:r w:rsidRPr="00C917E2">
        <w:t xml:space="preserve"> MOHCC per Capita Transfers to Hospitals and Health Centers v</w:t>
      </w:r>
      <w:r w:rsidR="000E7982">
        <w:t>ersu</w:t>
      </w:r>
      <w:r w:rsidRPr="00C917E2">
        <w:t>s Poverty by Province</w:t>
      </w:r>
      <w:bookmarkEnd w:id="161"/>
    </w:p>
    <w:p w14:paraId="30BF907B" w14:textId="77777777" w:rsidR="008B67F3" w:rsidRPr="00C917E2" w:rsidRDefault="008B67F3" w:rsidP="009F1CCC">
      <w:r w:rsidRPr="00C917E2">
        <w:rPr>
          <w:noProof/>
        </w:rPr>
        <w:drawing>
          <wp:inline distT="0" distB="0" distL="0" distR="0" wp14:anchorId="2577E3B8" wp14:editId="0367D440">
            <wp:extent cx="4802505" cy="2998470"/>
            <wp:effectExtent l="0" t="0" r="17145" b="11430"/>
            <wp:docPr id="6" name="Graphique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0169DFE" w14:textId="77777777" w:rsidR="00EC35B6" w:rsidRPr="00C917E2" w:rsidRDefault="00EC35B6" w:rsidP="00EC35B6">
      <w:pPr>
        <w:pStyle w:val="Source"/>
      </w:pPr>
      <w:r w:rsidRPr="00C917E2">
        <w:t>Source</w:t>
      </w:r>
      <w:r>
        <w:t>s</w:t>
      </w:r>
      <w:r w:rsidRPr="00C917E2">
        <w:t xml:space="preserve"> of data: MOFED (MOHCC expenditure data), PICES 2011/12 (poverty)</w:t>
      </w:r>
      <w:r>
        <w:t>.</w:t>
      </w:r>
    </w:p>
    <w:p w14:paraId="3EB7F4E9" w14:textId="77777777" w:rsidR="008B67F3" w:rsidRPr="00C917E2" w:rsidRDefault="008B67F3" w:rsidP="00EC35B6">
      <w:pPr>
        <w:pStyle w:val="Source"/>
      </w:pPr>
      <w:r w:rsidRPr="00E94700">
        <w:rPr>
          <w:i/>
        </w:rPr>
        <w:t>Note:</w:t>
      </w:r>
      <w:r w:rsidRPr="00C917E2">
        <w:t xml:space="preserve"> Transfers do not include employment costs. Expenditures of Chinhoyi hospital, which are separate from transfers to the province in the </w:t>
      </w:r>
      <w:r w:rsidR="009B76E0" w:rsidRPr="00C917E2">
        <w:t>national budget document</w:t>
      </w:r>
      <w:r w:rsidR="00D14FF8">
        <w:t>,</w:t>
      </w:r>
      <w:r w:rsidRPr="00C917E2">
        <w:t xml:space="preserve"> are included in the Mashonaland West total</w:t>
      </w:r>
      <w:r w:rsidR="006B2D5F">
        <w:t>.</w:t>
      </w:r>
    </w:p>
    <w:p w14:paraId="323B6E1B" w14:textId="77777777" w:rsidR="008B67F3" w:rsidRPr="00C917E2" w:rsidRDefault="00D05AF5" w:rsidP="00320F82">
      <w:pPr>
        <w:pStyle w:val="Heading3"/>
      </w:pPr>
      <w:bookmarkStart w:id="162" w:name="_Toc401030259"/>
      <w:bookmarkStart w:id="163" w:name="_Toc419004013"/>
      <w:r>
        <w:t xml:space="preserve">GHE </w:t>
      </w:r>
      <w:r w:rsidR="008B67F3" w:rsidRPr="00C917E2">
        <w:t>through the NAC</w:t>
      </w:r>
      <w:bookmarkEnd w:id="162"/>
      <w:bookmarkEnd w:id="163"/>
    </w:p>
    <w:p w14:paraId="2CFBC505" w14:textId="77777777" w:rsidR="008B67F3" w:rsidRPr="00C917E2" w:rsidRDefault="008B67F3" w:rsidP="00D37198">
      <w:pPr>
        <w:pStyle w:val="Numberpara"/>
      </w:pPr>
      <w:r w:rsidRPr="00C917E2">
        <w:t xml:space="preserve">The NAC was established in 2000 by Act of Parliament. The government introduced an AIDS levy of 3 percent (on the amount of assessable income tax) on corporations and individuals to fund NAC activities. The NAC is a major player in the health spending landscape in Zimbabwe owing to the size of the HIV burden. </w:t>
      </w:r>
    </w:p>
    <w:p w14:paraId="51C22808" w14:textId="77777777" w:rsidR="008B67F3" w:rsidRPr="00C917E2" w:rsidRDefault="008B67F3" w:rsidP="00D37198">
      <w:pPr>
        <w:pStyle w:val="Numberpara"/>
      </w:pPr>
      <w:r w:rsidRPr="00C917E2">
        <w:t>The NAC largely finances HIV/AIDS programs through an off-budget credit line from the MOFED financed primarily through the levy (90–96 percent) and some general revenue grants and investment income. Before 2010 the NAC channeled much foreign aid.</w:t>
      </w:r>
      <w:r w:rsidRPr="00C917E2">
        <w:rPr>
          <w:rStyle w:val="EndnoteReference"/>
        </w:rPr>
        <w:endnoteReference w:id="71"/>
      </w:r>
      <w:r w:rsidRPr="00C917E2">
        <w:t xml:space="preserve"> The analysis here for 2009–13 excludes off-budget foreign aid</w:t>
      </w:r>
      <w:r w:rsidR="00F67A69">
        <w:t>.</w:t>
      </w:r>
    </w:p>
    <w:p w14:paraId="2086A53B" w14:textId="77777777" w:rsidR="008B67F3" w:rsidRPr="00C917E2" w:rsidRDefault="008B67F3" w:rsidP="00D37198">
      <w:pPr>
        <w:pStyle w:val="Numberpara"/>
      </w:pPr>
      <w:r w:rsidRPr="00C917E2">
        <w:t>The NAC’s expenditures increased rapidly after 2009 from less than US$4 million to over</w:t>
      </w:r>
      <w:r w:rsidR="00B72993" w:rsidRPr="00C917E2">
        <w:t xml:space="preserve"> </w:t>
      </w:r>
      <w:r w:rsidRPr="00C917E2">
        <w:t>US$28 million in 2012 (US$35 million in current US$), but declined in constant terms in 2013 (</w:t>
      </w:r>
      <w:r w:rsidR="00C713A9" w:rsidRPr="00C917E2">
        <w:fldChar w:fldCharType="begin"/>
      </w:r>
      <w:r w:rsidRPr="00C917E2">
        <w:instrText xml:space="preserve"> REF _Ref412004669 \h </w:instrText>
      </w:r>
      <w:r w:rsidR="00C713A9" w:rsidRPr="00C917E2">
        <w:fldChar w:fldCharType="separate"/>
      </w:r>
      <w:r w:rsidR="003732A2" w:rsidRPr="00C917E2">
        <w:t xml:space="preserve">Figure </w:t>
      </w:r>
      <w:r w:rsidR="003732A2">
        <w:rPr>
          <w:noProof/>
        </w:rPr>
        <w:t>28</w:t>
      </w:r>
      <w:r w:rsidR="00C713A9" w:rsidRPr="00C917E2">
        <w:fldChar w:fldCharType="end"/>
      </w:r>
      <w:r w:rsidRPr="00C917E2">
        <w:t>). In 2013, NAC expenditures were equivalent to 13 percent of MOHCC realized spending. About 75 percent of NAC’s expenditures were for the programs and interventions activity area in 2013, 16 percent for employment cost.</w:t>
      </w:r>
      <w:r w:rsidRPr="00C917E2">
        <w:rPr>
          <w:vertAlign w:val="superscript"/>
        </w:rPr>
        <w:endnoteReference w:id="72"/>
      </w:r>
      <w:r w:rsidRPr="00C917E2">
        <w:t xml:space="preserve"> </w:t>
      </w:r>
    </w:p>
    <w:p w14:paraId="687D989B" w14:textId="77777777" w:rsidR="008B67F3" w:rsidRPr="00C917E2" w:rsidRDefault="008B67F3" w:rsidP="00C53C89">
      <w:pPr>
        <w:pStyle w:val="Figure"/>
      </w:pPr>
      <w:bookmarkStart w:id="164" w:name="_Ref412004669"/>
      <w:bookmarkStart w:id="165" w:name="_Toc401030710"/>
      <w:bookmarkStart w:id="166" w:name="_Toc419004109"/>
      <w:r w:rsidRPr="00C917E2">
        <w:lastRenderedPageBreak/>
        <w:t xml:space="preserve">Figure </w:t>
      </w:r>
      <w:r w:rsidR="00113462">
        <w:fldChar w:fldCharType="begin"/>
      </w:r>
      <w:r w:rsidR="00113462">
        <w:instrText xml:space="preserve"> SEQ Figure \* ARABIC </w:instrText>
      </w:r>
      <w:r w:rsidR="00113462">
        <w:fldChar w:fldCharType="separate"/>
      </w:r>
      <w:r w:rsidR="003732A2">
        <w:rPr>
          <w:noProof/>
        </w:rPr>
        <w:t>28</w:t>
      </w:r>
      <w:r w:rsidR="00113462">
        <w:rPr>
          <w:noProof/>
        </w:rPr>
        <w:fldChar w:fldCharType="end"/>
      </w:r>
      <w:bookmarkEnd w:id="164"/>
      <w:r w:rsidRPr="00C917E2">
        <w:t xml:space="preserve"> Total and Composition of NAC Expenditure, 2009–13 (constant US$ million)</w:t>
      </w:r>
      <w:bookmarkEnd w:id="165"/>
      <w:bookmarkEnd w:id="166"/>
    </w:p>
    <w:p w14:paraId="355459C9" w14:textId="77777777" w:rsidR="008B67F3" w:rsidRPr="00C917E2" w:rsidRDefault="008B67F3" w:rsidP="00860625">
      <w:pPr>
        <w:keepNext/>
      </w:pPr>
      <w:r w:rsidRPr="00C917E2">
        <w:rPr>
          <w:noProof/>
        </w:rPr>
        <w:drawing>
          <wp:inline distT="0" distB="0" distL="0" distR="0" wp14:anchorId="41465CE3" wp14:editId="43664ECD">
            <wp:extent cx="5427133" cy="3632201"/>
            <wp:effectExtent l="0" t="0" r="21590" b="25400"/>
            <wp:docPr id="5"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00547F2" w14:textId="77777777" w:rsidR="00EC35B6" w:rsidRPr="00C917E2" w:rsidRDefault="00EC35B6" w:rsidP="00EC35B6">
      <w:pPr>
        <w:pStyle w:val="Source"/>
      </w:pPr>
      <w:r w:rsidRPr="00E94700">
        <w:rPr>
          <w:i/>
        </w:rPr>
        <w:t>Source:</w:t>
      </w:r>
      <w:r w:rsidRPr="00C917E2">
        <w:t xml:space="preserve"> Authors using NAC data</w:t>
      </w:r>
      <w:r>
        <w:t>.</w:t>
      </w:r>
    </w:p>
    <w:p w14:paraId="65A5ACCF" w14:textId="77777777" w:rsidR="008B67F3" w:rsidRPr="00C917E2" w:rsidRDefault="008B67F3" w:rsidP="00EC35B6">
      <w:pPr>
        <w:pStyle w:val="Source"/>
      </w:pPr>
      <w:r w:rsidRPr="00E94700">
        <w:rPr>
          <w:i/>
        </w:rPr>
        <w:t>Note:</w:t>
      </w:r>
      <w:r w:rsidRPr="00C917E2">
        <w:t xml:space="preserve"> Employment cost may not include consultancies under programs and interventions</w:t>
      </w:r>
      <w:r w:rsidR="006B2D5F">
        <w:t>.</w:t>
      </w:r>
      <w:r w:rsidRPr="00C917E2">
        <w:t xml:space="preserve"> </w:t>
      </w:r>
    </w:p>
    <w:p w14:paraId="1FE36D40" w14:textId="77777777" w:rsidR="008B67F3" w:rsidRPr="00C917E2" w:rsidRDefault="008B67F3" w:rsidP="00D37198">
      <w:pPr>
        <w:pStyle w:val="Numberpara"/>
      </w:pPr>
      <w:r w:rsidRPr="00C917E2">
        <w:t>Within programs and interventions, care and support accounted for the largest share, peaking at 85 percent in 2011 and dropping to 73 percent in 2013 (</w:t>
      </w:r>
      <w:r w:rsidR="00C713A9" w:rsidRPr="00C917E2">
        <w:fldChar w:fldCharType="begin"/>
      </w:r>
      <w:r w:rsidRPr="00C917E2">
        <w:instrText xml:space="preserve"> REF _Ref412004874 \h </w:instrText>
      </w:r>
      <w:r w:rsidR="00C713A9" w:rsidRPr="00C917E2">
        <w:fldChar w:fldCharType="separate"/>
      </w:r>
      <w:r w:rsidR="003732A2" w:rsidRPr="00C917E2">
        <w:t xml:space="preserve">Figure </w:t>
      </w:r>
      <w:r w:rsidR="003732A2">
        <w:rPr>
          <w:noProof/>
        </w:rPr>
        <w:t>29</w:t>
      </w:r>
      <w:r w:rsidR="00C713A9" w:rsidRPr="00C917E2">
        <w:fldChar w:fldCharType="end"/>
      </w:r>
      <w:r w:rsidRPr="00C917E2">
        <w:t xml:space="preserve">). The trend reflected earlier moves to make antiretroviral drugs and related treatment universally available, before a subsequent greater emphasis on preventive activities. </w:t>
      </w:r>
    </w:p>
    <w:p w14:paraId="72E2EEBD" w14:textId="77777777" w:rsidR="008B67F3" w:rsidRPr="00C917E2" w:rsidRDefault="008B67F3" w:rsidP="00C53C89">
      <w:pPr>
        <w:pStyle w:val="Figure"/>
      </w:pPr>
      <w:bookmarkStart w:id="167" w:name="_Ref412004874"/>
      <w:bookmarkStart w:id="168" w:name="_Toc401030711"/>
      <w:bookmarkStart w:id="169" w:name="_Toc419004110"/>
      <w:r w:rsidRPr="00C917E2">
        <w:t xml:space="preserve">Figure </w:t>
      </w:r>
      <w:r w:rsidR="00113462">
        <w:fldChar w:fldCharType="begin"/>
      </w:r>
      <w:r w:rsidR="00113462">
        <w:instrText xml:space="preserve"> SEQ Figure \* ARABIC </w:instrText>
      </w:r>
      <w:r w:rsidR="00113462">
        <w:fldChar w:fldCharType="separate"/>
      </w:r>
      <w:r w:rsidR="003732A2">
        <w:rPr>
          <w:noProof/>
        </w:rPr>
        <w:t>29</w:t>
      </w:r>
      <w:r w:rsidR="00113462">
        <w:rPr>
          <w:noProof/>
        </w:rPr>
        <w:fldChar w:fldCharType="end"/>
      </w:r>
      <w:bookmarkEnd w:id="167"/>
      <w:r w:rsidRPr="00C917E2">
        <w:t xml:space="preserve"> Activity Areas within NAC Programs and Interventions</w:t>
      </w:r>
      <w:bookmarkEnd w:id="168"/>
      <w:bookmarkEnd w:id="169"/>
      <w:r w:rsidRPr="00C917E2">
        <w:t xml:space="preserve"> </w:t>
      </w:r>
    </w:p>
    <w:p w14:paraId="06EDB53C" w14:textId="77777777" w:rsidR="008B67F3" w:rsidRPr="00C917E2" w:rsidRDefault="008B67F3" w:rsidP="00860625">
      <w:pPr>
        <w:keepNext/>
      </w:pPr>
      <w:r w:rsidRPr="00C917E2">
        <w:rPr>
          <w:noProof/>
        </w:rPr>
        <w:drawing>
          <wp:inline distT="0" distB="0" distL="0" distR="0" wp14:anchorId="46E9DC40" wp14:editId="14B34B8F">
            <wp:extent cx="5708890" cy="2803584"/>
            <wp:effectExtent l="0" t="0" r="25400" b="15875"/>
            <wp:docPr id="7"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84E79EA" w14:textId="77777777" w:rsidR="008B67F3" w:rsidRPr="00C917E2" w:rsidRDefault="008B67F3" w:rsidP="00E73060">
      <w:pPr>
        <w:pStyle w:val="Source"/>
      </w:pPr>
      <w:r w:rsidRPr="00E94700">
        <w:rPr>
          <w:i/>
        </w:rPr>
        <w:t>Source:</w:t>
      </w:r>
      <w:r w:rsidRPr="00C917E2">
        <w:t xml:space="preserve"> Authors using NAC expenditure data (MOFED)</w:t>
      </w:r>
      <w:r w:rsidR="006B2D5F">
        <w:t>.</w:t>
      </w:r>
    </w:p>
    <w:p w14:paraId="25A7EBEA" w14:textId="77777777" w:rsidR="008B67F3" w:rsidRPr="00C917E2" w:rsidRDefault="008B67F3" w:rsidP="00D37198">
      <w:pPr>
        <w:pStyle w:val="Numberpara"/>
      </w:pPr>
      <w:r w:rsidRPr="00C917E2">
        <w:lastRenderedPageBreak/>
        <w:t xml:space="preserve">A key step toward greater value for money in HIV/AIDS will be </w:t>
      </w:r>
      <w:r w:rsidR="0071156D">
        <w:t xml:space="preserve">to </w:t>
      </w:r>
      <w:r w:rsidRPr="00C917E2">
        <w:t xml:space="preserve">review the programs financed by NAC and, where possible, </w:t>
      </w:r>
      <w:r w:rsidR="0071156D">
        <w:t xml:space="preserve">to </w:t>
      </w:r>
      <w:r w:rsidRPr="00C917E2">
        <w:t>reprioritize expenditures toward high-impact biomedical and behavioral interventions (given</w:t>
      </w:r>
      <w:r w:rsidRPr="00C917E2">
        <w:rPr>
          <w:b/>
        </w:rPr>
        <w:t xml:space="preserve"> </w:t>
      </w:r>
      <w:r w:rsidRPr="00C917E2">
        <w:t>the prevalence of risky behaviors among the population</w:t>
      </w:r>
      <w:r w:rsidR="0071156D">
        <w:t>,</w:t>
      </w:r>
      <w:r w:rsidRPr="00C917E2">
        <w:t xml:space="preserve"> </w:t>
      </w:r>
      <w:r w:rsidR="0071156D">
        <w:t xml:space="preserve">frequently </w:t>
      </w:r>
      <w:r w:rsidRPr="00C917E2">
        <w:t xml:space="preserve">youth). This will contribute to the long-term sustainability of this important domestic source of </w:t>
      </w:r>
      <w:bookmarkStart w:id="170" w:name="_Hlk418161019"/>
      <w:r w:rsidRPr="00C917E2">
        <w:t>financing.</w:t>
      </w:r>
    </w:p>
    <w:p w14:paraId="361224AF" w14:textId="77777777" w:rsidR="008B67F3" w:rsidRPr="00C917E2" w:rsidRDefault="008B67F3" w:rsidP="00226FA8">
      <w:pPr>
        <w:pStyle w:val="Heading2"/>
      </w:pPr>
      <w:bookmarkStart w:id="171" w:name="_Toc419004014"/>
      <w:bookmarkStart w:id="172" w:name="_Toc401030260"/>
      <w:r w:rsidRPr="00C917E2">
        <w:t xml:space="preserve">3.2 Donor </w:t>
      </w:r>
      <w:r w:rsidR="002F3259">
        <w:t xml:space="preserve">Financing of </w:t>
      </w:r>
      <w:r w:rsidRPr="00C917E2">
        <w:t>Health Expenditure</w:t>
      </w:r>
      <w:bookmarkEnd w:id="171"/>
      <w:r w:rsidRPr="00C917E2">
        <w:t xml:space="preserve"> </w:t>
      </w:r>
      <w:bookmarkEnd w:id="172"/>
    </w:p>
    <w:p w14:paraId="71161BA6" w14:textId="77777777" w:rsidR="008B67F3" w:rsidRPr="00C917E2" w:rsidRDefault="008B67F3" w:rsidP="00320F82">
      <w:pPr>
        <w:pStyle w:val="Heading3"/>
      </w:pPr>
      <w:bookmarkStart w:id="173" w:name="_Toc419004015"/>
      <w:r w:rsidRPr="00C917E2">
        <w:t>Trends and International Comparisons</w:t>
      </w:r>
      <w:bookmarkEnd w:id="173"/>
    </w:p>
    <w:p w14:paraId="579FBB23" w14:textId="13DAE939" w:rsidR="00FD3FB3" w:rsidRDefault="008B67F3" w:rsidP="00D37198">
      <w:pPr>
        <w:pStyle w:val="Numberpara"/>
      </w:pPr>
      <w:r w:rsidRPr="00C917E2">
        <w:t xml:space="preserve">Off-budget foreign aid is significant in Zimbabwe’s health sector and is a major source of increased health spending. </w:t>
      </w:r>
      <w:r w:rsidR="00525724" w:rsidRPr="00C917E2">
        <w:t xml:space="preserve">The increase in external funding for health was sustained over the decade. </w:t>
      </w:r>
      <w:r w:rsidRPr="00C917E2">
        <w:t>According to the two NHA reports (based on 2001 and 2010 data), donor contribution</w:t>
      </w:r>
      <w:r w:rsidR="0071156D">
        <w:t>s</w:t>
      </w:r>
      <w:r w:rsidRPr="00C917E2">
        <w:t xml:space="preserve"> to health expenditures increased from 4.2 percent of total health expenditure in 2001 to some 19 percent in 2010. </w:t>
      </w:r>
    </w:p>
    <w:p w14:paraId="782F937B" w14:textId="78936A62" w:rsidR="008B67F3" w:rsidRPr="0019307B" w:rsidRDefault="000565E5" w:rsidP="00D37198">
      <w:pPr>
        <w:pStyle w:val="Numberpara"/>
      </w:pPr>
      <w:r w:rsidRPr="0019307B">
        <w:t xml:space="preserve">In absolute terms, ODA disbursements for health increased by a factor of </w:t>
      </w:r>
      <w:r w:rsidR="002875C7">
        <w:t>five</w:t>
      </w:r>
      <w:r w:rsidRPr="0019307B">
        <w:t xml:space="preserve"> between 2002 and 2010 and further doubled in 2012 to reach US$428 million (Figure 30); this is equivalent to the total amount spent by the government</w:t>
      </w:r>
      <w:r w:rsidR="005714FC">
        <w:t>,</w:t>
      </w:r>
      <w:r w:rsidRPr="0019307B">
        <w:t xml:space="preserve"> on budget</w:t>
      </w:r>
      <w:r w:rsidR="005714FC">
        <w:t>,</w:t>
      </w:r>
      <w:r w:rsidR="004C7995" w:rsidRPr="0019307B">
        <w:t xml:space="preserve"> that year (estimated at US$413 million).</w:t>
      </w:r>
      <w:r w:rsidRPr="0019307B">
        <w:t xml:space="preserve"> Sharp decreases in 2008 and 2011 were more than offset </w:t>
      </w:r>
      <w:r w:rsidR="004C7995" w:rsidRPr="0019307B">
        <w:t xml:space="preserve">each time </w:t>
      </w:r>
      <w:r w:rsidRPr="0019307B">
        <w:t>the year following.</w:t>
      </w:r>
      <w:r w:rsidRPr="002875C7">
        <w:rPr>
          <w:vertAlign w:val="superscript"/>
        </w:rPr>
        <w:endnoteReference w:id="73"/>
      </w:r>
      <w:r w:rsidRPr="0019307B">
        <w:t xml:space="preserve"> In the first six months of 2014, the health sector received US$181.5 in foreign aid, representing 49 percent of total ODA.</w:t>
      </w:r>
      <w:r w:rsidRPr="002875C7">
        <w:rPr>
          <w:vertAlign w:val="superscript"/>
        </w:rPr>
        <w:endnoteReference w:id="74"/>
      </w:r>
      <w:r w:rsidR="002875C7" w:rsidRPr="002875C7">
        <w:rPr>
          <w:vertAlign w:val="superscript"/>
        </w:rPr>
        <w:t>,</w:t>
      </w:r>
      <w:r w:rsidRPr="002875C7">
        <w:rPr>
          <w:vertAlign w:val="superscript"/>
        </w:rPr>
        <w:t xml:space="preserve"> </w:t>
      </w:r>
      <w:r w:rsidR="008B67F3" w:rsidRPr="002875C7">
        <w:rPr>
          <w:vertAlign w:val="superscript"/>
        </w:rPr>
        <w:endnoteReference w:id="75"/>
      </w:r>
      <w:r w:rsidR="008B67F3" w:rsidRPr="0019307B">
        <w:t xml:space="preserve"> </w:t>
      </w:r>
    </w:p>
    <w:p w14:paraId="5439D057" w14:textId="77777777" w:rsidR="008B67F3" w:rsidRPr="00C917E2" w:rsidRDefault="008B67F3" w:rsidP="00C53C89">
      <w:pPr>
        <w:pStyle w:val="Figure"/>
      </w:pPr>
      <w:bookmarkStart w:id="174" w:name="_Ref412006003"/>
      <w:bookmarkStart w:id="175" w:name="_Toc419004111"/>
      <w:r w:rsidRPr="00C917E2">
        <w:t xml:space="preserve">Figure </w:t>
      </w:r>
      <w:r w:rsidR="00113462">
        <w:fldChar w:fldCharType="begin"/>
      </w:r>
      <w:r w:rsidR="00113462">
        <w:instrText xml:space="preserve"> SEQ Figure \* ARABIC </w:instrText>
      </w:r>
      <w:r w:rsidR="00113462">
        <w:fldChar w:fldCharType="separate"/>
      </w:r>
      <w:r w:rsidR="003732A2">
        <w:rPr>
          <w:noProof/>
        </w:rPr>
        <w:t>30</w:t>
      </w:r>
      <w:r w:rsidR="00113462">
        <w:rPr>
          <w:noProof/>
        </w:rPr>
        <w:fldChar w:fldCharType="end"/>
      </w:r>
      <w:bookmarkEnd w:id="174"/>
      <w:r w:rsidRPr="00C917E2">
        <w:t xml:space="preserve"> ODA for Health and its Share of Total ODA, 2002–12</w:t>
      </w:r>
      <w:bookmarkEnd w:id="175"/>
    </w:p>
    <w:p w14:paraId="48FA80C8" w14:textId="77777777" w:rsidR="008B67F3" w:rsidRPr="00C917E2" w:rsidRDefault="008B67F3" w:rsidP="008231EF">
      <w:pPr>
        <w:keepNext/>
        <w:rPr>
          <w:rFonts w:ascii="Arial" w:eastAsia="Times New Roman" w:hAnsi="Arial" w:cs="Arial"/>
          <w:color w:val="000000"/>
          <w:sz w:val="20"/>
          <w:szCs w:val="20"/>
        </w:rPr>
      </w:pPr>
      <w:r w:rsidRPr="00C917E2">
        <w:rPr>
          <w:rFonts w:ascii="Arial" w:eastAsia="Times New Roman" w:hAnsi="Arial" w:cs="Arial"/>
          <w:noProof/>
          <w:color w:val="000000"/>
          <w:sz w:val="20"/>
          <w:szCs w:val="20"/>
        </w:rPr>
        <w:drawing>
          <wp:inline distT="0" distB="0" distL="0" distR="0" wp14:anchorId="3D666B4A" wp14:editId="1D2ED485">
            <wp:extent cx="5972810" cy="3265805"/>
            <wp:effectExtent l="0" t="0" r="27940" b="10795"/>
            <wp:docPr id="9" name="Graphique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D2B5711" w14:textId="77777777" w:rsidR="008B67F3" w:rsidRPr="00C917E2" w:rsidRDefault="008B67F3" w:rsidP="006C7740">
      <w:pPr>
        <w:pStyle w:val="Source"/>
      </w:pPr>
      <w:r w:rsidRPr="00E94700">
        <w:rPr>
          <w:i/>
        </w:rPr>
        <w:t>Source:</w:t>
      </w:r>
      <w:r w:rsidRPr="00C917E2">
        <w:t xml:space="preserve"> WHO Zimbabwe ODA data sheet (based on information extracted on August 26, 2014 from the Creditor Reporting System database maintained by the OECD Statistics Department)</w:t>
      </w:r>
      <w:r w:rsidR="006B2D5F">
        <w:t>.</w:t>
      </w:r>
    </w:p>
    <w:bookmarkEnd w:id="170"/>
    <w:p w14:paraId="12B7FBEC" w14:textId="430A4840" w:rsidR="008B67F3" w:rsidRPr="00C917E2" w:rsidRDefault="008B67F3" w:rsidP="00D37198">
      <w:pPr>
        <w:pStyle w:val="Numberpara"/>
      </w:pPr>
      <w:r w:rsidRPr="00C917E2">
        <w:t>Per capita, ODA for health increased from US$3.3 in 2002 to US$13.9 in 2011 and reached over US$31 per capita in 2012.</w:t>
      </w:r>
      <w:r w:rsidR="00AA119C">
        <w:t xml:space="preserve"> </w:t>
      </w:r>
      <w:r w:rsidR="00525724">
        <w:t xml:space="preserve">Nevertheless, </w:t>
      </w:r>
      <w:r w:rsidRPr="00C917E2">
        <w:t>Zimbabwe receives less donor funding for health per capita than other countries in the region (</w:t>
      </w:r>
      <w:r w:rsidR="00C713A9" w:rsidRPr="00C917E2">
        <w:fldChar w:fldCharType="begin"/>
      </w:r>
      <w:r w:rsidRPr="00C917E2">
        <w:instrText xml:space="preserve"> REF _Ref412007431 \h </w:instrText>
      </w:r>
      <w:r w:rsidR="00C713A9" w:rsidRPr="00C917E2">
        <w:fldChar w:fldCharType="separate"/>
      </w:r>
      <w:r w:rsidR="003732A2" w:rsidRPr="00C917E2">
        <w:t xml:space="preserve">Figure </w:t>
      </w:r>
      <w:r w:rsidR="003732A2">
        <w:rPr>
          <w:noProof/>
        </w:rPr>
        <w:t>31</w:t>
      </w:r>
      <w:r w:rsidR="00C713A9" w:rsidRPr="00C917E2">
        <w:fldChar w:fldCharType="end"/>
      </w:r>
      <w:r w:rsidRPr="00C917E2">
        <w:t>). Data for previous years (not shown) indicate that this is not a new feature.</w:t>
      </w:r>
      <w:r w:rsidRPr="00C917E2" w:rsidDel="00D6015D">
        <w:rPr>
          <w:rStyle w:val="EndnoteReference"/>
        </w:rPr>
        <w:t xml:space="preserve"> </w:t>
      </w:r>
    </w:p>
    <w:p w14:paraId="374850EC" w14:textId="77777777" w:rsidR="008B67F3" w:rsidRPr="00C917E2" w:rsidRDefault="008B67F3" w:rsidP="00B84062">
      <w:pPr>
        <w:pStyle w:val="Figure"/>
      </w:pPr>
      <w:bookmarkStart w:id="176" w:name="_Ref412007431"/>
      <w:bookmarkStart w:id="177" w:name="_Toc401030713"/>
      <w:bookmarkStart w:id="178" w:name="_Toc419004112"/>
      <w:r w:rsidRPr="00C917E2">
        <w:lastRenderedPageBreak/>
        <w:t xml:space="preserve">Figure </w:t>
      </w:r>
      <w:r w:rsidR="00113462">
        <w:fldChar w:fldCharType="begin"/>
      </w:r>
      <w:r w:rsidR="00113462">
        <w:instrText xml:space="preserve"> SEQ Figure \* ARABIC </w:instrText>
      </w:r>
      <w:r w:rsidR="00113462">
        <w:fldChar w:fldCharType="separate"/>
      </w:r>
      <w:r w:rsidR="003732A2">
        <w:rPr>
          <w:noProof/>
        </w:rPr>
        <w:t>31</w:t>
      </w:r>
      <w:r w:rsidR="00113462">
        <w:rPr>
          <w:noProof/>
        </w:rPr>
        <w:fldChar w:fldCharType="end"/>
      </w:r>
      <w:bookmarkEnd w:id="176"/>
      <w:r w:rsidRPr="00C917E2">
        <w:t xml:space="preserve"> Development Assistance for Health Per Capita, </w:t>
      </w:r>
      <w:r w:rsidR="0071156D" w:rsidRPr="00C917E2">
        <w:t xml:space="preserve">Selected </w:t>
      </w:r>
      <w:r w:rsidRPr="00C917E2">
        <w:t xml:space="preserve">African Countries </w:t>
      </w:r>
      <w:bookmarkEnd w:id="177"/>
      <w:r w:rsidRPr="00C917E2">
        <w:t>(constant 2011 US$)</w:t>
      </w:r>
      <w:bookmarkEnd w:id="178"/>
    </w:p>
    <w:p w14:paraId="6C552C72" w14:textId="77777777" w:rsidR="008B67F3" w:rsidRPr="00C917E2" w:rsidRDefault="008B67F3" w:rsidP="00B84062">
      <w:pPr>
        <w:keepNext/>
      </w:pPr>
      <w:r w:rsidRPr="00C917E2">
        <w:rPr>
          <w:noProof/>
        </w:rPr>
        <w:drawing>
          <wp:inline distT="0" distB="0" distL="0" distR="0" wp14:anchorId="289BB59B" wp14:editId="7892B321">
            <wp:extent cx="5597525" cy="1809750"/>
            <wp:effectExtent l="0" t="0" r="22225" b="19050"/>
            <wp:docPr id="92" name="Char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A9712E5" w14:textId="77777777" w:rsidR="008B67F3" w:rsidRPr="00C917E2" w:rsidRDefault="008B67F3" w:rsidP="00B84062">
      <w:pPr>
        <w:pStyle w:val="Source"/>
      </w:pPr>
      <w:r w:rsidRPr="00C917E2">
        <w:t>Source of data: IHME, Development Assistance for Health</w:t>
      </w:r>
      <w:r w:rsidRPr="00C917E2" w:rsidDel="00D6015D">
        <w:t xml:space="preserve"> </w:t>
      </w:r>
      <w:r w:rsidR="0071156D" w:rsidRPr="00C917E2">
        <w:t xml:space="preserve">Database </w:t>
      </w:r>
      <w:r w:rsidRPr="00C917E2">
        <w:t>2013</w:t>
      </w:r>
      <w:r w:rsidR="006B2D5F">
        <w:t>.</w:t>
      </w:r>
    </w:p>
    <w:p w14:paraId="30BC89DF" w14:textId="483D99B1" w:rsidR="008B67F3" w:rsidRPr="0019307B" w:rsidRDefault="008B67F3" w:rsidP="00D37198">
      <w:pPr>
        <w:pStyle w:val="Numberpara"/>
      </w:pPr>
      <w:r w:rsidRPr="0019307B">
        <w:t xml:space="preserve">In 2013, the </w:t>
      </w:r>
      <w:r w:rsidR="00E927FC" w:rsidRPr="0019307B">
        <w:t xml:space="preserve">U.S. President’s Emergency Plan for AIDS Relief (PEPFAR) </w:t>
      </w:r>
      <w:r w:rsidRPr="0019307B">
        <w:t xml:space="preserve">spent around US$64.5 million on health, and the Department for International Development (DFID) about US$56 million. In 2014, major health contributions came from the Global Fund to Fight AIDS, Tuberculosis and Malaria (the Global Fund) (US$128.9 million) and the HTF (US$49.8 million). </w:t>
      </w:r>
    </w:p>
    <w:p w14:paraId="4C021012" w14:textId="77777777" w:rsidR="008B67F3" w:rsidRPr="00C917E2" w:rsidRDefault="008B67F3" w:rsidP="00D37198">
      <w:pPr>
        <w:pStyle w:val="Numberpara"/>
      </w:pPr>
      <w:r w:rsidRPr="00C917E2">
        <w:t xml:space="preserve">The National Development Fund (originally a pool of donor development funds managed by the MOFED, before it began to fund activities off budget) has procedures to coordinate donor funding and the MOFED financial system for channeling aid funds but, while the MOFED appears to have taken account of planned donor assistance in allocating funds, donors are still cautious about using the coordination procedures. Furthermore, external support is typically earmarked for certain programs and is nonfungible, leaving little flexibility for the country in pursuing its policy and public health priorities. This is exacerbated by the vertical planning processes within departments of the MOHCC, which do not prioritize public health and health systems investments. While the dialogue on donor budget allocations is shared through the annual Ministry of Health and Development Organizations meeting, this could be better structured to include a review of actual performance of key donor allocations </w:t>
      </w:r>
      <w:r w:rsidR="00E219C8">
        <w:t>from</w:t>
      </w:r>
      <w:r w:rsidR="00E219C8" w:rsidRPr="00C917E2">
        <w:t xml:space="preserve"> </w:t>
      </w:r>
      <w:r w:rsidRPr="00C917E2">
        <w:t xml:space="preserve">the previous year, alongside performance of the national government health sector budget. </w:t>
      </w:r>
    </w:p>
    <w:p w14:paraId="062F5723" w14:textId="7FDF5D01" w:rsidR="008B67F3" w:rsidRPr="00C917E2" w:rsidRDefault="008B67F3" w:rsidP="00320F82">
      <w:pPr>
        <w:pStyle w:val="Heading3"/>
        <w:rPr>
          <w:rFonts w:eastAsia="MS Mincho"/>
          <w:color w:val="auto"/>
        </w:rPr>
      </w:pPr>
      <w:bookmarkStart w:id="179" w:name="_Toc419004016"/>
      <w:r w:rsidRPr="00C917E2">
        <w:t xml:space="preserve">Programmatic Allocation of </w:t>
      </w:r>
      <w:r w:rsidR="00525724">
        <w:t>Donor</w:t>
      </w:r>
      <w:r w:rsidR="000311DE">
        <w:t>-financed</w:t>
      </w:r>
      <w:r w:rsidR="000311DE" w:rsidRPr="00C917E2">
        <w:t xml:space="preserve"> </w:t>
      </w:r>
      <w:r w:rsidRPr="00C917E2">
        <w:t xml:space="preserve">Health </w:t>
      </w:r>
      <w:r w:rsidR="00525724">
        <w:t>Expenditure</w:t>
      </w:r>
      <w:bookmarkEnd w:id="179"/>
      <w:r w:rsidR="00525724">
        <w:t xml:space="preserve"> </w:t>
      </w:r>
    </w:p>
    <w:p w14:paraId="612E8FF6" w14:textId="77777777" w:rsidR="008B67F3" w:rsidRPr="00C917E2" w:rsidRDefault="008B67F3" w:rsidP="00D37198">
      <w:pPr>
        <w:pStyle w:val="Numberpara"/>
      </w:pPr>
      <w:r w:rsidRPr="00C917E2">
        <w:t>Over 2000</w:t>
      </w:r>
      <w:r w:rsidR="00E219C8">
        <w:t>–</w:t>
      </w:r>
      <w:r w:rsidRPr="00C917E2">
        <w:t>10, most of the external health funding went to HIV/AIDS, tuberculosis, and malaria programs (</w:t>
      </w:r>
      <w:r w:rsidR="00C713A9" w:rsidRPr="00C917E2">
        <w:fldChar w:fldCharType="begin"/>
      </w:r>
      <w:r w:rsidRPr="00C917E2">
        <w:instrText xml:space="preserve"> REF _Ref413155584 \h </w:instrText>
      </w:r>
      <w:r w:rsidR="00C713A9" w:rsidRPr="00C917E2">
        <w:fldChar w:fldCharType="separate"/>
      </w:r>
      <w:r w:rsidR="003732A2" w:rsidRPr="00C917E2">
        <w:t xml:space="preserve">Figure </w:t>
      </w:r>
      <w:r w:rsidR="003732A2">
        <w:rPr>
          <w:noProof/>
        </w:rPr>
        <w:t>32</w:t>
      </w:r>
      <w:r w:rsidR="00C713A9" w:rsidRPr="00C917E2">
        <w:fldChar w:fldCharType="end"/>
      </w:r>
      <w:r w:rsidRPr="00C917E2">
        <w:t>)—65 percent in 2012, for example (</w:t>
      </w:r>
      <w:r w:rsidR="00C713A9" w:rsidRPr="00C917E2">
        <w:fldChar w:fldCharType="begin"/>
      </w:r>
      <w:r w:rsidRPr="00C917E2">
        <w:instrText xml:space="preserve"> REF _Ref413155896 \h </w:instrText>
      </w:r>
      <w:r w:rsidR="00C713A9" w:rsidRPr="00C917E2">
        <w:fldChar w:fldCharType="separate"/>
      </w:r>
      <w:r w:rsidR="003732A2" w:rsidRPr="00C917E2">
        <w:t xml:space="preserve">Table </w:t>
      </w:r>
      <w:r w:rsidR="003732A2">
        <w:rPr>
          <w:noProof/>
        </w:rPr>
        <w:t>5</w:t>
      </w:r>
      <w:r w:rsidR="00C713A9" w:rsidRPr="00C917E2">
        <w:fldChar w:fldCharType="end"/>
      </w:r>
      <w:r w:rsidRPr="00C917E2">
        <w:t xml:space="preserve">). However, since 2011, donors have become more responsive to funding other areas, particularly </w:t>
      </w:r>
      <w:r w:rsidR="00626089">
        <w:t>MCH</w:t>
      </w:r>
      <w:r w:rsidRPr="00C917E2">
        <w:t>, drugs and equipment, and human resources. For example, beyond providing funding for HIV/AIDS, tuberculosis</w:t>
      </w:r>
      <w:r w:rsidR="00E219C8">
        <w:t>,</w:t>
      </w:r>
      <w:r w:rsidRPr="00C917E2">
        <w:t xml:space="preserve"> and malaria, the Global Fund has financed a portion of the MOHCC’s human resources commitments.</w:t>
      </w:r>
    </w:p>
    <w:p w14:paraId="5255BDB0" w14:textId="77777777" w:rsidR="008B67F3" w:rsidRPr="00C917E2" w:rsidRDefault="008B67F3" w:rsidP="00E04938">
      <w:pPr>
        <w:pStyle w:val="Figure"/>
      </w:pPr>
      <w:bookmarkStart w:id="180" w:name="_Ref413155584"/>
      <w:bookmarkStart w:id="181" w:name="_Toc419004113"/>
      <w:r w:rsidRPr="00C917E2">
        <w:lastRenderedPageBreak/>
        <w:t xml:space="preserve">Figure </w:t>
      </w:r>
      <w:r w:rsidR="00113462">
        <w:fldChar w:fldCharType="begin"/>
      </w:r>
      <w:r w:rsidR="00113462">
        <w:instrText xml:space="preserve"> SEQ Figure \* ARABIC </w:instrText>
      </w:r>
      <w:r w:rsidR="00113462">
        <w:fldChar w:fldCharType="separate"/>
      </w:r>
      <w:r w:rsidR="003732A2">
        <w:rPr>
          <w:noProof/>
        </w:rPr>
        <w:t>32</w:t>
      </w:r>
      <w:r w:rsidR="00113462">
        <w:rPr>
          <w:noProof/>
        </w:rPr>
        <w:fldChar w:fldCharType="end"/>
      </w:r>
      <w:bookmarkEnd w:id="180"/>
      <w:r w:rsidRPr="00C917E2">
        <w:t xml:space="preserve"> Shares of ODA Disbursement for Health by Purpose, 2002–12</w:t>
      </w:r>
      <w:bookmarkEnd w:id="181"/>
    </w:p>
    <w:p w14:paraId="3E5AE34D" w14:textId="77777777" w:rsidR="008B67F3" w:rsidRPr="00C917E2" w:rsidRDefault="008B67F3" w:rsidP="00D37198">
      <w:r w:rsidRPr="00C917E2">
        <w:rPr>
          <w:noProof/>
        </w:rPr>
        <w:drawing>
          <wp:inline distT="0" distB="0" distL="0" distR="0" wp14:anchorId="2EEEDF31" wp14:editId="1CF52B5A">
            <wp:extent cx="4543424" cy="2667000"/>
            <wp:effectExtent l="0" t="0" r="10160" b="19050"/>
            <wp:docPr id="11" name="Graphique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FCEDD0F" w14:textId="77777777" w:rsidR="008B67F3" w:rsidRPr="00C917E2" w:rsidRDefault="008B67F3" w:rsidP="004035CB">
      <w:pPr>
        <w:pStyle w:val="Source"/>
      </w:pPr>
      <w:r w:rsidRPr="00E94700">
        <w:rPr>
          <w:i/>
        </w:rPr>
        <w:t>Source:</w:t>
      </w:r>
      <w:r w:rsidRPr="00C917E2">
        <w:t xml:space="preserve"> WHO Zimbabwe ODA data sheet (based on OECD data)</w:t>
      </w:r>
      <w:r w:rsidR="006B2D5F">
        <w:t>.</w:t>
      </w:r>
    </w:p>
    <w:p w14:paraId="7E036B5A" w14:textId="77777777" w:rsidR="008B67F3" w:rsidRPr="00C917E2" w:rsidRDefault="008B67F3" w:rsidP="007F14FB">
      <w:pPr>
        <w:pStyle w:val="Table"/>
      </w:pPr>
      <w:bookmarkStart w:id="182" w:name="_Ref413155896"/>
      <w:bookmarkStart w:id="183" w:name="_Toc262084707"/>
      <w:bookmarkStart w:id="184" w:name="_Toc401072590"/>
      <w:bookmarkStart w:id="185" w:name="_Toc401072739"/>
      <w:bookmarkStart w:id="186" w:name="_Toc419004073"/>
      <w:r w:rsidRPr="00C917E2">
        <w:t xml:space="preserve">Table </w:t>
      </w:r>
      <w:r w:rsidR="00113462">
        <w:fldChar w:fldCharType="begin"/>
      </w:r>
      <w:r w:rsidR="00113462">
        <w:instrText xml:space="preserve"> SEQ Table \* ARABIC </w:instrText>
      </w:r>
      <w:r w:rsidR="00113462">
        <w:fldChar w:fldCharType="separate"/>
      </w:r>
      <w:r w:rsidR="003732A2">
        <w:rPr>
          <w:noProof/>
        </w:rPr>
        <w:t>5</w:t>
      </w:r>
      <w:r w:rsidR="00113462">
        <w:rPr>
          <w:noProof/>
        </w:rPr>
        <w:fldChar w:fldCharType="end"/>
      </w:r>
      <w:bookmarkEnd w:id="182"/>
      <w:r w:rsidRPr="00C917E2">
        <w:t xml:space="preserve"> Donors’ Health Expenditure Shares by Program Area, </w:t>
      </w:r>
      <w:bookmarkEnd w:id="183"/>
      <w:bookmarkEnd w:id="184"/>
      <w:bookmarkEnd w:id="185"/>
      <w:r w:rsidRPr="00C917E2">
        <w:t>2012</w:t>
      </w:r>
      <w:bookmarkEnd w:id="186"/>
      <w:r w:rsidRPr="00C917E2">
        <w:t xml:space="preserve"> </w:t>
      </w:r>
    </w:p>
    <w:tbl>
      <w:tblPr>
        <w:tblW w:w="0" w:type="auto"/>
        <w:tblBorders>
          <w:top w:val="single" w:sz="8" w:space="0" w:color="4F81BD"/>
          <w:bottom w:val="single" w:sz="8" w:space="0" w:color="4F81BD"/>
        </w:tblBorders>
        <w:tblLook w:val="04A0" w:firstRow="1" w:lastRow="0" w:firstColumn="1" w:lastColumn="0" w:noHBand="0" w:noVBand="1"/>
      </w:tblPr>
      <w:tblGrid>
        <w:gridCol w:w="4928"/>
        <w:gridCol w:w="2410"/>
        <w:gridCol w:w="1525"/>
      </w:tblGrid>
      <w:tr w:rsidR="008B67F3" w:rsidRPr="00C917E2" w14:paraId="569A3B78" w14:textId="77777777" w:rsidTr="00571002">
        <w:tc>
          <w:tcPr>
            <w:tcW w:w="4928" w:type="dxa"/>
            <w:tcBorders>
              <w:top w:val="single" w:sz="8" w:space="0" w:color="4F81BD"/>
              <w:bottom w:val="single" w:sz="8" w:space="0" w:color="4F81BD"/>
            </w:tcBorders>
            <w:shd w:val="clear" w:color="auto" w:fill="auto"/>
          </w:tcPr>
          <w:p w14:paraId="643A52E8" w14:textId="77777777" w:rsidR="008B67F3" w:rsidRPr="00C917E2" w:rsidRDefault="008B67F3" w:rsidP="007F14FB">
            <w:pPr>
              <w:keepNext/>
              <w:rPr>
                <w:rFonts w:asciiTheme="minorHAnsi" w:hAnsiTheme="minorHAnsi"/>
                <w:sz w:val="20"/>
                <w:szCs w:val="20"/>
              </w:rPr>
            </w:pPr>
          </w:p>
        </w:tc>
        <w:tc>
          <w:tcPr>
            <w:tcW w:w="2410" w:type="dxa"/>
            <w:tcBorders>
              <w:top w:val="single" w:sz="8" w:space="0" w:color="4F81BD"/>
              <w:bottom w:val="single" w:sz="8" w:space="0" w:color="4F81BD"/>
            </w:tcBorders>
            <w:shd w:val="clear" w:color="auto" w:fill="auto"/>
          </w:tcPr>
          <w:p w14:paraId="2C8B67D2" w14:textId="77777777" w:rsidR="008B67F3" w:rsidRPr="00C917E2" w:rsidRDefault="008B67F3" w:rsidP="007F14FB">
            <w:pPr>
              <w:keepNext/>
              <w:spacing w:after="0"/>
              <w:jc w:val="right"/>
              <w:rPr>
                <w:rFonts w:asciiTheme="minorHAnsi" w:hAnsiTheme="minorHAnsi"/>
                <w:b/>
                <w:sz w:val="20"/>
                <w:szCs w:val="20"/>
              </w:rPr>
            </w:pPr>
            <w:r w:rsidRPr="00C917E2">
              <w:rPr>
                <w:rFonts w:asciiTheme="minorHAnsi" w:hAnsiTheme="minorHAnsi"/>
                <w:b/>
                <w:sz w:val="20"/>
                <w:szCs w:val="20"/>
              </w:rPr>
              <w:t>Disbursement</w:t>
            </w:r>
          </w:p>
          <w:p w14:paraId="7B1ABF73" w14:textId="77777777" w:rsidR="008B67F3" w:rsidRPr="00C917E2" w:rsidRDefault="008B67F3" w:rsidP="007F14FB">
            <w:pPr>
              <w:keepNext/>
              <w:spacing w:after="0"/>
              <w:jc w:val="right"/>
              <w:rPr>
                <w:rFonts w:asciiTheme="minorHAnsi" w:hAnsiTheme="minorHAnsi"/>
                <w:b/>
                <w:sz w:val="20"/>
                <w:szCs w:val="20"/>
              </w:rPr>
            </w:pPr>
            <w:r w:rsidRPr="00C917E2">
              <w:rPr>
                <w:rFonts w:asciiTheme="minorHAnsi" w:hAnsiTheme="minorHAnsi"/>
                <w:b/>
                <w:sz w:val="20"/>
                <w:szCs w:val="20"/>
              </w:rPr>
              <w:t>(US$ million)</w:t>
            </w:r>
          </w:p>
        </w:tc>
        <w:tc>
          <w:tcPr>
            <w:tcW w:w="1525" w:type="dxa"/>
            <w:tcBorders>
              <w:top w:val="single" w:sz="8" w:space="0" w:color="4F81BD"/>
              <w:bottom w:val="single" w:sz="8" w:space="0" w:color="4F81BD"/>
            </w:tcBorders>
            <w:shd w:val="clear" w:color="auto" w:fill="auto"/>
          </w:tcPr>
          <w:p w14:paraId="4C2F88A7" w14:textId="77777777" w:rsidR="008B67F3" w:rsidRPr="00C917E2" w:rsidRDefault="008B67F3" w:rsidP="007F14FB">
            <w:pPr>
              <w:keepNext/>
              <w:spacing w:after="0"/>
              <w:jc w:val="right"/>
              <w:rPr>
                <w:rFonts w:asciiTheme="minorHAnsi" w:hAnsiTheme="minorHAnsi"/>
                <w:b/>
                <w:sz w:val="20"/>
                <w:szCs w:val="20"/>
              </w:rPr>
            </w:pPr>
            <w:r w:rsidRPr="00C917E2">
              <w:rPr>
                <w:rFonts w:asciiTheme="minorHAnsi" w:hAnsiTheme="minorHAnsi"/>
                <w:b/>
                <w:sz w:val="20"/>
                <w:szCs w:val="20"/>
              </w:rPr>
              <w:t xml:space="preserve">Share </w:t>
            </w:r>
            <w:r w:rsidRPr="00C917E2">
              <w:rPr>
                <w:rFonts w:asciiTheme="minorHAnsi" w:hAnsiTheme="minorHAnsi"/>
                <w:b/>
                <w:sz w:val="20"/>
                <w:szCs w:val="20"/>
              </w:rPr>
              <w:br/>
              <w:t>(%)</w:t>
            </w:r>
          </w:p>
        </w:tc>
      </w:tr>
      <w:tr w:rsidR="008B67F3" w:rsidRPr="00C917E2" w14:paraId="67664C92" w14:textId="77777777" w:rsidTr="009E2AF5">
        <w:trPr>
          <w:trHeight w:val="227"/>
        </w:trPr>
        <w:tc>
          <w:tcPr>
            <w:tcW w:w="4928" w:type="dxa"/>
            <w:shd w:val="clear" w:color="auto" w:fill="auto"/>
          </w:tcPr>
          <w:p w14:paraId="75E84B66" w14:textId="77777777" w:rsidR="008B67F3" w:rsidRPr="00C917E2" w:rsidRDefault="008B67F3" w:rsidP="007F14FB">
            <w:pPr>
              <w:keepNext/>
              <w:spacing w:after="0"/>
              <w:rPr>
                <w:rFonts w:asciiTheme="minorHAnsi" w:hAnsiTheme="minorHAnsi"/>
                <w:sz w:val="20"/>
                <w:szCs w:val="20"/>
              </w:rPr>
            </w:pPr>
            <w:r w:rsidRPr="00C917E2">
              <w:rPr>
                <w:rFonts w:asciiTheme="minorHAnsi" w:hAnsiTheme="minorHAnsi"/>
                <w:sz w:val="20"/>
                <w:szCs w:val="20"/>
              </w:rPr>
              <w:t>Health Policy and Administration</w:t>
            </w:r>
          </w:p>
        </w:tc>
        <w:tc>
          <w:tcPr>
            <w:tcW w:w="2410" w:type="dxa"/>
            <w:tcBorders>
              <w:left w:val="nil"/>
              <w:right w:val="nil"/>
            </w:tcBorders>
            <w:shd w:val="clear" w:color="auto" w:fill="auto"/>
            <w:vAlign w:val="bottom"/>
          </w:tcPr>
          <w:p w14:paraId="6BA17BF7" w14:textId="77777777" w:rsidR="008B67F3" w:rsidRPr="00C917E2" w:rsidRDefault="008B67F3" w:rsidP="007F14FB">
            <w:pPr>
              <w:keepNext/>
              <w:spacing w:after="0"/>
              <w:jc w:val="right"/>
              <w:rPr>
                <w:rFonts w:asciiTheme="minorHAnsi" w:hAnsiTheme="minorHAnsi"/>
                <w:sz w:val="20"/>
                <w:szCs w:val="20"/>
              </w:rPr>
            </w:pPr>
            <w:r w:rsidRPr="00C917E2">
              <w:rPr>
                <w:rFonts w:ascii="Calibri" w:hAnsi="Calibri"/>
                <w:color w:val="000000"/>
                <w:sz w:val="20"/>
                <w:szCs w:val="20"/>
              </w:rPr>
              <w:t>7.4</w:t>
            </w:r>
          </w:p>
        </w:tc>
        <w:tc>
          <w:tcPr>
            <w:tcW w:w="1525" w:type="dxa"/>
            <w:shd w:val="clear" w:color="auto" w:fill="auto"/>
            <w:vAlign w:val="bottom"/>
          </w:tcPr>
          <w:p w14:paraId="2D1DB2EF" w14:textId="77777777" w:rsidR="008B67F3" w:rsidRPr="00C917E2" w:rsidRDefault="008B67F3" w:rsidP="007F14FB">
            <w:pPr>
              <w:keepNext/>
              <w:spacing w:after="0"/>
              <w:jc w:val="right"/>
              <w:rPr>
                <w:rFonts w:asciiTheme="minorHAnsi" w:hAnsiTheme="minorHAnsi"/>
                <w:sz w:val="20"/>
                <w:szCs w:val="20"/>
              </w:rPr>
            </w:pPr>
            <w:r w:rsidRPr="00C917E2">
              <w:rPr>
                <w:rFonts w:ascii="Calibri" w:hAnsi="Calibri"/>
                <w:color w:val="000000"/>
                <w:sz w:val="20"/>
                <w:szCs w:val="20"/>
              </w:rPr>
              <w:t>2</w:t>
            </w:r>
          </w:p>
        </w:tc>
      </w:tr>
      <w:tr w:rsidR="008B67F3" w:rsidRPr="00C917E2" w14:paraId="4554F7A3" w14:textId="77777777" w:rsidTr="009E2AF5">
        <w:trPr>
          <w:trHeight w:val="227"/>
        </w:trPr>
        <w:tc>
          <w:tcPr>
            <w:tcW w:w="4928" w:type="dxa"/>
            <w:shd w:val="clear" w:color="auto" w:fill="auto"/>
          </w:tcPr>
          <w:p w14:paraId="5A945D65" w14:textId="77777777" w:rsidR="008B67F3" w:rsidRPr="00C917E2" w:rsidRDefault="008B67F3" w:rsidP="00D6015D">
            <w:pPr>
              <w:keepNext/>
              <w:spacing w:after="0"/>
              <w:rPr>
                <w:rFonts w:asciiTheme="minorHAnsi" w:hAnsiTheme="minorHAnsi"/>
                <w:sz w:val="20"/>
                <w:szCs w:val="20"/>
              </w:rPr>
            </w:pPr>
            <w:r w:rsidRPr="00C917E2">
              <w:rPr>
                <w:rFonts w:asciiTheme="minorHAnsi" w:hAnsiTheme="minorHAnsi"/>
                <w:sz w:val="20"/>
                <w:szCs w:val="20"/>
              </w:rPr>
              <w:t xml:space="preserve">HIV/AIDS, Tuberculosis, and Malaria </w:t>
            </w:r>
          </w:p>
        </w:tc>
        <w:tc>
          <w:tcPr>
            <w:tcW w:w="2410" w:type="dxa"/>
            <w:shd w:val="clear" w:color="auto" w:fill="auto"/>
            <w:vAlign w:val="bottom"/>
          </w:tcPr>
          <w:p w14:paraId="08CFDC2A" w14:textId="77777777" w:rsidR="008B67F3" w:rsidRPr="00C917E2" w:rsidRDefault="008B67F3" w:rsidP="007F14FB">
            <w:pPr>
              <w:keepNext/>
              <w:spacing w:after="0"/>
              <w:jc w:val="right"/>
              <w:rPr>
                <w:rFonts w:asciiTheme="minorHAnsi" w:hAnsiTheme="minorHAnsi"/>
                <w:sz w:val="20"/>
                <w:szCs w:val="20"/>
              </w:rPr>
            </w:pPr>
            <w:r w:rsidRPr="00C917E2">
              <w:rPr>
                <w:rFonts w:ascii="Calibri" w:hAnsi="Calibri"/>
                <w:color w:val="000000"/>
                <w:sz w:val="20"/>
                <w:szCs w:val="20"/>
              </w:rPr>
              <w:t>277.8</w:t>
            </w:r>
          </w:p>
        </w:tc>
        <w:tc>
          <w:tcPr>
            <w:tcW w:w="1525" w:type="dxa"/>
            <w:shd w:val="clear" w:color="auto" w:fill="auto"/>
            <w:vAlign w:val="bottom"/>
          </w:tcPr>
          <w:p w14:paraId="293DDD06" w14:textId="77777777" w:rsidR="008B67F3" w:rsidRPr="00C917E2" w:rsidRDefault="008B67F3" w:rsidP="007F14FB">
            <w:pPr>
              <w:keepNext/>
              <w:spacing w:after="0"/>
              <w:jc w:val="right"/>
              <w:rPr>
                <w:rFonts w:asciiTheme="minorHAnsi" w:hAnsiTheme="minorHAnsi"/>
                <w:sz w:val="20"/>
                <w:szCs w:val="20"/>
              </w:rPr>
            </w:pPr>
            <w:r w:rsidRPr="00C917E2">
              <w:rPr>
                <w:rFonts w:ascii="Calibri" w:hAnsi="Calibri"/>
                <w:color w:val="000000"/>
                <w:sz w:val="20"/>
                <w:szCs w:val="20"/>
              </w:rPr>
              <w:t>65</w:t>
            </w:r>
          </w:p>
        </w:tc>
      </w:tr>
      <w:tr w:rsidR="008B67F3" w:rsidRPr="00C917E2" w14:paraId="0ABE812D" w14:textId="77777777" w:rsidTr="009E2AF5">
        <w:trPr>
          <w:trHeight w:val="227"/>
        </w:trPr>
        <w:tc>
          <w:tcPr>
            <w:tcW w:w="4928" w:type="dxa"/>
            <w:shd w:val="clear" w:color="auto" w:fill="auto"/>
          </w:tcPr>
          <w:p w14:paraId="67ACF47D" w14:textId="77777777" w:rsidR="008B67F3" w:rsidRPr="00C917E2" w:rsidRDefault="008B67F3" w:rsidP="007F14FB">
            <w:pPr>
              <w:keepNext/>
              <w:spacing w:after="0"/>
              <w:rPr>
                <w:rFonts w:asciiTheme="minorHAnsi" w:hAnsiTheme="minorHAnsi"/>
                <w:sz w:val="20"/>
                <w:szCs w:val="20"/>
              </w:rPr>
            </w:pPr>
            <w:r w:rsidRPr="00C917E2">
              <w:rPr>
                <w:rFonts w:asciiTheme="minorHAnsi" w:hAnsiTheme="minorHAnsi"/>
                <w:sz w:val="20"/>
                <w:szCs w:val="20"/>
              </w:rPr>
              <w:t>Reproductive Health and Family Planning</w:t>
            </w:r>
          </w:p>
        </w:tc>
        <w:tc>
          <w:tcPr>
            <w:tcW w:w="2410" w:type="dxa"/>
            <w:tcBorders>
              <w:left w:val="nil"/>
              <w:right w:val="nil"/>
            </w:tcBorders>
            <w:shd w:val="clear" w:color="auto" w:fill="auto"/>
            <w:vAlign w:val="bottom"/>
          </w:tcPr>
          <w:p w14:paraId="712C5C2A" w14:textId="77777777" w:rsidR="008B67F3" w:rsidRPr="00C917E2" w:rsidRDefault="008B67F3" w:rsidP="007F14FB">
            <w:pPr>
              <w:keepNext/>
              <w:spacing w:after="0"/>
              <w:jc w:val="right"/>
              <w:rPr>
                <w:rFonts w:asciiTheme="minorHAnsi" w:hAnsiTheme="minorHAnsi"/>
                <w:sz w:val="20"/>
                <w:szCs w:val="20"/>
              </w:rPr>
            </w:pPr>
            <w:r w:rsidRPr="00C917E2">
              <w:rPr>
                <w:rFonts w:ascii="Calibri" w:hAnsi="Calibri"/>
                <w:color w:val="000000"/>
                <w:sz w:val="20"/>
                <w:szCs w:val="20"/>
              </w:rPr>
              <w:t>93.0</w:t>
            </w:r>
          </w:p>
        </w:tc>
        <w:tc>
          <w:tcPr>
            <w:tcW w:w="1525" w:type="dxa"/>
            <w:shd w:val="clear" w:color="auto" w:fill="auto"/>
            <w:vAlign w:val="bottom"/>
          </w:tcPr>
          <w:p w14:paraId="4DD8A1A8" w14:textId="77777777" w:rsidR="008B67F3" w:rsidRPr="00C917E2" w:rsidRDefault="008B67F3" w:rsidP="007F14FB">
            <w:pPr>
              <w:keepNext/>
              <w:spacing w:after="0"/>
              <w:jc w:val="right"/>
              <w:rPr>
                <w:rFonts w:asciiTheme="minorHAnsi" w:hAnsiTheme="minorHAnsi"/>
                <w:sz w:val="20"/>
                <w:szCs w:val="20"/>
              </w:rPr>
            </w:pPr>
            <w:r w:rsidRPr="00C917E2">
              <w:rPr>
                <w:rFonts w:ascii="Calibri" w:hAnsi="Calibri"/>
                <w:color w:val="000000"/>
                <w:sz w:val="20"/>
                <w:szCs w:val="20"/>
              </w:rPr>
              <w:t>22</w:t>
            </w:r>
          </w:p>
        </w:tc>
      </w:tr>
      <w:tr w:rsidR="008B67F3" w:rsidRPr="00C917E2" w14:paraId="71AE6778" w14:textId="77777777" w:rsidTr="009E2AF5">
        <w:trPr>
          <w:trHeight w:val="227"/>
        </w:trPr>
        <w:tc>
          <w:tcPr>
            <w:tcW w:w="4928" w:type="dxa"/>
            <w:tcBorders>
              <w:bottom w:val="single" w:sz="8" w:space="0" w:color="4F81BD"/>
            </w:tcBorders>
            <w:shd w:val="clear" w:color="auto" w:fill="auto"/>
          </w:tcPr>
          <w:p w14:paraId="496E5857" w14:textId="77777777" w:rsidR="008B67F3" w:rsidRPr="00C917E2" w:rsidRDefault="008B67F3" w:rsidP="007F14FB">
            <w:pPr>
              <w:keepNext/>
              <w:spacing w:after="0"/>
              <w:rPr>
                <w:rFonts w:asciiTheme="minorHAnsi" w:hAnsiTheme="minorHAnsi"/>
                <w:sz w:val="20"/>
                <w:szCs w:val="20"/>
              </w:rPr>
            </w:pPr>
            <w:r w:rsidRPr="00C917E2">
              <w:rPr>
                <w:rFonts w:asciiTheme="minorHAnsi" w:hAnsiTheme="minorHAnsi"/>
                <w:sz w:val="20"/>
                <w:szCs w:val="20"/>
              </w:rPr>
              <w:t>Other Health Purposes</w:t>
            </w:r>
          </w:p>
        </w:tc>
        <w:tc>
          <w:tcPr>
            <w:tcW w:w="2410" w:type="dxa"/>
            <w:tcBorders>
              <w:bottom w:val="single" w:sz="8" w:space="0" w:color="4F81BD"/>
            </w:tcBorders>
            <w:shd w:val="clear" w:color="auto" w:fill="auto"/>
            <w:vAlign w:val="bottom"/>
          </w:tcPr>
          <w:p w14:paraId="293FD5E7" w14:textId="77777777" w:rsidR="008B67F3" w:rsidRPr="00C917E2" w:rsidRDefault="008B67F3" w:rsidP="007F14FB">
            <w:pPr>
              <w:keepNext/>
              <w:spacing w:after="0"/>
              <w:jc w:val="right"/>
              <w:rPr>
                <w:rFonts w:asciiTheme="minorHAnsi" w:hAnsiTheme="minorHAnsi"/>
                <w:sz w:val="20"/>
                <w:szCs w:val="20"/>
              </w:rPr>
            </w:pPr>
            <w:r w:rsidRPr="00C917E2">
              <w:rPr>
                <w:rFonts w:ascii="Calibri" w:hAnsi="Calibri"/>
                <w:color w:val="000000"/>
                <w:sz w:val="20"/>
                <w:szCs w:val="20"/>
              </w:rPr>
              <w:t>49.6</w:t>
            </w:r>
          </w:p>
        </w:tc>
        <w:tc>
          <w:tcPr>
            <w:tcW w:w="1525" w:type="dxa"/>
            <w:tcBorders>
              <w:bottom w:val="single" w:sz="8" w:space="0" w:color="4F81BD"/>
            </w:tcBorders>
            <w:shd w:val="clear" w:color="auto" w:fill="auto"/>
            <w:vAlign w:val="bottom"/>
          </w:tcPr>
          <w:p w14:paraId="10FDBFA9" w14:textId="77777777" w:rsidR="008B67F3" w:rsidRPr="00C917E2" w:rsidRDefault="008B67F3" w:rsidP="007F14FB">
            <w:pPr>
              <w:keepNext/>
              <w:spacing w:after="0"/>
              <w:jc w:val="right"/>
              <w:rPr>
                <w:rFonts w:asciiTheme="minorHAnsi" w:hAnsiTheme="minorHAnsi"/>
                <w:sz w:val="20"/>
                <w:szCs w:val="20"/>
              </w:rPr>
            </w:pPr>
            <w:r w:rsidRPr="00C917E2">
              <w:rPr>
                <w:rFonts w:ascii="Calibri" w:hAnsi="Calibri"/>
                <w:color w:val="000000"/>
                <w:sz w:val="20"/>
                <w:szCs w:val="20"/>
              </w:rPr>
              <w:t>12</w:t>
            </w:r>
          </w:p>
        </w:tc>
      </w:tr>
      <w:tr w:rsidR="008B67F3" w:rsidRPr="00C917E2" w14:paraId="38235EE1" w14:textId="77777777" w:rsidTr="009E2AF5">
        <w:trPr>
          <w:trHeight w:val="227"/>
        </w:trPr>
        <w:tc>
          <w:tcPr>
            <w:tcW w:w="4928" w:type="dxa"/>
            <w:tcBorders>
              <w:top w:val="single" w:sz="8" w:space="0" w:color="4F81BD"/>
              <w:bottom w:val="single" w:sz="8" w:space="0" w:color="4F81BD"/>
            </w:tcBorders>
            <w:shd w:val="clear" w:color="auto" w:fill="auto"/>
          </w:tcPr>
          <w:p w14:paraId="4AC465D2" w14:textId="77777777" w:rsidR="008B67F3" w:rsidRPr="00C917E2" w:rsidRDefault="008B67F3" w:rsidP="007F14FB">
            <w:pPr>
              <w:keepNext/>
              <w:spacing w:after="0"/>
              <w:rPr>
                <w:rFonts w:asciiTheme="minorHAnsi" w:hAnsiTheme="minorHAnsi"/>
                <w:sz w:val="20"/>
                <w:szCs w:val="20"/>
              </w:rPr>
            </w:pPr>
            <w:r w:rsidRPr="00C917E2">
              <w:rPr>
                <w:rFonts w:asciiTheme="minorHAnsi" w:hAnsiTheme="minorHAnsi"/>
                <w:sz w:val="20"/>
                <w:szCs w:val="20"/>
              </w:rPr>
              <w:t>Total</w:t>
            </w:r>
          </w:p>
        </w:tc>
        <w:tc>
          <w:tcPr>
            <w:tcW w:w="2410" w:type="dxa"/>
            <w:tcBorders>
              <w:top w:val="single" w:sz="8" w:space="0" w:color="4F81BD"/>
              <w:left w:val="nil"/>
              <w:bottom w:val="single" w:sz="8" w:space="0" w:color="4F81BD"/>
              <w:right w:val="nil"/>
            </w:tcBorders>
            <w:shd w:val="clear" w:color="auto" w:fill="auto"/>
            <w:vAlign w:val="bottom"/>
          </w:tcPr>
          <w:p w14:paraId="6B83139C" w14:textId="77777777" w:rsidR="008B67F3" w:rsidRPr="00C917E2" w:rsidRDefault="008B67F3" w:rsidP="007F14FB">
            <w:pPr>
              <w:keepNext/>
              <w:spacing w:after="0"/>
              <w:jc w:val="right"/>
              <w:rPr>
                <w:rFonts w:asciiTheme="minorHAnsi" w:hAnsiTheme="minorHAnsi"/>
                <w:sz w:val="20"/>
                <w:szCs w:val="20"/>
              </w:rPr>
            </w:pPr>
            <w:r w:rsidRPr="00C917E2">
              <w:rPr>
                <w:rFonts w:ascii="Calibri" w:hAnsi="Calibri"/>
                <w:color w:val="000000"/>
                <w:sz w:val="20"/>
                <w:szCs w:val="20"/>
              </w:rPr>
              <w:t>427.8</w:t>
            </w:r>
          </w:p>
        </w:tc>
        <w:tc>
          <w:tcPr>
            <w:tcW w:w="1525" w:type="dxa"/>
            <w:tcBorders>
              <w:top w:val="single" w:sz="8" w:space="0" w:color="4F81BD"/>
              <w:bottom w:val="single" w:sz="8" w:space="0" w:color="4F81BD"/>
            </w:tcBorders>
            <w:shd w:val="clear" w:color="auto" w:fill="auto"/>
            <w:vAlign w:val="bottom"/>
          </w:tcPr>
          <w:p w14:paraId="1E943E36" w14:textId="77777777" w:rsidR="008B67F3" w:rsidRPr="00C917E2" w:rsidRDefault="008B67F3" w:rsidP="007F14FB">
            <w:pPr>
              <w:keepNext/>
              <w:spacing w:after="0"/>
              <w:jc w:val="right"/>
              <w:rPr>
                <w:rFonts w:asciiTheme="minorHAnsi" w:hAnsiTheme="minorHAnsi"/>
                <w:sz w:val="20"/>
                <w:szCs w:val="20"/>
              </w:rPr>
            </w:pPr>
            <w:r w:rsidRPr="00C917E2">
              <w:rPr>
                <w:rFonts w:ascii="Calibri" w:hAnsi="Calibri"/>
                <w:color w:val="000000"/>
                <w:sz w:val="20"/>
                <w:szCs w:val="20"/>
              </w:rPr>
              <w:t>100</w:t>
            </w:r>
          </w:p>
        </w:tc>
      </w:tr>
    </w:tbl>
    <w:p w14:paraId="3FFBBF98" w14:textId="77777777" w:rsidR="008B67F3" w:rsidRPr="00C917E2" w:rsidRDefault="008B67F3" w:rsidP="00E73060">
      <w:pPr>
        <w:pStyle w:val="Source"/>
      </w:pPr>
      <w:r w:rsidRPr="00E94700">
        <w:rPr>
          <w:i/>
        </w:rPr>
        <w:t>Source:</w:t>
      </w:r>
      <w:r w:rsidRPr="00C917E2">
        <w:t xml:space="preserve"> WHO Zimbabwe ODA data sheet (based on </w:t>
      </w:r>
      <w:r w:rsidR="006B2D5F">
        <w:t>OECD data).</w:t>
      </w:r>
    </w:p>
    <w:p w14:paraId="37F20C9A" w14:textId="77777777" w:rsidR="008B67F3" w:rsidRDefault="008B67F3" w:rsidP="00D37198">
      <w:pPr>
        <w:pStyle w:val="Numberpara"/>
      </w:pPr>
      <w:r w:rsidRPr="00C917E2">
        <w:t xml:space="preserve">Donor spending on public health programs is much larger than MOHCC spending for most programs. For example, the Global Fund spent US$3.4 million on the Village Health Workers program in 2012, </w:t>
      </w:r>
      <w:r w:rsidR="00E219C8">
        <w:t xml:space="preserve">versus </w:t>
      </w:r>
      <w:r w:rsidRPr="00C917E2">
        <w:t xml:space="preserve">MOHCC spending </w:t>
      </w:r>
      <w:r w:rsidR="00E219C8">
        <w:t xml:space="preserve">of </w:t>
      </w:r>
      <w:r w:rsidRPr="00C917E2">
        <w:t>US$20,000 (see</w:t>
      </w:r>
      <w:r w:rsidR="00FF3BD3" w:rsidRPr="00C917E2">
        <w:t xml:space="preserve"> </w:t>
      </w:r>
      <w:r w:rsidR="00C713A9" w:rsidRPr="00C917E2">
        <w:fldChar w:fldCharType="begin"/>
      </w:r>
      <w:r w:rsidR="00FF3BD3" w:rsidRPr="00C917E2">
        <w:instrText xml:space="preserve"> REF _Ref414597316 \h </w:instrText>
      </w:r>
      <w:r w:rsidR="00C713A9" w:rsidRPr="00C917E2">
        <w:fldChar w:fldCharType="separate"/>
      </w:r>
      <w:r w:rsidR="003732A2" w:rsidRPr="00C917E2">
        <w:t xml:space="preserve">Table </w:t>
      </w:r>
      <w:r w:rsidR="003732A2">
        <w:rPr>
          <w:noProof/>
        </w:rPr>
        <w:t>4</w:t>
      </w:r>
      <w:r w:rsidR="00C713A9" w:rsidRPr="00C917E2">
        <w:fldChar w:fldCharType="end"/>
      </w:r>
      <w:r w:rsidRPr="00C917E2">
        <w:t xml:space="preserve">). An exception is HIV/AIDS, where spending by the NAC has </w:t>
      </w:r>
      <w:r w:rsidR="00B962C0">
        <w:t xml:space="preserve">climbed sharply </w:t>
      </w:r>
      <w:r w:rsidRPr="00C917E2">
        <w:t xml:space="preserve">in recent years. </w:t>
      </w:r>
    </w:p>
    <w:p w14:paraId="66B015EF" w14:textId="49B6F7AC" w:rsidR="00B90CAE" w:rsidRPr="0019307B" w:rsidRDefault="00B90CAE" w:rsidP="0016545E">
      <w:pPr>
        <w:pStyle w:val="Numberpara"/>
      </w:pPr>
      <w:r w:rsidRPr="0019307B">
        <w:t xml:space="preserve">Significant donor funding has been spent on human resources for health through a program called Harmonized Health Workers Retention Scheme. </w:t>
      </w:r>
      <w:r w:rsidR="00C546B4">
        <w:t xml:space="preserve">It </w:t>
      </w:r>
      <w:r w:rsidRPr="0019307B">
        <w:t>was set up in 2009 by the government and development partners to respond to an emergency situation where health workers emigrated in large number to escape the economic hardship.</w:t>
      </w:r>
      <w:r w:rsidR="002568C1" w:rsidRPr="000311DE">
        <w:rPr>
          <w:vertAlign w:val="superscript"/>
        </w:rPr>
        <w:endnoteReference w:id="76"/>
      </w:r>
      <w:r w:rsidRPr="0019307B">
        <w:t xml:space="preserve"> The scheme provides a tax-free salary top-up to health workers paid monthly, </w:t>
      </w:r>
      <w:r w:rsidR="000311DE">
        <w:t xml:space="preserve">provided they </w:t>
      </w:r>
      <w:r w:rsidR="002568C1" w:rsidRPr="0019307B">
        <w:t xml:space="preserve">just show up </w:t>
      </w:r>
      <w:r w:rsidRPr="0019307B">
        <w:t>at work. Total funding to date has been US$70</w:t>
      </w:r>
      <w:r w:rsidR="00F45AA2">
        <w:t> </w:t>
      </w:r>
      <w:r w:rsidRPr="0019307B">
        <w:t>m</w:t>
      </w:r>
      <w:r w:rsidR="00F45AA2">
        <w:t>illion</w:t>
      </w:r>
      <w:r w:rsidRPr="0019307B">
        <w:t xml:space="preserve"> (Global Fund 65</w:t>
      </w:r>
      <w:r w:rsidR="00727C8D">
        <w:t> percent</w:t>
      </w:r>
      <w:r w:rsidRPr="0019307B">
        <w:t>, DFID 19</w:t>
      </w:r>
      <w:r w:rsidR="00727C8D">
        <w:t> percent</w:t>
      </w:r>
      <w:r w:rsidRPr="0019307B">
        <w:t>, others 16</w:t>
      </w:r>
      <w:r w:rsidR="00727C8D">
        <w:t> percent</w:t>
      </w:r>
      <w:r w:rsidRPr="0019307B">
        <w:t>)</w:t>
      </w:r>
      <w:r w:rsidR="00423517" w:rsidRPr="0019307B">
        <w:t xml:space="preserve">. </w:t>
      </w:r>
    </w:p>
    <w:p w14:paraId="76AFE29A" w14:textId="2C6044C5" w:rsidR="00423517" w:rsidRPr="0019307B" w:rsidRDefault="00423517" w:rsidP="0016545E">
      <w:pPr>
        <w:pStyle w:val="Numberpara"/>
      </w:pPr>
      <w:r w:rsidRPr="0019307B">
        <w:t xml:space="preserve">An evaluation of the scheme documented that </w:t>
      </w:r>
      <w:r w:rsidR="00702CBA">
        <w:t xml:space="preserve">the </w:t>
      </w:r>
      <w:r w:rsidRPr="0019307B">
        <w:t>vacancy rate ha</w:t>
      </w:r>
      <w:r w:rsidR="00702CBA">
        <w:t>d</w:t>
      </w:r>
      <w:r w:rsidRPr="0019307B">
        <w:t xml:space="preserve"> fallen for all cadres </w:t>
      </w:r>
      <w:r w:rsidR="0033621B">
        <w:t xml:space="preserve">after </w:t>
      </w:r>
      <w:r w:rsidRPr="0019307B">
        <w:t xml:space="preserve">2008, and volume of services provided in the public sector went up for some services but went down for others. </w:t>
      </w:r>
      <w:r w:rsidR="00727C8D">
        <w:t xml:space="preserve">Yet </w:t>
      </w:r>
      <w:r w:rsidR="00727C8D" w:rsidRPr="0019307B">
        <w:t xml:space="preserve">these </w:t>
      </w:r>
      <w:r w:rsidRPr="0019307B">
        <w:t xml:space="preserve">patterns cannot be taken as evidence of impact due to the lack of rigorous impact evaluation design and good data. The evaluation also raises a strong point on value for money, through documenting </w:t>
      </w:r>
      <w:r w:rsidR="00907FF7">
        <w:t xml:space="preserve">the </w:t>
      </w:r>
      <w:r w:rsidRPr="0019307B">
        <w:t>high administrative cost</w:t>
      </w:r>
      <w:r w:rsidR="00907FF7">
        <w:t>s</w:t>
      </w:r>
      <w:r w:rsidRPr="0019307B">
        <w:t xml:space="preserve"> incurred by different organizations involved in the scheme. For </w:t>
      </w:r>
      <w:r w:rsidR="002568C1" w:rsidRPr="0019307B">
        <w:t xml:space="preserve">example, </w:t>
      </w:r>
      <w:r w:rsidR="00907FF7">
        <w:t xml:space="preserve">the </w:t>
      </w:r>
      <w:r w:rsidR="002568C1" w:rsidRPr="0019307B">
        <w:t xml:space="preserve">Crown Agents </w:t>
      </w:r>
      <w:r w:rsidR="00907FF7">
        <w:t xml:space="preserve">(the initial managers) </w:t>
      </w:r>
      <w:r w:rsidR="002568C1" w:rsidRPr="0019307B">
        <w:t xml:space="preserve">charged </w:t>
      </w:r>
      <w:r w:rsidR="00907FF7">
        <w:t xml:space="preserve">around </w:t>
      </w:r>
      <w:r w:rsidR="002568C1" w:rsidRPr="0019307B">
        <w:t xml:space="preserve">5 percent, UNDP </w:t>
      </w:r>
      <w:r w:rsidR="00907FF7">
        <w:t xml:space="preserve">some </w:t>
      </w:r>
      <w:r w:rsidR="002568C1" w:rsidRPr="0019307B">
        <w:t>10 percent, and the Global Fund around 15</w:t>
      </w:r>
      <w:r w:rsidR="00836AB0">
        <w:t>–</w:t>
      </w:r>
      <w:r w:rsidR="002568C1" w:rsidRPr="0019307B">
        <w:t>18 percent.</w:t>
      </w:r>
      <w:r w:rsidR="00702CBA" w:rsidRPr="000311DE">
        <w:rPr>
          <w:vertAlign w:val="superscript"/>
        </w:rPr>
        <w:endnoteReference w:id="77"/>
      </w:r>
    </w:p>
    <w:p w14:paraId="5BDA3660" w14:textId="77777777" w:rsidR="008B67F3" w:rsidRPr="00B41DDA" w:rsidRDefault="008B67F3" w:rsidP="00320F82">
      <w:pPr>
        <w:pStyle w:val="Heading3"/>
      </w:pPr>
      <w:bookmarkStart w:id="187" w:name="_Toc419004017"/>
      <w:r w:rsidRPr="00B41DDA">
        <w:lastRenderedPageBreak/>
        <w:t xml:space="preserve">Two </w:t>
      </w:r>
      <w:r w:rsidR="00C0033A" w:rsidRPr="00B41DDA">
        <w:t>Donor-Funded Programs</w:t>
      </w:r>
      <w:bookmarkEnd w:id="187"/>
      <w:r w:rsidR="00C0033A" w:rsidRPr="00B41DDA">
        <w:t xml:space="preserve"> </w:t>
      </w:r>
    </w:p>
    <w:p w14:paraId="5D64F72F" w14:textId="77777777" w:rsidR="008B67F3" w:rsidRPr="00C917E2" w:rsidRDefault="008B67F3" w:rsidP="00D37198">
      <w:pPr>
        <w:pStyle w:val="Numberpara"/>
      </w:pPr>
      <w:r w:rsidRPr="00C917E2">
        <w:t>The stakeholder interviews for this PER highlighted several</w:t>
      </w:r>
      <w:r w:rsidR="00B72993" w:rsidRPr="00C917E2">
        <w:t xml:space="preserve"> </w:t>
      </w:r>
      <w:r w:rsidRPr="00C917E2">
        <w:t>donor-funded programs, among which we highlight two: HTF for its capacity to manage general large pooled commitments; and RBF as an example of improving health outputs and quality.</w:t>
      </w:r>
      <w:r w:rsidRPr="00C917E2">
        <w:rPr>
          <w:vertAlign w:val="superscript"/>
        </w:rPr>
        <w:endnoteReference w:id="78"/>
      </w:r>
    </w:p>
    <w:p w14:paraId="056BBF03" w14:textId="77777777" w:rsidR="008B67F3" w:rsidRPr="00B41DDA" w:rsidRDefault="008B67F3" w:rsidP="00226FA8">
      <w:pPr>
        <w:pStyle w:val="Heading4"/>
      </w:pPr>
      <w:r w:rsidRPr="00B41DDA">
        <w:t>Health Transition Fund: Pooling Resources for MCH</w:t>
      </w:r>
    </w:p>
    <w:p w14:paraId="5CB86FD9" w14:textId="043B0686" w:rsidR="009F5C7E" w:rsidRPr="0019307B" w:rsidRDefault="00337AB7" w:rsidP="00B41DDA">
      <w:pPr>
        <w:pStyle w:val="Numberpara"/>
      </w:pPr>
      <w:r w:rsidRPr="0019307B">
        <w:t xml:space="preserve">The </w:t>
      </w:r>
      <w:r w:rsidR="004F1105" w:rsidRPr="0019307B">
        <w:t>HTF is a multi</w:t>
      </w:r>
      <w:r w:rsidR="008B67F3" w:rsidRPr="0019307B">
        <w:t xml:space="preserve">source funding pool supporting </w:t>
      </w:r>
      <w:r w:rsidR="00626089" w:rsidRPr="0019307B">
        <w:t>MCH</w:t>
      </w:r>
      <w:r w:rsidR="008B67F3" w:rsidRPr="0019307B">
        <w:t xml:space="preserve"> administered by UNICEF for 2011–15. </w:t>
      </w:r>
      <w:r w:rsidR="00B962C0" w:rsidRPr="0019307B">
        <w:t xml:space="preserve">Its </w:t>
      </w:r>
      <w:r w:rsidR="008B67F3" w:rsidRPr="0019307B">
        <w:t xml:space="preserve">major contributors have cumulatively committed about US$150 million since 2011, made up of </w:t>
      </w:r>
      <w:r w:rsidR="00B962C0" w:rsidRPr="0019307B">
        <w:t xml:space="preserve">the United Kingdom </w:t>
      </w:r>
      <w:r w:rsidR="008B67F3" w:rsidRPr="0019307B">
        <w:t>(US$79.5 million</w:t>
      </w:r>
      <w:r w:rsidR="00B962C0" w:rsidRPr="0019307B">
        <w:t>)</w:t>
      </w:r>
      <w:r w:rsidR="008B67F3" w:rsidRPr="0019307B">
        <w:t>, European Union (US$39.7 million), Norway (US$11.6 million), Canada (US$9 million), Ireland (US$7.9 million)</w:t>
      </w:r>
      <w:r w:rsidR="00B962C0" w:rsidRPr="0019307B">
        <w:t>,</w:t>
      </w:r>
      <w:r w:rsidR="008B67F3" w:rsidRPr="0019307B">
        <w:t xml:space="preserve"> and Sweden (US$2.4 million). Since </w:t>
      </w:r>
      <w:r w:rsidR="00B962C0" w:rsidRPr="0019307B">
        <w:t>its launch</w:t>
      </w:r>
      <w:r w:rsidR="008B67F3" w:rsidRPr="0019307B">
        <w:t xml:space="preserve">, the HTF has received US$128.5 million. In 2013, </w:t>
      </w:r>
      <w:r w:rsidR="00B962C0" w:rsidRPr="0019307B">
        <w:t xml:space="preserve">it </w:t>
      </w:r>
      <w:r w:rsidR="008B67F3" w:rsidRPr="0019307B">
        <w:t xml:space="preserve">had an approved budget of US$64.2 million for programs and US$4.5 million for direct program costs. The HTF </w:t>
      </w:r>
      <w:r w:rsidR="00DD698A" w:rsidRPr="0019307B">
        <w:t xml:space="preserve">has been </w:t>
      </w:r>
      <w:r w:rsidR="008B67F3" w:rsidRPr="0019307B">
        <w:t xml:space="preserve">one of the largest ODA </w:t>
      </w:r>
      <w:r w:rsidR="00DD698A" w:rsidRPr="0019307B">
        <w:t>providers</w:t>
      </w:r>
      <w:r w:rsidR="008B67F3" w:rsidRPr="0019307B">
        <w:t xml:space="preserve"> to health care in Zimbabwe since 2000</w:t>
      </w:r>
      <w:r w:rsidR="00A661F8" w:rsidRPr="0019307B">
        <w:t>.</w:t>
      </w:r>
      <w:r w:rsidR="006C640B" w:rsidRPr="0019307B">
        <w:t xml:space="preserve"> </w:t>
      </w:r>
      <w:r w:rsidR="00A661F8" w:rsidRPr="0019307B">
        <w:t xml:space="preserve">It </w:t>
      </w:r>
      <w:r w:rsidR="006C640B" w:rsidRPr="0019307B">
        <w:t xml:space="preserve">combines a focus on </w:t>
      </w:r>
      <w:r w:rsidR="00626089" w:rsidRPr="0019307B">
        <w:t>MCH</w:t>
      </w:r>
      <w:r w:rsidR="006C640B" w:rsidRPr="0019307B">
        <w:t xml:space="preserve"> with support for key areas of the health system</w:t>
      </w:r>
      <w:r w:rsidR="00A661F8" w:rsidRPr="0019307B">
        <w:t>,</w:t>
      </w:r>
      <w:r w:rsidR="006C640B" w:rsidRPr="0019307B">
        <w:t xml:space="preserve"> such as human resources for health development</w:t>
      </w:r>
      <w:r w:rsidR="00B962C0" w:rsidRPr="0019307B">
        <w:t>,</w:t>
      </w:r>
      <w:r w:rsidR="006C640B" w:rsidRPr="0019307B">
        <w:t xml:space="preserve"> and retention and procurement of essential medicines</w:t>
      </w:r>
      <w:r w:rsidR="008B67F3" w:rsidRPr="0019307B">
        <w:t xml:space="preserve">. </w:t>
      </w:r>
      <w:r w:rsidR="00B962C0" w:rsidRPr="0019307B">
        <w:t xml:space="preserve">In </w:t>
      </w:r>
      <w:r w:rsidR="008B67F3" w:rsidRPr="0019307B">
        <w:t>April</w:t>
      </w:r>
      <w:r w:rsidR="00B962C0" w:rsidRPr="0019307B">
        <w:t>–</w:t>
      </w:r>
      <w:r w:rsidR="008B67F3" w:rsidRPr="0019307B">
        <w:t xml:space="preserve">December 2013 </w:t>
      </w:r>
      <w:r w:rsidR="00B962C0" w:rsidRPr="0019307B">
        <w:t xml:space="preserve">nearly half its </w:t>
      </w:r>
      <w:r w:rsidR="008B67F3" w:rsidRPr="0019307B">
        <w:t xml:space="preserve">funds </w:t>
      </w:r>
      <w:r w:rsidR="00B962C0" w:rsidRPr="0019307B">
        <w:t xml:space="preserve">were disbursed on </w:t>
      </w:r>
      <w:r w:rsidR="008B67F3" w:rsidRPr="0019307B">
        <w:t>essential medicines and commodities (</w:t>
      </w:r>
      <w:r w:rsidR="00C713A9" w:rsidRPr="0019307B">
        <w:fldChar w:fldCharType="begin"/>
      </w:r>
      <w:r w:rsidR="00A661F8" w:rsidRPr="0019307B">
        <w:instrText xml:space="preserve"> REF _Ref414596644 \h </w:instrText>
      </w:r>
      <w:r w:rsidR="00B41DDA" w:rsidRPr="0019307B">
        <w:instrText xml:space="preserve"> \* MERGEFORMAT </w:instrText>
      </w:r>
      <w:r w:rsidR="00C713A9" w:rsidRPr="0019307B">
        <w:fldChar w:fldCharType="separate"/>
      </w:r>
      <w:r w:rsidR="003732A2" w:rsidRPr="00C917E2">
        <w:t xml:space="preserve">Table </w:t>
      </w:r>
      <w:r w:rsidR="003732A2">
        <w:t>6</w:t>
      </w:r>
      <w:r w:rsidR="00C713A9" w:rsidRPr="0019307B">
        <w:fldChar w:fldCharType="end"/>
      </w:r>
      <w:r w:rsidR="008B67F3" w:rsidRPr="0019307B">
        <w:t>).</w:t>
      </w:r>
    </w:p>
    <w:p w14:paraId="3220863A" w14:textId="77777777" w:rsidR="008B67F3" w:rsidRPr="00C917E2" w:rsidRDefault="008B67F3" w:rsidP="00C53C89">
      <w:pPr>
        <w:pStyle w:val="Table"/>
      </w:pPr>
      <w:bookmarkStart w:id="188" w:name="_Ref414596644"/>
      <w:bookmarkStart w:id="189" w:name="_Toc401072592"/>
      <w:bookmarkStart w:id="190" w:name="_Toc401072741"/>
      <w:bookmarkStart w:id="191" w:name="_Toc419004074"/>
      <w:r w:rsidRPr="00C917E2">
        <w:t xml:space="preserve">Table </w:t>
      </w:r>
      <w:r w:rsidR="00113462">
        <w:fldChar w:fldCharType="begin"/>
      </w:r>
      <w:r w:rsidR="00113462">
        <w:instrText xml:space="preserve"> SEQ Table \* ARABIC </w:instrText>
      </w:r>
      <w:r w:rsidR="00113462">
        <w:fldChar w:fldCharType="separate"/>
      </w:r>
      <w:r w:rsidR="003732A2">
        <w:rPr>
          <w:noProof/>
        </w:rPr>
        <w:t>6</w:t>
      </w:r>
      <w:r w:rsidR="00113462">
        <w:rPr>
          <w:noProof/>
        </w:rPr>
        <w:fldChar w:fldCharType="end"/>
      </w:r>
      <w:bookmarkEnd w:id="188"/>
      <w:r w:rsidRPr="00C917E2">
        <w:t xml:space="preserve"> HTF Expenditure, April</w:t>
      </w:r>
      <w:r w:rsidR="00B962C0">
        <w:t>–</w:t>
      </w:r>
      <w:r w:rsidRPr="00C917E2">
        <w:t>December 2013</w:t>
      </w:r>
      <w:bookmarkEnd w:id="189"/>
      <w:bookmarkEnd w:id="190"/>
      <w:r w:rsidR="0098314C">
        <w:t xml:space="preserve"> </w:t>
      </w:r>
      <w:r w:rsidR="0098314C" w:rsidRPr="0098314C">
        <w:t>(US$ million)</w:t>
      </w:r>
      <w:bookmarkEnd w:id="191"/>
    </w:p>
    <w:tbl>
      <w:tblPr>
        <w:tblW w:w="4583" w:type="pct"/>
        <w:tblBorders>
          <w:top w:val="single" w:sz="8" w:space="0" w:color="4F81BD"/>
          <w:bottom w:val="single" w:sz="8" w:space="0" w:color="4F81BD"/>
        </w:tblBorders>
        <w:tblLook w:val="04A0" w:firstRow="1" w:lastRow="0" w:firstColumn="1" w:lastColumn="0" w:noHBand="0" w:noVBand="1"/>
      </w:tblPr>
      <w:tblGrid>
        <w:gridCol w:w="6474"/>
        <w:gridCol w:w="1799"/>
      </w:tblGrid>
      <w:tr w:rsidR="008B67F3" w:rsidRPr="0098314C" w14:paraId="64414ECF" w14:textId="77777777" w:rsidTr="0098314C">
        <w:trPr>
          <w:trHeight w:val="259"/>
        </w:trPr>
        <w:tc>
          <w:tcPr>
            <w:tcW w:w="3913" w:type="pct"/>
            <w:tcBorders>
              <w:top w:val="single" w:sz="8" w:space="0" w:color="4F81BD"/>
              <w:bottom w:val="single" w:sz="8" w:space="0" w:color="4F81BD"/>
            </w:tcBorders>
            <w:shd w:val="clear" w:color="auto" w:fill="auto"/>
          </w:tcPr>
          <w:p w14:paraId="24CA2F52" w14:textId="77777777" w:rsidR="008B67F3" w:rsidRPr="0098314C" w:rsidRDefault="008B67F3" w:rsidP="007F14FB">
            <w:pPr>
              <w:keepNext/>
              <w:rPr>
                <w:rFonts w:asciiTheme="minorHAnsi" w:hAnsiTheme="minorHAnsi"/>
                <w:b/>
                <w:sz w:val="20"/>
                <w:szCs w:val="20"/>
              </w:rPr>
            </w:pPr>
            <w:r w:rsidRPr="0098314C">
              <w:rPr>
                <w:rFonts w:asciiTheme="minorHAnsi" w:hAnsiTheme="minorHAnsi"/>
                <w:b/>
                <w:sz w:val="20"/>
                <w:szCs w:val="20"/>
              </w:rPr>
              <w:t>Program</w:t>
            </w:r>
          </w:p>
        </w:tc>
        <w:tc>
          <w:tcPr>
            <w:tcW w:w="1087" w:type="pct"/>
            <w:tcBorders>
              <w:top w:val="single" w:sz="8" w:space="0" w:color="4F81BD"/>
              <w:bottom w:val="single" w:sz="8" w:space="0" w:color="4F81BD"/>
            </w:tcBorders>
            <w:shd w:val="clear" w:color="auto" w:fill="auto"/>
          </w:tcPr>
          <w:p w14:paraId="7B8624DE" w14:textId="77777777" w:rsidR="008B67F3" w:rsidRPr="0098314C" w:rsidRDefault="008B67F3" w:rsidP="0098314C">
            <w:pPr>
              <w:keepNext/>
              <w:jc w:val="right"/>
              <w:rPr>
                <w:rFonts w:asciiTheme="minorHAnsi" w:hAnsiTheme="minorHAnsi"/>
                <w:b/>
                <w:sz w:val="20"/>
                <w:szCs w:val="20"/>
              </w:rPr>
            </w:pPr>
            <w:r w:rsidRPr="0098314C">
              <w:rPr>
                <w:rFonts w:asciiTheme="minorHAnsi" w:hAnsiTheme="minorHAnsi"/>
                <w:b/>
                <w:sz w:val="20"/>
                <w:szCs w:val="20"/>
              </w:rPr>
              <w:t>Expenditure</w:t>
            </w:r>
          </w:p>
        </w:tc>
      </w:tr>
      <w:tr w:rsidR="008B67F3" w:rsidRPr="00C917E2" w14:paraId="00E0B695" w14:textId="77777777" w:rsidTr="00B962C0">
        <w:tc>
          <w:tcPr>
            <w:tcW w:w="3913" w:type="pct"/>
            <w:shd w:val="clear" w:color="auto" w:fill="auto"/>
          </w:tcPr>
          <w:p w14:paraId="38794646" w14:textId="77777777" w:rsidR="008B67F3" w:rsidRPr="00C917E2" w:rsidRDefault="008B67F3" w:rsidP="002871AE">
            <w:pPr>
              <w:keepNext/>
              <w:spacing w:after="0"/>
              <w:rPr>
                <w:rFonts w:asciiTheme="minorHAnsi" w:hAnsiTheme="minorHAnsi"/>
                <w:b/>
                <w:sz w:val="20"/>
                <w:szCs w:val="20"/>
              </w:rPr>
            </w:pPr>
            <w:r w:rsidRPr="00C917E2">
              <w:rPr>
                <w:rFonts w:asciiTheme="minorHAnsi" w:hAnsiTheme="minorHAnsi"/>
                <w:b/>
                <w:sz w:val="20"/>
                <w:szCs w:val="20"/>
              </w:rPr>
              <w:t>Expenditure on Maternal, Neonatal and Child Health,</w:t>
            </w:r>
            <w:r w:rsidRPr="00C917E2" w:rsidDel="002871AE">
              <w:rPr>
                <w:rFonts w:asciiTheme="minorHAnsi" w:hAnsiTheme="minorHAnsi"/>
                <w:b/>
                <w:sz w:val="20"/>
                <w:szCs w:val="20"/>
              </w:rPr>
              <w:t xml:space="preserve"> </w:t>
            </w:r>
            <w:r w:rsidRPr="00C917E2">
              <w:rPr>
                <w:rFonts w:asciiTheme="minorHAnsi" w:hAnsiTheme="minorHAnsi"/>
                <w:b/>
                <w:sz w:val="20"/>
                <w:szCs w:val="20"/>
              </w:rPr>
              <w:t>and Nutrition</w:t>
            </w:r>
          </w:p>
        </w:tc>
        <w:tc>
          <w:tcPr>
            <w:tcW w:w="1087" w:type="pct"/>
            <w:tcBorders>
              <w:left w:val="nil"/>
              <w:right w:val="nil"/>
            </w:tcBorders>
            <w:shd w:val="clear" w:color="auto" w:fill="auto"/>
          </w:tcPr>
          <w:p w14:paraId="1F89B490" w14:textId="77777777" w:rsidR="008B67F3" w:rsidRPr="00C917E2" w:rsidRDefault="008B67F3" w:rsidP="007F14FB">
            <w:pPr>
              <w:keepNext/>
              <w:spacing w:after="0"/>
              <w:jc w:val="right"/>
              <w:rPr>
                <w:rFonts w:asciiTheme="minorHAnsi" w:hAnsiTheme="minorHAnsi"/>
                <w:b/>
                <w:sz w:val="20"/>
                <w:szCs w:val="20"/>
              </w:rPr>
            </w:pPr>
            <w:r w:rsidRPr="00C917E2">
              <w:rPr>
                <w:rFonts w:asciiTheme="minorHAnsi" w:hAnsiTheme="minorHAnsi"/>
                <w:b/>
                <w:sz w:val="20"/>
                <w:szCs w:val="20"/>
              </w:rPr>
              <w:t>42.8</w:t>
            </w:r>
          </w:p>
        </w:tc>
      </w:tr>
      <w:tr w:rsidR="008B67F3" w:rsidRPr="00C917E2" w14:paraId="4B318F35" w14:textId="77777777" w:rsidTr="00B962C0">
        <w:tc>
          <w:tcPr>
            <w:tcW w:w="3913" w:type="pct"/>
            <w:shd w:val="clear" w:color="auto" w:fill="auto"/>
          </w:tcPr>
          <w:p w14:paraId="47C9236E" w14:textId="77777777" w:rsidR="008B67F3" w:rsidRPr="00B962C0" w:rsidRDefault="008B67F3" w:rsidP="007F14FB">
            <w:pPr>
              <w:keepNext/>
              <w:spacing w:after="0"/>
              <w:ind w:left="426"/>
              <w:rPr>
                <w:rFonts w:asciiTheme="minorHAnsi" w:hAnsiTheme="minorHAnsi"/>
                <w:sz w:val="20"/>
                <w:szCs w:val="20"/>
              </w:rPr>
            </w:pPr>
            <w:r w:rsidRPr="00B962C0">
              <w:rPr>
                <w:rFonts w:asciiTheme="minorHAnsi" w:hAnsiTheme="minorHAnsi"/>
                <w:sz w:val="20"/>
                <w:szCs w:val="20"/>
              </w:rPr>
              <w:t xml:space="preserve">Program </w:t>
            </w:r>
            <w:r w:rsidR="00B962C0" w:rsidRPr="00B962C0">
              <w:rPr>
                <w:rFonts w:asciiTheme="minorHAnsi" w:hAnsiTheme="minorHAnsi"/>
                <w:sz w:val="20"/>
                <w:szCs w:val="20"/>
              </w:rPr>
              <w:t>interventions</w:t>
            </w:r>
          </w:p>
        </w:tc>
        <w:tc>
          <w:tcPr>
            <w:tcW w:w="1087" w:type="pct"/>
            <w:tcBorders>
              <w:left w:val="nil"/>
              <w:right w:val="nil"/>
            </w:tcBorders>
            <w:shd w:val="clear" w:color="auto" w:fill="auto"/>
          </w:tcPr>
          <w:p w14:paraId="0A6120BC" w14:textId="77777777" w:rsidR="008B67F3" w:rsidRPr="00B962C0" w:rsidRDefault="008B67F3" w:rsidP="007F14FB">
            <w:pPr>
              <w:keepNext/>
              <w:spacing w:after="0"/>
              <w:jc w:val="right"/>
              <w:rPr>
                <w:rFonts w:asciiTheme="minorHAnsi" w:hAnsiTheme="minorHAnsi"/>
                <w:sz w:val="20"/>
                <w:szCs w:val="20"/>
              </w:rPr>
            </w:pPr>
            <w:r w:rsidRPr="00B962C0">
              <w:rPr>
                <w:rFonts w:asciiTheme="minorHAnsi" w:hAnsiTheme="minorHAnsi"/>
                <w:sz w:val="20"/>
                <w:szCs w:val="20"/>
              </w:rPr>
              <w:t>7.3</w:t>
            </w:r>
          </w:p>
        </w:tc>
      </w:tr>
      <w:tr w:rsidR="008B67F3" w:rsidRPr="00C917E2" w14:paraId="3991F43D" w14:textId="77777777" w:rsidTr="00B962C0">
        <w:tc>
          <w:tcPr>
            <w:tcW w:w="3913" w:type="pct"/>
            <w:shd w:val="clear" w:color="auto" w:fill="auto"/>
          </w:tcPr>
          <w:p w14:paraId="474FC5F6" w14:textId="77777777" w:rsidR="008B67F3" w:rsidRPr="00B962C0" w:rsidRDefault="008B67F3" w:rsidP="00B962C0">
            <w:pPr>
              <w:keepNext/>
              <w:spacing w:after="0"/>
              <w:ind w:left="426"/>
              <w:rPr>
                <w:rFonts w:asciiTheme="minorHAnsi" w:hAnsiTheme="minorHAnsi"/>
                <w:sz w:val="20"/>
                <w:szCs w:val="20"/>
              </w:rPr>
            </w:pPr>
            <w:r w:rsidRPr="00B962C0">
              <w:rPr>
                <w:rFonts w:asciiTheme="minorHAnsi" w:hAnsiTheme="minorHAnsi"/>
                <w:sz w:val="20"/>
                <w:szCs w:val="20"/>
              </w:rPr>
              <w:t xml:space="preserve">Essential medicine </w:t>
            </w:r>
            <w:r w:rsidR="00B962C0">
              <w:rPr>
                <w:rFonts w:asciiTheme="minorHAnsi" w:hAnsiTheme="minorHAnsi"/>
                <w:sz w:val="20"/>
                <w:szCs w:val="20"/>
              </w:rPr>
              <w:t xml:space="preserve">and </w:t>
            </w:r>
            <w:r w:rsidRPr="00B962C0">
              <w:rPr>
                <w:rFonts w:asciiTheme="minorHAnsi" w:hAnsiTheme="minorHAnsi"/>
                <w:sz w:val="20"/>
                <w:szCs w:val="20"/>
              </w:rPr>
              <w:t>commodities</w:t>
            </w:r>
          </w:p>
        </w:tc>
        <w:tc>
          <w:tcPr>
            <w:tcW w:w="1087" w:type="pct"/>
            <w:shd w:val="clear" w:color="auto" w:fill="auto"/>
          </w:tcPr>
          <w:p w14:paraId="5A6A42CF" w14:textId="77777777" w:rsidR="008B67F3" w:rsidRPr="00B962C0" w:rsidRDefault="008B67F3" w:rsidP="007F14FB">
            <w:pPr>
              <w:keepNext/>
              <w:spacing w:after="0"/>
              <w:jc w:val="right"/>
              <w:rPr>
                <w:rFonts w:asciiTheme="minorHAnsi" w:hAnsiTheme="minorHAnsi"/>
                <w:sz w:val="20"/>
                <w:szCs w:val="20"/>
              </w:rPr>
            </w:pPr>
            <w:r w:rsidRPr="00B962C0">
              <w:rPr>
                <w:rFonts w:asciiTheme="minorHAnsi" w:hAnsiTheme="minorHAnsi"/>
                <w:sz w:val="20"/>
                <w:szCs w:val="20"/>
              </w:rPr>
              <w:t>19.5</w:t>
            </w:r>
          </w:p>
        </w:tc>
      </w:tr>
      <w:tr w:rsidR="008B67F3" w:rsidRPr="00C917E2" w14:paraId="700A0266" w14:textId="77777777" w:rsidTr="00B962C0">
        <w:tc>
          <w:tcPr>
            <w:tcW w:w="3913" w:type="pct"/>
            <w:shd w:val="clear" w:color="auto" w:fill="auto"/>
          </w:tcPr>
          <w:p w14:paraId="2F53975C" w14:textId="77777777" w:rsidR="008B67F3" w:rsidRPr="00B962C0" w:rsidRDefault="008B67F3" w:rsidP="007F14FB">
            <w:pPr>
              <w:keepNext/>
              <w:spacing w:after="0"/>
              <w:ind w:left="426"/>
              <w:rPr>
                <w:rFonts w:asciiTheme="minorHAnsi" w:hAnsiTheme="minorHAnsi"/>
                <w:sz w:val="20"/>
                <w:szCs w:val="20"/>
              </w:rPr>
            </w:pPr>
            <w:r w:rsidRPr="00B962C0">
              <w:rPr>
                <w:rFonts w:asciiTheme="minorHAnsi" w:hAnsiTheme="minorHAnsi"/>
                <w:sz w:val="20"/>
                <w:szCs w:val="20"/>
              </w:rPr>
              <w:t xml:space="preserve">Human </w:t>
            </w:r>
            <w:r w:rsidR="00B962C0" w:rsidRPr="00B962C0">
              <w:rPr>
                <w:rFonts w:asciiTheme="minorHAnsi" w:hAnsiTheme="minorHAnsi"/>
                <w:sz w:val="20"/>
                <w:szCs w:val="20"/>
              </w:rPr>
              <w:t xml:space="preserve">resources </w:t>
            </w:r>
            <w:r w:rsidRPr="00B962C0">
              <w:rPr>
                <w:rFonts w:asciiTheme="minorHAnsi" w:hAnsiTheme="minorHAnsi"/>
                <w:sz w:val="20"/>
                <w:szCs w:val="20"/>
              </w:rPr>
              <w:t>(critical personnel)</w:t>
            </w:r>
          </w:p>
        </w:tc>
        <w:tc>
          <w:tcPr>
            <w:tcW w:w="1087" w:type="pct"/>
            <w:tcBorders>
              <w:left w:val="nil"/>
              <w:right w:val="nil"/>
            </w:tcBorders>
            <w:shd w:val="clear" w:color="auto" w:fill="auto"/>
          </w:tcPr>
          <w:p w14:paraId="34E27E0A" w14:textId="77777777" w:rsidR="008B67F3" w:rsidRPr="00B962C0" w:rsidRDefault="008B67F3" w:rsidP="007F14FB">
            <w:pPr>
              <w:keepNext/>
              <w:spacing w:after="0"/>
              <w:jc w:val="right"/>
              <w:rPr>
                <w:rFonts w:asciiTheme="minorHAnsi" w:hAnsiTheme="minorHAnsi"/>
                <w:sz w:val="20"/>
                <w:szCs w:val="20"/>
              </w:rPr>
            </w:pPr>
            <w:r w:rsidRPr="00B962C0">
              <w:rPr>
                <w:rFonts w:asciiTheme="minorHAnsi" w:hAnsiTheme="minorHAnsi"/>
                <w:sz w:val="20"/>
                <w:szCs w:val="20"/>
              </w:rPr>
              <w:t>7.0</w:t>
            </w:r>
          </w:p>
        </w:tc>
      </w:tr>
      <w:tr w:rsidR="008B67F3" w:rsidRPr="00C917E2" w14:paraId="0C0D9209" w14:textId="77777777" w:rsidTr="00B962C0">
        <w:tc>
          <w:tcPr>
            <w:tcW w:w="3913" w:type="pct"/>
            <w:shd w:val="clear" w:color="auto" w:fill="auto"/>
          </w:tcPr>
          <w:p w14:paraId="4B0AE8CF" w14:textId="77777777" w:rsidR="008B67F3" w:rsidRPr="00B962C0" w:rsidRDefault="008B67F3" w:rsidP="007F14FB">
            <w:pPr>
              <w:keepNext/>
              <w:spacing w:after="0"/>
              <w:ind w:left="426"/>
              <w:rPr>
                <w:rFonts w:asciiTheme="minorHAnsi" w:hAnsiTheme="minorHAnsi"/>
                <w:sz w:val="20"/>
                <w:szCs w:val="20"/>
              </w:rPr>
            </w:pPr>
            <w:r w:rsidRPr="00B962C0">
              <w:rPr>
                <w:rFonts w:asciiTheme="minorHAnsi" w:hAnsiTheme="minorHAnsi"/>
                <w:sz w:val="20"/>
                <w:szCs w:val="20"/>
              </w:rPr>
              <w:t xml:space="preserve">Health </w:t>
            </w:r>
            <w:r w:rsidR="00B962C0" w:rsidRPr="00B962C0">
              <w:rPr>
                <w:rFonts w:asciiTheme="minorHAnsi" w:hAnsiTheme="minorHAnsi"/>
                <w:sz w:val="20"/>
                <w:szCs w:val="20"/>
              </w:rPr>
              <w:t xml:space="preserve">policy and planning </w:t>
            </w:r>
          </w:p>
        </w:tc>
        <w:tc>
          <w:tcPr>
            <w:tcW w:w="1087" w:type="pct"/>
            <w:shd w:val="clear" w:color="auto" w:fill="auto"/>
          </w:tcPr>
          <w:p w14:paraId="7C921A72" w14:textId="77777777" w:rsidR="008B67F3" w:rsidRPr="00B962C0" w:rsidRDefault="008B67F3" w:rsidP="007F14FB">
            <w:pPr>
              <w:keepNext/>
              <w:spacing w:after="0"/>
              <w:jc w:val="right"/>
              <w:rPr>
                <w:rFonts w:asciiTheme="minorHAnsi" w:hAnsiTheme="minorHAnsi"/>
                <w:sz w:val="20"/>
                <w:szCs w:val="20"/>
              </w:rPr>
            </w:pPr>
            <w:r w:rsidRPr="00B962C0">
              <w:rPr>
                <w:rFonts w:asciiTheme="minorHAnsi" w:hAnsiTheme="minorHAnsi"/>
                <w:sz w:val="20"/>
                <w:szCs w:val="20"/>
              </w:rPr>
              <w:t>9.0</w:t>
            </w:r>
          </w:p>
        </w:tc>
      </w:tr>
      <w:tr w:rsidR="008B67F3" w:rsidRPr="00C917E2" w14:paraId="7A9AB1CC" w14:textId="77777777" w:rsidTr="00B962C0">
        <w:tc>
          <w:tcPr>
            <w:tcW w:w="3913" w:type="pct"/>
            <w:tcBorders>
              <w:bottom w:val="single" w:sz="8" w:space="0" w:color="4F81BD"/>
            </w:tcBorders>
            <w:shd w:val="clear" w:color="auto" w:fill="auto"/>
          </w:tcPr>
          <w:p w14:paraId="7FA8183E" w14:textId="77777777" w:rsidR="008B67F3" w:rsidRPr="00C917E2" w:rsidRDefault="008B67F3" w:rsidP="007F14FB">
            <w:pPr>
              <w:keepNext/>
              <w:spacing w:after="0"/>
              <w:rPr>
                <w:rFonts w:asciiTheme="minorHAnsi" w:hAnsiTheme="minorHAnsi"/>
                <w:b/>
                <w:sz w:val="20"/>
                <w:szCs w:val="20"/>
              </w:rPr>
            </w:pPr>
            <w:r w:rsidRPr="00C917E2">
              <w:rPr>
                <w:rFonts w:asciiTheme="minorHAnsi" w:hAnsiTheme="minorHAnsi"/>
                <w:b/>
                <w:sz w:val="20"/>
                <w:szCs w:val="20"/>
              </w:rPr>
              <w:t>Management Support Costs</w:t>
            </w:r>
          </w:p>
        </w:tc>
        <w:tc>
          <w:tcPr>
            <w:tcW w:w="1087" w:type="pct"/>
            <w:tcBorders>
              <w:bottom w:val="single" w:sz="8" w:space="0" w:color="4F81BD"/>
            </w:tcBorders>
            <w:shd w:val="clear" w:color="auto" w:fill="auto"/>
          </w:tcPr>
          <w:p w14:paraId="6EB6EC78" w14:textId="77777777" w:rsidR="008B67F3" w:rsidRPr="00C917E2" w:rsidRDefault="008B67F3" w:rsidP="007F14FB">
            <w:pPr>
              <w:keepNext/>
              <w:spacing w:after="0"/>
              <w:jc w:val="right"/>
              <w:rPr>
                <w:rFonts w:asciiTheme="minorHAnsi" w:hAnsiTheme="minorHAnsi"/>
                <w:b/>
                <w:sz w:val="20"/>
                <w:szCs w:val="20"/>
              </w:rPr>
            </w:pPr>
            <w:r w:rsidRPr="00C917E2">
              <w:rPr>
                <w:rFonts w:asciiTheme="minorHAnsi" w:hAnsiTheme="minorHAnsi"/>
                <w:b/>
                <w:sz w:val="20"/>
                <w:szCs w:val="20"/>
              </w:rPr>
              <w:t>3.0</w:t>
            </w:r>
          </w:p>
        </w:tc>
      </w:tr>
      <w:tr w:rsidR="008B67F3" w:rsidRPr="00C917E2" w14:paraId="0E5E6C21" w14:textId="77777777" w:rsidTr="00B962C0">
        <w:tc>
          <w:tcPr>
            <w:tcW w:w="3913" w:type="pct"/>
            <w:tcBorders>
              <w:top w:val="single" w:sz="8" w:space="0" w:color="4F81BD"/>
              <w:bottom w:val="single" w:sz="8" w:space="0" w:color="4F81BD"/>
            </w:tcBorders>
            <w:shd w:val="clear" w:color="auto" w:fill="auto"/>
          </w:tcPr>
          <w:p w14:paraId="1BA3E934" w14:textId="77777777" w:rsidR="008B67F3" w:rsidRPr="00C917E2" w:rsidRDefault="008B67F3" w:rsidP="007F14FB">
            <w:pPr>
              <w:keepNext/>
              <w:spacing w:after="0"/>
              <w:rPr>
                <w:rFonts w:asciiTheme="minorHAnsi" w:hAnsiTheme="minorHAnsi"/>
                <w:b/>
                <w:sz w:val="20"/>
                <w:szCs w:val="20"/>
              </w:rPr>
            </w:pPr>
            <w:r w:rsidRPr="00C917E2">
              <w:rPr>
                <w:rFonts w:asciiTheme="minorHAnsi" w:hAnsiTheme="minorHAnsi"/>
                <w:b/>
                <w:sz w:val="20"/>
                <w:szCs w:val="20"/>
              </w:rPr>
              <w:t>Total Expenditure</w:t>
            </w:r>
          </w:p>
        </w:tc>
        <w:tc>
          <w:tcPr>
            <w:tcW w:w="1087" w:type="pct"/>
            <w:tcBorders>
              <w:top w:val="single" w:sz="8" w:space="0" w:color="4F81BD"/>
              <w:left w:val="nil"/>
              <w:bottom w:val="single" w:sz="8" w:space="0" w:color="4F81BD"/>
              <w:right w:val="nil"/>
            </w:tcBorders>
            <w:shd w:val="clear" w:color="auto" w:fill="auto"/>
          </w:tcPr>
          <w:p w14:paraId="7A3640BC" w14:textId="77777777" w:rsidR="008B67F3" w:rsidRPr="00C917E2" w:rsidRDefault="008B67F3" w:rsidP="007F14FB">
            <w:pPr>
              <w:keepNext/>
              <w:spacing w:after="0"/>
              <w:jc w:val="right"/>
              <w:rPr>
                <w:rFonts w:asciiTheme="minorHAnsi" w:hAnsiTheme="minorHAnsi"/>
                <w:b/>
                <w:sz w:val="20"/>
                <w:szCs w:val="20"/>
              </w:rPr>
            </w:pPr>
            <w:r w:rsidRPr="00C917E2">
              <w:rPr>
                <w:rFonts w:asciiTheme="minorHAnsi" w:hAnsiTheme="minorHAnsi"/>
                <w:b/>
                <w:sz w:val="20"/>
                <w:szCs w:val="20"/>
              </w:rPr>
              <w:t>45.9</w:t>
            </w:r>
          </w:p>
        </w:tc>
      </w:tr>
    </w:tbl>
    <w:p w14:paraId="5766DCF8" w14:textId="77777777" w:rsidR="008B67F3" w:rsidRDefault="008B67F3" w:rsidP="00AF2D6D">
      <w:pPr>
        <w:pStyle w:val="Source"/>
      </w:pPr>
      <w:r w:rsidRPr="00C917E2">
        <w:t xml:space="preserve"> </w:t>
      </w:r>
      <w:r w:rsidRPr="00E94700">
        <w:rPr>
          <w:i/>
        </w:rPr>
        <w:t>Source:</w:t>
      </w:r>
      <w:r w:rsidRPr="00C917E2">
        <w:t xml:space="preserve"> HTF Annual Report 2013</w:t>
      </w:r>
      <w:r w:rsidR="006B2D5F">
        <w:t>.</w:t>
      </w:r>
    </w:p>
    <w:p w14:paraId="368F386C" w14:textId="4C2C0121" w:rsidR="009F5C7E" w:rsidRPr="00C917E2" w:rsidRDefault="009F5C7E" w:rsidP="00B41DDA">
      <w:pPr>
        <w:pStyle w:val="Numberpara"/>
      </w:pPr>
      <w:r>
        <w:t>Findings of the</w:t>
      </w:r>
      <w:r w:rsidRPr="009B289F">
        <w:t xml:space="preserve"> Mid-Term Review of the HTF</w:t>
      </w:r>
      <w:r w:rsidR="00D129BC">
        <w:t xml:space="preserve"> by the Liverpool School of Tropical Medicine</w:t>
      </w:r>
      <w:r>
        <w:t xml:space="preserve"> (November 2014) notes</w:t>
      </w:r>
      <w:r w:rsidRPr="009B289F">
        <w:t xml:space="preserve"> that the </w:t>
      </w:r>
      <w:r>
        <w:t>fund supported a critical</w:t>
      </w:r>
      <w:r w:rsidRPr="009B289F">
        <w:t xml:space="preserve"> supply side</w:t>
      </w:r>
      <w:r>
        <w:t xml:space="preserve"> interventions </w:t>
      </w:r>
      <w:r w:rsidRPr="009B289F">
        <w:t>which helped restore the availability and increase coverage of essential services, increase the uptake of the services</w:t>
      </w:r>
      <w:r w:rsidR="004E4541">
        <w:t>,</w:t>
      </w:r>
      <w:r w:rsidRPr="009B289F">
        <w:t xml:space="preserve"> </w:t>
      </w:r>
      <w:r w:rsidR="004E4541">
        <w:t xml:space="preserve">and </w:t>
      </w:r>
      <w:r w:rsidRPr="009B289F">
        <w:t xml:space="preserve">improve mortality outcomes. The review identified the fund’s direct effect on output level results such as </w:t>
      </w:r>
      <w:r>
        <w:t xml:space="preserve">the </w:t>
      </w:r>
      <w:r w:rsidRPr="009B289F">
        <w:t>numerical adequacy of health personnel</w:t>
      </w:r>
      <w:r w:rsidR="004E4541">
        <w:t>,</w:t>
      </w:r>
      <w:r w:rsidRPr="009B289F">
        <w:t xml:space="preserve"> particularly midwives and doctors</w:t>
      </w:r>
      <w:r>
        <w:t>;</w:t>
      </w:r>
      <w:r w:rsidRPr="009B289F">
        <w:t xml:space="preserve"> and </w:t>
      </w:r>
      <w:r w:rsidR="004E4541" w:rsidRPr="009B289F">
        <w:t>village health workers</w:t>
      </w:r>
      <w:r w:rsidRPr="009B289F">
        <w:t>, functionality of Health Centre Committees and medicine availability in health cent</w:t>
      </w:r>
      <w:r w:rsidR="004E4541">
        <w:t>e</w:t>
      </w:r>
      <w:r w:rsidRPr="009B289F">
        <w:t xml:space="preserve">rs. Although it is acknowledged that results at the outcome and impact level </w:t>
      </w:r>
      <w:r>
        <w:t xml:space="preserve">that have recently been witnessed in the sector </w:t>
      </w:r>
      <w:r w:rsidRPr="009B289F">
        <w:t>have resulted from the collective efforts of several actors and interventions, the HTF</w:t>
      </w:r>
      <w:r w:rsidR="00F23C71">
        <w:t xml:space="preserve"> made a contribution</w:t>
      </w:r>
      <w:r w:rsidRPr="009B289F">
        <w:t xml:space="preserve"> to the</w:t>
      </w:r>
      <w:r>
        <w:t>se gains</w:t>
      </w:r>
      <w:r w:rsidR="00F23C71">
        <w:t>.</w:t>
      </w:r>
      <w:r w:rsidRPr="009B289F">
        <w:t xml:space="preserve"> The review estimated that at least 8,100 lives of </w:t>
      </w:r>
      <w:r w:rsidR="004E4541">
        <w:t xml:space="preserve">under-fives </w:t>
      </w:r>
      <w:r w:rsidRPr="009B289F">
        <w:t xml:space="preserve">were saved and at least 3,100 maternal deaths </w:t>
      </w:r>
      <w:r>
        <w:t xml:space="preserve">were </w:t>
      </w:r>
      <w:r w:rsidRPr="009B289F">
        <w:t xml:space="preserve">averted as a result of the intervention. </w:t>
      </w:r>
    </w:p>
    <w:p w14:paraId="2037EBAA" w14:textId="77777777" w:rsidR="00383817" w:rsidRPr="00C917E2" w:rsidRDefault="00383817" w:rsidP="00383817">
      <w:pPr>
        <w:pStyle w:val="Heading4"/>
      </w:pPr>
      <w:r w:rsidRPr="00C917E2">
        <w:t>Results-Based Financing Project: Incentive Pay to Increase Quality in Service Delivery</w:t>
      </w:r>
    </w:p>
    <w:p w14:paraId="1C589CDF" w14:textId="77777777" w:rsidR="00383817" w:rsidRPr="00C917E2" w:rsidRDefault="00383817" w:rsidP="00D37198">
      <w:pPr>
        <w:pStyle w:val="Numberpara"/>
      </w:pPr>
      <w:r w:rsidRPr="00C917E2">
        <w:t>Also with a focus on MCH, the RBF Program, supported by the World Bank</w:t>
      </w:r>
      <w:r w:rsidRPr="00C917E2">
        <w:rPr>
          <w:rStyle w:val="EndnoteReference"/>
        </w:rPr>
        <w:endnoteReference w:id="79"/>
      </w:r>
      <w:r w:rsidRPr="00C917E2">
        <w:t xml:space="preserve"> and implemented in partnership with the MOHCC, shows promising signs of contributing to efficiency in financing high-impact behavioral interventions. The program incentivizes health providers based on achiev</w:t>
      </w:r>
      <w:r w:rsidR="003C591D">
        <w:t>ing</w:t>
      </w:r>
      <w:r w:rsidRPr="00C917E2">
        <w:t xml:space="preserve"> predefined outputs and quality of health care. It started as a pilot project in 18 rural districts, covering roughly 30 percent of the population; it is now being scaled up nationwide at the primary care level through funding from the HTF. However, even after that, user fees will remain in force at the secondary level in HTF-funded districts due to resource limitations. </w:t>
      </w:r>
    </w:p>
    <w:p w14:paraId="0E86CEC3" w14:textId="77777777" w:rsidR="00383817" w:rsidRPr="00C917E2" w:rsidRDefault="00383817" w:rsidP="00D37198">
      <w:pPr>
        <w:pStyle w:val="Numberpara"/>
      </w:pPr>
      <w:r w:rsidRPr="00C917E2">
        <w:lastRenderedPageBreak/>
        <w:t>Initial results of the RBF impact evaluation provide evidence of gains in select health indicators and quality of clinical processes in the RBF districts over and above the general improvements countrywide (as reflected in the MICS). RBF led to significant positive impacts in quantity and quality of care for most of the indicators tested (Table A1 in Annex 1). A higher share of women in 16 RBF districts received a full package of ANC services including tetanus shots, urine tests, and blood tests. As a result of the RBF program, the institutional delivery rate increased by 14 percentage points, and receipt of tetanus vaccine and collection of urine samples during ANC increased respectively by 8 and 15 percentage points (</w:t>
      </w:r>
      <w:r w:rsidR="00C713A9" w:rsidRPr="00C917E2">
        <w:fldChar w:fldCharType="begin"/>
      </w:r>
      <w:r w:rsidR="00A661F8" w:rsidRPr="00C917E2">
        <w:instrText xml:space="preserve"> REF _Ref414596722 \h </w:instrText>
      </w:r>
      <w:r w:rsidR="00C713A9" w:rsidRPr="00C917E2">
        <w:fldChar w:fldCharType="separate"/>
      </w:r>
      <w:r w:rsidR="003732A2" w:rsidRPr="00C917E2">
        <w:t xml:space="preserve">Table </w:t>
      </w:r>
      <w:r w:rsidR="003732A2">
        <w:rPr>
          <w:noProof/>
        </w:rPr>
        <w:t>7</w:t>
      </w:r>
      <w:r w:rsidR="00C713A9" w:rsidRPr="00C917E2">
        <w:fldChar w:fldCharType="end"/>
      </w:r>
      <w:r w:rsidRPr="00C917E2">
        <w:t xml:space="preserve">). </w:t>
      </w:r>
    </w:p>
    <w:p w14:paraId="64B6C7B5" w14:textId="77777777" w:rsidR="00383817" w:rsidRPr="00C917E2" w:rsidRDefault="00383817" w:rsidP="00383817">
      <w:pPr>
        <w:pStyle w:val="Table"/>
      </w:pPr>
      <w:bookmarkStart w:id="192" w:name="_Ref414596722"/>
      <w:bookmarkStart w:id="193" w:name="_Toc419004075"/>
      <w:r w:rsidRPr="00C917E2">
        <w:t xml:space="preserve">Table </w:t>
      </w:r>
      <w:r w:rsidR="00113462">
        <w:fldChar w:fldCharType="begin"/>
      </w:r>
      <w:r w:rsidR="00113462">
        <w:instrText xml:space="preserve"> SEQ Table \* ARABIC </w:instrText>
      </w:r>
      <w:r w:rsidR="00113462">
        <w:fldChar w:fldCharType="separate"/>
      </w:r>
      <w:r w:rsidR="003732A2">
        <w:rPr>
          <w:noProof/>
        </w:rPr>
        <w:t>7</w:t>
      </w:r>
      <w:r w:rsidR="00113462">
        <w:rPr>
          <w:noProof/>
        </w:rPr>
        <w:fldChar w:fldCharType="end"/>
      </w:r>
      <w:bookmarkEnd w:id="192"/>
      <w:r w:rsidRPr="00C917E2">
        <w:t xml:space="preserve"> Impact of RBF Pilot on Key Maternal Health Care Services</w:t>
      </w:r>
      <w:bookmarkEnd w:id="193"/>
    </w:p>
    <w:tbl>
      <w:tblPr>
        <w:tblStyle w:val="LightShading"/>
        <w:tblW w:w="8990" w:type="dxa"/>
        <w:jc w:val="center"/>
        <w:tblLook w:val="0600" w:firstRow="0" w:lastRow="0" w:firstColumn="0" w:lastColumn="0" w:noHBand="1" w:noVBand="1"/>
      </w:tblPr>
      <w:tblGrid>
        <w:gridCol w:w="6506"/>
        <w:gridCol w:w="1213"/>
        <w:gridCol w:w="1271"/>
      </w:tblGrid>
      <w:tr w:rsidR="00383817" w:rsidRPr="00C917E2" w14:paraId="49941C65" w14:textId="77777777" w:rsidTr="00E376A8">
        <w:trPr>
          <w:cantSplit/>
          <w:jc w:val="center"/>
        </w:trPr>
        <w:tc>
          <w:tcPr>
            <w:tcW w:w="6506" w:type="dxa"/>
            <w:tcBorders>
              <w:top w:val="single" w:sz="8" w:space="0" w:color="000000" w:themeColor="text1"/>
              <w:bottom w:val="single" w:sz="4" w:space="0" w:color="auto"/>
            </w:tcBorders>
            <w:hideMark/>
          </w:tcPr>
          <w:p w14:paraId="531865C9" w14:textId="77777777" w:rsidR="00383817" w:rsidRPr="00C917E2" w:rsidRDefault="00383817" w:rsidP="00E376A8">
            <w:pPr>
              <w:spacing w:after="0"/>
              <w:rPr>
                <w:rFonts w:asciiTheme="minorHAnsi" w:hAnsiTheme="minorHAnsi"/>
                <w:sz w:val="20"/>
              </w:rPr>
            </w:pPr>
            <w:r w:rsidRPr="00C917E2">
              <w:rPr>
                <w:rFonts w:asciiTheme="minorHAnsi" w:hAnsiTheme="minorHAnsi"/>
                <w:b/>
                <w:bCs/>
                <w:sz w:val="20"/>
              </w:rPr>
              <w:t>Outcome</w:t>
            </w:r>
          </w:p>
        </w:tc>
        <w:tc>
          <w:tcPr>
            <w:tcW w:w="1213" w:type="dxa"/>
            <w:tcBorders>
              <w:top w:val="single" w:sz="8" w:space="0" w:color="000000" w:themeColor="text1"/>
              <w:bottom w:val="single" w:sz="4" w:space="0" w:color="auto"/>
            </w:tcBorders>
            <w:hideMark/>
          </w:tcPr>
          <w:p w14:paraId="6A05B399" w14:textId="77777777" w:rsidR="00383817" w:rsidRPr="00C917E2" w:rsidRDefault="00383817" w:rsidP="003C591D">
            <w:pPr>
              <w:spacing w:after="0"/>
              <w:jc w:val="center"/>
              <w:rPr>
                <w:rFonts w:asciiTheme="minorHAnsi" w:hAnsiTheme="minorHAnsi"/>
                <w:sz w:val="20"/>
              </w:rPr>
            </w:pPr>
            <w:r w:rsidRPr="00C917E2">
              <w:rPr>
                <w:rFonts w:asciiTheme="minorHAnsi" w:hAnsiTheme="minorHAnsi"/>
                <w:b/>
                <w:bCs/>
                <w:sz w:val="20"/>
              </w:rPr>
              <w:t>Impact</w:t>
            </w:r>
            <w:r w:rsidR="003C591D">
              <w:rPr>
                <w:rFonts w:asciiTheme="minorHAnsi" w:hAnsiTheme="minorHAnsi"/>
                <w:b/>
                <w:bCs/>
                <w:sz w:val="20"/>
              </w:rPr>
              <w:t xml:space="preserve"> </w:t>
            </w:r>
            <w:r w:rsidRPr="00C917E2">
              <w:rPr>
                <w:rFonts w:asciiTheme="minorHAnsi" w:hAnsiTheme="minorHAnsi"/>
                <w:b/>
                <w:bCs/>
                <w:sz w:val="20"/>
              </w:rPr>
              <w:t>(</w:t>
            </w:r>
            <w:r w:rsidR="00E376A8" w:rsidRPr="00C917E2">
              <w:rPr>
                <w:rFonts w:asciiTheme="minorHAnsi" w:hAnsiTheme="minorHAnsi"/>
                <w:b/>
                <w:bCs/>
                <w:sz w:val="20"/>
              </w:rPr>
              <w:t>pp</w:t>
            </w:r>
            <w:r w:rsidRPr="00C917E2">
              <w:rPr>
                <w:rFonts w:asciiTheme="minorHAnsi" w:hAnsiTheme="minorHAnsi"/>
                <w:b/>
                <w:bCs/>
                <w:sz w:val="20"/>
              </w:rPr>
              <w:t>)</w:t>
            </w:r>
          </w:p>
        </w:tc>
        <w:tc>
          <w:tcPr>
            <w:tcW w:w="1271" w:type="dxa"/>
            <w:tcBorders>
              <w:top w:val="single" w:sz="8" w:space="0" w:color="000000" w:themeColor="text1"/>
              <w:bottom w:val="single" w:sz="4" w:space="0" w:color="auto"/>
            </w:tcBorders>
            <w:hideMark/>
          </w:tcPr>
          <w:p w14:paraId="77C7DDC7"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b/>
                <w:bCs/>
                <w:sz w:val="20"/>
              </w:rPr>
              <w:t>P-value</w:t>
            </w:r>
          </w:p>
        </w:tc>
      </w:tr>
      <w:tr w:rsidR="00383817" w:rsidRPr="00C917E2" w14:paraId="33854303" w14:textId="77777777" w:rsidTr="00E376A8">
        <w:trPr>
          <w:cantSplit/>
          <w:jc w:val="center"/>
        </w:trPr>
        <w:tc>
          <w:tcPr>
            <w:tcW w:w="6506" w:type="dxa"/>
            <w:tcBorders>
              <w:top w:val="single" w:sz="4" w:space="0" w:color="auto"/>
            </w:tcBorders>
            <w:hideMark/>
          </w:tcPr>
          <w:p w14:paraId="52122755" w14:textId="77777777" w:rsidR="00383817" w:rsidRPr="00C917E2" w:rsidRDefault="00383817" w:rsidP="00AB5024">
            <w:pPr>
              <w:spacing w:after="0"/>
              <w:rPr>
                <w:rFonts w:asciiTheme="minorHAnsi" w:hAnsiTheme="minorHAnsi"/>
                <w:sz w:val="20"/>
              </w:rPr>
            </w:pPr>
            <w:r w:rsidRPr="00C917E2">
              <w:rPr>
                <w:rFonts w:asciiTheme="minorHAnsi" w:hAnsiTheme="minorHAnsi"/>
                <w:sz w:val="20"/>
              </w:rPr>
              <w:t>Receipt of tetanus vaccine during ANC</w:t>
            </w:r>
          </w:p>
        </w:tc>
        <w:tc>
          <w:tcPr>
            <w:tcW w:w="1213" w:type="dxa"/>
            <w:tcBorders>
              <w:top w:val="single" w:sz="4" w:space="0" w:color="auto"/>
            </w:tcBorders>
            <w:hideMark/>
          </w:tcPr>
          <w:p w14:paraId="1D7BBD26"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sz w:val="20"/>
              </w:rPr>
              <w:t>8</w:t>
            </w:r>
          </w:p>
        </w:tc>
        <w:tc>
          <w:tcPr>
            <w:tcW w:w="1271" w:type="dxa"/>
            <w:tcBorders>
              <w:top w:val="single" w:sz="4" w:space="0" w:color="auto"/>
            </w:tcBorders>
            <w:hideMark/>
          </w:tcPr>
          <w:p w14:paraId="2F142968"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sz w:val="20"/>
              </w:rPr>
              <w:t>0.06</w:t>
            </w:r>
          </w:p>
        </w:tc>
      </w:tr>
      <w:tr w:rsidR="00383817" w:rsidRPr="00C917E2" w14:paraId="0AF4A9CC" w14:textId="77777777" w:rsidTr="00E376A8">
        <w:trPr>
          <w:cantSplit/>
          <w:jc w:val="center"/>
        </w:trPr>
        <w:tc>
          <w:tcPr>
            <w:tcW w:w="6506" w:type="dxa"/>
            <w:hideMark/>
          </w:tcPr>
          <w:p w14:paraId="1A68A7D4" w14:textId="77777777" w:rsidR="00383817" w:rsidRPr="00C917E2" w:rsidRDefault="00383817" w:rsidP="00AB5024">
            <w:pPr>
              <w:spacing w:after="0"/>
              <w:rPr>
                <w:rFonts w:asciiTheme="minorHAnsi" w:hAnsiTheme="minorHAnsi"/>
                <w:sz w:val="20"/>
              </w:rPr>
            </w:pPr>
            <w:r w:rsidRPr="00C917E2">
              <w:rPr>
                <w:rFonts w:asciiTheme="minorHAnsi" w:hAnsiTheme="minorHAnsi"/>
                <w:sz w:val="20"/>
              </w:rPr>
              <w:t>Urine sample collected during ANC</w:t>
            </w:r>
          </w:p>
        </w:tc>
        <w:tc>
          <w:tcPr>
            <w:tcW w:w="1213" w:type="dxa"/>
            <w:hideMark/>
          </w:tcPr>
          <w:p w14:paraId="3BFB2C69"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sz w:val="20"/>
              </w:rPr>
              <w:t>15</w:t>
            </w:r>
          </w:p>
        </w:tc>
        <w:tc>
          <w:tcPr>
            <w:tcW w:w="1271" w:type="dxa"/>
            <w:hideMark/>
          </w:tcPr>
          <w:p w14:paraId="2DE37B0F"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sz w:val="20"/>
              </w:rPr>
              <w:t>0.03</w:t>
            </w:r>
          </w:p>
        </w:tc>
      </w:tr>
      <w:tr w:rsidR="00383817" w:rsidRPr="00C917E2" w14:paraId="234B31EF" w14:textId="77777777" w:rsidTr="00E376A8">
        <w:trPr>
          <w:cantSplit/>
          <w:jc w:val="center"/>
        </w:trPr>
        <w:tc>
          <w:tcPr>
            <w:tcW w:w="6506" w:type="dxa"/>
            <w:hideMark/>
          </w:tcPr>
          <w:p w14:paraId="6722A530" w14:textId="77777777" w:rsidR="00383817" w:rsidRPr="00C917E2" w:rsidRDefault="00383817" w:rsidP="00AB5024">
            <w:pPr>
              <w:spacing w:after="0"/>
              <w:rPr>
                <w:rFonts w:asciiTheme="minorHAnsi" w:hAnsiTheme="minorHAnsi"/>
                <w:sz w:val="20"/>
              </w:rPr>
            </w:pPr>
            <w:r w:rsidRPr="00C917E2">
              <w:rPr>
                <w:rFonts w:asciiTheme="minorHAnsi" w:hAnsiTheme="minorHAnsi"/>
                <w:sz w:val="20"/>
              </w:rPr>
              <w:t>Facility delivery</w:t>
            </w:r>
          </w:p>
        </w:tc>
        <w:tc>
          <w:tcPr>
            <w:tcW w:w="1213" w:type="dxa"/>
            <w:hideMark/>
          </w:tcPr>
          <w:p w14:paraId="3728177A"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sz w:val="20"/>
              </w:rPr>
              <w:t>14</w:t>
            </w:r>
          </w:p>
        </w:tc>
        <w:tc>
          <w:tcPr>
            <w:tcW w:w="1271" w:type="dxa"/>
            <w:hideMark/>
          </w:tcPr>
          <w:p w14:paraId="18197286"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sz w:val="20"/>
              </w:rPr>
              <w:t>0.00</w:t>
            </w:r>
          </w:p>
        </w:tc>
      </w:tr>
      <w:tr w:rsidR="00383817" w:rsidRPr="00C917E2" w14:paraId="3703D353" w14:textId="77777777" w:rsidTr="00E376A8">
        <w:trPr>
          <w:cantSplit/>
          <w:jc w:val="center"/>
        </w:trPr>
        <w:tc>
          <w:tcPr>
            <w:tcW w:w="6506" w:type="dxa"/>
            <w:hideMark/>
          </w:tcPr>
          <w:p w14:paraId="16C75A98" w14:textId="77777777" w:rsidR="00383817" w:rsidRPr="00C917E2" w:rsidRDefault="00383817" w:rsidP="00AB5024">
            <w:pPr>
              <w:spacing w:after="0"/>
              <w:rPr>
                <w:rFonts w:asciiTheme="minorHAnsi" w:hAnsiTheme="minorHAnsi"/>
                <w:sz w:val="20"/>
              </w:rPr>
            </w:pPr>
            <w:r w:rsidRPr="00C917E2">
              <w:rPr>
                <w:rFonts w:asciiTheme="minorHAnsi" w:hAnsiTheme="minorHAnsi"/>
                <w:sz w:val="20"/>
              </w:rPr>
              <w:t>Skilled delivery</w:t>
            </w:r>
          </w:p>
        </w:tc>
        <w:tc>
          <w:tcPr>
            <w:tcW w:w="1213" w:type="dxa"/>
            <w:hideMark/>
          </w:tcPr>
          <w:p w14:paraId="78EB389B"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sz w:val="20"/>
              </w:rPr>
              <w:t>15</w:t>
            </w:r>
          </w:p>
        </w:tc>
        <w:tc>
          <w:tcPr>
            <w:tcW w:w="1271" w:type="dxa"/>
            <w:hideMark/>
          </w:tcPr>
          <w:p w14:paraId="72E785C5"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sz w:val="20"/>
              </w:rPr>
              <w:t>0.00</w:t>
            </w:r>
          </w:p>
        </w:tc>
      </w:tr>
      <w:tr w:rsidR="00383817" w:rsidRPr="00C917E2" w14:paraId="1B6585C3" w14:textId="77777777" w:rsidTr="00E376A8">
        <w:trPr>
          <w:cantSplit/>
          <w:jc w:val="center"/>
        </w:trPr>
        <w:tc>
          <w:tcPr>
            <w:tcW w:w="6506" w:type="dxa"/>
          </w:tcPr>
          <w:p w14:paraId="28CEDB44" w14:textId="77777777" w:rsidR="00383817" w:rsidRPr="00C917E2" w:rsidRDefault="00383817" w:rsidP="00AB5024">
            <w:pPr>
              <w:keepNext/>
              <w:spacing w:after="0"/>
              <w:rPr>
                <w:rFonts w:asciiTheme="minorHAnsi" w:hAnsiTheme="minorHAnsi"/>
                <w:sz w:val="20"/>
              </w:rPr>
            </w:pPr>
            <w:r w:rsidRPr="00C917E2">
              <w:rPr>
                <w:rFonts w:asciiTheme="minorHAnsi" w:hAnsiTheme="minorHAnsi"/>
                <w:sz w:val="20"/>
              </w:rPr>
              <w:t>Health worker correctly manages a child with cough</w:t>
            </w:r>
          </w:p>
        </w:tc>
        <w:tc>
          <w:tcPr>
            <w:tcW w:w="1213" w:type="dxa"/>
          </w:tcPr>
          <w:p w14:paraId="22BE7774"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sz w:val="20"/>
              </w:rPr>
              <w:t>37</w:t>
            </w:r>
          </w:p>
        </w:tc>
        <w:tc>
          <w:tcPr>
            <w:tcW w:w="1271" w:type="dxa"/>
          </w:tcPr>
          <w:p w14:paraId="7FF95602" w14:textId="77777777" w:rsidR="00383817" w:rsidRPr="00C917E2" w:rsidRDefault="00383817" w:rsidP="00AB5024">
            <w:pPr>
              <w:spacing w:after="0"/>
              <w:jc w:val="center"/>
              <w:rPr>
                <w:rFonts w:asciiTheme="minorHAnsi" w:hAnsiTheme="minorHAnsi"/>
                <w:sz w:val="20"/>
              </w:rPr>
            </w:pPr>
            <w:r w:rsidRPr="00C917E2">
              <w:rPr>
                <w:rFonts w:asciiTheme="minorHAnsi" w:hAnsiTheme="minorHAnsi"/>
                <w:sz w:val="20"/>
              </w:rPr>
              <w:t>0.09</w:t>
            </w:r>
          </w:p>
        </w:tc>
      </w:tr>
    </w:tbl>
    <w:p w14:paraId="20C94735" w14:textId="77777777" w:rsidR="00EC35B6" w:rsidRPr="00C917E2" w:rsidRDefault="00EC35B6" w:rsidP="00EC35B6">
      <w:pPr>
        <w:pStyle w:val="Source"/>
      </w:pPr>
      <w:r w:rsidRPr="00E94700">
        <w:rPr>
          <w:i/>
        </w:rPr>
        <w:t>Source:</w:t>
      </w:r>
      <w:r w:rsidRPr="00C917E2">
        <w:t xml:space="preserve"> RBF Project Impact Evaluation 2014, initial results</w:t>
      </w:r>
      <w:r>
        <w:t>.</w:t>
      </w:r>
    </w:p>
    <w:p w14:paraId="64BD8D06" w14:textId="77777777" w:rsidR="00383817" w:rsidRPr="00C917E2" w:rsidRDefault="00383817" w:rsidP="00383817">
      <w:pPr>
        <w:pStyle w:val="Source"/>
      </w:pPr>
      <w:r w:rsidRPr="00E94700">
        <w:rPr>
          <w:i/>
        </w:rPr>
        <w:t>Note:</w:t>
      </w:r>
      <w:r w:rsidRPr="00C917E2">
        <w:t xml:space="preserve"> Data pertain to enumeration areas and health facilities from 16 RBF districts and 16 comparison districts selected for impact evaluation. Impact is relative change in services between RBF and comparison districts expressed </w:t>
      </w:r>
      <w:r w:rsidR="00E376A8">
        <w:t xml:space="preserve">in </w:t>
      </w:r>
      <w:r w:rsidRPr="00C917E2">
        <w:t>percentage points</w:t>
      </w:r>
      <w:r w:rsidR="00E376A8">
        <w:t xml:space="preserve"> (pp)</w:t>
      </w:r>
      <w:r w:rsidRPr="00C917E2">
        <w:t>.</w:t>
      </w:r>
    </w:p>
    <w:p w14:paraId="56D8180A" w14:textId="77777777" w:rsidR="00383817" w:rsidRPr="00C917E2" w:rsidRDefault="00383817" w:rsidP="00D37198">
      <w:pPr>
        <w:pStyle w:val="Numberpara"/>
      </w:pPr>
      <w:r w:rsidRPr="00C917E2">
        <w:t xml:space="preserve">As an example of impact, yearly percentage changes in urine tests receipts during an ANC visit before and after the implementation of RBF were contrasted between RBF sites and non-RBF sites in the control group. The former declining trend was reversed for RBF sites </w:t>
      </w:r>
      <w:r w:rsidR="00E376A8">
        <w:t>but</w:t>
      </w:r>
      <w:r w:rsidR="00E376A8" w:rsidRPr="00C917E2">
        <w:t xml:space="preserve"> </w:t>
      </w:r>
      <w:r w:rsidRPr="00C917E2">
        <w:t>only slowed in the non-RBF group (</w:t>
      </w:r>
      <w:r w:rsidR="00C713A9" w:rsidRPr="00C917E2">
        <w:fldChar w:fldCharType="begin"/>
      </w:r>
      <w:r w:rsidRPr="00C917E2">
        <w:instrText xml:space="preserve"> REF _Ref412017646 \h </w:instrText>
      </w:r>
      <w:r w:rsidR="00C713A9" w:rsidRPr="00C917E2">
        <w:fldChar w:fldCharType="separate"/>
      </w:r>
      <w:r w:rsidR="003732A2">
        <w:rPr>
          <w:b/>
          <w:bCs/>
        </w:rPr>
        <w:t>Error! Reference source not found.</w:t>
      </w:r>
      <w:r w:rsidR="00C713A9" w:rsidRPr="00C917E2">
        <w:fldChar w:fldCharType="end"/>
      </w:r>
      <w:r w:rsidRPr="00C917E2">
        <w:t>).</w:t>
      </w:r>
    </w:p>
    <w:p w14:paraId="3B1F10F3" w14:textId="77777777" w:rsidR="00383817" w:rsidRPr="00C917E2" w:rsidRDefault="00383817" w:rsidP="00383817">
      <w:pPr>
        <w:pStyle w:val="Figure"/>
      </w:pPr>
      <w:bookmarkStart w:id="194" w:name="_Toc419004114"/>
      <w:r w:rsidRPr="00C917E2">
        <w:t xml:space="preserve">Figure </w:t>
      </w:r>
      <w:r w:rsidR="00113462">
        <w:fldChar w:fldCharType="begin"/>
      </w:r>
      <w:r w:rsidR="00113462">
        <w:instrText xml:space="preserve"> SEQ Figure \* ARABIC </w:instrText>
      </w:r>
      <w:r w:rsidR="00113462">
        <w:fldChar w:fldCharType="separate"/>
      </w:r>
      <w:r w:rsidR="003732A2">
        <w:rPr>
          <w:noProof/>
        </w:rPr>
        <w:t>33</w:t>
      </w:r>
      <w:r w:rsidR="00113462">
        <w:rPr>
          <w:noProof/>
        </w:rPr>
        <w:fldChar w:fldCharType="end"/>
      </w:r>
      <w:r w:rsidRPr="00C917E2">
        <w:t xml:space="preserve"> Yearly Differences in Receipt of Urine Test During ANC Care</w:t>
      </w:r>
      <w:bookmarkEnd w:id="194"/>
    </w:p>
    <w:p w14:paraId="31DA0189" w14:textId="77777777" w:rsidR="00383817" w:rsidRPr="00C917E2" w:rsidRDefault="00383817" w:rsidP="00383817">
      <w:pPr>
        <w:keepNext/>
      </w:pPr>
      <w:r w:rsidRPr="00C917E2">
        <w:rPr>
          <w:noProof/>
        </w:rPr>
        <w:drawing>
          <wp:inline distT="0" distB="0" distL="0" distR="0" wp14:anchorId="048CD94A" wp14:editId="2A78AB33">
            <wp:extent cx="4802588" cy="2019632"/>
            <wp:effectExtent l="0" t="0" r="17145" b="19050"/>
            <wp:docPr id="1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Pr="00C917E2">
        <w:t xml:space="preserve"> </w:t>
      </w:r>
    </w:p>
    <w:p w14:paraId="1379B4A5" w14:textId="77777777" w:rsidR="00383817" w:rsidRPr="00C917E2" w:rsidRDefault="00383817" w:rsidP="00383817">
      <w:pPr>
        <w:pStyle w:val="Source"/>
      </w:pPr>
      <w:r w:rsidRPr="00E94700">
        <w:rPr>
          <w:i/>
        </w:rPr>
        <w:t>Source:</w:t>
      </w:r>
      <w:r w:rsidRPr="00C917E2">
        <w:t xml:space="preserve"> RBF Project Impact Evaluation 2014, </w:t>
      </w:r>
      <w:r w:rsidR="00283D74" w:rsidRPr="00C917E2">
        <w:t>initial results</w:t>
      </w:r>
      <w:r w:rsidR="006B2D5F">
        <w:t>.</w:t>
      </w:r>
    </w:p>
    <w:p w14:paraId="3F13E98B" w14:textId="77777777" w:rsidR="00383817" w:rsidRPr="00C917E2" w:rsidRDefault="00383817" w:rsidP="00D37198">
      <w:pPr>
        <w:pStyle w:val="Numberpara"/>
      </w:pPr>
      <w:r w:rsidRPr="00C917E2">
        <w:t>Based on the emerging evidence on the effectiveness of the RBF approach in Zimbabwe, development partners and the MOHCC should consider: expanding the package of services beyond the core MCH package; developing capacity in the MOHCC and MOFED to execute some of the functions related to purchasing and fund holding with a view to</w:t>
      </w:r>
      <w:r w:rsidR="00B72993" w:rsidRPr="00C917E2">
        <w:t xml:space="preserve"> </w:t>
      </w:r>
      <w:r w:rsidRPr="00C917E2">
        <w:t>medium-term opportunities to transfer responsibilities to the government without violating core RBF principles of separating functions; mov</w:t>
      </w:r>
      <w:r w:rsidR="00E376A8">
        <w:t>ing</w:t>
      </w:r>
      <w:r w:rsidRPr="00C917E2">
        <w:t xml:space="preserve"> to a more consolidated pooling system for resources that includes participation of MOFED and creating a virtual purchasing system where development partners commit to a package of services for a defined period of years based on sound costing data; and </w:t>
      </w:r>
      <w:r w:rsidR="00E376A8">
        <w:t xml:space="preserve">taking steps </w:t>
      </w:r>
      <w:r w:rsidRPr="00C917E2">
        <w:t xml:space="preserve">to consolidate </w:t>
      </w:r>
      <w:r w:rsidRPr="00C917E2">
        <w:lastRenderedPageBreak/>
        <w:t>some of the technical support and oversight functions to ensure coordinat</w:t>
      </w:r>
      <w:r w:rsidR="00E376A8">
        <w:t>ion</w:t>
      </w:r>
      <w:r w:rsidRPr="00C917E2">
        <w:t xml:space="preserve"> </w:t>
      </w:r>
      <w:r w:rsidR="00E376A8">
        <w:t xml:space="preserve">in these areas for </w:t>
      </w:r>
      <w:r w:rsidRPr="00C917E2">
        <w:t>the scale-up program by development partners.</w:t>
      </w:r>
      <w:r w:rsidRPr="00C917E2">
        <w:rPr>
          <w:rStyle w:val="EndnoteReference"/>
        </w:rPr>
        <w:endnoteReference w:id="80"/>
      </w:r>
      <w:r w:rsidRPr="00C917E2">
        <w:t xml:space="preserve"> </w:t>
      </w:r>
    </w:p>
    <w:p w14:paraId="79F35DE6" w14:textId="77777777" w:rsidR="008B67F3" w:rsidRPr="00C917E2" w:rsidRDefault="008B67F3" w:rsidP="00226FA8">
      <w:pPr>
        <w:pStyle w:val="Heading2"/>
      </w:pPr>
      <w:bookmarkStart w:id="195" w:name="_Toc401030261"/>
      <w:bookmarkStart w:id="196" w:name="_Toc419004018"/>
      <w:r w:rsidRPr="00C917E2">
        <w:t>3.3 Private Health Expenditure</w:t>
      </w:r>
      <w:bookmarkEnd w:id="195"/>
      <w:bookmarkEnd w:id="196"/>
    </w:p>
    <w:p w14:paraId="086629AF" w14:textId="77777777" w:rsidR="008B67F3" w:rsidRPr="00C917E2" w:rsidRDefault="008B67F3" w:rsidP="00D37198">
      <w:pPr>
        <w:pStyle w:val="Numberpara"/>
      </w:pPr>
      <w:r w:rsidRPr="00C917E2">
        <w:t xml:space="preserve">The NHA 2001 and 2010 indicate that private sources account for a large share of total health expenditure in Zimbabwe. Major sources of private health spending include households through direct OOP payment and private prepayment schemes, and contributions from the private sector. The first two of these sources </w:t>
      </w:r>
      <w:r w:rsidR="00E376A8">
        <w:t>are</w:t>
      </w:r>
      <w:r w:rsidR="00E376A8" w:rsidRPr="00C917E2">
        <w:t xml:space="preserve"> </w:t>
      </w:r>
      <w:r w:rsidRPr="00C917E2">
        <w:t xml:space="preserve">analyzed within the confines of data constraints. </w:t>
      </w:r>
    </w:p>
    <w:p w14:paraId="5259CC0E" w14:textId="77777777" w:rsidR="008B67F3" w:rsidRPr="00C917E2" w:rsidRDefault="008B67F3" w:rsidP="00320F82">
      <w:pPr>
        <w:pStyle w:val="Heading3"/>
      </w:pPr>
      <w:bookmarkStart w:id="197" w:name="_Toc401030262"/>
      <w:bookmarkStart w:id="198" w:name="_Toc419004019"/>
      <w:r w:rsidRPr="00C917E2">
        <w:t>Household OOP Spending</w:t>
      </w:r>
      <w:bookmarkEnd w:id="197"/>
      <w:bookmarkEnd w:id="198"/>
    </w:p>
    <w:p w14:paraId="59F618BD" w14:textId="77777777" w:rsidR="008B67F3" w:rsidRPr="00C917E2" w:rsidRDefault="008B67F3" w:rsidP="00D37198">
      <w:pPr>
        <w:pStyle w:val="Numberpara"/>
      </w:pPr>
      <w:r w:rsidRPr="00C917E2">
        <w:t>Household OOP spending became a crucial source of health financing in the 1990s when the country started collecting user charges in government health facilities. Over time, OOP spending has climbed steeply, from 10 percent of total health expenditure in the 1980s to 36 percent in 2001 and possibly more in 2010 (NHA).</w:t>
      </w:r>
    </w:p>
    <w:p w14:paraId="511FFAD4" w14:textId="77777777" w:rsidR="008B67F3" w:rsidRPr="00C917E2" w:rsidRDefault="008B67F3" w:rsidP="00D37198">
      <w:pPr>
        <w:pStyle w:val="Numberpara"/>
      </w:pPr>
      <w:r w:rsidRPr="00C917E2">
        <w:t xml:space="preserve">But funding health care OOP is the least desirable of all methods, as it is both inefficient and regressive. Typically, poor households bear a heavier financial burden, relatively, due to their limited resources </w:t>
      </w:r>
      <w:r w:rsidR="000F7559" w:rsidRPr="00C917E2">
        <w:t xml:space="preserve">(although the data do not support the idea that poor people bear a higher burden of </w:t>
      </w:r>
      <w:r w:rsidR="00E76A16">
        <w:t>OOP spending</w:t>
      </w:r>
      <w:r w:rsidR="000F7559" w:rsidRPr="00C917E2">
        <w:t xml:space="preserve">; but </w:t>
      </w:r>
      <w:r w:rsidRPr="00C917E2">
        <w:t>if the cost is beyond their capacity to pay, they forgo necessary services</w:t>
      </w:r>
      <w:r w:rsidR="000F7559" w:rsidRPr="00C917E2">
        <w:t xml:space="preserve"> or seek care in lower-level, cheaper services)</w:t>
      </w:r>
      <w:r w:rsidRPr="00C917E2">
        <w:t xml:space="preserve">. It is therefore important to get a sense of the size of </w:t>
      </w:r>
      <w:r w:rsidR="00E76A16">
        <w:t>OOP spending</w:t>
      </w:r>
      <w:r w:rsidRPr="00C917E2">
        <w:t>, how they are distributed across socioeconomic categories, and how they are related to health-seeking behavior.</w:t>
      </w:r>
    </w:p>
    <w:p w14:paraId="52E66DA2" w14:textId="77777777" w:rsidR="008B67F3" w:rsidRPr="00C917E2" w:rsidRDefault="008B67F3" w:rsidP="00D37198">
      <w:pPr>
        <w:pStyle w:val="Numberpara"/>
      </w:pPr>
      <w:r w:rsidRPr="00C917E2">
        <w:t xml:space="preserve">Outside NHA, analysis of </w:t>
      </w:r>
      <w:r w:rsidR="00E76A16">
        <w:t>OOP spending</w:t>
      </w:r>
      <w:r w:rsidRPr="00C917E2">
        <w:t xml:space="preserve"> must rely on data from PICES, despite its drawbacks (Box 4). </w:t>
      </w:r>
    </w:p>
    <w:p w14:paraId="6D08B8CA" w14:textId="77777777" w:rsidR="008B67F3" w:rsidRPr="00C917E2" w:rsidRDefault="008B67F3" w:rsidP="00DE4A3B">
      <w:pPr>
        <w:pStyle w:val="BOX"/>
      </w:pPr>
      <w:bookmarkStart w:id="199" w:name="_Toc419004054"/>
      <w:r w:rsidRPr="00C917E2">
        <w:t xml:space="preserve">Box </w:t>
      </w:r>
      <w:r w:rsidR="00113462">
        <w:fldChar w:fldCharType="begin"/>
      </w:r>
      <w:r w:rsidR="00113462">
        <w:instrText xml:space="preserve"> SEQ Box \* ARABIC </w:instrText>
      </w:r>
      <w:r w:rsidR="00113462">
        <w:fldChar w:fldCharType="separate"/>
      </w:r>
      <w:r w:rsidR="003732A2">
        <w:rPr>
          <w:noProof/>
        </w:rPr>
        <w:t>4</w:t>
      </w:r>
      <w:r w:rsidR="00113462">
        <w:rPr>
          <w:noProof/>
        </w:rPr>
        <w:fldChar w:fldCharType="end"/>
      </w:r>
      <w:r w:rsidRPr="00C917E2">
        <w:t xml:space="preserve"> Constraints in </w:t>
      </w:r>
      <w:r w:rsidR="002A71DB">
        <w:t xml:space="preserve">the </w:t>
      </w:r>
      <w:r w:rsidR="002A71DB" w:rsidRPr="002A71DB">
        <w:t xml:space="preserve">2011/12 </w:t>
      </w:r>
      <w:r w:rsidRPr="00C917E2">
        <w:t xml:space="preserve">PICES and the </w:t>
      </w:r>
      <w:r w:rsidR="002A71DB">
        <w:t xml:space="preserve">2014 </w:t>
      </w:r>
      <w:r w:rsidRPr="00C917E2">
        <w:t>RBF Midline Survey for Calculating OOP</w:t>
      </w:r>
      <w:r w:rsidR="002A71DB">
        <w:t> </w:t>
      </w:r>
      <w:r w:rsidRPr="00C917E2">
        <w:t>Spending</w:t>
      </w:r>
      <w:bookmarkEnd w:id="199"/>
    </w:p>
    <w:p w14:paraId="02A60E87" w14:textId="77777777" w:rsidR="008B67F3" w:rsidRPr="00C917E2" w:rsidRDefault="00855538" w:rsidP="003B48A9">
      <w:pPr>
        <w:pStyle w:val="Boxtext"/>
        <w:spacing w:after="80"/>
      </w:pPr>
      <w:r>
        <w:t xml:space="preserve">Neither </w:t>
      </w:r>
      <w:r w:rsidR="008B67F3" w:rsidRPr="00C917E2">
        <w:t xml:space="preserve">PICES </w:t>
      </w:r>
      <w:r>
        <w:t xml:space="preserve">nor </w:t>
      </w:r>
      <w:r w:rsidR="008B67F3" w:rsidRPr="00C917E2">
        <w:t>the RBF midline survey provide</w:t>
      </w:r>
      <w:r>
        <w:t>s</w:t>
      </w:r>
      <w:r w:rsidR="008B67F3" w:rsidRPr="00C917E2">
        <w:t xml:space="preserve"> </w:t>
      </w:r>
      <w:r>
        <w:t xml:space="preserve">enough </w:t>
      </w:r>
      <w:r w:rsidR="008B67F3" w:rsidRPr="00C917E2">
        <w:t>information</w:t>
      </w:r>
      <w:r w:rsidR="008B67F3" w:rsidRPr="00C917E2" w:rsidDel="0010687D">
        <w:rPr>
          <w:rStyle w:val="CommentReference"/>
          <w:sz w:val="21"/>
          <w:szCs w:val="21"/>
        </w:rPr>
        <w:t xml:space="preserve"> </w:t>
      </w:r>
      <w:r w:rsidR="008B67F3" w:rsidRPr="00C917E2">
        <w:t>for accurate analysis of OOP spending.</w:t>
      </w:r>
    </w:p>
    <w:p w14:paraId="37880F4F" w14:textId="77777777" w:rsidR="008B67F3" w:rsidRPr="00C917E2" w:rsidRDefault="008B67F3" w:rsidP="003B48A9">
      <w:pPr>
        <w:pStyle w:val="Boxtext"/>
        <w:spacing w:after="80"/>
        <w:rPr>
          <w:b/>
        </w:rPr>
      </w:pPr>
      <w:r w:rsidRPr="00C917E2">
        <w:rPr>
          <w:b/>
        </w:rPr>
        <w:t>PICES</w:t>
      </w:r>
    </w:p>
    <w:p w14:paraId="79C0215D" w14:textId="77777777" w:rsidR="008B67F3" w:rsidRPr="00C917E2" w:rsidRDefault="008B67F3" w:rsidP="003B48A9">
      <w:pPr>
        <w:pStyle w:val="Boxtext"/>
        <w:spacing w:after="80"/>
      </w:pPr>
      <w:r w:rsidRPr="00C917E2">
        <w:t xml:space="preserve">There is a high chance that OOP estimated from PICES data are severely underestimated. Compared with other standard household surveys, which typically provide data to estimate the </w:t>
      </w:r>
      <w:r w:rsidR="00E76A16">
        <w:t>OOP spending</w:t>
      </w:r>
      <w:r w:rsidRPr="00C917E2">
        <w:t xml:space="preserve">, the PICES’s section on health covers only expenditure associated with illness four weeks before survey for which a treatment was sought from a formal establishment (public, private, mission, and farm/mining facilities). It also has only seven questions, and they are limited. The question on expenditure, for example, does not distinguish among different types of payment (for providers, lab tests, bed fees, etc.), which is particularly useful to refresh the respondents’ memory and </w:t>
      </w:r>
      <w:r w:rsidR="002A71DB">
        <w:t xml:space="preserve">to </w:t>
      </w:r>
      <w:r w:rsidRPr="00C917E2">
        <w:t>ensure they do not miss important aspects of health costs. The question on payment for medicines does not clarify if the payment incurred within or outside the health establishment, and so could miss out the purchase of medicine outside the health facility linked to seeking care at the facility (because the facility did not have the drugs when the treatment was sought).</w:t>
      </w:r>
    </w:p>
    <w:p w14:paraId="5ACCF18F" w14:textId="77777777" w:rsidR="008B67F3" w:rsidRPr="00C917E2" w:rsidRDefault="008B67F3" w:rsidP="003B48A9">
      <w:pPr>
        <w:pStyle w:val="Boxtext"/>
        <w:keepNext w:val="0"/>
        <w:spacing w:after="80"/>
      </w:pPr>
      <w:r w:rsidRPr="00C917E2">
        <w:t xml:space="preserve">The 2011/12 PICES missed at least four major items usually needed for </w:t>
      </w:r>
      <w:r w:rsidR="00E76A16">
        <w:t>OOP spending</w:t>
      </w:r>
      <w:r w:rsidRPr="00C917E2">
        <w:t xml:space="preserve">: illness-related payment incurred in the informal sector (drug sellers, healers, etc.); regular treatment of chronic conditions such as diabetes and hypertension drugs; injury, outpatient care, inpatient care, or child birth that happened before the four-week recall period (most surveys capture inpatient care for 6–12 months because hospitalization and child birth are rare events); and purchase of medical equipment and supplies, such as </w:t>
      </w:r>
      <w:r w:rsidR="002A71DB">
        <w:t xml:space="preserve">a </w:t>
      </w:r>
      <w:r w:rsidRPr="00C917E2">
        <w:t xml:space="preserve">blood pressure monitor. </w:t>
      </w:r>
    </w:p>
    <w:p w14:paraId="035BCFB2" w14:textId="77777777" w:rsidR="008B67F3" w:rsidRPr="00C917E2" w:rsidRDefault="008B67F3" w:rsidP="003B48A9">
      <w:pPr>
        <w:pStyle w:val="Boxtext"/>
        <w:keepNext w:val="0"/>
        <w:spacing w:after="80"/>
      </w:pPr>
      <w:r w:rsidRPr="00C917E2">
        <w:lastRenderedPageBreak/>
        <w:t xml:space="preserve">The PER team is not aware of any study that sheds light </w:t>
      </w:r>
      <w:r w:rsidR="002A71DB">
        <w:t>o</w:t>
      </w:r>
      <w:r w:rsidRPr="00C917E2">
        <w:t>n the potential correlation between such undercounting of health expenditure and household socioeconomic status. If one thinks that the poor are more likely to rely on informal sources of care, the undercounting problem can systematically be more serious in the lower income quintile</w:t>
      </w:r>
      <w:r w:rsidR="002A71DB">
        <w:t>s</w:t>
      </w:r>
      <w:r w:rsidRPr="00C917E2">
        <w:t>. This could partly contribute to explaining the low incidence of catastrophic expenditure among the poor relative to the rich in Zimbabwe.</w:t>
      </w:r>
    </w:p>
    <w:p w14:paraId="743BA3D9" w14:textId="77777777" w:rsidR="008B67F3" w:rsidRPr="00C917E2" w:rsidRDefault="008B67F3" w:rsidP="003B48A9">
      <w:pPr>
        <w:pStyle w:val="Boxtext"/>
        <w:spacing w:after="80"/>
        <w:rPr>
          <w:b/>
        </w:rPr>
      </w:pPr>
      <w:r w:rsidRPr="00C917E2">
        <w:rPr>
          <w:b/>
        </w:rPr>
        <w:t>RBF Midline Survey</w:t>
      </w:r>
    </w:p>
    <w:p w14:paraId="2F09A0E9" w14:textId="77777777" w:rsidR="003B48A9" w:rsidRDefault="003B48A9" w:rsidP="003B48A9">
      <w:pPr>
        <w:pStyle w:val="Boxtext"/>
        <w:spacing w:after="80"/>
      </w:pPr>
      <w:r w:rsidRPr="00C917E2">
        <w:t>The</w:t>
      </w:r>
      <w:r>
        <w:t xml:space="preserve"> following</w:t>
      </w:r>
      <w:r w:rsidRPr="00C917E2">
        <w:t xml:space="preserve"> limitations prevented the team from relying on midline survey data for OOP analysis in this report.</w:t>
      </w:r>
    </w:p>
    <w:p w14:paraId="1F6EE5D6" w14:textId="77777777" w:rsidR="008B67F3" w:rsidRPr="00C917E2" w:rsidRDefault="008B67F3" w:rsidP="003B48A9">
      <w:pPr>
        <w:pStyle w:val="Boxtext"/>
        <w:spacing w:after="80"/>
      </w:pPr>
      <w:r w:rsidRPr="00C917E2">
        <w:t xml:space="preserve">The midline impact evaluation survey of the RBF program was conducted in 32 rural districts in all eight provinces. It was based on two surveys: one of 224 facilities comprising all hospitals and rural health centers in the 32 districts; and a sampling survey of 1,836 households that had at least one woman who was pregnant or who had a delivery within the previous two years (2,295 women in all). </w:t>
      </w:r>
    </w:p>
    <w:p w14:paraId="7C73F863" w14:textId="77777777" w:rsidR="008B67F3" w:rsidRPr="00C917E2" w:rsidRDefault="008B67F3" w:rsidP="003B48A9">
      <w:pPr>
        <w:pStyle w:val="Boxtext"/>
        <w:spacing w:after="80"/>
      </w:pPr>
      <w:r w:rsidRPr="00C917E2">
        <w:t>The sampling strategy of the household survey was due to the need to estimate RBF impact on the key RBF outcomes—MCH. This makes the surveyed households in the evaluation different from samples of standard household surveys. Therefore, even though the health utilization and expenditure section of the questionnaire was asked o</w:t>
      </w:r>
      <w:r w:rsidR="003B48A9">
        <w:t>f</w:t>
      </w:r>
      <w:r w:rsidRPr="00C917E2">
        <w:t xml:space="preserve"> all household members, respondents reported an event (an outpatient contact or inpatient hospitalization) more skewed toward women having given birth or small children. These groups may have higher health need</w:t>
      </w:r>
      <w:r w:rsidR="003B48A9">
        <w:t>s</w:t>
      </w:r>
      <w:r w:rsidRPr="00C917E2">
        <w:t xml:space="preserve"> and correspondingly </w:t>
      </w:r>
      <w:r w:rsidR="003B48A9">
        <w:t xml:space="preserve">higher </w:t>
      </w:r>
      <w:r w:rsidRPr="00C917E2">
        <w:t>health expenditure</w:t>
      </w:r>
      <w:r w:rsidR="003B48A9">
        <w:t>s</w:t>
      </w:r>
      <w:r w:rsidRPr="00C917E2">
        <w:t xml:space="preserve"> than the general population. </w:t>
      </w:r>
    </w:p>
    <w:p w14:paraId="080CF045" w14:textId="77777777" w:rsidR="008B67F3" w:rsidRPr="00C917E2" w:rsidRDefault="008B67F3" w:rsidP="003B48A9">
      <w:pPr>
        <w:pStyle w:val="Boxtext"/>
        <w:keepNext w:val="0"/>
        <w:spacing w:after="80"/>
      </w:pPr>
      <w:r w:rsidRPr="00C917E2">
        <w:t xml:space="preserve">Conversely, because roughly half the household sample comes from RBF districts, where contracted facilities are not supposed to collect user fee for services already covered in the RBF benefit package, it could be that the OOP information captured in the survey was on </w:t>
      </w:r>
      <w:r w:rsidR="003B48A9">
        <w:t xml:space="preserve">the </w:t>
      </w:r>
      <w:r w:rsidRPr="00C917E2">
        <w:t xml:space="preserve">low side </w:t>
      </w:r>
      <w:r w:rsidR="003B48A9">
        <w:t xml:space="preserve">relative </w:t>
      </w:r>
      <w:r w:rsidRPr="00C917E2">
        <w:t xml:space="preserve">to </w:t>
      </w:r>
      <w:r w:rsidR="003B48A9">
        <w:t xml:space="preserve">what </w:t>
      </w:r>
      <w:r w:rsidRPr="00C917E2">
        <w:t xml:space="preserve">one would </w:t>
      </w:r>
      <w:r w:rsidR="003B48A9">
        <w:t xml:space="preserve">get in </w:t>
      </w:r>
      <w:r w:rsidRPr="00C917E2">
        <w:t xml:space="preserve">a national survey. Added to these points is that RBF and control districts are only in rural areas, where a larger share of facilities are financed through foreign aid rather than user fees. Finally, an important complication observed from the </w:t>
      </w:r>
      <w:r w:rsidR="003B48A9" w:rsidRPr="003B48A9">
        <w:t xml:space="preserve">initial </w:t>
      </w:r>
      <w:r w:rsidRPr="00C917E2">
        <w:t xml:space="preserve">assessment of the data is that some missing values could be attributed to true nonpaying for services. The Bank’s team is working with the survey firm to find out if it is possible to sort true </w:t>
      </w:r>
      <w:r w:rsidR="003B48A9">
        <w:t>“</w:t>
      </w:r>
      <w:r w:rsidRPr="00C917E2">
        <w:t>zero</w:t>
      </w:r>
      <w:r w:rsidR="003B48A9">
        <w:t>”</w:t>
      </w:r>
      <w:r w:rsidRPr="00C917E2">
        <w:t xml:space="preserve"> payment</w:t>
      </w:r>
      <w:r w:rsidR="003B48A9">
        <w:t>s</w:t>
      </w:r>
      <w:r w:rsidRPr="00C917E2">
        <w:t xml:space="preserve"> from </w:t>
      </w:r>
      <w:r w:rsidR="003B48A9">
        <w:t>“</w:t>
      </w:r>
      <w:r w:rsidRPr="00C917E2">
        <w:t>missing</w:t>
      </w:r>
      <w:r w:rsidR="003B48A9">
        <w:t>”</w:t>
      </w:r>
      <w:r w:rsidRPr="00C917E2">
        <w:t xml:space="preserve"> in the data. </w:t>
      </w:r>
    </w:p>
    <w:p w14:paraId="736A35BE" w14:textId="77777777" w:rsidR="008B67F3" w:rsidRPr="00C917E2" w:rsidRDefault="008B67F3" w:rsidP="00226FA8">
      <w:pPr>
        <w:pStyle w:val="Heading4"/>
      </w:pPr>
      <w:r w:rsidRPr="00C917E2">
        <w:t>PICES Findings</w:t>
      </w:r>
    </w:p>
    <w:p w14:paraId="4C9CC072" w14:textId="77777777" w:rsidR="008B67F3" w:rsidRPr="00C917E2" w:rsidRDefault="008B67F3" w:rsidP="00D37198">
      <w:pPr>
        <w:pStyle w:val="Numberpara"/>
      </w:pPr>
      <w:r w:rsidRPr="00C917E2">
        <w:t xml:space="preserve">The mean OOP </w:t>
      </w:r>
      <w:r w:rsidR="00D6296A">
        <w:t xml:space="preserve">spending </w:t>
      </w:r>
      <w:r w:rsidRPr="00C917E2">
        <w:t xml:space="preserve">by quintile shows very low OOP </w:t>
      </w:r>
      <w:r w:rsidR="00D6296A">
        <w:t xml:space="preserve">spending </w:t>
      </w:r>
      <w:r w:rsidRPr="00C917E2">
        <w:t>and a progressive distribution with a higher OOP share in the household budget in higher quintiles (</w:t>
      </w:r>
      <w:r w:rsidR="00C713A9" w:rsidRPr="00C917E2">
        <w:fldChar w:fldCharType="begin"/>
      </w:r>
      <w:r w:rsidRPr="00C917E2">
        <w:instrText xml:space="preserve"> REF _Ref413157682 \h </w:instrText>
      </w:r>
      <w:r w:rsidR="00C713A9" w:rsidRPr="00C917E2">
        <w:fldChar w:fldCharType="separate"/>
      </w:r>
      <w:r w:rsidR="003732A2" w:rsidRPr="00C917E2">
        <w:t xml:space="preserve">Table </w:t>
      </w:r>
      <w:r w:rsidR="003732A2">
        <w:rPr>
          <w:noProof/>
        </w:rPr>
        <w:t>8</w:t>
      </w:r>
      <w:r w:rsidR="00C713A9" w:rsidRPr="00C917E2">
        <w:fldChar w:fldCharType="end"/>
      </w:r>
      <w:r w:rsidRPr="00C917E2">
        <w:t xml:space="preserve">). </w:t>
      </w:r>
    </w:p>
    <w:p w14:paraId="348FAA29" w14:textId="77777777" w:rsidR="008B67F3" w:rsidRPr="00C917E2" w:rsidRDefault="008B67F3" w:rsidP="00126912">
      <w:pPr>
        <w:pStyle w:val="Table"/>
      </w:pPr>
      <w:bookmarkStart w:id="200" w:name="_Ref413157682"/>
      <w:bookmarkStart w:id="201" w:name="_Toc419004076"/>
      <w:r w:rsidRPr="00C917E2">
        <w:t xml:space="preserve">Table </w:t>
      </w:r>
      <w:r w:rsidR="00113462">
        <w:fldChar w:fldCharType="begin"/>
      </w:r>
      <w:r w:rsidR="00113462">
        <w:instrText xml:space="preserve"> SEQ Table \* ARABIC </w:instrText>
      </w:r>
      <w:r w:rsidR="00113462">
        <w:fldChar w:fldCharType="separate"/>
      </w:r>
      <w:r w:rsidR="003732A2">
        <w:rPr>
          <w:noProof/>
        </w:rPr>
        <w:t>8</w:t>
      </w:r>
      <w:r w:rsidR="00113462">
        <w:rPr>
          <w:noProof/>
        </w:rPr>
        <w:fldChar w:fldCharType="end"/>
      </w:r>
      <w:bookmarkEnd w:id="200"/>
      <w:r w:rsidRPr="00C917E2">
        <w:t xml:space="preserve"> Mean OOP </w:t>
      </w:r>
      <w:r w:rsidR="00E76A16">
        <w:t xml:space="preserve">Spending </w:t>
      </w:r>
      <w:r w:rsidRPr="00C917E2">
        <w:t>by Expenditure Quintile</w:t>
      </w:r>
      <w:bookmarkEnd w:id="201"/>
    </w:p>
    <w:tbl>
      <w:tblPr>
        <w:tblStyle w:val="Trameclaire-Accent13"/>
        <w:tblW w:w="0" w:type="auto"/>
        <w:tblLook w:val="04A0" w:firstRow="1" w:lastRow="0" w:firstColumn="1" w:lastColumn="0" w:noHBand="0" w:noVBand="1"/>
      </w:tblPr>
      <w:tblGrid>
        <w:gridCol w:w="1510"/>
        <w:gridCol w:w="2499"/>
        <w:gridCol w:w="222"/>
        <w:gridCol w:w="3527"/>
      </w:tblGrid>
      <w:tr w:rsidR="008B67F3" w:rsidRPr="00C917E2" w14:paraId="6F192A8A" w14:textId="77777777" w:rsidTr="0064462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067FAB15" w14:textId="77777777" w:rsidR="008B67F3" w:rsidRPr="00C917E2" w:rsidRDefault="008B67F3" w:rsidP="00B379E1">
            <w:pPr>
              <w:keepNext/>
              <w:spacing w:after="0"/>
              <w:rPr>
                <w:rFonts w:asciiTheme="minorHAnsi" w:eastAsia="Times New Roman" w:hAnsiTheme="minorHAnsi" w:cs="Times New Roman"/>
                <w:color w:val="000000"/>
                <w:sz w:val="20"/>
                <w:szCs w:val="20"/>
              </w:rPr>
            </w:pPr>
          </w:p>
        </w:tc>
        <w:tc>
          <w:tcPr>
            <w:tcW w:w="2499" w:type="dxa"/>
            <w:hideMark/>
          </w:tcPr>
          <w:p w14:paraId="6AD30357" w14:textId="77777777" w:rsidR="008B67F3" w:rsidRPr="00C917E2" w:rsidRDefault="008B67F3" w:rsidP="00D258AD">
            <w:pPr>
              <w:keepNext/>
              <w:spacing w:after="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 xml:space="preserve">Mean Expenditure </w:t>
            </w:r>
            <w:r w:rsidR="00D258AD">
              <w:rPr>
                <w:rFonts w:asciiTheme="minorHAnsi" w:eastAsia="Times New Roman" w:hAnsiTheme="minorHAnsi" w:cs="Times New Roman"/>
                <w:color w:val="000000"/>
                <w:sz w:val="20"/>
                <w:szCs w:val="20"/>
              </w:rPr>
              <w:t>(</w:t>
            </w:r>
            <w:r w:rsidRPr="00C917E2">
              <w:rPr>
                <w:rFonts w:asciiTheme="minorHAnsi" w:eastAsia="Times New Roman" w:hAnsiTheme="minorHAnsi" w:cs="Times New Roman"/>
                <w:color w:val="000000"/>
                <w:sz w:val="20"/>
                <w:szCs w:val="20"/>
              </w:rPr>
              <w:t>US$</w:t>
            </w:r>
            <w:r w:rsidR="00D258AD">
              <w:rPr>
                <w:rFonts w:asciiTheme="minorHAnsi" w:eastAsia="Times New Roman" w:hAnsiTheme="minorHAnsi" w:cs="Times New Roman"/>
                <w:color w:val="000000"/>
                <w:sz w:val="20"/>
                <w:szCs w:val="20"/>
              </w:rPr>
              <w:t>)</w:t>
            </w:r>
          </w:p>
        </w:tc>
        <w:tc>
          <w:tcPr>
            <w:tcW w:w="0" w:type="auto"/>
            <w:hideMark/>
          </w:tcPr>
          <w:p w14:paraId="3C342215" w14:textId="77777777" w:rsidR="008B67F3" w:rsidRPr="00C917E2" w:rsidRDefault="008B67F3" w:rsidP="00174999">
            <w:pPr>
              <w:keepNext/>
              <w:spacing w:after="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20"/>
                <w:szCs w:val="20"/>
              </w:rPr>
            </w:pPr>
          </w:p>
        </w:tc>
        <w:tc>
          <w:tcPr>
            <w:tcW w:w="3527" w:type="dxa"/>
            <w:hideMark/>
          </w:tcPr>
          <w:p w14:paraId="370C54AC" w14:textId="77777777" w:rsidR="008B67F3" w:rsidRPr="00C917E2" w:rsidRDefault="008B67F3" w:rsidP="0064462F">
            <w:pPr>
              <w:keepNext/>
              <w:spacing w:after="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 of Household Budget</w:t>
            </w:r>
          </w:p>
        </w:tc>
      </w:tr>
      <w:tr w:rsidR="008B67F3" w:rsidRPr="00C917E2" w14:paraId="6E2D8B48" w14:textId="77777777" w:rsidTr="00DA01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3381EB17" w14:textId="77777777" w:rsidR="008B67F3" w:rsidRPr="00C917E2" w:rsidRDefault="008B67F3" w:rsidP="00174999">
            <w:pPr>
              <w:keepNext/>
              <w:spacing w:after="0"/>
              <w:rPr>
                <w:rFonts w:asciiTheme="minorHAnsi" w:eastAsia="Times New Roman" w:hAnsiTheme="minorHAnsi" w:cs="Times New Roman"/>
                <w:b w:val="0"/>
                <w:color w:val="000000"/>
                <w:sz w:val="20"/>
                <w:szCs w:val="20"/>
              </w:rPr>
            </w:pPr>
            <w:r w:rsidRPr="00C917E2">
              <w:rPr>
                <w:rFonts w:asciiTheme="minorHAnsi" w:eastAsia="Times New Roman" w:hAnsiTheme="minorHAnsi" w:cs="Times New Roman"/>
                <w:b w:val="0"/>
                <w:color w:val="000000"/>
                <w:sz w:val="20"/>
                <w:szCs w:val="20"/>
              </w:rPr>
              <w:t>Poorest quintile</w:t>
            </w:r>
          </w:p>
        </w:tc>
        <w:tc>
          <w:tcPr>
            <w:tcW w:w="2499" w:type="dxa"/>
            <w:shd w:val="clear" w:color="auto" w:fill="auto"/>
            <w:hideMark/>
          </w:tcPr>
          <w:p w14:paraId="1A24AE0B" w14:textId="77777777" w:rsidR="008B67F3" w:rsidRPr="00C917E2" w:rsidRDefault="008B67F3" w:rsidP="00B379E1">
            <w:pPr>
              <w:keepNext/>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0.39 (0.024)</w:t>
            </w:r>
          </w:p>
        </w:tc>
        <w:tc>
          <w:tcPr>
            <w:tcW w:w="0" w:type="auto"/>
            <w:shd w:val="clear" w:color="auto" w:fill="auto"/>
            <w:hideMark/>
          </w:tcPr>
          <w:p w14:paraId="0C35A9ED" w14:textId="77777777" w:rsidR="008B67F3" w:rsidRPr="00C917E2" w:rsidRDefault="008B67F3" w:rsidP="00174999">
            <w:pPr>
              <w:keepNext/>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20"/>
                <w:szCs w:val="20"/>
              </w:rPr>
            </w:pPr>
          </w:p>
        </w:tc>
        <w:tc>
          <w:tcPr>
            <w:tcW w:w="3527" w:type="dxa"/>
            <w:shd w:val="clear" w:color="auto" w:fill="auto"/>
            <w:hideMark/>
          </w:tcPr>
          <w:p w14:paraId="01C498FB" w14:textId="77777777" w:rsidR="008B67F3" w:rsidRPr="00C917E2" w:rsidRDefault="008B67F3" w:rsidP="00B379E1">
            <w:pPr>
              <w:keepNext/>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0.48 (0.03)</w:t>
            </w:r>
          </w:p>
        </w:tc>
      </w:tr>
      <w:tr w:rsidR="008B67F3" w:rsidRPr="00C917E2" w14:paraId="743CE96F" w14:textId="77777777" w:rsidTr="00DA0105">
        <w:trPr>
          <w:trHeight w:val="30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6445288A" w14:textId="77777777" w:rsidR="008B67F3" w:rsidRPr="00C917E2" w:rsidRDefault="008B67F3" w:rsidP="00174999">
            <w:pPr>
              <w:keepNext/>
              <w:spacing w:after="0"/>
              <w:rPr>
                <w:rFonts w:asciiTheme="minorHAnsi" w:eastAsia="Times New Roman" w:hAnsiTheme="minorHAnsi" w:cs="Times New Roman"/>
                <w:b w:val="0"/>
                <w:color w:val="000000"/>
                <w:sz w:val="20"/>
                <w:szCs w:val="20"/>
              </w:rPr>
            </w:pPr>
            <w:r w:rsidRPr="00C917E2">
              <w:rPr>
                <w:rFonts w:asciiTheme="minorHAnsi" w:eastAsia="Times New Roman" w:hAnsiTheme="minorHAnsi" w:cs="Times New Roman"/>
                <w:b w:val="0"/>
                <w:color w:val="000000"/>
                <w:sz w:val="20"/>
                <w:szCs w:val="20"/>
              </w:rPr>
              <w:t>Second quintile</w:t>
            </w:r>
          </w:p>
        </w:tc>
        <w:tc>
          <w:tcPr>
            <w:tcW w:w="2499" w:type="dxa"/>
            <w:shd w:val="clear" w:color="auto" w:fill="auto"/>
            <w:hideMark/>
          </w:tcPr>
          <w:p w14:paraId="4C312FBE" w14:textId="77777777" w:rsidR="008B67F3" w:rsidRPr="00C917E2" w:rsidRDefault="008B67F3" w:rsidP="00B379E1">
            <w:pPr>
              <w:keepNext/>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0.89 (0.047)</w:t>
            </w:r>
          </w:p>
        </w:tc>
        <w:tc>
          <w:tcPr>
            <w:tcW w:w="0" w:type="auto"/>
            <w:shd w:val="clear" w:color="auto" w:fill="auto"/>
            <w:hideMark/>
          </w:tcPr>
          <w:p w14:paraId="16015E4C" w14:textId="77777777" w:rsidR="008B67F3" w:rsidRPr="00C917E2" w:rsidRDefault="008B67F3" w:rsidP="00174999">
            <w:pPr>
              <w:keepNext/>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20"/>
                <w:szCs w:val="20"/>
              </w:rPr>
            </w:pPr>
          </w:p>
        </w:tc>
        <w:tc>
          <w:tcPr>
            <w:tcW w:w="3527" w:type="dxa"/>
            <w:shd w:val="clear" w:color="auto" w:fill="auto"/>
            <w:hideMark/>
          </w:tcPr>
          <w:p w14:paraId="4D8B4E05" w14:textId="77777777" w:rsidR="008B67F3" w:rsidRPr="00C917E2" w:rsidRDefault="008B67F3" w:rsidP="00B379E1">
            <w:pPr>
              <w:keepNext/>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0.71 (0.04)</w:t>
            </w:r>
          </w:p>
        </w:tc>
      </w:tr>
      <w:tr w:rsidR="008B67F3" w:rsidRPr="00C917E2" w14:paraId="501F923F" w14:textId="77777777" w:rsidTr="00DA01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5FD43C6F" w14:textId="77777777" w:rsidR="008B67F3" w:rsidRPr="00C917E2" w:rsidRDefault="008B67F3" w:rsidP="00174999">
            <w:pPr>
              <w:keepNext/>
              <w:spacing w:after="0"/>
              <w:rPr>
                <w:rFonts w:asciiTheme="minorHAnsi" w:eastAsia="Times New Roman" w:hAnsiTheme="minorHAnsi" w:cs="Times New Roman"/>
                <w:b w:val="0"/>
                <w:color w:val="000000"/>
                <w:sz w:val="20"/>
                <w:szCs w:val="20"/>
              </w:rPr>
            </w:pPr>
            <w:r w:rsidRPr="00C917E2">
              <w:rPr>
                <w:rFonts w:asciiTheme="minorHAnsi" w:eastAsia="Times New Roman" w:hAnsiTheme="minorHAnsi" w:cs="Times New Roman"/>
                <w:b w:val="0"/>
                <w:color w:val="000000"/>
                <w:sz w:val="20"/>
                <w:szCs w:val="20"/>
              </w:rPr>
              <w:t>Middle quintile</w:t>
            </w:r>
          </w:p>
        </w:tc>
        <w:tc>
          <w:tcPr>
            <w:tcW w:w="2499" w:type="dxa"/>
            <w:shd w:val="clear" w:color="auto" w:fill="auto"/>
            <w:hideMark/>
          </w:tcPr>
          <w:p w14:paraId="6C1F6AED" w14:textId="77777777" w:rsidR="008B67F3" w:rsidRPr="00C917E2" w:rsidRDefault="008B67F3" w:rsidP="00B379E1">
            <w:pPr>
              <w:keepNext/>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1.86 (0.087)</w:t>
            </w:r>
          </w:p>
        </w:tc>
        <w:tc>
          <w:tcPr>
            <w:tcW w:w="0" w:type="auto"/>
            <w:shd w:val="clear" w:color="auto" w:fill="auto"/>
            <w:hideMark/>
          </w:tcPr>
          <w:p w14:paraId="0C5608ED" w14:textId="77777777" w:rsidR="008B67F3" w:rsidRPr="00C917E2" w:rsidRDefault="008B67F3" w:rsidP="00174999">
            <w:pPr>
              <w:keepNext/>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20"/>
                <w:szCs w:val="20"/>
              </w:rPr>
            </w:pPr>
          </w:p>
        </w:tc>
        <w:tc>
          <w:tcPr>
            <w:tcW w:w="3527" w:type="dxa"/>
            <w:shd w:val="clear" w:color="auto" w:fill="auto"/>
            <w:hideMark/>
          </w:tcPr>
          <w:p w14:paraId="5BA12544" w14:textId="77777777" w:rsidR="008B67F3" w:rsidRPr="00C917E2" w:rsidRDefault="008B67F3" w:rsidP="00B379E1">
            <w:pPr>
              <w:keepNext/>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1.07 (0.05)</w:t>
            </w:r>
          </w:p>
        </w:tc>
      </w:tr>
      <w:tr w:rsidR="008B67F3" w:rsidRPr="00C917E2" w14:paraId="1DBE9958" w14:textId="77777777" w:rsidTr="00DA0105">
        <w:trPr>
          <w:trHeight w:val="30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663A4DFB" w14:textId="77777777" w:rsidR="008B67F3" w:rsidRPr="00C917E2" w:rsidRDefault="008B67F3" w:rsidP="00174999">
            <w:pPr>
              <w:keepNext/>
              <w:spacing w:after="0"/>
              <w:rPr>
                <w:rFonts w:asciiTheme="minorHAnsi" w:eastAsia="Times New Roman" w:hAnsiTheme="minorHAnsi" w:cs="Times New Roman"/>
                <w:b w:val="0"/>
                <w:color w:val="000000"/>
                <w:sz w:val="20"/>
                <w:szCs w:val="20"/>
              </w:rPr>
            </w:pPr>
            <w:r w:rsidRPr="00C917E2">
              <w:rPr>
                <w:rFonts w:asciiTheme="minorHAnsi" w:eastAsia="Times New Roman" w:hAnsiTheme="minorHAnsi" w:cs="Times New Roman"/>
                <w:b w:val="0"/>
                <w:color w:val="000000"/>
                <w:sz w:val="20"/>
                <w:szCs w:val="20"/>
              </w:rPr>
              <w:t>Fourth quintile</w:t>
            </w:r>
          </w:p>
        </w:tc>
        <w:tc>
          <w:tcPr>
            <w:tcW w:w="2499" w:type="dxa"/>
            <w:shd w:val="clear" w:color="auto" w:fill="auto"/>
            <w:hideMark/>
          </w:tcPr>
          <w:p w14:paraId="65CE80E1" w14:textId="77777777" w:rsidR="008B67F3" w:rsidRPr="00C917E2" w:rsidRDefault="008B67F3" w:rsidP="00B379E1">
            <w:pPr>
              <w:keepNext/>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4.20 (0.175)</w:t>
            </w:r>
          </w:p>
        </w:tc>
        <w:tc>
          <w:tcPr>
            <w:tcW w:w="0" w:type="auto"/>
            <w:shd w:val="clear" w:color="auto" w:fill="auto"/>
            <w:hideMark/>
          </w:tcPr>
          <w:p w14:paraId="3E332AC1" w14:textId="77777777" w:rsidR="008B67F3" w:rsidRPr="00C917E2" w:rsidRDefault="008B67F3" w:rsidP="00174999">
            <w:pPr>
              <w:keepNext/>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20"/>
                <w:szCs w:val="20"/>
              </w:rPr>
            </w:pPr>
          </w:p>
        </w:tc>
        <w:tc>
          <w:tcPr>
            <w:tcW w:w="3527" w:type="dxa"/>
            <w:shd w:val="clear" w:color="auto" w:fill="auto"/>
            <w:hideMark/>
          </w:tcPr>
          <w:p w14:paraId="4BFC00FC" w14:textId="77777777" w:rsidR="008B67F3" w:rsidRPr="00C917E2" w:rsidRDefault="008B67F3" w:rsidP="00B379E1">
            <w:pPr>
              <w:keepNext/>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1.64 (0.07)</w:t>
            </w:r>
          </w:p>
        </w:tc>
      </w:tr>
      <w:tr w:rsidR="008B67F3" w:rsidRPr="00C917E2" w14:paraId="392040B6" w14:textId="77777777" w:rsidTr="00DA01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340D779F" w14:textId="77777777" w:rsidR="008B67F3" w:rsidRPr="00C917E2" w:rsidRDefault="008B67F3" w:rsidP="00174999">
            <w:pPr>
              <w:keepNext/>
              <w:spacing w:after="0"/>
              <w:rPr>
                <w:rFonts w:asciiTheme="minorHAnsi" w:eastAsia="Times New Roman" w:hAnsiTheme="minorHAnsi" w:cs="Times New Roman"/>
                <w:b w:val="0"/>
                <w:color w:val="000000"/>
                <w:sz w:val="20"/>
                <w:szCs w:val="20"/>
              </w:rPr>
            </w:pPr>
            <w:r w:rsidRPr="00C917E2">
              <w:rPr>
                <w:rFonts w:asciiTheme="minorHAnsi" w:eastAsia="Times New Roman" w:hAnsiTheme="minorHAnsi" w:cs="Times New Roman"/>
                <w:b w:val="0"/>
                <w:color w:val="000000"/>
                <w:sz w:val="20"/>
                <w:szCs w:val="20"/>
              </w:rPr>
              <w:t>Highest quintile</w:t>
            </w:r>
          </w:p>
        </w:tc>
        <w:tc>
          <w:tcPr>
            <w:tcW w:w="2499" w:type="dxa"/>
            <w:shd w:val="clear" w:color="auto" w:fill="auto"/>
            <w:hideMark/>
          </w:tcPr>
          <w:p w14:paraId="03B2E083" w14:textId="77777777" w:rsidR="008B67F3" w:rsidRPr="00C917E2" w:rsidRDefault="008B67F3" w:rsidP="00B379E1">
            <w:pPr>
              <w:keepNext/>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20.36 (1.360)</w:t>
            </w:r>
          </w:p>
        </w:tc>
        <w:tc>
          <w:tcPr>
            <w:tcW w:w="0" w:type="auto"/>
            <w:shd w:val="clear" w:color="auto" w:fill="auto"/>
            <w:hideMark/>
          </w:tcPr>
          <w:p w14:paraId="005BBB97" w14:textId="77777777" w:rsidR="008B67F3" w:rsidRPr="00C917E2" w:rsidRDefault="008B67F3" w:rsidP="00174999">
            <w:pPr>
              <w:keepNext/>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20"/>
                <w:szCs w:val="20"/>
              </w:rPr>
            </w:pPr>
          </w:p>
        </w:tc>
        <w:tc>
          <w:tcPr>
            <w:tcW w:w="3527" w:type="dxa"/>
            <w:shd w:val="clear" w:color="auto" w:fill="auto"/>
            <w:hideMark/>
          </w:tcPr>
          <w:p w14:paraId="5A383398" w14:textId="77777777" w:rsidR="008B67F3" w:rsidRPr="00C917E2" w:rsidRDefault="008B67F3" w:rsidP="00B379E1">
            <w:pPr>
              <w:keepNext/>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20"/>
                <w:szCs w:val="20"/>
              </w:rPr>
            </w:pPr>
            <w:r w:rsidRPr="00C917E2">
              <w:rPr>
                <w:rFonts w:asciiTheme="minorHAnsi" w:eastAsia="Times New Roman" w:hAnsiTheme="minorHAnsi" w:cs="Times New Roman"/>
                <w:color w:val="000000"/>
                <w:sz w:val="20"/>
                <w:szCs w:val="20"/>
              </w:rPr>
              <w:t>2.82 (0.11)</w:t>
            </w:r>
          </w:p>
        </w:tc>
      </w:tr>
    </w:tbl>
    <w:p w14:paraId="255F5CF6" w14:textId="77777777" w:rsidR="00EC35B6" w:rsidRPr="00C917E2" w:rsidRDefault="00EC35B6" w:rsidP="00EC35B6">
      <w:pPr>
        <w:pStyle w:val="Source"/>
      </w:pPr>
      <w:r w:rsidRPr="00E94700">
        <w:rPr>
          <w:i/>
        </w:rPr>
        <w:t>Source:</w:t>
      </w:r>
      <w:r w:rsidRPr="00C917E2">
        <w:t xml:space="preserve"> Authors’ analysis based on PICES 2011/12 data</w:t>
      </w:r>
      <w:r>
        <w:t>.</w:t>
      </w:r>
    </w:p>
    <w:p w14:paraId="567E10D9" w14:textId="77777777" w:rsidR="008B67F3" w:rsidRPr="00C917E2" w:rsidRDefault="008B67F3" w:rsidP="00174999">
      <w:pPr>
        <w:pStyle w:val="Source"/>
      </w:pPr>
      <w:r w:rsidRPr="00E94700">
        <w:rPr>
          <w:i/>
        </w:rPr>
        <w:t>Note:</w:t>
      </w:r>
      <w:r w:rsidRPr="00C917E2">
        <w:t xml:space="preserve"> Standard error in parentheses. </w:t>
      </w:r>
    </w:p>
    <w:p w14:paraId="3D59399C" w14:textId="77777777" w:rsidR="008B67F3" w:rsidRPr="00C917E2" w:rsidRDefault="008B67F3" w:rsidP="00D37198">
      <w:pPr>
        <w:pStyle w:val="Numberpara"/>
      </w:pPr>
      <w:r w:rsidRPr="00C917E2">
        <w:t xml:space="preserve">Of the 29,766 households surveyed, 21,513 (72 percent) had no OOP health payments (either because they were not sick in the preceding four weeks, did not seek care, or sought free care). The median OOP </w:t>
      </w:r>
      <w:r w:rsidR="00D6296A" w:rsidRPr="00D6296A">
        <w:t xml:space="preserve">spending </w:t>
      </w:r>
      <w:r w:rsidRPr="00C917E2">
        <w:t xml:space="preserve">was 0, ranging from 0 to US$3,520. The proportion of households without </w:t>
      </w:r>
      <w:r w:rsidR="00D6296A">
        <w:t>OOP spending</w:t>
      </w:r>
      <w:r w:rsidRPr="00C917E2">
        <w:t xml:space="preserve">, however, decreases from the lowest to the highest quintile (24.2 percent, </w:t>
      </w:r>
      <w:r w:rsidR="00090409" w:rsidRPr="00C917E2">
        <w:t>22.2</w:t>
      </w:r>
      <w:r w:rsidR="003B48A9">
        <w:t> </w:t>
      </w:r>
      <w:r w:rsidR="00090409" w:rsidRPr="00C917E2">
        <w:t>percent</w:t>
      </w:r>
      <w:r w:rsidRPr="00C917E2">
        <w:t>, 20.4</w:t>
      </w:r>
      <w:r w:rsidR="003B48A9">
        <w:t> </w:t>
      </w:r>
      <w:r w:rsidRPr="00C917E2">
        <w:t>percent, 18.2</w:t>
      </w:r>
      <w:r w:rsidR="00B72993" w:rsidRPr="00C917E2">
        <w:t xml:space="preserve"> </w:t>
      </w:r>
      <w:r w:rsidRPr="00C917E2">
        <w:t>percent, and 14.9</w:t>
      </w:r>
      <w:r w:rsidR="00B72993" w:rsidRPr="00C917E2">
        <w:t xml:space="preserve"> </w:t>
      </w:r>
      <w:r w:rsidRPr="00C917E2">
        <w:t>percent).</w:t>
      </w:r>
    </w:p>
    <w:p w14:paraId="2303FB47" w14:textId="77777777" w:rsidR="008B67F3" w:rsidRPr="00C917E2" w:rsidRDefault="008B67F3" w:rsidP="00D37198">
      <w:pPr>
        <w:pStyle w:val="Numberpara"/>
      </w:pPr>
      <w:r w:rsidRPr="00C917E2">
        <w:lastRenderedPageBreak/>
        <w:t xml:space="preserve">Even though </w:t>
      </w:r>
      <w:r w:rsidR="00D6296A">
        <w:t>OOP spending</w:t>
      </w:r>
      <w:r w:rsidRPr="00C917E2">
        <w:t xml:space="preserve"> do</w:t>
      </w:r>
      <w:r w:rsidR="00D6296A">
        <w:t>es</w:t>
      </w:r>
      <w:r w:rsidRPr="00C917E2">
        <w:t xml:space="preserve"> not appear to be a problem overall, </w:t>
      </w:r>
      <w:r w:rsidR="00D6296A">
        <w:t xml:space="preserve">it </w:t>
      </w:r>
      <w:r w:rsidRPr="00C917E2">
        <w:t>could become catastrophic in that individuals may be forced to sell assets or consum</w:t>
      </w:r>
      <w:r w:rsidR="00D6296A">
        <w:t>e</w:t>
      </w:r>
      <w:r w:rsidRPr="00C917E2">
        <w:t xml:space="preserve"> below subsistence </w:t>
      </w:r>
      <w:r w:rsidR="00D6296A">
        <w:t xml:space="preserve">level </w:t>
      </w:r>
      <w:r w:rsidRPr="00C917E2">
        <w:t xml:space="preserve">to pay health costs </w:t>
      </w:r>
      <w:r w:rsidR="00D6296A">
        <w:t xml:space="preserve">when </w:t>
      </w:r>
      <w:r w:rsidRPr="00C917E2">
        <w:t>ill. To explore the situation in Zimbabwe, an extended analysis of the PICES data computed the rate of catastrophic health expenditure</w:t>
      </w:r>
      <w:r w:rsidRPr="00C917E2">
        <w:rPr>
          <w:rStyle w:val="EndnoteReference"/>
        </w:rPr>
        <w:endnoteReference w:id="81"/>
      </w:r>
      <w:r w:rsidRPr="00C917E2">
        <w:t xml:space="preserve"> across income quintiles (</w:t>
      </w:r>
      <w:r w:rsidR="00C713A9" w:rsidRPr="00C917E2">
        <w:fldChar w:fldCharType="begin"/>
      </w:r>
      <w:r w:rsidRPr="00C917E2">
        <w:instrText xml:space="preserve"> REF _Ref412022838 \h </w:instrText>
      </w:r>
      <w:r w:rsidR="00C713A9" w:rsidRPr="00C917E2">
        <w:fldChar w:fldCharType="separate"/>
      </w:r>
      <w:r w:rsidR="003732A2" w:rsidRPr="00C917E2">
        <w:t xml:space="preserve">Figure </w:t>
      </w:r>
      <w:r w:rsidR="003732A2">
        <w:rPr>
          <w:noProof/>
        </w:rPr>
        <w:t>34</w:t>
      </w:r>
      <w:r w:rsidR="00C713A9" w:rsidRPr="00C917E2">
        <w:fldChar w:fldCharType="end"/>
      </w:r>
      <w:r w:rsidRPr="00C917E2">
        <w:t xml:space="preserve">). The incidence of catastrophic expenditure turns out to be low in Zimbabwe generally (around 1 percent) and much lower among the poor than the rich. </w:t>
      </w:r>
    </w:p>
    <w:p w14:paraId="6ACB91F5" w14:textId="77777777" w:rsidR="008B67F3" w:rsidRPr="00C917E2" w:rsidRDefault="008B67F3" w:rsidP="001925E9">
      <w:pPr>
        <w:pStyle w:val="Figure"/>
      </w:pPr>
      <w:bookmarkStart w:id="202" w:name="_Ref412022838"/>
      <w:bookmarkStart w:id="203" w:name="_Toc401030716"/>
      <w:bookmarkStart w:id="204" w:name="_Toc401072619"/>
      <w:bookmarkStart w:id="205" w:name="_Toc401072767"/>
      <w:bookmarkStart w:id="206" w:name="_Toc419004115"/>
      <w:r w:rsidRPr="00C917E2">
        <w:t xml:space="preserve">Figure </w:t>
      </w:r>
      <w:r w:rsidR="00113462">
        <w:fldChar w:fldCharType="begin"/>
      </w:r>
      <w:r w:rsidR="00113462">
        <w:instrText xml:space="preserve"> SEQ Figure \* ARABIC </w:instrText>
      </w:r>
      <w:r w:rsidR="00113462">
        <w:fldChar w:fldCharType="separate"/>
      </w:r>
      <w:r w:rsidR="003732A2">
        <w:rPr>
          <w:noProof/>
        </w:rPr>
        <w:t>34</w:t>
      </w:r>
      <w:r w:rsidR="00113462">
        <w:rPr>
          <w:noProof/>
        </w:rPr>
        <w:fldChar w:fldCharType="end"/>
      </w:r>
      <w:bookmarkEnd w:id="202"/>
      <w:r w:rsidRPr="00C917E2">
        <w:t xml:space="preserve"> Incidence of Catastrophic Health Expenditure (nonfood)</w:t>
      </w:r>
      <w:bookmarkEnd w:id="203"/>
      <w:bookmarkEnd w:id="204"/>
      <w:bookmarkEnd w:id="205"/>
      <w:bookmarkEnd w:id="206"/>
    </w:p>
    <w:p w14:paraId="1EAB4291" w14:textId="77777777" w:rsidR="008B67F3" w:rsidRPr="00C917E2" w:rsidRDefault="008B67F3" w:rsidP="00321B04">
      <w:pPr>
        <w:keepNext/>
      </w:pPr>
      <w:r w:rsidRPr="00C917E2">
        <w:rPr>
          <w:noProof/>
        </w:rPr>
        <w:drawing>
          <wp:inline distT="0" distB="0" distL="0" distR="0" wp14:anchorId="724C89A8" wp14:editId="7D49F2D4">
            <wp:extent cx="5454650" cy="1771650"/>
            <wp:effectExtent l="0" t="0" r="12700" b="19050"/>
            <wp:docPr id="97"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B257125" w14:textId="77777777" w:rsidR="008B67F3" w:rsidRPr="00C917E2" w:rsidRDefault="008B67F3" w:rsidP="001925E9">
      <w:pPr>
        <w:pStyle w:val="Source"/>
      </w:pPr>
      <w:r w:rsidRPr="00E94700">
        <w:rPr>
          <w:i/>
        </w:rPr>
        <w:t>Source:</w:t>
      </w:r>
      <w:r w:rsidRPr="00C917E2">
        <w:t xml:space="preserve"> Authors’ analysis based on PICES 2011/12 data</w:t>
      </w:r>
      <w:r w:rsidR="006B2D5F">
        <w:t>.</w:t>
      </w:r>
    </w:p>
    <w:p w14:paraId="56726252" w14:textId="77777777" w:rsidR="008B67F3" w:rsidRPr="00C917E2" w:rsidRDefault="008B67F3" w:rsidP="00D37198">
      <w:pPr>
        <w:pStyle w:val="Numberpara"/>
      </w:pPr>
      <w:r w:rsidRPr="00C917E2">
        <w:t>The analysis also show</w:t>
      </w:r>
      <w:r w:rsidR="005C409B">
        <w:t>s</w:t>
      </w:r>
      <w:r w:rsidRPr="00C917E2">
        <w:t xml:space="preserve"> that the better</w:t>
      </w:r>
      <w:r w:rsidR="005C409B">
        <w:t xml:space="preserve"> </w:t>
      </w:r>
      <w:r w:rsidRPr="00C917E2">
        <w:t>off have a greater tendency to experience catastrophic health spending (concentration index = 0.581) than the less well</w:t>
      </w:r>
      <w:r w:rsidR="005C409B">
        <w:t xml:space="preserve"> </w:t>
      </w:r>
      <w:r w:rsidRPr="00C917E2">
        <w:t>off. The incidence of households impoverished (mov</w:t>
      </w:r>
      <w:r w:rsidR="005C409B">
        <w:t>ing</w:t>
      </w:r>
      <w:r w:rsidRPr="00C917E2">
        <w:t xml:space="preserve"> from nonpoor to poor) by catastrophic health spending in this sample was 3.6 percent.</w:t>
      </w:r>
    </w:p>
    <w:p w14:paraId="7D32C15F" w14:textId="77777777" w:rsidR="008B67F3" w:rsidRPr="00C917E2" w:rsidRDefault="008B67F3" w:rsidP="00D37198">
      <w:pPr>
        <w:pStyle w:val="Numberpara"/>
      </w:pPr>
      <w:r w:rsidRPr="00C917E2">
        <w:t xml:space="preserve">Beyond the fact that OOP </w:t>
      </w:r>
      <w:r w:rsidR="005C409B">
        <w:t xml:space="preserve">spending </w:t>
      </w:r>
      <w:r w:rsidRPr="00C917E2">
        <w:t xml:space="preserve">estimated using PICES </w:t>
      </w:r>
      <w:r w:rsidR="005C409B">
        <w:t xml:space="preserve">is </w:t>
      </w:r>
      <w:r w:rsidRPr="00C917E2">
        <w:t xml:space="preserve">likely </w:t>
      </w:r>
      <w:r w:rsidR="005C409B">
        <w:t xml:space="preserve">to be </w:t>
      </w:r>
      <w:r w:rsidRPr="00C917E2">
        <w:t>severely understated (see Box 4</w:t>
      </w:r>
      <w:r w:rsidR="005C409B">
        <w:t>)</w:t>
      </w:r>
      <w:r w:rsidRPr="00C917E2">
        <w:t xml:space="preserve"> </w:t>
      </w:r>
      <w:r w:rsidR="005C409B">
        <w:t xml:space="preserve">and that PICES is </w:t>
      </w:r>
      <w:r w:rsidRPr="00C917E2">
        <w:t xml:space="preserve">also likely </w:t>
      </w:r>
      <w:r w:rsidR="005C409B">
        <w:t xml:space="preserve">to </w:t>
      </w:r>
      <w:r w:rsidRPr="00C917E2">
        <w:t xml:space="preserve">understate the prevalence of catastrophic expenditure, it is also possible that low rates of catastrophic expenditure among the poor could be because they simply forgo health care. Data on health-seeking behavior in Section 2 provide strong evidence that a significant portion of the population in 2011/12 was not seeking formal care when ill in all quintiles, mostly for financial reasons. </w:t>
      </w:r>
    </w:p>
    <w:p w14:paraId="1F3154B2" w14:textId="77777777" w:rsidR="008B67F3" w:rsidRPr="00C917E2" w:rsidRDefault="008B67F3" w:rsidP="00D37198">
      <w:pPr>
        <w:pStyle w:val="Numberpara"/>
      </w:pPr>
      <w:r w:rsidRPr="00C917E2">
        <w:t xml:space="preserve">The apparent progressivity in the system also needs to be put in perspective with Section 2’s results on utilization in terms of the type of health facilities that the poor tend to visit and the level of care they seek compared with better-off people. Here again, the evidence consistently indicated that the poor mainly use primary-level district facilities (health centers) for outpatient (and inpatient) care while the nonpoor choose primarily hospitals, preferring provincial and central facilities. </w:t>
      </w:r>
      <w:r w:rsidR="00C713A9" w:rsidRPr="00C917E2">
        <w:fldChar w:fldCharType="begin"/>
      </w:r>
      <w:r w:rsidRPr="00C917E2">
        <w:instrText xml:space="preserve"> REF _Ref412002834 \h </w:instrText>
      </w:r>
      <w:r w:rsidR="00C713A9" w:rsidRPr="00C917E2">
        <w:fldChar w:fldCharType="separate"/>
      </w:r>
      <w:r w:rsidR="003732A2" w:rsidRPr="00C917E2">
        <w:t xml:space="preserve">Figure </w:t>
      </w:r>
      <w:r w:rsidR="003732A2">
        <w:rPr>
          <w:noProof/>
        </w:rPr>
        <w:t>26</w:t>
      </w:r>
      <w:r w:rsidR="00C713A9" w:rsidRPr="00C917E2">
        <w:fldChar w:fldCharType="end"/>
      </w:r>
      <w:r w:rsidRPr="00C917E2">
        <w:t xml:space="preserve"> </w:t>
      </w:r>
      <w:r w:rsidR="00CC7544">
        <w:t xml:space="preserve">showed </w:t>
      </w:r>
      <w:r w:rsidRPr="00C917E2">
        <w:t>that the major source of financing for health centers was foreign aid, but for hospitals</w:t>
      </w:r>
      <w:r w:rsidR="00CC7544">
        <w:t xml:space="preserve">, </w:t>
      </w:r>
      <w:r w:rsidR="00CC7544" w:rsidRPr="00C917E2">
        <w:t>user fees and drugs</w:t>
      </w:r>
      <w:r w:rsidRPr="00C917E2">
        <w:t xml:space="preserve">. If health centers provide lower-quality services than hospitals, </w:t>
      </w:r>
      <w:r w:rsidR="00CC7544">
        <w:t xml:space="preserve">it </w:t>
      </w:r>
      <w:r w:rsidRPr="00C917E2">
        <w:t xml:space="preserve">would </w:t>
      </w:r>
      <w:r w:rsidR="00CC7544">
        <w:t xml:space="preserve">seem </w:t>
      </w:r>
      <w:r w:rsidRPr="00C917E2">
        <w:t>that income inequality in health in Zimbabwe is deeper than just OOP</w:t>
      </w:r>
      <w:r w:rsidR="00CC7544">
        <w:t xml:space="preserve"> spending</w:t>
      </w:r>
      <w:r w:rsidRPr="00C917E2">
        <w:t xml:space="preserve">, involving inequality in physical and financial access to quality services. </w:t>
      </w:r>
    </w:p>
    <w:p w14:paraId="428AFBD1" w14:textId="77777777" w:rsidR="008B67F3" w:rsidRPr="00C917E2" w:rsidRDefault="008B67F3" w:rsidP="00226FA8">
      <w:pPr>
        <w:pStyle w:val="Heading4"/>
      </w:pPr>
      <w:r w:rsidRPr="00C917E2">
        <w:t xml:space="preserve">Impact of </w:t>
      </w:r>
      <w:r w:rsidR="00E376A8" w:rsidRPr="00C917E2">
        <w:t xml:space="preserve">User Fees </w:t>
      </w:r>
      <w:r w:rsidRPr="00C917E2">
        <w:t xml:space="preserve">by </w:t>
      </w:r>
      <w:r w:rsidR="00E376A8" w:rsidRPr="00C917E2">
        <w:t>Province</w:t>
      </w:r>
    </w:p>
    <w:p w14:paraId="68EB61E1" w14:textId="77777777" w:rsidR="008B67F3" w:rsidRPr="00C917E2" w:rsidRDefault="008B67F3" w:rsidP="00D37198">
      <w:pPr>
        <w:pStyle w:val="Numberpara"/>
      </w:pPr>
      <w:r w:rsidRPr="00C917E2">
        <w:t>Within government facilities, a policy exists to exempt everyone from fees</w:t>
      </w:r>
      <w:r w:rsidRPr="00C917E2">
        <w:rPr>
          <w:rStyle w:val="EndnoteReference"/>
        </w:rPr>
        <w:endnoteReference w:id="82"/>
      </w:r>
      <w:r w:rsidRPr="00C917E2">
        <w:t xml:space="preserve"> at level</w:t>
      </w:r>
      <w:r w:rsidR="00CC7544">
        <w:t>-</w:t>
      </w:r>
      <w:r w:rsidRPr="00C917E2">
        <w:t>one facilities (rural health centers, church-owned facilities, and rural district council clinics), and to exempt pregnant women, pensioners, tuberculosis patients, and children under five from paying OOP fees in all government institutions. Yet facility surveys</w:t>
      </w:r>
      <w:r w:rsidR="00CC7544">
        <w:t>—</w:t>
      </w:r>
      <w:r w:rsidRPr="00C917E2">
        <w:t>both the NIH</w:t>
      </w:r>
      <w:r w:rsidR="007F02D4" w:rsidRPr="00C917E2">
        <w:t>F</w:t>
      </w:r>
      <w:r w:rsidRPr="00C917E2">
        <w:t>A 2012 and the 2014 midline survey for RBF</w:t>
      </w:r>
      <w:r w:rsidR="00CC7544">
        <w:t>—</w:t>
      </w:r>
      <w:r w:rsidRPr="00C917E2">
        <w:t xml:space="preserve">revealed that user fees are still one of the most important sources of funding for government hospitals and clinics. Since there is a direct relationship between user fees and OOP spending, this </w:t>
      </w:r>
      <w:r w:rsidRPr="00C917E2">
        <w:lastRenderedPageBreak/>
        <w:t xml:space="preserve">suggests that a significant amount of household OOP expenditures in fact went to government facilities. </w:t>
      </w:r>
    </w:p>
    <w:p w14:paraId="2916F697" w14:textId="77777777" w:rsidR="008B67F3" w:rsidRPr="00C917E2" w:rsidRDefault="008B67F3" w:rsidP="00D37198">
      <w:pPr>
        <w:pStyle w:val="Numberpara"/>
      </w:pPr>
      <w:r w:rsidRPr="00C917E2">
        <w:t>In an attempt to assess the distributional aspect of user fees, average fees per delivery were contrasted with the level of poverty by region</w:t>
      </w:r>
      <w:r w:rsidR="00CC7544">
        <w:t>,</w:t>
      </w:r>
      <w:r w:rsidRPr="00C917E2">
        <w:t xml:space="preserve"> by ranking regions from </w:t>
      </w:r>
      <w:r w:rsidR="00CC7544">
        <w:t xml:space="preserve">the </w:t>
      </w:r>
      <w:r w:rsidRPr="00C917E2">
        <w:t xml:space="preserve">highest to </w:t>
      </w:r>
      <w:r w:rsidR="00CC7544">
        <w:t xml:space="preserve">the </w:t>
      </w:r>
      <w:r w:rsidRPr="00C917E2">
        <w:t>lowest extreme poverty rate (</w:t>
      </w:r>
      <w:r w:rsidR="00C713A9" w:rsidRPr="00C917E2">
        <w:fldChar w:fldCharType="begin"/>
      </w:r>
      <w:r w:rsidRPr="00C917E2">
        <w:instrText xml:space="preserve"> REF _Ref412024018 \h </w:instrText>
      </w:r>
      <w:r w:rsidR="00C713A9" w:rsidRPr="00C917E2">
        <w:fldChar w:fldCharType="separate"/>
      </w:r>
      <w:r w:rsidR="003732A2" w:rsidRPr="00C917E2">
        <w:t xml:space="preserve">Figure </w:t>
      </w:r>
      <w:r w:rsidR="003732A2">
        <w:rPr>
          <w:noProof/>
        </w:rPr>
        <w:t>35</w:t>
      </w:r>
      <w:r w:rsidR="00C713A9" w:rsidRPr="00C917E2">
        <w:fldChar w:fldCharType="end"/>
      </w:r>
      <w:r w:rsidRPr="00C917E2">
        <w:t xml:space="preserve">). </w:t>
      </w:r>
      <w:r w:rsidR="00CC7544" w:rsidRPr="00C917E2">
        <w:t xml:space="preserve">The </w:t>
      </w:r>
      <w:r w:rsidRPr="00C917E2">
        <w:t xml:space="preserve">province with the highest incidence of poverty, Matabeleland North, charged some of the highest user fees, but so did the two richest provinces of Bulawayo and Harare. Overall, the level of user fees show no relationship with poverty levels by province. </w:t>
      </w:r>
    </w:p>
    <w:p w14:paraId="70FED060" w14:textId="77777777" w:rsidR="008B67F3" w:rsidRPr="00C917E2" w:rsidRDefault="008B67F3" w:rsidP="00C53C89">
      <w:pPr>
        <w:pStyle w:val="Figure"/>
      </w:pPr>
      <w:bookmarkStart w:id="207" w:name="_Ref412024018"/>
      <w:bookmarkStart w:id="208" w:name="_Toc401030715"/>
      <w:bookmarkStart w:id="209" w:name="_Toc419004116"/>
      <w:r w:rsidRPr="00C917E2">
        <w:t xml:space="preserve">Figure </w:t>
      </w:r>
      <w:r w:rsidR="00113462">
        <w:fldChar w:fldCharType="begin"/>
      </w:r>
      <w:r w:rsidR="00113462">
        <w:instrText xml:space="preserve"> SEQ Figure \* ARABIC </w:instrText>
      </w:r>
      <w:r w:rsidR="00113462">
        <w:fldChar w:fldCharType="separate"/>
      </w:r>
      <w:r w:rsidR="003732A2">
        <w:rPr>
          <w:noProof/>
        </w:rPr>
        <w:t>35</w:t>
      </w:r>
      <w:r w:rsidR="00113462">
        <w:rPr>
          <w:noProof/>
        </w:rPr>
        <w:fldChar w:fldCharType="end"/>
      </w:r>
      <w:bookmarkEnd w:id="207"/>
      <w:r w:rsidRPr="00C917E2">
        <w:t xml:space="preserve"> Average User Fees and </w:t>
      </w:r>
      <w:r w:rsidR="00B84492" w:rsidRPr="00B84492">
        <w:t xml:space="preserve">Extreme </w:t>
      </w:r>
      <w:r w:rsidRPr="00C917E2">
        <w:t xml:space="preserve">Poverty </w:t>
      </w:r>
      <w:bookmarkEnd w:id="208"/>
      <w:r w:rsidR="00D12569">
        <w:t xml:space="preserve">Prevalence </w:t>
      </w:r>
      <w:r w:rsidR="00D12569" w:rsidRPr="00D12569">
        <w:t>by Province</w:t>
      </w:r>
      <w:bookmarkEnd w:id="209"/>
      <w:r w:rsidRPr="00C917E2">
        <w:t xml:space="preserve"> </w:t>
      </w:r>
    </w:p>
    <w:p w14:paraId="7A8CE4B0" w14:textId="77777777" w:rsidR="008B67F3" w:rsidRPr="00C917E2" w:rsidRDefault="008B67F3" w:rsidP="00E73060">
      <w:r w:rsidRPr="00C917E2">
        <w:rPr>
          <w:noProof/>
        </w:rPr>
        <w:drawing>
          <wp:inline distT="0" distB="0" distL="0" distR="0" wp14:anchorId="18F5B883" wp14:editId="25B4390E">
            <wp:extent cx="5715380" cy="2826649"/>
            <wp:effectExtent l="0" t="0" r="19050" b="12065"/>
            <wp:docPr id="98" name="Char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0A2E30D9" w14:textId="77777777" w:rsidR="008B67F3" w:rsidRPr="00C917E2" w:rsidRDefault="008B67F3" w:rsidP="00E73060">
      <w:pPr>
        <w:pStyle w:val="Source"/>
      </w:pPr>
      <w:r w:rsidRPr="00E94700">
        <w:rPr>
          <w:i/>
        </w:rPr>
        <w:t>Source:</w:t>
      </w:r>
      <w:r w:rsidRPr="00C917E2">
        <w:t xml:space="preserve"> NIHFA 2012</w:t>
      </w:r>
      <w:r w:rsidR="006B2D5F">
        <w:t>.</w:t>
      </w:r>
    </w:p>
    <w:p w14:paraId="2914A084" w14:textId="77777777" w:rsidR="008B67F3" w:rsidRPr="00C917E2" w:rsidRDefault="008B67F3" w:rsidP="00320F82">
      <w:pPr>
        <w:pStyle w:val="Heading3"/>
      </w:pPr>
      <w:bookmarkStart w:id="210" w:name="_Toc401030263"/>
      <w:bookmarkStart w:id="211" w:name="_Toc419004020"/>
      <w:r w:rsidRPr="00C917E2">
        <w:t>Private Prepayment Schemes</w:t>
      </w:r>
      <w:bookmarkEnd w:id="210"/>
      <w:bookmarkEnd w:id="211"/>
    </w:p>
    <w:p w14:paraId="175EBDD3" w14:textId="77777777" w:rsidR="008B67F3" w:rsidRPr="00C917E2" w:rsidRDefault="008B67F3" w:rsidP="00D37198">
      <w:pPr>
        <w:pStyle w:val="Numberpara"/>
      </w:pPr>
      <w:r w:rsidRPr="00C917E2">
        <w:t>After OOP payments, a far smaller element in private funding consists of prepayment schemes managed by private insurance companies: according to the latest NHA, about 10–15 percent of the population was covered by health insurance.</w:t>
      </w:r>
      <w:r w:rsidRPr="00C917E2">
        <w:rPr>
          <w:rStyle w:val="EndnoteReference"/>
        </w:rPr>
        <w:endnoteReference w:id="83"/>
      </w:r>
      <w:r w:rsidRPr="00C917E2">
        <w:t xml:space="preserve"> </w:t>
      </w:r>
    </w:p>
    <w:p w14:paraId="28A50146" w14:textId="77777777" w:rsidR="008B67F3" w:rsidRPr="00C917E2" w:rsidRDefault="008B67F3" w:rsidP="00D37198">
      <w:pPr>
        <w:pStyle w:val="Numberpara"/>
      </w:pPr>
      <w:r w:rsidRPr="00C917E2">
        <w:t>While revenues from prepayment schemes decreased over 2000–08 due to the acute economic problems the country was facing, they have since started to rise. For example</w:t>
      </w:r>
      <w:r w:rsidR="004F1105">
        <w:t>, since the adoption of a multi</w:t>
      </w:r>
      <w:r w:rsidRPr="00C917E2">
        <w:t>currency regime in 2009 the revenue of CIMAS Medical Aid Society (CIMAS), the second-largest private prepayment scheme by membership, has surged to around US</w:t>
      </w:r>
      <w:r w:rsidR="00B84492">
        <w:t>$</w:t>
      </w:r>
      <w:r w:rsidRPr="00C917E2">
        <w:t>110 million (</w:t>
      </w:r>
      <w:r w:rsidR="00C713A9" w:rsidRPr="00C917E2">
        <w:fldChar w:fldCharType="begin"/>
      </w:r>
      <w:r w:rsidR="00FF3BD3" w:rsidRPr="00C917E2">
        <w:instrText xml:space="preserve"> REF _Ref414597516 \h </w:instrText>
      </w:r>
      <w:r w:rsidR="00C713A9" w:rsidRPr="00C917E2">
        <w:fldChar w:fldCharType="separate"/>
      </w:r>
      <w:r w:rsidR="003732A2" w:rsidRPr="00C917E2">
        <w:t xml:space="preserve">Table </w:t>
      </w:r>
      <w:r w:rsidR="003732A2">
        <w:rPr>
          <w:noProof/>
        </w:rPr>
        <w:t>9</w:t>
      </w:r>
      <w:r w:rsidR="00C713A9" w:rsidRPr="00C917E2">
        <w:fldChar w:fldCharType="end"/>
      </w:r>
      <w:r w:rsidRPr="00C917E2">
        <w:t>). This shows there is potential for raising extra revenues</w:t>
      </w:r>
      <w:r w:rsidR="00B72993" w:rsidRPr="00C917E2">
        <w:t xml:space="preserve"> </w:t>
      </w:r>
      <w:r w:rsidR="00147AD8" w:rsidRPr="00C917E2">
        <w:t xml:space="preserve">if one can pool private insurance in the common pool such as social health insurance, </w:t>
      </w:r>
      <w:r w:rsidRPr="00C917E2">
        <w:t>as evidenced by CIMAS’ increasing per capita contribution to US$548.</w:t>
      </w:r>
      <w:r w:rsidRPr="00C917E2">
        <w:rPr>
          <w:rStyle w:val="EndnoteReference"/>
        </w:rPr>
        <w:endnoteReference w:id="84"/>
      </w:r>
    </w:p>
    <w:p w14:paraId="5D2EA80E" w14:textId="77777777" w:rsidR="008B67F3" w:rsidRPr="00C917E2" w:rsidRDefault="008B67F3" w:rsidP="001E41AF">
      <w:pPr>
        <w:pStyle w:val="Table"/>
      </w:pPr>
      <w:bookmarkStart w:id="212" w:name="_Ref414597516"/>
      <w:bookmarkStart w:id="213" w:name="_Toc419004077"/>
      <w:r w:rsidRPr="00C917E2">
        <w:t xml:space="preserve">Table </w:t>
      </w:r>
      <w:r w:rsidR="00113462">
        <w:fldChar w:fldCharType="begin"/>
      </w:r>
      <w:r w:rsidR="00113462">
        <w:instrText xml:space="preserve"> S</w:instrText>
      </w:r>
      <w:r w:rsidR="00113462">
        <w:instrText xml:space="preserve">EQ Table \* ARABIC </w:instrText>
      </w:r>
      <w:r w:rsidR="00113462">
        <w:fldChar w:fldCharType="separate"/>
      </w:r>
      <w:r w:rsidR="003732A2">
        <w:rPr>
          <w:noProof/>
        </w:rPr>
        <w:t>9</w:t>
      </w:r>
      <w:r w:rsidR="00113462">
        <w:rPr>
          <w:noProof/>
        </w:rPr>
        <w:fldChar w:fldCharType="end"/>
      </w:r>
      <w:bookmarkEnd w:id="212"/>
      <w:r w:rsidRPr="00C917E2">
        <w:t xml:space="preserve"> CIMAS Key Figures, 2010–13</w:t>
      </w:r>
      <w:r w:rsidR="00F67A69">
        <w:t xml:space="preserve"> (</w:t>
      </w:r>
      <w:r w:rsidR="00F67A69" w:rsidRPr="00F67A69">
        <w:t>US$ thousand</w:t>
      </w:r>
      <w:r w:rsidR="00F67A69">
        <w:t>)</w:t>
      </w:r>
      <w:bookmarkEnd w:id="213"/>
    </w:p>
    <w:tbl>
      <w:tblPr>
        <w:tblW w:w="0" w:type="auto"/>
        <w:jc w:val="center"/>
        <w:tblLook w:val="04A0" w:firstRow="1" w:lastRow="0" w:firstColumn="1" w:lastColumn="0" w:noHBand="0" w:noVBand="1"/>
      </w:tblPr>
      <w:tblGrid>
        <w:gridCol w:w="3071"/>
        <w:gridCol w:w="1336"/>
        <w:gridCol w:w="1329"/>
        <w:gridCol w:w="1430"/>
        <w:gridCol w:w="1860"/>
      </w:tblGrid>
      <w:tr w:rsidR="008B67F3" w:rsidRPr="00C917E2" w14:paraId="7D7D59CE" w14:textId="77777777" w:rsidTr="00F67A69">
        <w:trPr>
          <w:jc w:val="center"/>
        </w:trPr>
        <w:tc>
          <w:tcPr>
            <w:tcW w:w="3112" w:type="dxa"/>
            <w:tcBorders>
              <w:top w:val="single" w:sz="4" w:space="0" w:color="365F91" w:themeColor="accent1" w:themeShade="BF"/>
              <w:bottom w:val="single" w:sz="4" w:space="0" w:color="365F91" w:themeColor="accent1" w:themeShade="BF"/>
            </w:tcBorders>
            <w:shd w:val="clear" w:color="auto" w:fill="auto"/>
          </w:tcPr>
          <w:p w14:paraId="61F201D1" w14:textId="77777777" w:rsidR="008B67F3" w:rsidRPr="00F67A69" w:rsidRDefault="00F67A69" w:rsidP="001E41AF">
            <w:pPr>
              <w:keepNext/>
              <w:spacing w:after="0"/>
              <w:rPr>
                <w:rFonts w:asciiTheme="minorHAnsi" w:hAnsiTheme="minorHAnsi"/>
                <w:b/>
                <w:sz w:val="20"/>
                <w:szCs w:val="20"/>
              </w:rPr>
            </w:pPr>
            <w:r w:rsidRPr="00F67A69">
              <w:rPr>
                <w:rFonts w:asciiTheme="minorHAnsi" w:hAnsiTheme="minorHAnsi"/>
                <w:b/>
                <w:sz w:val="20"/>
                <w:szCs w:val="20"/>
              </w:rPr>
              <w:t>Item</w:t>
            </w:r>
          </w:p>
        </w:tc>
        <w:tc>
          <w:tcPr>
            <w:tcW w:w="1350" w:type="dxa"/>
            <w:tcBorders>
              <w:top w:val="single" w:sz="4" w:space="0" w:color="365F91" w:themeColor="accent1" w:themeShade="BF"/>
              <w:bottom w:val="single" w:sz="4" w:space="0" w:color="365F91" w:themeColor="accent1" w:themeShade="BF"/>
            </w:tcBorders>
            <w:shd w:val="clear" w:color="auto" w:fill="auto"/>
          </w:tcPr>
          <w:p w14:paraId="1C3C9BE0" w14:textId="77777777" w:rsidR="008B67F3" w:rsidRPr="00C917E2" w:rsidRDefault="008B67F3" w:rsidP="001E41AF">
            <w:pPr>
              <w:keepNext/>
              <w:spacing w:after="0"/>
              <w:jc w:val="right"/>
              <w:rPr>
                <w:rFonts w:asciiTheme="minorHAnsi" w:hAnsiTheme="minorHAnsi"/>
                <w:b/>
                <w:sz w:val="20"/>
                <w:szCs w:val="20"/>
              </w:rPr>
            </w:pPr>
            <w:r w:rsidRPr="00C917E2">
              <w:rPr>
                <w:rFonts w:asciiTheme="minorHAnsi" w:hAnsiTheme="minorHAnsi"/>
                <w:b/>
                <w:sz w:val="20"/>
                <w:szCs w:val="20"/>
              </w:rPr>
              <w:t>2010</w:t>
            </w:r>
          </w:p>
        </w:tc>
        <w:tc>
          <w:tcPr>
            <w:tcW w:w="1343" w:type="dxa"/>
            <w:tcBorders>
              <w:top w:val="single" w:sz="4" w:space="0" w:color="365F91" w:themeColor="accent1" w:themeShade="BF"/>
              <w:bottom w:val="single" w:sz="4" w:space="0" w:color="365F91" w:themeColor="accent1" w:themeShade="BF"/>
            </w:tcBorders>
            <w:shd w:val="clear" w:color="auto" w:fill="auto"/>
          </w:tcPr>
          <w:p w14:paraId="5C3497E5" w14:textId="77777777" w:rsidR="008B67F3" w:rsidRPr="00C917E2" w:rsidRDefault="008B67F3" w:rsidP="001E41AF">
            <w:pPr>
              <w:keepNext/>
              <w:spacing w:after="0"/>
              <w:jc w:val="right"/>
              <w:rPr>
                <w:rFonts w:asciiTheme="minorHAnsi" w:hAnsiTheme="minorHAnsi"/>
                <w:b/>
                <w:sz w:val="20"/>
                <w:szCs w:val="20"/>
              </w:rPr>
            </w:pPr>
            <w:r w:rsidRPr="00C917E2">
              <w:rPr>
                <w:rFonts w:asciiTheme="minorHAnsi" w:hAnsiTheme="minorHAnsi"/>
                <w:b/>
                <w:sz w:val="20"/>
                <w:szCs w:val="20"/>
              </w:rPr>
              <w:t>2011</w:t>
            </w:r>
          </w:p>
        </w:tc>
        <w:tc>
          <w:tcPr>
            <w:tcW w:w="1447" w:type="dxa"/>
            <w:tcBorders>
              <w:top w:val="single" w:sz="4" w:space="0" w:color="365F91" w:themeColor="accent1" w:themeShade="BF"/>
              <w:bottom w:val="single" w:sz="4" w:space="0" w:color="365F91" w:themeColor="accent1" w:themeShade="BF"/>
            </w:tcBorders>
            <w:shd w:val="clear" w:color="auto" w:fill="auto"/>
          </w:tcPr>
          <w:p w14:paraId="68B41CE2" w14:textId="77777777" w:rsidR="008B67F3" w:rsidRPr="00C917E2" w:rsidRDefault="008B67F3" w:rsidP="001E41AF">
            <w:pPr>
              <w:keepNext/>
              <w:spacing w:after="0"/>
              <w:jc w:val="right"/>
              <w:rPr>
                <w:rFonts w:asciiTheme="minorHAnsi" w:hAnsiTheme="minorHAnsi"/>
                <w:b/>
                <w:sz w:val="20"/>
                <w:szCs w:val="20"/>
              </w:rPr>
            </w:pPr>
            <w:r w:rsidRPr="00C917E2">
              <w:rPr>
                <w:rFonts w:asciiTheme="minorHAnsi" w:hAnsiTheme="minorHAnsi"/>
                <w:b/>
                <w:sz w:val="20"/>
                <w:szCs w:val="20"/>
              </w:rPr>
              <w:t>2012</w:t>
            </w:r>
          </w:p>
        </w:tc>
        <w:tc>
          <w:tcPr>
            <w:tcW w:w="1890" w:type="dxa"/>
            <w:tcBorders>
              <w:top w:val="single" w:sz="4" w:space="0" w:color="365F91" w:themeColor="accent1" w:themeShade="BF"/>
              <w:bottom w:val="single" w:sz="4" w:space="0" w:color="365F91" w:themeColor="accent1" w:themeShade="BF"/>
            </w:tcBorders>
            <w:shd w:val="clear" w:color="auto" w:fill="auto"/>
          </w:tcPr>
          <w:p w14:paraId="60C4EB22" w14:textId="77777777" w:rsidR="008B67F3" w:rsidRPr="00C917E2" w:rsidRDefault="008B67F3" w:rsidP="001E41AF">
            <w:pPr>
              <w:keepNext/>
              <w:spacing w:after="0"/>
              <w:jc w:val="right"/>
              <w:rPr>
                <w:rFonts w:asciiTheme="minorHAnsi" w:hAnsiTheme="minorHAnsi"/>
                <w:b/>
                <w:sz w:val="20"/>
                <w:szCs w:val="20"/>
              </w:rPr>
            </w:pPr>
            <w:r w:rsidRPr="00C917E2">
              <w:rPr>
                <w:rFonts w:asciiTheme="minorHAnsi" w:hAnsiTheme="minorHAnsi"/>
                <w:b/>
                <w:sz w:val="20"/>
                <w:szCs w:val="20"/>
              </w:rPr>
              <w:t>2013</w:t>
            </w:r>
          </w:p>
        </w:tc>
      </w:tr>
      <w:tr w:rsidR="008B67F3" w:rsidRPr="00C917E2" w14:paraId="4A6FEF29" w14:textId="77777777" w:rsidTr="004B5F69">
        <w:trPr>
          <w:jc w:val="center"/>
        </w:trPr>
        <w:tc>
          <w:tcPr>
            <w:tcW w:w="3112" w:type="dxa"/>
            <w:tcBorders>
              <w:top w:val="single" w:sz="4" w:space="0" w:color="365F91" w:themeColor="accent1" w:themeShade="BF"/>
            </w:tcBorders>
            <w:shd w:val="clear" w:color="auto" w:fill="auto"/>
          </w:tcPr>
          <w:p w14:paraId="4CEB279A" w14:textId="77777777" w:rsidR="008B67F3" w:rsidRPr="00C917E2" w:rsidRDefault="008B67F3" w:rsidP="001E41AF">
            <w:pPr>
              <w:keepNext/>
              <w:spacing w:after="0"/>
              <w:ind w:left="234"/>
              <w:rPr>
                <w:rFonts w:asciiTheme="minorHAnsi" w:hAnsiTheme="minorHAnsi"/>
                <w:sz w:val="20"/>
                <w:szCs w:val="20"/>
              </w:rPr>
            </w:pPr>
            <w:r w:rsidRPr="00C917E2">
              <w:rPr>
                <w:rFonts w:asciiTheme="minorHAnsi" w:hAnsiTheme="minorHAnsi"/>
                <w:sz w:val="20"/>
                <w:szCs w:val="20"/>
              </w:rPr>
              <w:t xml:space="preserve">Revenue </w:t>
            </w:r>
          </w:p>
        </w:tc>
        <w:tc>
          <w:tcPr>
            <w:tcW w:w="1350" w:type="dxa"/>
            <w:tcBorders>
              <w:top w:val="single" w:sz="4" w:space="0" w:color="365F91" w:themeColor="accent1" w:themeShade="BF"/>
            </w:tcBorders>
            <w:shd w:val="clear" w:color="auto" w:fill="auto"/>
          </w:tcPr>
          <w:p w14:paraId="745B0AD8"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67,417</w:t>
            </w:r>
          </w:p>
        </w:tc>
        <w:tc>
          <w:tcPr>
            <w:tcW w:w="1343" w:type="dxa"/>
            <w:tcBorders>
              <w:top w:val="single" w:sz="4" w:space="0" w:color="365F91" w:themeColor="accent1" w:themeShade="BF"/>
            </w:tcBorders>
            <w:shd w:val="clear" w:color="auto" w:fill="auto"/>
          </w:tcPr>
          <w:p w14:paraId="63BC00BE"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84,213</w:t>
            </w:r>
          </w:p>
        </w:tc>
        <w:tc>
          <w:tcPr>
            <w:tcW w:w="1447" w:type="dxa"/>
            <w:tcBorders>
              <w:top w:val="single" w:sz="4" w:space="0" w:color="365F91" w:themeColor="accent1" w:themeShade="BF"/>
            </w:tcBorders>
            <w:shd w:val="clear" w:color="auto" w:fill="auto"/>
          </w:tcPr>
          <w:p w14:paraId="3E757807"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98,013</w:t>
            </w:r>
          </w:p>
        </w:tc>
        <w:tc>
          <w:tcPr>
            <w:tcW w:w="1890" w:type="dxa"/>
            <w:tcBorders>
              <w:top w:val="single" w:sz="4" w:space="0" w:color="365F91" w:themeColor="accent1" w:themeShade="BF"/>
            </w:tcBorders>
            <w:shd w:val="clear" w:color="auto" w:fill="auto"/>
          </w:tcPr>
          <w:p w14:paraId="3B8A79D0"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110,365</w:t>
            </w:r>
          </w:p>
        </w:tc>
      </w:tr>
      <w:tr w:rsidR="008B67F3" w:rsidRPr="00C917E2" w14:paraId="79909522" w14:textId="77777777" w:rsidTr="004B5F69">
        <w:trPr>
          <w:jc w:val="center"/>
        </w:trPr>
        <w:tc>
          <w:tcPr>
            <w:tcW w:w="3112" w:type="dxa"/>
            <w:shd w:val="clear" w:color="auto" w:fill="auto"/>
          </w:tcPr>
          <w:p w14:paraId="4336E67D" w14:textId="77777777" w:rsidR="008B67F3" w:rsidRPr="00C917E2" w:rsidRDefault="008B67F3" w:rsidP="001E41AF">
            <w:pPr>
              <w:keepNext/>
              <w:spacing w:after="0"/>
              <w:ind w:left="234"/>
              <w:rPr>
                <w:rFonts w:asciiTheme="minorHAnsi" w:hAnsiTheme="minorHAnsi"/>
                <w:sz w:val="20"/>
                <w:szCs w:val="20"/>
              </w:rPr>
            </w:pPr>
            <w:r w:rsidRPr="00C917E2">
              <w:rPr>
                <w:rFonts w:asciiTheme="minorHAnsi" w:hAnsiTheme="minorHAnsi"/>
                <w:sz w:val="20"/>
                <w:szCs w:val="20"/>
              </w:rPr>
              <w:t xml:space="preserve">Expenditure </w:t>
            </w:r>
          </w:p>
        </w:tc>
        <w:tc>
          <w:tcPr>
            <w:tcW w:w="1350" w:type="dxa"/>
            <w:shd w:val="clear" w:color="auto" w:fill="auto"/>
          </w:tcPr>
          <w:p w14:paraId="2C352726"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54,231</w:t>
            </w:r>
          </w:p>
        </w:tc>
        <w:tc>
          <w:tcPr>
            <w:tcW w:w="1343" w:type="dxa"/>
            <w:shd w:val="clear" w:color="auto" w:fill="auto"/>
          </w:tcPr>
          <w:p w14:paraId="0E2B9933"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68,281</w:t>
            </w:r>
          </w:p>
        </w:tc>
        <w:tc>
          <w:tcPr>
            <w:tcW w:w="1447" w:type="dxa"/>
            <w:shd w:val="clear" w:color="auto" w:fill="auto"/>
          </w:tcPr>
          <w:p w14:paraId="39A0FC70"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79,001</w:t>
            </w:r>
          </w:p>
        </w:tc>
        <w:tc>
          <w:tcPr>
            <w:tcW w:w="1890" w:type="dxa"/>
            <w:shd w:val="clear" w:color="auto" w:fill="auto"/>
          </w:tcPr>
          <w:p w14:paraId="70013664"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90,915</w:t>
            </w:r>
          </w:p>
        </w:tc>
      </w:tr>
      <w:tr w:rsidR="008B67F3" w:rsidRPr="00C917E2" w14:paraId="3EE96269" w14:textId="77777777" w:rsidTr="004B5F69">
        <w:trPr>
          <w:jc w:val="center"/>
        </w:trPr>
        <w:tc>
          <w:tcPr>
            <w:tcW w:w="3112" w:type="dxa"/>
            <w:tcBorders>
              <w:bottom w:val="single" w:sz="4" w:space="0" w:color="365F91" w:themeColor="accent1" w:themeShade="BF"/>
            </w:tcBorders>
            <w:shd w:val="clear" w:color="auto" w:fill="auto"/>
          </w:tcPr>
          <w:p w14:paraId="3AB62E77" w14:textId="77777777" w:rsidR="008B67F3" w:rsidRPr="00C917E2" w:rsidRDefault="008B67F3" w:rsidP="001E41AF">
            <w:pPr>
              <w:keepNext/>
              <w:spacing w:after="0"/>
              <w:ind w:left="234"/>
              <w:rPr>
                <w:rFonts w:asciiTheme="minorHAnsi" w:hAnsiTheme="minorHAnsi"/>
                <w:sz w:val="20"/>
                <w:szCs w:val="20"/>
              </w:rPr>
            </w:pPr>
            <w:r w:rsidRPr="00C917E2">
              <w:rPr>
                <w:rFonts w:asciiTheme="minorHAnsi" w:hAnsiTheme="minorHAnsi"/>
                <w:sz w:val="20"/>
                <w:szCs w:val="20"/>
              </w:rPr>
              <w:t>Administration costs</w:t>
            </w:r>
          </w:p>
        </w:tc>
        <w:tc>
          <w:tcPr>
            <w:tcW w:w="1350" w:type="dxa"/>
            <w:tcBorders>
              <w:bottom w:val="single" w:sz="4" w:space="0" w:color="365F91" w:themeColor="accent1" w:themeShade="BF"/>
            </w:tcBorders>
            <w:shd w:val="clear" w:color="auto" w:fill="auto"/>
          </w:tcPr>
          <w:p w14:paraId="7A216178"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9,454</w:t>
            </w:r>
          </w:p>
        </w:tc>
        <w:tc>
          <w:tcPr>
            <w:tcW w:w="1343" w:type="dxa"/>
            <w:tcBorders>
              <w:bottom w:val="single" w:sz="4" w:space="0" w:color="365F91" w:themeColor="accent1" w:themeShade="BF"/>
            </w:tcBorders>
            <w:shd w:val="clear" w:color="auto" w:fill="auto"/>
          </w:tcPr>
          <w:p w14:paraId="6DA53B6B"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14,237</w:t>
            </w:r>
          </w:p>
        </w:tc>
        <w:tc>
          <w:tcPr>
            <w:tcW w:w="1447" w:type="dxa"/>
            <w:tcBorders>
              <w:bottom w:val="single" w:sz="4" w:space="0" w:color="365F91" w:themeColor="accent1" w:themeShade="BF"/>
            </w:tcBorders>
            <w:shd w:val="clear" w:color="auto" w:fill="auto"/>
          </w:tcPr>
          <w:p w14:paraId="76E55767"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16,890</w:t>
            </w:r>
          </w:p>
        </w:tc>
        <w:tc>
          <w:tcPr>
            <w:tcW w:w="1890" w:type="dxa"/>
            <w:tcBorders>
              <w:bottom w:val="single" w:sz="4" w:space="0" w:color="365F91" w:themeColor="accent1" w:themeShade="BF"/>
            </w:tcBorders>
            <w:shd w:val="clear" w:color="auto" w:fill="auto"/>
          </w:tcPr>
          <w:p w14:paraId="5756FB09"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16,600</w:t>
            </w:r>
          </w:p>
        </w:tc>
      </w:tr>
      <w:tr w:rsidR="008B67F3" w:rsidRPr="00C917E2" w14:paraId="26EC99C9" w14:textId="77777777" w:rsidTr="004B5F69">
        <w:trPr>
          <w:jc w:val="center"/>
        </w:trPr>
        <w:tc>
          <w:tcPr>
            <w:tcW w:w="3112" w:type="dxa"/>
            <w:tcBorders>
              <w:top w:val="single" w:sz="4" w:space="0" w:color="365F91" w:themeColor="accent1" w:themeShade="BF"/>
              <w:bottom w:val="single" w:sz="4" w:space="0" w:color="365F91" w:themeColor="accent1" w:themeShade="BF"/>
            </w:tcBorders>
            <w:shd w:val="clear" w:color="auto" w:fill="auto"/>
          </w:tcPr>
          <w:p w14:paraId="1A711D54" w14:textId="77777777" w:rsidR="008B67F3" w:rsidRPr="00C917E2" w:rsidRDefault="008B67F3" w:rsidP="001E41AF">
            <w:pPr>
              <w:keepNext/>
              <w:spacing w:after="0"/>
              <w:rPr>
                <w:rFonts w:asciiTheme="minorHAnsi" w:hAnsiTheme="minorHAnsi"/>
                <w:sz w:val="20"/>
                <w:szCs w:val="20"/>
              </w:rPr>
            </w:pPr>
            <w:r w:rsidRPr="00C917E2">
              <w:rPr>
                <w:rFonts w:asciiTheme="minorHAnsi" w:hAnsiTheme="minorHAnsi"/>
                <w:sz w:val="20"/>
                <w:szCs w:val="20"/>
              </w:rPr>
              <w:t>Membership (number)</w:t>
            </w:r>
          </w:p>
        </w:tc>
        <w:tc>
          <w:tcPr>
            <w:tcW w:w="1350" w:type="dxa"/>
            <w:tcBorders>
              <w:top w:val="single" w:sz="4" w:space="0" w:color="365F91" w:themeColor="accent1" w:themeShade="BF"/>
              <w:bottom w:val="single" w:sz="4" w:space="0" w:color="365F91" w:themeColor="accent1" w:themeShade="BF"/>
            </w:tcBorders>
            <w:shd w:val="clear" w:color="auto" w:fill="auto"/>
          </w:tcPr>
          <w:p w14:paraId="007EE86D"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177,823</w:t>
            </w:r>
          </w:p>
        </w:tc>
        <w:tc>
          <w:tcPr>
            <w:tcW w:w="1343" w:type="dxa"/>
            <w:tcBorders>
              <w:top w:val="single" w:sz="4" w:space="0" w:color="365F91" w:themeColor="accent1" w:themeShade="BF"/>
              <w:bottom w:val="single" w:sz="4" w:space="0" w:color="365F91" w:themeColor="accent1" w:themeShade="BF"/>
            </w:tcBorders>
            <w:shd w:val="clear" w:color="auto" w:fill="auto"/>
          </w:tcPr>
          <w:p w14:paraId="1FA746F6"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176,756</w:t>
            </w:r>
          </w:p>
        </w:tc>
        <w:tc>
          <w:tcPr>
            <w:tcW w:w="1447" w:type="dxa"/>
            <w:tcBorders>
              <w:top w:val="single" w:sz="4" w:space="0" w:color="365F91" w:themeColor="accent1" w:themeShade="BF"/>
              <w:bottom w:val="single" w:sz="4" w:space="0" w:color="365F91" w:themeColor="accent1" w:themeShade="BF"/>
            </w:tcBorders>
            <w:shd w:val="clear" w:color="auto" w:fill="auto"/>
          </w:tcPr>
          <w:p w14:paraId="6F5A0908"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190,512</w:t>
            </w:r>
          </w:p>
        </w:tc>
        <w:tc>
          <w:tcPr>
            <w:tcW w:w="1890" w:type="dxa"/>
            <w:tcBorders>
              <w:top w:val="single" w:sz="4" w:space="0" w:color="365F91" w:themeColor="accent1" w:themeShade="BF"/>
              <w:bottom w:val="single" w:sz="4" w:space="0" w:color="365F91" w:themeColor="accent1" w:themeShade="BF"/>
            </w:tcBorders>
            <w:shd w:val="clear" w:color="auto" w:fill="auto"/>
          </w:tcPr>
          <w:p w14:paraId="6C19700D"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201,504</w:t>
            </w:r>
          </w:p>
        </w:tc>
      </w:tr>
      <w:tr w:rsidR="008B67F3" w:rsidRPr="00C917E2" w14:paraId="5EF33174" w14:textId="77777777" w:rsidTr="00B80373">
        <w:trPr>
          <w:jc w:val="center"/>
        </w:trPr>
        <w:tc>
          <w:tcPr>
            <w:tcW w:w="3112" w:type="dxa"/>
            <w:tcBorders>
              <w:bottom w:val="single" w:sz="4" w:space="0" w:color="365F91" w:themeColor="accent1" w:themeShade="BF"/>
            </w:tcBorders>
          </w:tcPr>
          <w:p w14:paraId="5DD47F9F" w14:textId="77777777" w:rsidR="008B67F3" w:rsidRPr="00C917E2" w:rsidRDefault="008B67F3" w:rsidP="001E41AF">
            <w:pPr>
              <w:keepNext/>
              <w:spacing w:after="0"/>
              <w:rPr>
                <w:rFonts w:asciiTheme="minorHAnsi" w:hAnsiTheme="minorHAnsi"/>
                <w:sz w:val="20"/>
                <w:szCs w:val="20"/>
              </w:rPr>
            </w:pPr>
            <w:r w:rsidRPr="00C917E2">
              <w:rPr>
                <w:rFonts w:asciiTheme="minorHAnsi" w:hAnsiTheme="minorHAnsi"/>
                <w:sz w:val="20"/>
                <w:szCs w:val="20"/>
              </w:rPr>
              <w:t>Contribution per person (US$)</w:t>
            </w:r>
          </w:p>
        </w:tc>
        <w:tc>
          <w:tcPr>
            <w:tcW w:w="1350" w:type="dxa"/>
            <w:tcBorders>
              <w:bottom w:val="single" w:sz="4" w:space="0" w:color="365F91" w:themeColor="accent1" w:themeShade="BF"/>
            </w:tcBorders>
          </w:tcPr>
          <w:p w14:paraId="3C30DB2B"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379</w:t>
            </w:r>
          </w:p>
        </w:tc>
        <w:tc>
          <w:tcPr>
            <w:tcW w:w="1343" w:type="dxa"/>
            <w:tcBorders>
              <w:bottom w:val="single" w:sz="4" w:space="0" w:color="365F91" w:themeColor="accent1" w:themeShade="BF"/>
            </w:tcBorders>
          </w:tcPr>
          <w:p w14:paraId="3954C362"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476</w:t>
            </w:r>
          </w:p>
        </w:tc>
        <w:tc>
          <w:tcPr>
            <w:tcW w:w="1447" w:type="dxa"/>
            <w:tcBorders>
              <w:bottom w:val="single" w:sz="4" w:space="0" w:color="365F91" w:themeColor="accent1" w:themeShade="BF"/>
            </w:tcBorders>
          </w:tcPr>
          <w:p w14:paraId="03D85A60"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514</w:t>
            </w:r>
          </w:p>
        </w:tc>
        <w:tc>
          <w:tcPr>
            <w:tcW w:w="1890" w:type="dxa"/>
            <w:tcBorders>
              <w:bottom w:val="single" w:sz="4" w:space="0" w:color="365F91" w:themeColor="accent1" w:themeShade="BF"/>
            </w:tcBorders>
          </w:tcPr>
          <w:p w14:paraId="1E0FCB33" w14:textId="77777777" w:rsidR="008B67F3" w:rsidRPr="00C917E2" w:rsidRDefault="008B67F3" w:rsidP="001E41AF">
            <w:pPr>
              <w:keepNext/>
              <w:spacing w:after="0"/>
              <w:jc w:val="right"/>
              <w:rPr>
                <w:rFonts w:asciiTheme="minorHAnsi" w:hAnsiTheme="minorHAnsi"/>
                <w:sz w:val="20"/>
                <w:szCs w:val="20"/>
              </w:rPr>
            </w:pPr>
            <w:r w:rsidRPr="00C917E2">
              <w:rPr>
                <w:rFonts w:asciiTheme="minorHAnsi" w:hAnsiTheme="minorHAnsi"/>
                <w:sz w:val="20"/>
                <w:szCs w:val="20"/>
              </w:rPr>
              <w:t>548</w:t>
            </w:r>
          </w:p>
        </w:tc>
      </w:tr>
    </w:tbl>
    <w:p w14:paraId="32BD0562" w14:textId="77777777" w:rsidR="008B67F3" w:rsidRPr="00C917E2" w:rsidRDefault="008B67F3" w:rsidP="00B80373">
      <w:pPr>
        <w:pStyle w:val="Source"/>
      </w:pPr>
      <w:r w:rsidRPr="00E94700">
        <w:rPr>
          <w:i/>
        </w:rPr>
        <w:t>Source:</w:t>
      </w:r>
      <w:r w:rsidRPr="00C917E2">
        <w:t xml:space="preserve"> CIMAS </w:t>
      </w:r>
      <w:r w:rsidR="00283D74" w:rsidRPr="00C917E2">
        <w:t xml:space="preserve">annual reports </w:t>
      </w:r>
      <w:r w:rsidRPr="00C917E2">
        <w:t>2011 and 2013</w:t>
      </w:r>
      <w:r w:rsidR="006B2D5F">
        <w:t>.</w:t>
      </w:r>
    </w:p>
    <w:p w14:paraId="18845D11" w14:textId="77777777" w:rsidR="008B67F3" w:rsidRPr="00C917E2" w:rsidRDefault="008B67F3" w:rsidP="00D37198">
      <w:pPr>
        <w:pStyle w:val="Numberpara"/>
      </w:pPr>
      <w:r w:rsidRPr="00C917E2">
        <w:lastRenderedPageBreak/>
        <w:t xml:space="preserve">The CIMAS figures also reveal its </w:t>
      </w:r>
      <w:r w:rsidR="00B84492">
        <w:t>financial weight</w:t>
      </w:r>
      <w:r w:rsidRPr="00C917E2">
        <w:t xml:space="preserve">: its expenditure was over one-third of total MOHCC spending in 2013 (US$268.5 million). However, this budget </w:t>
      </w:r>
      <w:r w:rsidR="00B84492">
        <w:t>offered</w:t>
      </w:r>
      <w:r w:rsidR="00B84492" w:rsidRPr="00C917E2">
        <w:t xml:space="preserve"> </w:t>
      </w:r>
      <w:r w:rsidRPr="00C917E2">
        <w:t xml:space="preserve">services to only </w:t>
      </w:r>
      <w:r w:rsidR="00B84492">
        <w:t xml:space="preserve">around </w:t>
      </w:r>
      <w:r w:rsidRPr="00C917E2">
        <w:t>1.5 percent of the whole population—a fundamental inequity.</w:t>
      </w:r>
    </w:p>
    <w:p w14:paraId="28F30E33" w14:textId="77777777" w:rsidR="008B67F3" w:rsidRPr="00C917E2" w:rsidRDefault="008B67F3" w:rsidP="00D37198">
      <w:pPr>
        <w:pStyle w:val="Numberpara"/>
      </w:pPr>
      <w:r w:rsidRPr="00C917E2">
        <w:t xml:space="preserve">There is a need </w:t>
      </w:r>
      <w:r w:rsidR="00B84492">
        <w:t xml:space="preserve">to </w:t>
      </w:r>
      <w:r w:rsidRPr="00C917E2">
        <w:t>thorough</w:t>
      </w:r>
      <w:r w:rsidR="00B84492">
        <w:t>ly</w:t>
      </w:r>
      <w:r w:rsidRPr="00C917E2">
        <w:t xml:space="preserve"> review the current health insurance framework and to examine possible medium-term options to increase use of prepayment mechanisms</w:t>
      </w:r>
      <w:r w:rsidR="00B84492">
        <w:t>,</w:t>
      </w:r>
      <w:r w:rsidRPr="00C917E2">
        <w:t xml:space="preserve"> based on equity and efficiency considerations. </w:t>
      </w:r>
    </w:p>
    <w:p w14:paraId="0F7476C6" w14:textId="77777777" w:rsidR="008B67F3" w:rsidRPr="00C917E2" w:rsidRDefault="008B67F3" w:rsidP="00226FA8">
      <w:pPr>
        <w:pStyle w:val="Heading2"/>
      </w:pPr>
      <w:bookmarkStart w:id="214" w:name="_Toc419004021"/>
      <w:r w:rsidRPr="00C917E2">
        <w:t>3.4 Efficiency Analysis: Linking Public Spending to Health Outcomes</w:t>
      </w:r>
      <w:bookmarkEnd w:id="214"/>
    </w:p>
    <w:p w14:paraId="01FD3EE8" w14:textId="77777777" w:rsidR="008B67F3" w:rsidRPr="00C917E2" w:rsidRDefault="008B67F3" w:rsidP="00D37198">
      <w:pPr>
        <w:pStyle w:val="Numberpara"/>
      </w:pPr>
      <w:r w:rsidRPr="00C917E2">
        <w:t xml:space="preserve">The objective of an efficiency analysis is to establish a general link between GHE and general health outcomes, so as to gauge the need for additional funding relative to efficiency improvements as well as the potential for new funding to generate results. The methodology is in Annex 3, as are further charts on structural and current efficiency. </w:t>
      </w:r>
    </w:p>
    <w:p w14:paraId="6B630DDD" w14:textId="77777777" w:rsidR="008B67F3" w:rsidRPr="00C917E2" w:rsidRDefault="008B67F3" w:rsidP="00DD2D3A">
      <w:pPr>
        <w:pStyle w:val="Heading3"/>
      </w:pPr>
      <w:bookmarkStart w:id="215" w:name="_Toc419004022"/>
      <w:r w:rsidRPr="00C917E2">
        <w:t>Methodology and Terms</w:t>
      </w:r>
      <w:bookmarkEnd w:id="215"/>
    </w:p>
    <w:p w14:paraId="5217D158" w14:textId="77777777" w:rsidR="008B67F3" w:rsidRPr="00C917E2" w:rsidRDefault="008B67F3" w:rsidP="00D37198">
      <w:pPr>
        <w:pStyle w:val="Numberpara"/>
      </w:pPr>
      <w:r w:rsidRPr="00C917E2">
        <w:t xml:space="preserve">The methodology here uses similar data </w:t>
      </w:r>
      <w:r w:rsidR="008D54E3">
        <w:t xml:space="preserve">to that </w:t>
      </w:r>
      <w:r w:rsidRPr="00C917E2">
        <w:t xml:space="preserve">for </w:t>
      </w:r>
      <w:r w:rsidR="008D54E3" w:rsidRPr="008D54E3">
        <w:t xml:space="preserve">data envelopment analysis </w:t>
      </w:r>
      <w:r w:rsidR="008D54E3">
        <w:t>(</w:t>
      </w:r>
      <w:r w:rsidRPr="00C917E2">
        <w:t>DEA</w:t>
      </w:r>
      <w:r w:rsidR="008D54E3">
        <w:t>)</w:t>
      </w:r>
      <w:r w:rsidRPr="00C917E2">
        <w:t xml:space="preserve">, but efficiency is assessed visually in two dimensions (rather than using a summary indicator as DEA does): both dimensions are obtained using deviations from expectations, one from expected health outcomes, the other from expected government expenditures. </w:t>
      </w:r>
    </w:p>
    <w:p w14:paraId="76C709B0" w14:textId="77777777" w:rsidR="008B67F3" w:rsidRPr="00C917E2" w:rsidRDefault="008B67F3" w:rsidP="00D37198">
      <w:pPr>
        <w:pStyle w:val="Numberpara"/>
      </w:pPr>
      <w:r w:rsidRPr="00C917E2">
        <w:t xml:space="preserve">Structural efficiency relates to the long-term standing of a country on public expenditure performance. It is important to measure it </w:t>
      </w:r>
      <w:r w:rsidR="008D54E3">
        <w:t>so as</w:t>
      </w:r>
      <w:r w:rsidRPr="00C917E2">
        <w:t xml:space="preserve"> to establish some benchmarks </w:t>
      </w:r>
      <w:r w:rsidR="008D54E3">
        <w:t>for</w:t>
      </w:r>
      <w:r w:rsidRPr="00C917E2">
        <w:t xml:space="preserve"> interpret</w:t>
      </w:r>
      <w:r w:rsidR="008D54E3">
        <w:t>ing</w:t>
      </w:r>
      <w:r w:rsidRPr="00C917E2">
        <w:t xml:space="preserve"> current efficiency. A measure of structural efficiency can be obtained using all data available and exploiting their panel structure. A random-effects regression separates the residual variance into a part that is common to all countries and a part that is country specific. The country-specific residual variance or “random effect” can be used to measure the structural advantage/disadvantage of the country against expectations. </w:t>
      </w:r>
    </w:p>
    <w:p w14:paraId="4CCB9448" w14:textId="77777777" w:rsidR="008B67F3" w:rsidRPr="00C917E2" w:rsidRDefault="008B67F3" w:rsidP="00D37198">
      <w:pPr>
        <w:pStyle w:val="Numberpara"/>
      </w:pPr>
      <w:r w:rsidRPr="00C917E2">
        <w:t>Current efficiency lets one gauge how a country’s position relative to others has changed between two periods. For Zimbabwe, expectations are estimated for each period averaging values over 2000–01 and 2010–13 and running an ordinary least squares regression on the cross-section of countries for which data are available. Residuals are then calculated as the difference between observed and expected values.</w:t>
      </w:r>
    </w:p>
    <w:p w14:paraId="39046500" w14:textId="77777777" w:rsidR="008B67F3" w:rsidRPr="00C917E2" w:rsidRDefault="008B67F3" w:rsidP="00D37198">
      <w:pPr>
        <w:pStyle w:val="Numberpara"/>
      </w:pPr>
      <w:r w:rsidRPr="00C917E2">
        <w:t xml:space="preserve">On the health outcomes dimension, different types of outcome can be considered depending on whether structural or current efficiency is assessed. Infant mortality rates and maternal mortality rates are commonly used indicators in efficiency analyses of the health sector in PERs and are well suited for the current analysis. </w:t>
      </w:r>
    </w:p>
    <w:p w14:paraId="78A3787A" w14:textId="77777777" w:rsidR="008B67F3" w:rsidRPr="00C917E2" w:rsidRDefault="008B67F3" w:rsidP="00D37198">
      <w:pPr>
        <w:pStyle w:val="Numberpara"/>
      </w:pPr>
      <w:r w:rsidRPr="00C917E2">
        <w:t>On the health expenditures dimension, because internationally comparable data on total public expenditures are unavailable for Zimbabwe</w:t>
      </w:r>
      <w:r w:rsidR="008D54E3">
        <w:t>,</w:t>
      </w:r>
      <w:r w:rsidRPr="00C917E2">
        <w:t xml:space="preserve"> the analysis must rely on MOHCC expenditure alone. It is likely that Zimbabwe has lower health ministry expenditures as a share of GDP than other countries because less foreign aid is channeled through the government than in those countries. Although the extent of the bias is unknown, it would overstate Zimbabwe’s efficiency results, with expenditures biased downward for periods when this is the case. </w:t>
      </w:r>
    </w:p>
    <w:p w14:paraId="3251EB77" w14:textId="77777777" w:rsidR="008B67F3" w:rsidRPr="00C917E2" w:rsidRDefault="008B67F3" w:rsidP="00D37198">
      <w:pPr>
        <w:pStyle w:val="Numberpara"/>
      </w:pPr>
      <w:r w:rsidRPr="00C917E2">
        <w:t xml:space="preserve">Results are plotted on a four-quadrant graph where (0,0) is the point where both health outcome and expenditures are at levels predicted by the model. Deviations from expected health outcomes are </w:t>
      </w:r>
      <w:r w:rsidRPr="00C917E2">
        <w:lastRenderedPageBreak/>
        <w:t xml:space="preserve">represented vertically (y axis) and from expected expenditure horizontally (x axis). For health outcomes such as mortality, lower is better, so a position in the southwest quadrant is most efficient and a position to the northeast is least efficient. The northwest quadrant includes countries with relatively bad health outcomes that also have relatively low expenditures—underachievers. Those in the </w:t>
      </w:r>
      <w:r w:rsidR="008D54E3">
        <w:t>southeast</w:t>
      </w:r>
      <w:r w:rsidR="008D54E3" w:rsidRPr="00C917E2">
        <w:t xml:space="preserve"> </w:t>
      </w:r>
      <w:r w:rsidRPr="00C917E2">
        <w:t xml:space="preserve">quadrant are overachievers. </w:t>
      </w:r>
    </w:p>
    <w:p w14:paraId="0BC2F38C" w14:textId="77777777" w:rsidR="008B67F3" w:rsidRPr="00C917E2" w:rsidRDefault="008B67F3" w:rsidP="00D37198">
      <w:pPr>
        <w:pStyle w:val="Numberpara"/>
      </w:pPr>
      <w:r w:rsidRPr="00C917E2">
        <w:t>The main caveats are that, to appreciate the overall picture and make policy recommendations on the size of public expenditure, one cannot look at results of the efficiency analysis in isolation of analyses of inequalities of financial burdens and outcomes.</w:t>
      </w:r>
    </w:p>
    <w:p w14:paraId="510607FE" w14:textId="77777777" w:rsidR="008B67F3" w:rsidRPr="00C917E2" w:rsidRDefault="008B67F3" w:rsidP="00E05DDD">
      <w:pPr>
        <w:pStyle w:val="Heading3"/>
      </w:pPr>
      <w:bookmarkStart w:id="216" w:name="_Toc419004023"/>
      <w:r w:rsidRPr="00C917E2">
        <w:t>Results</w:t>
      </w:r>
      <w:bookmarkEnd w:id="216"/>
    </w:p>
    <w:p w14:paraId="6F6D75B6" w14:textId="77777777" w:rsidR="008B67F3" w:rsidRPr="00D37198" w:rsidRDefault="008B67F3" w:rsidP="00D37198">
      <w:pPr>
        <w:pStyle w:val="Numberpara"/>
      </w:pPr>
      <w:r w:rsidRPr="00C917E2">
        <w:t>Zimbabwe has shown a structural advantage in terms of achieving better or equivalent mortality outcomes with lower expenditure</w:t>
      </w:r>
      <w:r w:rsidR="008D54E3">
        <w:t>,</w:t>
      </w:r>
      <w:r w:rsidRPr="00C917E2">
        <w:t xml:space="preserve"> although possible downward bias on the expenditure side would place Zimbabwe as an overachiever (better than expected expenditure at the price of higher expenditure).</w:t>
      </w:r>
      <w:r w:rsidRPr="00C917E2">
        <w:rPr>
          <w:rStyle w:val="EndnoteReference"/>
        </w:rPr>
        <w:t xml:space="preserve"> </w:t>
      </w:r>
      <w:r w:rsidRPr="00C917E2">
        <w:rPr>
          <w:rStyle w:val="EndnoteReference"/>
        </w:rPr>
        <w:endnoteReference w:id="85"/>
      </w:r>
      <w:r w:rsidRPr="00C917E2">
        <w:t xml:space="preserve"> The random-effect analyses based on a panel of 177 countries (154 for MOHCC expenditure) with data </w:t>
      </w:r>
      <w:r w:rsidR="008D54E3">
        <w:t>over</w:t>
      </w:r>
      <w:r w:rsidR="008D54E3" w:rsidRPr="00C917E2">
        <w:t xml:space="preserve"> </w:t>
      </w:r>
      <w:r w:rsidRPr="00C917E2">
        <w:t xml:space="preserve">1995–2012 (unbalanced) place Zimbabwe among the countries that have experienced, on average over the period, lower infant and child mortality with lower MOHCC expenditures, putting the country in the most efficient region. For maternal mortality, however, Zimbabwe’s advantage is only due to lower expenditure. But as said, the results depend on the ratio of foreign aid channeled through the government in Zimbabwe versus that in other countries in the panel. </w:t>
      </w:r>
    </w:p>
    <w:p w14:paraId="5549AA2C" w14:textId="77777777" w:rsidR="008B67F3" w:rsidRPr="0017627F" w:rsidRDefault="008B67F3" w:rsidP="00D37198">
      <w:pPr>
        <w:pStyle w:val="Numberpara"/>
      </w:pPr>
      <w:r w:rsidRPr="0017627F">
        <w:t xml:space="preserve">Zimbabwe’s efficiency advantage in infant, child, and maternal mortality has decreased since 2000–01. The cross-country analyses based on average health outcome for 171–175 countries and average health expenditure for 123–132 countries in 2000–01 and 2010–12 reveal that Zimbabwe has lost ground on efficiency from where it was in the early 2000s and relative to other countries in all indicators considered. </w:t>
      </w:r>
      <w:r w:rsidR="00C713A9" w:rsidRPr="0017627F">
        <w:fldChar w:fldCharType="begin"/>
      </w:r>
      <w:r w:rsidR="00FF3BD3" w:rsidRPr="0017627F">
        <w:instrText xml:space="preserve"> REF _Ref414597524 \h </w:instrText>
      </w:r>
      <w:r w:rsidR="00C713A9" w:rsidRPr="0017627F">
        <w:fldChar w:fldCharType="separate"/>
      </w:r>
      <w:r w:rsidR="003732A2" w:rsidRPr="00C917E2">
        <w:t xml:space="preserve">Table </w:t>
      </w:r>
      <w:r w:rsidR="003732A2">
        <w:rPr>
          <w:noProof/>
        </w:rPr>
        <w:t>10</w:t>
      </w:r>
      <w:r w:rsidR="00C713A9" w:rsidRPr="0017627F">
        <w:fldChar w:fldCharType="end"/>
      </w:r>
      <w:r w:rsidRPr="0017627F">
        <w:t xml:space="preserve"> records Zimbabwe’s deviation from expected outcomes and expenditures relative to the standard deviation in the sample.</w:t>
      </w:r>
    </w:p>
    <w:p w14:paraId="061238EC" w14:textId="77777777" w:rsidR="008B67F3" w:rsidRPr="00C917E2" w:rsidRDefault="008B67F3" w:rsidP="00C53C89">
      <w:pPr>
        <w:pStyle w:val="Table"/>
      </w:pPr>
      <w:bookmarkStart w:id="217" w:name="_Ref414597524"/>
      <w:bookmarkStart w:id="218" w:name="_Toc419004078"/>
      <w:r w:rsidRPr="00C917E2">
        <w:t xml:space="preserve">Table </w:t>
      </w:r>
      <w:r w:rsidR="00113462">
        <w:fldChar w:fldCharType="begin"/>
      </w:r>
      <w:r w:rsidR="00113462">
        <w:instrText xml:space="preserve"> SEQ Table \* ARABIC </w:instrText>
      </w:r>
      <w:r w:rsidR="00113462">
        <w:fldChar w:fldCharType="separate"/>
      </w:r>
      <w:r w:rsidR="003732A2">
        <w:rPr>
          <w:noProof/>
        </w:rPr>
        <w:t>10</w:t>
      </w:r>
      <w:r w:rsidR="00113462">
        <w:rPr>
          <w:noProof/>
        </w:rPr>
        <w:fldChar w:fldCharType="end"/>
      </w:r>
      <w:bookmarkEnd w:id="217"/>
      <w:r w:rsidRPr="00C917E2">
        <w:t xml:space="preserve"> Changes in Zimbabwe’s Efficiency Advantage</w:t>
      </w:r>
      <w:bookmarkEnd w:id="218"/>
    </w:p>
    <w:tbl>
      <w:tblPr>
        <w:tblW w:w="5000" w:type="pct"/>
        <w:tblLook w:val="04A0" w:firstRow="1" w:lastRow="0" w:firstColumn="1" w:lastColumn="0" w:noHBand="0" w:noVBand="1"/>
      </w:tblPr>
      <w:tblGrid>
        <w:gridCol w:w="4262"/>
        <w:gridCol w:w="1542"/>
        <w:gridCol w:w="1612"/>
        <w:gridCol w:w="1610"/>
      </w:tblGrid>
      <w:tr w:rsidR="008B67F3" w:rsidRPr="00C917E2" w14:paraId="61D8A8FB" w14:textId="77777777" w:rsidTr="00EC35B6">
        <w:trPr>
          <w:trHeight w:val="300"/>
        </w:trPr>
        <w:tc>
          <w:tcPr>
            <w:tcW w:w="2361" w:type="pct"/>
            <w:tcBorders>
              <w:top w:val="single" w:sz="4" w:space="0" w:color="auto"/>
              <w:left w:val="nil"/>
              <w:bottom w:val="single" w:sz="4" w:space="0" w:color="auto"/>
              <w:right w:val="nil"/>
            </w:tcBorders>
            <w:shd w:val="clear" w:color="auto" w:fill="auto"/>
            <w:noWrap/>
            <w:vAlign w:val="bottom"/>
            <w:hideMark/>
          </w:tcPr>
          <w:p w14:paraId="041E6E89" w14:textId="77777777" w:rsidR="008B67F3" w:rsidRPr="00C917E2" w:rsidRDefault="008B67F3" w:rsidP="00551D51">
            <w:pPr>
              <w:keepNext/>
              <w:spacing w:after="0"/>
              <w:rPr>
                <w:rFonts w:asciiTheme="minorHAnsi" w:hAnsiTheme="minorHAnsi"/>
                <w:b/>
                <w:sz w:val="20"/>
                <w:szCs w:val="20"/>
              </w:rPr>
            </w:pPr>
          </w:p>
        </w:tc>
        <w:tc>
          <w:tcPr>
            <w:tcW w:w="854" w:type="pct"/>
            <w:tcBorders>
              <w:top w:val="single" w:sz="4" w:space="0" w:color="auto"/>
              <w:left w:val="nil"/>
              <w:bottom w:val="single" w:sz="4" w:space="0" w:color="auto"/>
              <w:right w:val="nil"/>
            </w:tcBorders>
            <w:shd w:val="clear" w:color="auto" w:fill="auto"/>
            <w:noWrap/>
            <w:vAlign w:val="bottom"/>
            <w:hideMark/>
          </w:tcPr>
          <w:p w14:paraId="1E83251C" w14:textId="77777777" w:rsidR="008B67F3" w:rsidRPr="00C917E2" w:rsidRDefault="008B67F3" w:rsidP="00551D51">
            <w:pPr>
              <w:keepNext/>
              <w:spacing w:after="0"/>
              <w:rPr>
                <w:rFonts w:asciiTheme="minorHAnsi" w:hAnsiTheme="minorHAnsi"/>
                <w:b/>
                <w:sz w:val="20"/>
                <w:szCs w:val="20"/>
              </w:rPr>
            </w:pPr>
            <w:r w:rsidRPr="00C917E2">
              <w:rPr>
                <w:rFonts w:asciiTheme="minorHAnsi" w:hAnsiTheme="minorHAnsi"/>
                <w:b/>
                <w:sz w:val="20"/>
                <w:szCs w:val="20"/>
              </w:rPr>
              <w:t>2000–01 (a)</w:t>
            </w:r>
          </w:p>
        </w:tc>
        <w:tc>
          <w:tcPr>
            <w:tcW w:w="893" w:type="pct"/>
            <w:tcBorders>
              <w:top w:val="single" w:sz="4" w:space="0" w:color="auto"/>
              <w:left w:val="nil"/>
              <w:bottom w:val="single" w:sz="4" w:space="0" w:color="auto"/>
              <w:right w:val="nil"/>
            </w:tcBorders>
            <w:shd w:val="clear" w:color="auto" w:fill="auto"/>
            <w:noWrap/>
            <w:vAlign w:val="bottom"/>
            <w:hideMark/>
          </w:tcPr>
          <w:p w14:paraId="28336483" w14:textId="77777777" w:rsidR="008B67F3" w:rsidRPr="00C917E2" w:rsidRDefault="008B67F3" w:rsidP="00551D51">
            <w:pPr>
              <w:keepNext/>
              <w:spacing w:after="0"/>
              <w:rPr>
                <w:rFonts w:asciiTheme="minorHAnsi" w:hAnsiTheme="minorHAnsi"/>
                <w:b/>
                <w:sz w:val="20"/>
                <w:szCs w:val="20"/>
              </w:rPr>
            </w:pPr>
            <w:r w:rsidRPr="00C917E2">
              <w:rPr>
                <w:rFonts w:asciiTheme="minorHAnsi" w:hAnsiTheme="minorHAnsi"/>
                <w:b/>
                <w:sz w:val="20"/>
                <w:szCs w:val="20"/>
              </w:rPr>
              <w:t>2010–12 (a)</w:t>
            </w:r>
          </w:p>
        </w:tc>
        <w:tc>
          <w:tcPr>
            <w:tcW w:w="892" w:type="pct"/>
            <w:tcBorders>
              <w:top w:val="single" w:sz="4" w:space="0" w:color="auto"/>
              <w:left w:val="nil"/>
              <w:bottom w:val="single" w:sz="4" w:space="0" w:color="auto"/>
              <w:right w:val="nil"/>
            </w:tcBorders>
            <w:shd w:val="clear" w:color="auto" w:fill="auto"/>
            <w:noWrap/>
            <w:vAlign w:val="bottom"/>
            <w:hideMark/>
          </w:tcPr>
          <w:p w14:paraId="56A3B80D" w14:textId="77777777" w:rsidR="008B67F3" w:rsidRPr="00C917E2" w:rsidRDefault="008B67F3" w:rsidP="00551D51">
            <w:pPr>
              <w:keepNext/>
              <w:spacing w:after="0"/>
              <w:rPr>
                <w:rFonts w:asciiTheme="minorHAnsi" w:hAnsiTheme="minorHAnsi"/>
                <w:b/>
                <w:sz w:val="20"/>
                <w:szCs w:val="20"/>
              </w:rPr>
            </w:pPr>
            <w:r w:rsidRPr="00C917E2">
              <w:rPr>
                <w:rFonts w:asciiTheme="minorHAnsi" w:hAnsiTheme="minorHAnsi"/>
                <w:b/>
                <w:sz w:val="20"/>
                <w:szCs w:val="20"/>
              </w:rPr>
              <w:t>Difference (b)</w:t>
            </w:r>
          </w:p>
        </w:tc>
      </w:tr>
      <w:tr w:rsidR="008B67F3" w:rsidRPr="00C917E2" w14:paraId="253779CD" w14:textId="77777777" w:rsidTr="00EC35B6">
        <w:trPr>
          <w:trHeight w:val="170"/>
        </w:trPr>
        <w:tc>
          <w:tcPr>
            <w:tcW w:w="2361" w:type="pct"/>
            <w:tcBorders>
              <w:top w:val="single" w:sz="4" w:space="0" w:color="auto"/>
              <w:left w:val="nil"/>
              <w:bottom w:val="nil"/>
              <w:right w:val="nil"/>
            </w:tcBorders>
            <w:shd w:val="clear" w:color="auto" w:fill="auto"/>
            <w:noWrap/>
            <w:vAlign w:val="bottom"/>
            <w:hideMark/>
          </w:tcPr>
          <w:p w14:paraId="4FD7925A"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Infant mortality</w:t>
            </w:r>
          </w:p>
        </w:tc>
        <w:tc>
          <w:tcPr>
            <w:tcW w:w="854" w:type="pct"/>
            <w:tcBorders>
              <w:top w:val="single" w:sz="4" w:space="0" w:color="auto"/>
              <w:left w:val="nil"/>
              <w:bottom w:val="nil"/>
              <w:right w:val="nil"/>
            </w:tcBorders>
            <w:shd w:val="clear" w:color="auto" w:fill="auto"/>
            <w:noWrap/>
            <w:vAlign w:val="bottom"/>
            <w:hideMark/>
          </w:tcPr>
          <w:p w14:paraId="1C16797D"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-2.07</w:t>
            </w:r>
          </w:p>
        </w:tc>
        <w:tc>
          <w:tcPr>
            <w:tcW w:w="893" w:type="pct"/>
            <w:tcBorders>
              <w:top w:val="single" w:sz="4" w:space="0" w:color="auto"/>
              <w:left w:val="nil"/>
              <w:bottom w:val="nil"/>
              <w:right w:val="nil"/>
            </w:tcBorders>
            <w:shd w:val="clear" w:color="auto" w:fill="auto"/>
            <w:noWrap/>
            <w:vAlign w:val="bottom"/>
            <w:hideMark/>
          </w:tcPr>
          <w:p w14:paraId="253F6E61"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-0.65</w:t>
            </w:r>
          </w:p>
        </w:tc>
        <w:tc>
          <w:tcPr>
            <w:tcW w:w="892" w:type="pct"/>
            <w:tcBorders>
              <w:top w:val="single" w:sz="4" w:space="0" w:color="auto"/>
              <w:left w:val="nil"/>
              <w:bottom w:val="nil"/>
              <w:right w:val="nil"/>
            </w:tcBorders>
            <w:shd w:val="clear" w:color="auto" w:fill="auto"/>
            <w:noWrap/>
            <w:vAlign w:val="bottom"/>
            <w:hideMark/>
          </w:tcPr>
          <w:p w14:paraId="0D7A3B09"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1.42</w:t>
            </w:r>
          </w:p>
        </w:tc>
      </w:tr>
      <w:tr w:rsidR="008B67F3" w:rsidRPr="00C917E2" w14:paraId="5108FD43" w14:textId="77777777" w:rsidTr="00EC35B6">
        <w:trPr>
          <w:trHeight w:val="170"/>
        </w:trPr>
        <w:tc>
          <w:tcPr>
            <w:tcW w:w="2361" w:type="pct"/>
            <w:tcBorders>
              <w:top w:val="nil"/>
              <w:left w:val="nil"/>
              <w:bottom w:val="nil"/>
              <w:right w:val="nil"/>
            </w:tcBorders>
            <w:shd w:val="clear" w:color="auto" w:fill="auto"/>
            <w:noWrap/>
            <w:vAlign w:val="bottom"/>
            <w:hideMark/>
          </w:tcPr>
          <w:p w14:paraId="5C48636B"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Maternal mortality</w:t>
            </w:r>
          </w:p>
        </w:tc>
        <w:tc>
          <w:tcPr>
            <w:tcW w:w="854" w:type="pct"/>
            <w:tcBorders>
              <w:top w:val="nil"/>
              <w:left w:val="nil"/>
              <w:bottom w:val="nil"/>
              <w:right w:val="nil"/>
            </w:tcBorders>
            <w:shd w:val="clear" w:color="auto" w:fill="auto"/>
            <w:noWrap/>
            <w:vAlign w:val="bottom"/>
            <w:hideMark/>
          </w:tcPr>
          <w:p w14:paraId="601AF7AE"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-0.45</w:t>
            </w:r>
          </w:p>
        </w:tc>
        <w:tc>
          <w:tcPr>
            <w:tcW w:w="893" w:type="pct"/>
            <w:tcBorders>
              <w:top w:val="nil"/>
              <w:left w:val="nil"/>
              <w:bottom w:val="nil"/>
              <w:right w:val="nil"/>
            </w:tcBorders>
            <w:shd w:val="clear" w:color="auto" w:fill="auto"/>
            <w:noWrap/>
            <w:vAlign w:val="bottom"/>
            <w:hideMark/>
          </w:tcPr>
          <w:p w14:paraId="059CB910"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0.55</w:t>
            </w:r>
          </w:p>
        </w:tc>
        <w:tc>
          <w:tcPr>
            <w:tcW w:w="892" w:type="pct"/>
            <w:tcBorders>
              <w:top w:val="nil"/>
              <w:left w:val="nil"/>
              <w:bottom w:val="nil"/>
              <w:right w:val="nil"/>
            </w:tcBorders>
            <w:shd w:val="clear" w:color="auto" w:fill="auto"/>
            <w:noWrap/>
            <w:vAlign w:val="bottom"/>
            <w:hideMark/>
          </w:tcPr>
          <w:p w14:paraId="68744F09"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1.00</w:t>
            </w:r>
          </w:p>
        </w:tc>
      </w:tr>
      <w:tr w:rsidR="008B67F3" w:rsidRPr="00C917E2" w14:paraId="520C4F04" w14:textId="77777777" w:rsidTr="00EC35B6">
        <w:trPr>
          <w:trHeight w:val="170"/>
        </w:trPr>
        <w:tc>
          <w:tcPr>
            <w:tcW w:w="2361" w:type="pct"/>
            <w:tcBorders>
              <w:top w:val="nil"/>
              <w:left w:val="nil"/>
              <w:bottom w:val="nil"/>
              <w:right w:val="nil"/>
            </w:tcBorders>
            <w:shd w:val="clear" w:color="auto" w:fill="auto"/>
            <w:noWrap/>
            <w:vAlign w:val="bottom"/>
            <w:hideMark/>
          </w:tcPr>
          <w:p w14:paraId="60E8C9E1"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Child mortality</w:t>
            </w:r>
          </w:p>
        </w:tc>
        <w:tc>
          <w:tcPr>
            <w:tcW w:w="854" w:type="pct"/>
            <w:tcBorders>
              <w:top w:val="nil"/>
              <w:left w:val="nil"/>
              <w:bottom w:val="nil"/>
              <w:right w:val="nil"/>
            </w:tcBorders>
            <w:shd w:val="clear" w:color="auto" w:fill="auto"/>
            <w:noWrap/>
            <w:vAlign w:val="bottom"/>
            <w:hideMark/>
          </w:tcPr>
          <w:p w14:paraId="5D95B512"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-1.98</w:t>
            </w:r>
          </w:p>
        </w:tc>
        <w:tc>
          <w:tcPr>
            <w:tcW w:w="893" w:type="pct"/>
            <w:tcBorders>
              <w:top w:val="nil"/>
              <w:left w:val="nil"/>
              <w:bottom w:val="nil"/>
              <w:right w:val="nil"/>
            </w:tcBorders>
            <w:shd w:val="clear" w:color="auto" w:fill="auto"/>
            <w:noWrap/>
            <w:vAlign w:val="bottom"/>
            <w:hideMark/>
          </w:tcPr>
          <w:p w14:paraId="535068CD"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-0.37</w:t>
            </w:r>
          </w:p>
        </w:tc>
        <w:tc>
          <w:tcPr>
            <w:tcW w:w="892" w:type="pct"/>
            <w:tcBorders>
              <w:top w:val="nil"/>
              <w:left w:val="nil"/>
              <w:bottom w:val="nil"/>
              <w:right w:val="nil"/>
            </w:tcBorders>
            <w:shd w:val="clear" w:color="auto" w:fill="auto"/>
            <w:noWrap/>
            <w:vAlign w:val="bottom"/>
            <w:hideMark/>
          </w:tcPr>
          <w:p w14:paraId="4ED16494"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1.61</w:t>
            </w:r>
          </w:p>
        </w:tc>
      </w:tr>
      <w:tr w:rsidR="008B67F3" w:rsidRPr="00C917E2" w14:paraId="0150AF39" w14:textId="77777777" w:rsidTr="00EC35B6">
        <w:trPr>
          <w:trHeight w:val="170"/>
        </w:trPr>
        <w:tc>
          <w:tcPr>
            <w:tcW w:w="2361" w:type="pct"/>
            <w:tcBorders>
              <w:top w:val="nil"/>
              <w:left w:val="nil"/>
              <w:bottom w:val="nil"/>
              <w:right w:val="nil"/>
            </w:tcBorders>
            <w:shd w:val="clear" w:color="auto" w:fill="auto"/>
            <w:noWrap/>
            <w:vAlign w:val="bottom"/>
            <w:hideMark/>
          </w:tcPr>
          <w:p w14:paraId="3D4030B5" w14:textId="77777777" w:rsidR="008B67F3" w:rsidRPr="00C917E2" w:rsidRDefault="008B67F3" w:rsidP="0085547F">
            <w:pPr>
              <w:keepNext/>
              <w:spacing w:after="0"/>
              <w:rPr>
                <w:rFonts w:asciiTheme="minorHAnsi" w:hAnsiTheme="minorHAnsi"/>
                <w:sz w:val="20"/>
                <w:szCs w:val="20"/>
              </w:rPr>
            </w:pPr>
          </w:p>
        </w:tc>
        <w:tc>
          <w:tcPr>
            <w:tcW w:w="854" w:type="pct"/>
            <w:tcBorders>
              <w:top w:val="nil"/>
              <w:left w:val="nil"/>
              <w:bottom w:val="nil"/>
              <w:right w:val="nil"/>
            </w:tcBorders>
            <w:shd w:val="clear" w:color="auto" w:fill="auto"/>
            <w:noWrap/>
            <w:vAlign w:val="bottom"/>
            <w:hideMark/>
          </w:tcPr>
          <w:p w14:paraId="62996AF1" w14:textId="77777777" w:rsidR="008B67F3" w:rsidRPr="00C917E2" w:rsidRDefault="008B67F3" w:rsidP="0085547F">
            <w:pPr>
              <w:keepNext/>
              <w:spacing w:after="0"/>
              <w:rPr>
                <w:rFonts w:asciiTheme="minorHAnsi" w:hAnsiTheme="minorHAnsi"/>
                <w:sz w:val="20"/>
                <w:szCs w:val="20"/>
              </w:rPr>
            </w:pPr>
          </w:p>
        </w:tc>
        <w:tc>
          <w:tcPr>
            <w:tcW w:w="893" w:type="pct"/>
            <w:tcBorders>
              <w:top w:val="nil"/>
              <w:left w:val="nil"/>
              <w:bottom w:val="nil"/>
              <w:right w:val="nil"/>
            </w:tcBorders>
            <w:shd w:val="clear" w:color="auto" w:fill="auto"/>
            <w:noWrap/>
            <w:vAlign w:val="bottom"/>
            <w:hideMark/>
          </w:tcPr>
          <w:p w14:paraId="32A87B90" w14:textId="77777777" w:rsidR="008B67F3" w:rsidRPr="00C917E2" w:rsidRDefault="008B67F3" w:rsidP="0085547F">
            <w:pPr>
              <w:keepNext/>
              <w:spacing w:after="0"/>
              <w:rPr>
                <w:rFonts w:asciiTheme="minorHAnsi" w:hAnsiTheme="minorHAnsi"/>
                <w:sz w:val="20"/>
                <w:szCs w:val="20"/>
              </w:rPr>
            </w:pPr>
          </w:p>
        </w:tc>
        <w:tc>
          <w:tcPr>
            <w:tcW w:w="892" w:type="pct"/>
            <w:tcBorders>
              <w:top w:val="nil"/>
              <w:left w:val="nil"/>
              <w:bottom w:val="nil"/>
              <w:right w:val="nil"/>
            </w:tcBorders>
            <w:shd w:val="clear" w:color="auto" w:fill="auto"/>
            <w:noWrap/>
            <w:vAlign w:val="bottom"/>
            <w:hideMark/>
          </w:tcPr>
          <w:p w14:paraId="04991F41" w14:textId="77777777" w:rsidR="008B67F3" w:rsidRPr="00C917E2" w:rsidRDefault="008B67F3" w:rsidP="0085547F">
            <w:pPr>
              <w:keepNext/>
              <w:spacing w:after="0"/>
              <w:rPr>
                <w:rFonts w:asciiTheme="minorHAnsi" w:hAnsiTheme="minorHAnsi"/>
                <w:sz w:val="20"/>
                <w:szCs w:val="20"/>
              </w:rPr>
            </w:pPr>
          </w:p>
        </w:tc>
      </w:tr>
      <w:tr w:rsidR="008B67F3" w:rsidRPr="00C917E2" w14:paraId="55388388" w14:textId="77777777" w:rsidTr="00EC35B6">
        <w:trPr>
          <w:trHeight w:val="170"/>
        </w:trPr>
        <w:tc>
          <w:tcPr>
            <w:tcW w:w="2361" w:type="pct"/>
            <w:tcBorders>
              <w:top w:val="nil"/>
              <w:left w:val="nil"/>
              <w:right w:val="nil"/>
            </w:tcBorders>
            <w:shd w:val="clear" w:color="auto" w:fill="auto"/>
            <w:noWrap/>
            <w:vAlign w:val="bottom"/>
            <w:hideMark/>
          </w:tcPr>
          <w:p w14:paraId="0F5ED070" w14:textId="77777777" w:rsidR="008B67F3" w:rsidRPr="00C917E2" w:rsidRDefault="00986D7A" w:rsidP="0085547F">
            <w:pPr>
              <w:keepNext/>
              <w:spacing w:after="0"/>
              <w:rPr>
                <w:rFonts w:asciiTheme="minorHAnsi" w:hAnsiTheme="minorHAnsi" w:cs="Times New Roman"/>
                <w:sz w:val="20"/>
                <w:szCs w:val="20"/>
              </w:rPr>
            </w:pPr>
            <w:r w:rsidRPr="00986D7A">
              <w:rPr>
                <w:rFonts w:asciiTheme="minorHAnsi" w:hAnsiTheme="minorHAnsi"/>
                <w:sz w:val="20"/>
                <w:szCs w:val="20"/>
              </w:rPr>
              <w:t xml:space="preserve">MOHCC </w:t>
            </w:r>
            <w:r w:rsidR="008B67F3" w:rsidRPr="00C917E2">
              <w:rPr>
                <w:rFonts w:asciiTheme="minorHAnsi" w:hAnsiTheme="minorHAnsi"/>
                <w:sz w:val="20"/>
                <w:szCs w:val="20"/>
              </w:rPr>
              <w:t>exp</w:t>
            </w:r>
            <w:r w:rsidR="008D54E3">
              <w:rPr>
                <w:rFonts w:asciiTheme="minorHAnsi" w:hAnsiTheme="minorHAnsi"/>
                <w:sz w:val="20"/>
                <w:szCs w:val="20"/>
              </w:rPr>
              <w:t>enditure</w:t>
            </w:r>
            <w:r w:rsidR="008B67F3" w:rsidRPr="00C917E2">
              <w:rPr>
                <w:rFonts w:asciiTheme="minorHAnsi" w:hAnsiTheme="minorHAnsi"/>
                <w:sz w:val="20"/>
                <w:szCs w:val="20"/>
              </w:rPr>
              <w:t>/GD</w:t>
            </w:r>
            <w:r w:rsidR="008B67F3" w:rsidRPr="00C917E2">
              <w:rPr>
                <w:rFonts w:asciiTheme="minorHAnsi" w:hAnsiTheme="minorHAnsi" w:cs="Times New Roman"/>
                <w:sz w:val="20"/>
                <w:szCs w:val="20"/>
              </w:rPr>
              <w:t>P</w:t>
            </w:r>
          </w:p>
        </w:tc>
        <w:tc>
          <w:tcPr>
            <w:tcW w:w="854" w:type="pct"/>
            <w:tcBorders>
              <w:top w:val="nil"/>
              <w:left w:val="nil"/>
              <w:right w:val="nil"/>
            </w:tcBorders>
            <w:shd w:val="clear" w:color="auto" w:fill="auto"/>
            <w:noWrap/>
            <w:vAlign w:val="bottom"/>
            <w:hideMark/>
          </w:tcPr>
          <w:p w14:paraId="436F0B0A"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-0.94</w:t>
            </w:r>
          </w:p>
        </w:tc>
        <w:tc>
          <w:tcPr>
            <w:tcW w:w="893" w:type="pct"/>
            <w:tcBorders>
              <w:top w:val="nil"/>
              <w:left w:val="nil"/>
              <w:right w:val="nil"/>
            </w:tcBorders>
            <w:shd w:val="clear" w:color="auto" w:fill="auto"/>
            <w:noWrap/>
            <w:vAlign w:val="bottom"/>
            <w:hideMark/>
          </w:tcPr>
          <w:p w14:paraId="16076660"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0.12</w:t>
            </w:r>
          </w:p>
        </w:tc>
        <w:tc>
          <w:tcPr>
            <w:tcW w:w="892" w:type="pct"/>
            <w:tcBorders>
              <w:top w:val="nil"/>
              <w:left w:val="nil"/>
              <w:right w:val="nil"/>
            </w:tcBorders>
            <w:shd w:val="clear" w:color="auto" w:fill="auto"/>
            <w:noWrap/>
            <w:vAlign w:val="bottom"/>
            <w:hideMark/>
          </w:tcPr>
          <w:p w14:paraId="34EF23AD" w14:textId="77777777" w:rsidR="008B67F3" w:rsidRPr="00C917E2" w:rsidRDefault="008B67F3" w:rsidP="0085547F">
            <w:pPr>
              <w:keepNext/>
              <w:spacing w:after="0"/>
              <w:rPr>
                <w:rFonts w:asciiTheme="minorHAnsi" w:hAnsiTheme="minorHAnsi"/>
                <w:sz w:val="20"/>
                <w:szCs w:val="20"/>
              </w:rPr>
            </w:pPr>
            <w:r w:rsidRPr="00C917E2">
              <w:rPr>
                <w:rFonts w:asciiTheme="minorHAnsi" w:hAnsiTheme="minorHAnsi"/>
                <w:sz w:val="20"/>
                <w:szCs w:val="20"/>
              </w:rPr>
              <w:t>1.06</w:t>
            </w:r>
          </w:p>
        </w:tc>
      </w:tr>
      <w:tr w:rsidR="008B67F3" w:rsidRPr="00C917E2" w14:paraId="5A045DAF" w14:textId="77777777" w:rsidTr="00EC35B6">
        <w:trPr>
          <w:trHeight w:val="170"/>
        </w:trPr>
        <w:tc>
          <w:tcPr>
            <w:tcW w:w="2361" w:type="pct"/>
            <w:tcBorders>
              <w:top w:val="nil"/>
              <w:left w:val="nil"/>
              <w:bottom w:val="single" w:sz="4" w:space="0" w:color="auto"/>
              <w:right w:val="nil"/>
            </w:tcBorders>
            <w:shd w:val="clear" w:color="auto" w:fill="auto"/>
            <w:noWrap/>
            <w:vAlign w:val="bottom"/>
            <w:hideMark/>
          </w:tcPr>
          <w:p w14:paraId="741AD085" w14:textId="77777777" w:rsidR="008B67F3" w:rsidRPr="00C917E2" w:rsidRDefault="00986D7A" w:rsidP="00B1362F">
            <w:pPr>
              <w:keepNext/>
              <w:spacing w:after="60"/>
              <w:rPr>
                <w:rFonts w:asciiTheme="minorHAnsi" w:hAnsiTheme="minorHAnsi"/>
                <w:sz w:val="20"/>
                <w:szCs w:val="20"/>
              </w:rPr>
            </w:pPr>
            <w:r w:rsidRPr="00986D7A">
              <w:rPr>
                <w:rFonts w:asciiTheme="minorHAnsi" w:hAnsiTheme="minorHAnsi"/>
                <w:sz w:val="20"/>
                <w:szCs w:val="20"/>
              </w:rPr>
              <w:t xml:space="preserve">MOHCC </w:t>
            </w:r>
            <w:r w:rsidR="008B67F3" w:rsidRPr="00C917E2">
              <w:rPr>
                <w:rFonts w:asciiTheme="minorHAnsi" w:hAnsiTheme="minorHAnsi"/>
                <w:sz w:val="20"/>
                <w:szCs w:val="20"/>
              </w:rPr>
              <w:t>exp</w:t>
            </w:r>
            <w:r w:rsidR="008D54E3" w:rsidRPr="008D54E3">
              <w:rPr>
                <w:rFonts w:asciiTheme="minorHAnsi" w:hAnsiTheme="minorHAnsi"/>
                <w:sz w:val="20"/>
                <w:szCs w:val="20"/>
              </w:rPr>
              <w:t>enditure</w:t>
            </w:r>
            <w:r w:rsidR="008B67F3" w:rsidRPr="00C917E2">
              <w:rPr>
                <w:rFonts w:asciiTheme="minorHAnsi" w:hAnsiTheme="minorHAnsi"/>
                <w:sz w:val="20"/>
                <w:szCs w:val="20"/>
              </w:rPr>
              <w:t xml:space="preserve"> p</w:t>
            </w:r>
            <w:r w:rsidR="00E9011E">
              <w:rPr>
                <w:rFonts w:asciiTheme="minorHAnsi" w:hAnsiTheme="minorHAnsi"/>
                <w:sz w:val="20"/>
                <w:szCs w:val="20"/>
              </w:rPr>
              <w:t xml:space="preserve">er </w:t>
            </w:r>
            <w:r w:rsidR="008B67F3" w:rsidRPr="00C917E2">
              <w:rPr>
                <w:rFonts w:asciiTheme="minorHAnsi" w:hAnsiTheme="minorHAnsi"/>
                <w:sz w:val="20"/>
                <w:szCs w:val="20"/>
              </w:rPr>
              <w:t>c</w:t>
            </w:r>
            <w:r w:rsidR="00E9011E">
              <w:rPr>
                <w:rFonts w:asciiTheme="minorHAnsi" w:hAnsiTheme="minorHAnsi"/>
                <w:sz w:val="20"/>
                <w:szCs w:val="20"/>
              </w:rPr>
              <w:t>apita</w:t>
            </w:r>
          </w:p>
        </w:tc>
        <w:tc>
          <w:tcPr>
            <w:tcW w:w="854" w:type="pct"/>
            <w:tcBorders>
              <w:top w:val="nil"/>
              <w:left w:val="nil"/>
              <w:bottom w:val="single" w:sz="4" w:space="0" w:color="auto"/>
              <w:right w:val="nil"/>
            </w:tcBorders>
            <w:shd w:val="clear" w:color="auto" w:fill="auto"/>
            <w:noWrap/>
            <w:vAlign w:val="bottom"/>
            <w:hideMark/>
          </w:tcPr>
          <w:p w14:paraId="43BE6F88" w14:textId="77777777" w:rsidR="008B67F3" w:rsidRPr="00C917E2" w:rsidRDefault="008B67F3" w:rsidP="00B1362F">
            <w:pPr>
              <w:keepNext/>
              <w:spacing w:after="60"/>
              <w:rPr>
                <w:rFonts w:asciiTheme="minorHAnsi" w:hAnsiTheme="minorHAnsi"/>
                <w:sz w:val="20"/>
                <w:szCs w:val="20"/>
              </w:rPr>
            </w:pPr>
            <w:r w:rsidRPr="00C917E2">
              <w:rPr>
                <w:rFonts w:asciiTheme="minorHAnsi" w:hAnsiTheme="minorHAnsi"/>
                <w:sz w:val="20"/>
                <w:szCs w:val="20"/>
              </w:rPr>
              <w:t>-0.13</w:t>
            </w:r>
          </w:p>
        </w:tc>
        <w:tc>
          <w:tcPr>
            <w:tcW w:w="893" w:type="pct"/>
            <w:tcBorders>
              <w:top w:val="nil"/>
              <w:left w:val="nil"/>
              <w:bottom w:val="single" w:sz="4" w:space="0" w:color="auto"/>
              <w:right w:val="nil"/>
            </w:tcBorders>
            <w:shd w:val="clear" w:color="auto" w:fill="auto"/>
            <w:noWrap/>
            <w:vAlign w:val="bottom"/>
            <w:hideMark/>
          </w:tcPr>
          <w:p w14:paraId="7BC99FED" w14:textId="77777777" w:rsidR="008B67F3" w:rsidRPr="00C917E2" w:rsidRDefault="008B67F3" w:rsidP="00B1362F">
            <w:pPr>
              <w:keepNext/>
              <w:spacing w:after="60"/>
              <w:rPr>
                <w:rFonts w:asciiTheme="minorHAnsi" w:hAnsiTheme="minorHAnsi"/>
                <w:sz w:val="20"/>
                <w:szCs w:val="20"/>
              </w:rPr>
            </w:pPr>
            <w:r w:rsidRPr="00C917E2">
              <w:rPr>
                <w:rFonts w:asciiTheme="minorHAnsi" w:hAnsiTheme="minorHAnsi"/>
                <w:sz w:val="20"/>
                <w:szCs w:val="20"/>
              </w:rPr>
              <w:t>-0.10</w:t>
            </w:r>
          </w:p>
        </w:tc>
        <w:tc>
          <w:tcPr>
            <w:tcW w:w="892" w:type="pct"/>
            <w:tcBorders>
              <w:top w:val="nil"/>
              <w:left w:val="nil"/>
              <w:bottom w:val="single" w:sz="4" w:space="0" w:color="auto"/>
              <w:right w:val="nil"/>
            </w:tcBorders>
            <w:shd w:val="clear" w:color="auto" w:fill="auto"/>
            <w:noWrap/>
            <w:vAlign w:val="bottom"/>
            <w:hideMark/>
          </w:tcPr>
          <w:p w14:paraId="01093A0B" w14:textId="77777777" w:rsidR="008B67F3" w:rsidRPr="00C917E2" w:rsidRDefault="008B67F3" w:rsidP="00B1362F">
            <w:pPr>
              <w:keepNext/>
              <w:spacing w:after="60"/>
              <w:rPr>
                <w:rFonts w:asciiTheme="minorHAnsi" w:hAnsiTheme="minorHAnsi"/>
                <w:sz w:val="20"/>
                <w:szCs w:val="20"/>
              </w:rPr>
            </w:pPr>
            <w:r w:rsidRPr="00C917E2">
              <w:rPr>
                <w:rFonts w:asciiTheme="minorHAnsi" w:hAnsiTheme="minorHAnsi"/>
                <w:sz w:val="20"/>
                <w:szCs w:val="20"/>
              </w:rPr>
              <w:t>0.02</w:t>
            </w:r>
          </w:p>
        </w:tc>
      </w:tr>
    </w:tbl>
    <w:p w14:paraId="748AEA6C" w14:textId="77777777" w:rsidR="00EC35B6" w:rsidRPr="00C917E2" w:rsidRDefault="00EC35B6" w:rsidP="00EC35B6">
      <w:pPr>
        <w:pStyle w:val="Source"/>
      </w:pPr>
      <w:r w:rsidRPr="00E94700">
        <w:rPr>
          <w:i/>
        </w:rPr>
        <w:t>Sources:</w:t>
      </w:r>
      <w:r w:rsidRPr="00C917E2">
        <w:t xml:space="preserve"> Authors</w:t>
      </w:r>
      <w:r>
        <w:t>.</w:t>
      </w:r>
    </w:p>
    <w:p w14:paraId="10503377" w14:textId="77777777" w:rsidR="008B67F3" w:rsidRPr="00C917E2" w:rsidRDefault="008B67F3" w:rsidP="00EC35B6">
      <w:pPr>
        <w:pStyle w:val="Source"/>
      </w:pPr>
      <w:r w:rsidRPr="00C917E2">
        <w:t xml:space="preserve">(a) Measures Zimbabwe’s deviation from expected value of the outcome relative to the standard deviation in the sample. For all dimensions presented here, a negative number indicates an efficiency advantage and the more negative the greater the advantage. </w:t>
      </w:r>
    </w:p>
    <w:p w14:paraId="6FD30404" w14:textId="77777777" w:rsidR="008B67F3" w:rsidRPr="00C917E2" w:rsidRDefault="008B67F3" w:rsidP="00226FA8">
      <w:pPr>
        <w:pStyle w:val="Source"/>
      </w:pPr>
      <w:r w:rsidRPr="00C917E2">
        <w:t>(b) A positive number indicates a reduction of the advantage (or a reversal if the 2010–12 value is positive)</w:t>
      </w:r>
      <w:r w:rsidR="006B2D5F">
        <w:t>.</w:t>
      </w:r>
    </w:p>
    <w:p w14:paraId="0D4DF89B" w14:textId="77777777" w:rsidR="008B67F3" w:rsidRPr="00C917E2" w:rsidRDefault="008B67F3" w:rsidP="00D37198">
      <w:pPr>
        <w:pStyle w:val="Numberpara"/>
      </w:pPr>
      <w:r w:rsidRPr="00C917E2">
        <w:t xml:space="preserve">The two panels of </w:t>
      </w:r>
      <w:r w:rsidR="00C713A9" w:rsidRPr="00C917E2">
        <w:fldChar w:fldCharType="begin"/>
      </w:r>
      <w:r w:rsidRPr="00C917E2">
        <w:instrText xml:space="preserve"> REF _Ref412024035 \h </w:instrText>
      </w:r>
      <w:r w:rsidR="00C713A9" w:rsidRPr="00C917E2">
        <w:fldChar w:fldCharType="separate"/>
      </w:r>
      <w:r w:rsidR="003732A2" w:rsidRPr="00C917E2">
        <w:t xml:space="preserve">Figure </w:t>
      </w:r>
      <w:r w:rsidR="003732A2">
        <w:rPr>
          <w:noProof/>
        </w:rPr>
        <w:t>36</w:t>
      </w:r>
      <w:r w:rsidR="00C713A9" w:rsidRPr="00C917E2">
        <w:fldChar w:fldCharType="end"/>
      </w:r>
      <w:r w:rsidRPr="00C917E2">
        <w:t xml:space="preserve"> show the results for infant and maternal mortality for 2010–12.</w:t>
      </w:r>
      <w:r w:rsidRPr="00C917E2">
        <w:rPr>
          <w:rStyle w:val="EndnoteReference"/>
        </w:rPr>
        <w:endnoteReference w:id="86"/>
      </w:r>
      <w:r w:rsidRPr="00C917E2">
        <w:t xml:space="preserve"> Zimbabwe’s relative position</w:t>
      </w:r>
      <w:r w:rsidR="00F23528">
        <w:t>s</w:t>
      </w:r>
      <w:r w:rsidRPr="00C917E2">
        <w:t xml:space="preserve"> in 2000–01 are drawn on the graphs to illustrate the direction of change.</w:t>
      </w:r>
      <w:r w:rsidRPr="00C917E2">
        <w:rPr>
          <w:rStyle w:val="EndnoteReference"/>
        </w:rPr>
        <w:endnoteReference w:id="87"/>
      </w:r>
      <w:r w:rsidRPr="00C917E2">
        <w:t xml:space="preserve"> In both cases, Zimbabwe moved in the northeastern direction toward less efficiency. From a clear position in the most efficient quadrant, it moved to a weak position in the overachievers quadrant for infant mortality. For maternal mortality, given a weaker starting position than for infant mortality in 2000–01, the 2010–12 averages place Zimbabwe in a weakly inefficient position with slightly higher expenditures and slightly higher maternal mortality than its income, size, and location would predict.</w:t>
      </w:r>
    </w:p>
    <w:p w14:paraId="0346FC33" w14:textId="77777777" w:rsidR="008B67F3" w:rsidRPr="00D37198" w:rsidRDefault="008B67F3" w:rsidP="00D37198">
      <w:pPr>
        <w:pStyle w:val="Numberpara"/>
      </w:pPr>
      <w:r w:rsidRPr="00C917E2">
        <w:lastRenderedPageBreak/>
        <w:t xml:space="preserve">The analysis shows that Zimbabwe, which used to be one of the most efficient countries in achieving relatively good outcomes for relatively less public money, fully lost that advantage after the crisis. Average expenditures of the MOHCC in 2010–12 were in fact higher than expected for its level of income (although the 2013 data we have on the totality of government expenditure going to health </w:t>
      </w:r>
      <w:r w:rsidR="00F23528">
        <w:t>place</w:t>
      </w:r>
      <w:r w:rsidR="00F23528" w:rsidRPr="00C917E2">
        <w:t xml:space="preserve"> </w:t>
      </w:r>
      <w:r w:rsidRPr="00C917E2">
        <w:t xml:space="preserve">Zimbabwe just at the average). Increasing expenditures could place Zimbabwe in an inefficient position if resource allocation is not improved. Recent evidence on the reduction of both infant and maternal mortality rates, however, would more likely signal that an increase in resources </w:t>
      </w:r>
      <w:r w:rsidRPr="00D37198">
        <w:t>would place Zimbabwe as an overachiever (assuming that the gain were higher than average)</w:t>
      </w:r>
      <w:r w:rsidR="00F23528" w:rsidRPr="00D37198">
        <w:t>.</w:t>
      </w:r>
      <w:r w:rsidRPr="00D37198">
        <w:t xml:space="preserve"> </w:t>
      </w:r>
    </w:p>
    <w:p w14:paraId="5545D23E" w14:textId="77777777" w:rsidR="008B67F3" w:rsidRPr="0017627F" w:rsidRDefault="008B67F3" w:rsidP="00D37198">
      <w:pPr>
        <w:pStyle w:val="Numberpara"/>
      </w:pPr>
      <w:r w:rsidRPr="0017627F">
        <w:t xml:space="preserve">More recent and comprehensive data on public expenditures through repeated NHA exercises would be extremely useful to see if the trend has indeed reversed. </w:t>
      </w:r>
    </w:p>
    <w:p w14:paraId="729F8AAF" w14:textId="77777777" w:rsidR="008B67F3" w:rsidRPr="00C917E2" w:rsidRDefault="008B67F3" w:rsidP="00F34CBD">
      <w:pPr>
        <w:pStyle w:val="Figure"/>
      </w:pPr>
      <w:bookmarkStart w:id="219" w:name="_Ref412024035"/>
      <w:bookmarkStart w:id="220" w:name="_Toc419004117"/>
      <w:bookmarkStart w:id="221" w:name="_Toc401030265"/>
      <w:bookmarkStart w:id="222" w:name="_Toc401030924"/>
      <w:r w:rsidRPr="00C917E2">
        <w:t xml:space="preserve">Figure </w:t>
      </w:r>
      <w:r w:rsidR="00113462">
        <w:fldChar w:fldCharType="begin"/>
      </w:r>
      <w:r w:rsidR="00113462">
        <w:instrText xml:space="preserve"> SEQ Figure \* ARABIC </w:instrText>
      </w:r>
      <w:r w:rsidR="00113462">
        <w:fldChar w:fldCharType="separate"/>
      </w:r>
      <w:r w:rsidR="003732A2">
        <w:rPr>
          <w:noProof/>
        </w:rPr>
        <w:t>36</w:t>
      </w:r>
      <w:r w:rsidR="00113462">
        <w:rPr>
          <w:noProof/>
        </w:rPr>
        <w:fldChar w:fldCharType="end"/>
      </w:r>
      <w:bookmarkEnd w:id="219"/>
      <w:r w:rsidRPr="00C917E2">
        <w:t xml:space="preserve"> Current Efficiency of Government Expenditures on Health, 2010–12 (with comparisons to 2000–01)</w:t>
      </w:r>
      <w:bookmarkEnd w:id="220"/>
    </w:p>
    <w:p w14:paraId="6D985D93" w14:textId="77777777" w:rsidR="008B67F3" w:rsidRPr="00C917E2" w:rsidRDefault="008B67F3" w:rsidP="00692178">
      <w:pPr>
        <w:keepNext/>
        <w:rPr>
          <w:rFonts w:asciiTheme="minorHAnsi" w:hAnsiTheme="minorHAnsi"/>
          <w:b/>
          <w:sz w:val="20"/>
          <w:szCs w:val="20"/>
        </w:rPr>
      </w:pPr>
      <w:r w:rsidRPr="00C917E2">
        <w:rPr>
          <w:rFonts w:asciiTheme="minorHAnsi" w:hAnsiTheme="minorHAnsi"/>
          <w:b/>
          <w:sz w:val="20"/>
          <w:szCs w:val="20"/>
        </w:rPr>
        <w:t>Infant Mortality</w:t>
      </w:r>
    </w:p>
    <w:p w14:paraId="094AAFF1" w14:textId="77777777" w:rsidR="008B67F3" w:rsidRPr="00C917E2" w:rsidRDefault="008B67F3" w:rsidP="007710D9">
      <w:r w:rsidRPr="00C917E2">
        <w:rPr>
          <w:noProof/>
        </w:rPr>
        <w:drawing>
          <wp:inline distT="0" distB="0" distL="0" distR="0" wp14:anchorId="0DFDA229" wp14:editId="5642AABA">
            <wp:extent cx="4797631" cy="3371030"/>
            <wp:effectExtent l="0" t="0" r="3175" b="1270"/>
            <wp:docPr id="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srcRect/>
                    <a:stretch>
                      <a:fillRect/>
                    </a:stretch>
                  </pic:blipFill>
                  <pic:spPr bwMode="auto">
                    <a:xfrm>
                      <a:off x="0" y="0"/>
                      <a:ext cx="4817201" cy="3384780"/>
                    </a:xfrm>
                    <a:prstGeom prst="rect">
                      <a:avLst/>
                    </a:prstGeom>
                    <a:noFill/>
                    <a:ln w="9525">
                      <a:noFill/>
                      <a:miter lim="800000"/>
                      <a:headEnd/>
                      <a:tailEnd/>
                    </a:ln>
                  </pic:spPr>
                </pic:pic>
              </a:graphicData>
            </a:graphic>
          </wp:inline>
        </w:drawing>
      </w:r>
    </w:p>
    <w:p w14:paraId="114C5472" w14:textId="77777777" w:rsidR="008B67F3" w:rsidRPr="00C917E2" w:rsidRDefault="008B67F3" w:rsidP="00692178">
      <w:pPr>
        <w:keepNext/>
      </w:pPr>
      <w:r w:rsidRPr="00C917E2">
        <w:rPr>
          <w:rFonts w:asciiTheme="minorHAnsi" w:hAnsiTheme="minorHAnsi"/>
          <w:b/>
          <w:sz w:val="20"/>
          <w:szCs w:val="20"/>
        </w:rPr>
        <w:lastRenderedPageBreak/>
        <w:t xml:space="preserve">Maternal </w:t>
      </w:r>
      <w:r w:rsidR="00F23528" w:rsidRPr="00C917E2">
        <w:rPr>
          <w:rFonts w:asciiTheme="minorHAnsi" w:hAnsiTheme="minorHAnsi"/>
          <w:b/>
          <w:sz w:val="20"/>
          <w:szCs w:val="20"/>
        </w:rPr>
        <w:t>Mortality</w:t>
      </w:r>
    </w:p>
    <w:p w14:paraId="38504D1E" w14:textId="77777777" w:rsidR="008B67F3" w:rsidRPr="00C917E2" w:rsidRDefault="008B67F3" w:rsidP="00F34CBD">
      <w:pPr>
        <w:keepNext/>
      </w:pPr>
      <w:r w:rsidRPr="00C917E2">
        <w:rPr>
          <w:noProof/>
        </w:rPr>
        <w:drawing>
          <wp:inline distT="0" distB="0" distL="0" distR="0" wp14:anchorId="569C8560" wp14:editId="4DB58B9E">
            <wp:extent cx="4821381" cy="3455597"/>
            <wp:effectExtent l="0" t="0" r="0" b="0"/>
            <wp:docPr id="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srcRect/>
                    <a:stretch>
                      <a:fillRect/>
                    </a:stretch>
                  </pic:blipFill>
                  <pic:spPr bwMode="auto">
                    <a:xfrm>
                      <a:off x="0" y="0"/>
                      <a:ext cx="4834765" cy="3465190"/>
                    </a:xfrm>
                    <a:prstGeom prst="rect">
                      <a:avLst/>
                    </a:prstGeom>
                    <a:noFill/>
                    <a:ln w="9525">
                      <a:noFill/>
                      <a:miter lim="800000"/>
                      <a:headEnd/>
                      <a:tailEnd/>
                    </a:ln>
                  </pic:spPr>
                </pic:pic>
              </a:graphicData>
            </a:graphic>
          </wp:inline>
        </w:drawing>
      </w:r>
    </w:p>
    <w:p w14:paraId="7BAB381C" w14:textId="77777777" w:rsidR="008B67F3" w:rsidRPr="00C917E2" w:rsidRDefault="008B67F3" w:rsidP="00F34CBD">
      <w:pPr>
        <w:pStyle w:val="Source"/>
      </w:pPr>
      <w:r w:rsidRPr="00E94700">
        <w:rPr>
          <w:i/>
        </w:rPr>
        <w:t>Source:</w:t>
      </w:r>
      <w:r w:rsidRPr="00C917E2">
        <w:t xml:space="preserve"> Authors’ analysis using WHO GHED and World Bank HNP databases</w:t>
      </w:r>
      <w:r w:rsidR="006B2D5F">
        <w:t>.</w:t>
      </w:r>
    </w:p>
    <w:p w14:paraId="72947D8F" w14:textId="77777777" w:rsidR="008B67F3" w:rsidRPr="00C917E2" w:rsidRDefault="008B67F3" w:rsidP="001D07D7"/>
    <w:p w14:paraId="45A1CCA9" w14:textId="77777777" w:rsidR="008B67F3" w:rsidRPr="00C917E2" w:rsidRDefault="008B67F3" w:rsidP="00270205"/>
    <w:p w14:paraId="6B355705" w14:textId="77777777" w:rsidR="008B67F3" w:rsidRPr="00C917E2" w:rsidRDefault="008B67F3" w:rsidP="00270205">
      <w:pPr>
        <w:sectPr w:rsidR="008B67F3" w:rsidRPr="00C917E2" w:rsidSect="00B50A85">
          <w:headerReference w:type="default" r:id="rId70"/>
          <w:endnotePr>
            <w:numFmt w:val="decimal"/>
          </w:endnotePr>
          <w:pgSz w:w="11906" w:h="16838"/>
          <w:pgMar w:top="1440" w:right="1440" w:bottom="1440" w:left="1440" w:header="720" w:footer="720" w:gutter="0"/>
          <w:cols w:space="720"/>
          <w:docGrid w:linePitch="360"/>
        </w:sectPr>
      </w:pPr>
    </w:p>
    <w:p w14:paraId="78583CAB" w14:textId="77777777" w:rsidR="008B67F3" w:rsidRPr="00C917E2" w:rsidRDefault="008B67F3" w:rsidP="00226FA8">
      <w:pPr>
        <w:pStyle w:val="Heading1"/>
      </w:pPr>
      <w:bookmarkStart w:id="223" w:name="_Toc419004024"/>
      <w:r w:rsidRPr="00C917E2">
        <w:lastRenderedPageBreak/>
        <w:t>4. Prospects for Additional Financing for Health</w:t>
      </w:r>
      <w:bookmarkEnd w:id="221"/>
      <w:bookmarkEnd w:id="222"/>
      <w:bookmarkEnd w:id="223"/>
    </w:p>
    <w:tbl>
      <w:tblPr>
        <w:tblStyle w:val="TableGrid"/>
        <w:tblW w:w="0" w:type="auto"/>
        <w:shd w:val="clear" w:color="auto" w:fill="C6D9F1" w:themeFill="text2" w:themeFillTint="33"/>
        <w:tblLook w:val="04A0" w:firstRow="1" w:lastRow="0" w:firstColumn="1" w:lastColumn="0" w:noHBand="0" w:noVBand="1"/>
      </w:tblPr>
      <w:tblGrid>
        <w:gridCol w:w="9016"/>
      </w:tblGrid>
      <w:tr w:rsidR="008B67F3" w:rsidRPr="00C917E2" w14:paraId="5C26BB12" w14:textId="77777777" w:rsidTr="00B65007">
        <w:tc>
          <w:tcPr>
            <w:tcW w:w="9242" w:type="dxa"/>
            <w:shd w:val="clear" w:color="auto" w:fill="C6D9F1" w:themeFill="text2" w:themeFillTint="33"/>
          </w:tcPr>
          <w:p w14:paraId="6C1C7503" w14:textId="77777777" w:rsidR="008B67F3" w:rsidRPr="00C917E2" w:rsidRDefault="008B67F3" w:rsidP="00281BB8">
            <w:pPr>
              <w:pStyle w:val="KMtitle"/>
            </w:pPr>
            <w:r w:rsidRPr="00C917E2">
              <w:t>Key Messages</w:t>
            </w:r>
            <w:r w:rsidR="00A661F8" w:rsidRPr="00C917E2">
              <w:t>—</w:t>
            </w:r>
            <w:r w:rsidR="00D7327E" w:rsidRPr="00D7327E">
              <w:t>Section</w:t>
            </w:r>
            <w:r w:rsidR="00A661F8" w:rsidRPr="00C917E2">
              <w:t xml:space="preserve"> 4</w:t>
            </w:r>
          </w:p>
          <w:p w14:paraId="1AC1EEE6" w14:textId="77777777" w:rsidR="008B67F3" w:rsidRPr="00C917E2" w:rsidRDefault="00A661F8" w:rsidP="00281BB8">
            <w:pPr>
              <w:pStyle w:val="Heading6"/>
            </w:pPr>
            <w:r w:rsidRPr="00C917E2">
              <w:t xml:space="preserve">1. </w:t>
            </w:r>
            <w:r w:rsidR="001368EF" w:rsidRPr="00C917E2">
              <w:t xml:space="preserve">Raising More </w:t>
            </w:r>
            <w:r w:rsidR="008B67F3" w:rsidRPr="00C917E2">
              <w:t>from Domestic Sources</w:t>
            </w:r>
            <w:r w:rsidR="001368EF" w:rsidRPr="00C917E2">
              <w:t>, but Spending Better</w:t>
            </w:r>
          </w:p>
          <w:p w14:paraId="1CF6BC4F" w14:textId="5C84FF14" w:rsidR="008B67F3" w:rsidRPr="0019307B" w:rsidRDefault="008B67F3" w:rsidP="00281BB8">
            <w:pPr>
              <w:pStyle w:val="KMpara"/>
            </w:pPr>
            <w:r w:rsidRPr="0019307B">
              <w:t xml:space="preserve">Given limited resources, </w:t>
            </w:r>
            <w:r w:rsidR="00281BB8" w:rsidRPr="0019307B">
              <w:t xml:space="preserve">the </w:t>
            </w:r>
            <w:r w:rsidRPr="0019307B">
              <w:t xml:space="preserve">focus should not be only on more money for health, but </w:t>
            </w:r>
            <w:r w:rsidR="00F23528" w:rsidRPr="0019307B">
              <w:t xml:space="preserve">on </w:t>
            </w:r>
            <w:r w:rsidRPr="0019307B">
              <w:t>improved quality of expenditures in health.</w:t>
            </w:r>
            <w:r w:rsidR="00B72993" w:rsidRPr="0019307B">
              <w:t xml:space="preserve"> </w:t>
            </w:r>
            <w:r w:rsidR="00281BB8" w:rsidRPr="0019307B">
              <w:t xml:space="preserve">Still, </w:t>
            </w:r>
            <w:r w:rsidR="00525724" w:rsidRPr="0019307B">
              <w:t xml:space="preserve">Zimbabwe’s </w:t>
            </w:r>
            <w:r w:rsidRPr="0019307B">
              <w:t xml:space="preserve">strong </w:t>
            </w:r>
            <w:r w:rsidR="00525724" w:rsidRPr="0019307B">
              <w:t xml:space="preserve">comparative and competitive advantage in both mineral and agricultural production suggest that </w:t>
            </w:r>
            <w:r w:rsidR="00741ACA" w:rsidRPr="0019307B">
              <w:t xml:space="preserve">the </w:t>
            </w:r>
            <w:r w:rsidR="00525724" w:rsidRPr="0019307B">
              <w:t xml:space="preserve">country could </w:t>
            </w:r>
            <w:r w:rsidRPr="0019307B">
              <w:t xml:space="preserve">consider </w:t>
            </w:r>
            <w:r w:rsidR="00525724" w:rsidRPr="0019307B">
              <w:t>additional ways of linking the returns in these sectors to improve health services</w:t>
            </w:r>
            <w:r w:rsidRPr="0019307B">
              <w:t>.</w:t>
            </w:r>
            <w:r w:rsidR="00090409" w:rsidRPr="0019307B">
              <w:t xml:space="preserve"> However, special attention needs to be paid to the overall tax burden imposed on </w:t>
            </w:r>
            <w:r w:rsidR="009446C1" w:rsidRPr="0019307B">
              <w:t>the private sector</w:t>
            </w:r>
            <w:r w:rsidR="00090409" w:rsidRPr="0019307B">
              <w:t xml:space="preserve">. </w:t>
            </w:r>
          </w:p>
          <w:p w14:paraId="40A2D281" w14:textId="1F3BC7EC" w:rsidR="008B67F3" w:rsidRPr="0019307B" w:rsidRDefault="008B67F3" w:rsidP="00281BB8">
            <w:pPr>
              <w:pStyle w:val="KMpara"/>
            </w:pPr>
            <w:r w:rsidRPr="0019307B">
              <w:t>Promising target areas for domestic resource mobilization include public</w:t>
            </w:r>
            <w:r w:rsidR="001368EF" w:rsidRPr="0019307B">
              <w:t>–</w:t>
            </w:r>
            <w:r w:rsidRPr="0019307B">
              <w:t xml:space="preserve">private partnerships, excise taxes on cigarettes, and </w:t>
            </w:r>
            <w:r w:rsidR="00E927FC" w:rsidRPr="0019307B">
              <w:t xml:space="preserve">use of mechanisms such as the </w:t>
            </w:r>
            <w:r w:rsidRPr="0019307B">
              <w:t>AIDS levy</w:t>
            </w:r>
            <w:r w:rsidR="00E927FC" w:rsidRPr="0019307B">
              <w:t xml:space="preserve"> to raise </w:t>
            </w:r>
            <w:r w:rsidR="000B741E" w:rsidRPr="0019307B">
              <w:t>fund</w:t>
            </w:r>
            <w:r w:rsidR="00BA4B87">
              <w:t>ing</w:t>
            </w:r>
            <w:r w:rsidR="000B741E" w:rsidRPr="0019307B">
              <w:t xml:space="preserve"> for emerging health priorities</w:t>
            </w:r>
            <w:r w:rsidRPr="0019307B">
              <w:t xml:space="preserve">. </w:t>
            </w:r>
          </w:p>
          <w:p w14:paraId="4172745B" w14:textId="77777777" w:rsidR="008B67F3" w:rsidRPr="00C917E2" w:rsidRDefault="00A661F8" w:rsidP="00281BB8">
            <w:pPr>
              <w:pStyle w:val="Heading6"/>
            </w:pPr>
            <w:r w:rsidRPr="00C917E2">
              <w:t xml:space="preserve">2. </w:t>
            </w:r>
            <w:r w:rsidR="001A4A36" w:rsidRPr="00C917E2">
              <w:t xml:space="preserve">Coordinating with </w:t>
            </w:r>
            <w:r w:rsidR="008B67F3" w:rsidRPr="00C917E2">
              <w:t>Donors</w:t>
            </w:r>
            <w:r w:rsidR="001A4A36" w:rsidRPr="00C917E2">
              <w:t>, and Getting a Longer View from Them</w:t>
            </w:r>
          </w:p>
          <w:p w14:paraId="5EE6AA90" w14:textId="77777777" w:rsidR="008B67F3" w:rsidRPr="00C917E2" w:rsidRDefault="008B67F3" w:rsidP="00281BB8">
            <w:pPr>
              <w:pStyle w:val="KMpara"/>
            </w:pPr>
            <w:r w:rsidRPr="00C917E2">
              <w:t>Subject to reengagement between the government and development partners, the HTF could be used to pilot budget support to the health sector</w:t>
            </w:r>
            <w:r w:rsidR="009446C1">
              <w:t xml:space="preserve"> on a small scale</w:t>
            </w:r>
            <w:r w:rsidRPr="00C917E2">
              <w:t xml:space="preserve">. </w:t>
            </w:r>
            <w:r w:rsidR="001A4A36" w:rsidRPr="00C917E2">
              <w:t>But w</w:t>
            </w:r>
            <w:r w:rsidRPr="00C917E2">
              <w:t>hile donors continue to make important contributions to financing health care in Zimbabwe</w:t>
            </w:r>
            <w:r w:rsidR="008763BE">
              <w:t>—</w:t>
            </w:r>
            <w:r w:rsidRPr="00C917E2">
              <w:t xml:space="preserve">and there is room for </w:t>
            </w:r>
            <w:r w:rsidR="001A4A36" w:rsidRPr="00C917E2">
              <w:t xml:space="preserve">the government </w:t>
            </w:r>
            <w:r w:rsidRPr="00C917E2">
              <w:t xml:space="preserve">to increase its share </w:t>
            </w:r>
            <w:r w:rsidR="008763BE">
              <w:t xml:space="preserve">in </w:t>
            </w:r>
            <w:r w:rsidRPr="00C917E2">
              <w:t>total fund</w:t>
            </w:r>
            <w:r w:rsidR="001A4A36" w:rsidRPr="00C917E2">
              <w:t>ing</w:t>
            </w:r>
            <w:r w:rsidR="008763BE">
              <w:t xml:space="preserve">—donor funding </w:t>
            </w:r>
            <w:r w:rsidRPr="00C917E2">
              <w:t xml:space="preserve">is not predictable in the medium term. </w:t>
            </w:r>
          </w:p>
          <w:p w14:paraId="522A388B" w14:textId="42D0C86A" w:rsidR="008B67F3" w:rsidRPr="00C917E2" w:rsidRDefault="001A4A36" w:rsidP="00281BB8">
            <w:pPr>
              <w:pStyle w:val="KMpara"/>
            </w:pPr>
            <w:r w:rsidRPr="00C917E2">
              <w:t xml:space="preserve">For example, in </w:t>
            </w:r>
            <w:r w:rsidR="008B67F3" w:rsidRPr="00C917E2">
              <w:t>preparation for donors phasing out high</w:t>
            </w:r>
            <w:r w:rsidRPr="00C917E2">
              <w:t>-</w:t>
            </w:r>
            <w:r w:rsidR="008B67F3" w:rsidRPr="00C917E2">
              <w:t>impact health intervention</w:t>
            </w:r>
            <w:r w:rsidR="008763BE">
              <w:t>s</w:t>
            </w:r>
            <w:r w:rsidR="008B67F3" w:rsidRPr="00C917E2">
              <w:t xml:space="preserve">, </w:t>
            </w:r>
            <w:r w:rsidRPr="00C917E2">
              <w:t xml:space="preserve">such as the Prevention of Mother to Child Transmission of HIV/AIDS, the bulk of whose funding by development partners is committed only up to December 2015, </w:t>
            </w:r>
            <w:r w:rsidR="008B67F3" w:rsidRPr="00C917E2">
              <w:t xml:space="preserve">the MOFED and MOHCC need to prioritize cofinancing investments such that donor financing decreases and government financing increases over time. However, this requires careful economic and fiscal analysis to ensure </w:t>
            </w:r>
            <w:r w:rsidR="008763BE">
              <w:t xml:space="preserve">that </w:t>
            </w:r>
            <w:r w:rsidR="008B67F3" w:rsidRPr="00C917E2">
              <w:t xml:space="preserve">the proposed model does not prematurely overburden MOFED’s limited resources in the short term. </w:t>
            </w:r>
          </w:p>
          <w:p w14:paraId="38C80B5B" w14:textId="77777777" w:rsidR="008B67F3" w:rsidRPr="00C917E2" w:rsidRDefault="00A661F8" w:rsidP="00A661F8">
            <w:pPr>
              <w:pStyle w:val="Heading6"/>
              <w:tabs>
                <w:tab w:val="left" w:pos="7028"/>
              </w:tabs>
            </w:pPr>
            <w:r w:rsidRPr="00C917E2">
              <w:t xml:space="preserve">3. </w:t>
            </w:r>
            <w:r w:rsidR="001A4A36" w:rsidRPr="00C917E2">
              <w:t>Ramping Up Efficiency</w:t>
            </w:r>
            <w:r w:rsidRPr="00C917E2">
              <w:tab/>
            </w:r>
          </w:p>
          <w:p w14:paraId="6D687A3F" w14:textId="77777777" w:rsidR="008B67F3" w:rsidRPr="00C917E2" w:rsidRDefault="001A4A36" w:rsidP="001A4A36">
            <w:pPr>
              <w:pStyle w:val="KMpara"/>
            </w:pPr>
            <w:r w:rsidRPr="00C917E2">
              <w:t xml:space="preserve">Some </w:t>
            </w:r>
            <w:r w:rsidR="008B67F3" w:rsidRPr="00C917E2">
              <w:t>additional funding can be expected from external partners</w:t>
            </w:r>
            <w:r w:rsidRPr="00C917E2">
              <w:t xml:space="preserve"> </w:t>
            </w:r>
            <w:r w:rsidR="008B67F3" w:rsidRPr="00C917E2">
              <w:t xml:space="preserve">in the short run, </w:t>
            </w:r>
            <w:r w:rsidRPr="00C917E2">
              <w:t xml:space="preserve">but </w:t>
            </w:r>
            <w:r w:rsidR="008B67F3" w:rsidRPr="00C917E2">
              <w:t xml:space="preserve">the government </w:t>
            </w:r>
            <w:r w:rsidRPr="00C917E2">
              <w:t xml:space="preserve">should </w:t>
            </w:r>
            <w:r w:rsidR="008B67F3" w:rsidRPr="00C917E2">
              <w:t>prioritize expenditures, especially primary care, medicines, and supplies, while reducing the weight of salaries (both overall and in the health sector).</w:t>
            </w:r>
            <w:r w:rsidRPr="00C917E2">
              <w:t xml:space="preserve"> It should also aim to make </w:t>
            </w:r>
            <w:r w:rsidR="008B67F3" w:rsidRPr="00C917E2">
              <w:t>savings on overhead</w:t>
            </w:r>
            <w:r w:rsidRPr="00C917E2">
              <w:t>s</w:t>
            </w:r>
            <w:r w:rsidR="008B67F3" w:rsidRPr="00C917E2">
              <w:t xml:space="preserve"> and transaction costs in deliver</w:t>
            </w:r>
            <w:r w:rsidRPr="00C917E2">
              <w:t>ing</w:t>
            </w:r>
            <w:r w:rsidR="008B67F3" w:rsidRPr="00C917E2">
              <w:t xml:space="preserve"> external fund</w:t>
            </w:r>
            <w:r w:rsidRPr="00C917E2">
              <w:t>s</w:t>
            </w:r>
            <w:r w:rsidR="008B67F3" w:rsidRPr="00C917E2">
              <w:t xml:space="preserve"> to their intended use.</w:t>
            </w:r>
          </w:p>
        </w:tc>
      </w:tr>
    </w:tbl>
    <w:p w14:paraId="54E388DD" w14:textId="77777777" w:rsidR="008B67F3" w:rsidRPr="00C917E2" w:rsidRDefault="008B67F3" w:rsidP="00330FAD"/>
    <w:p w14:paraId="380672A2" w14:textId="77777777" w:rsidR="008B67F3" w:rsidRPr="00C917E2" w:rsidRDefault="00163154" w:rsidP="00D37198">
      <w:pPr>
        <w:pStyle w:val="Numberpara"/>
      </w:pPr>
      <w:r w:rsidRPr="00C917E2">
        <w:t xml:space="preserve">Beyond the efficient </w:t>
      </w:r>
      <w:r w:rsidR="008B67F3" w:rsidRPr="00C917E2">
        <w:t xml:space="preserve">resource allocation </w:t>
      </w:r>
      <w:r w:rsidRPr="00C917E2">
        <w:t xml:space="preserve">discussed in the previous </w:t>
      </w:r>
      <w:r w:rsidR="001325F8" w:rsidRPr="00C917E2">
        <w:t>section</w:t>
      </w:r>
      <w:r w:rsidRPr="00C917E2">
        <w:t xml:space="preserve">, </w:t>
      </w:r>
      <w:r w:rsidR="008B67F3" w:rsidRPr="00C917E2">
        <w:t xml:space="preserve">Zimbabwe must consider prospects for mobilizing funds from all sources—particularly domestic—while ensuring that new funds are used to improve allocative efficiency and increase the shares of nonwage inputs into the system. </w:t>
      </w:r>
    </w:p>
    <w:p w14:paraId="6A687D5A" w14:textId="77777777" w:rsidR="008B67F3" w:rsidRPr="00C917E2" w:rsidRDefault="008B67F3" w:rsidP="00226FA8">
      <w:pPr>
        <w:pStyle w:val="Heading2"/>
      </w:pPr>
      <w:bookmarkStart w:id="224" w:name="_Toc419004025"/>
      <w:r w:rsidRPr="00C917E2">
        <w:t>4.1 Fiscal Space for Health?</w:t>
      </w:r>
      <w:bookmarkEnd w:id="224"/>
    </w:p>
    <w:p w14:paraId="459DD0FE" w14:textId="77777777" w:rsidR="008B67F3" w:rsidRPr="00C917E2" w:rsidRDefault="008B67F3" w:rsidP="00320F82">
      <w:pPr>
        <w:pStyle w:val="Heading3"/>
      </w:pPr>
      <w:bookmarkStart w:id="225" w:name="_Toc419004026"/>
      <w:r w:rsidRPr="00C917E2">
        <w:t>Macroeconomic Developments and Fiscal Revenues</w:t>
      </w:r>
      <w:bookmarkEnd w:id="225"/>
    </w:p>
    <w:p w14:paraId="52677E4F" w14:textId="77777777" w:rsidR="008B67F3" w:rsidRDefault="008B67F3" w:rsidP="00D37198">
      <w:pPr>
        <w:pStyle w:val="Numberpara"/>
      </w:pPr>
      <w:r w:rsidRPr="00C917E2">
        <w:t xml:space="preserve">Over the years, economic developments have affected growth of fiscal revenues (total revenue including grants) and the fiscal space for </w:t>
      </w:r>
      <w:r w:rsidR="009446C1">
        <w:t xml:space="preserve">public </w:t>
      </w:r>
      <w:r w:rsidRPr="00C917E2">
        <w:t>health in Zimbabwe.</w:t>
      </w:r>
      <w:r w:rsidRPr="00C917E2">
        <w:rPr>
          <w:rStyle w:val="EndnoteReference"/>
          <w:rFonts w:ascii="Times New Roman" w:hAnsi="Times New Roman"/>
          <w:color w:val="000000"/>
        </w:rPr>
        <w:endnoteReference w:id="88"/>
      </w:r>
      <w:r w:rsidR="004F1105">
        <w:t xml:space="preserve"> The adoption of the multi</w:t>
      </w:r>
      <w:r w:rsidRPr="00C917E2">
        <w:t>currency regime in 2009 stabilized the economy and provided incentives for economic recovery. Rapid recovery of revenues ensued:</w:t>
      </w:r>
      <w:r w:rsidRPr="00C917E2">
        <w:rPr>
          <w:i/>
          <w:iCs/>
        </w:rPr>
        <w:t xml:space="preserve"> </w:t>
      </w:r>
      <w:r w:rsidRPr="00C917E2">
        <w:rPr>
          <w:iCs/>
        </w:rPr>
        <w:t>total</w:t>
      </w:r>
      <w:r w:rsidRPr="00C917E2">
        <w:rPr>
          <w:i/>
          <w:iCs/>
        </w:rPr>
        <w:t xml:space="preserve"> </w:t>
      </w:r>
      <w:r w:rsidRPr="00C917E2">
        <w:t xml:space="preserve">revenue (including grants) shot up from US$133 million </w:t>
      </w:r>
      <w:r w:rsidRPr="00C917E2">
        <w:lastRenderedPageBreak/>
        <w:t>(2.3</w:t>
      </w:r>
      <w:r w:rsidR="00601248">
        <w:t> </w:t>
      </w:r>
      <w:r w:rsidRPr="00C917E2">
        <w:t>percent of GDP) in 2008 to US$970 million (12 percent of GDP) in 2009 and</w:t>
      </w:r>
      <w:r w:rsidR="00B72993" w:rsidRPr="00C917E2">
        <w:t xml:space="preserve"> </w:t>
      </w:r>
      <w:r w:rsidRPr="00C917E2">
        <w:t xml:space="preserve">to US$2.9 billion (26.7 percent of GDP) in 2011. This growth was supported by better than expected performance of value-added tax, incomes taxes, and excise duties. Their recovery began to moderate in 2012, when their share stabilized at 28.0 percent of GDP (28.8 percent in 2013). With the economy still weak, revenues </w:t>
      </w:r>
      <w:r w:rsidRPr="00C917E2">
        <w:rPr>
          <w:bCs/>
        </w:rPr>
        <w:t xml:space="preserve">contracted by 4.8 percent </w:t>
      </w:r>
      <w:r w:rsidRPr="00C917E2">
        <w:t>in the first seven months of 2014 (</w:t>
      </w:r>
      <w:r w:rsidR="00C713A9" w:rsidRPr="00C917E2">
        <w:fldChar w:fldCharType="begin"/>
      </w:r>
      <w:r w:rsidRPr="00C917E2">
        <w:instrText xml:space="preserve"> REF _Ref412024062 \h </w:instrText>
      </w:r>
      <w:r w:rsidR="00C713A9" w:rsidRPr="00C917E2">
        <w:fldChar w:fldCharType="separate"/>
      </w:r>
      <w:r w:rsidR="003732A2" w:rsidRPr="00C917E2">
        <w:t xml:space="preserve">Figure </w:t>
      </w:r>
      <w:r w:rsidR="003732A2">
        <w:rPr>
          <w:noProof/>
        </w:rPr>
        <w:t>37</w:t>
      </w:r>
      <w:r w:rsidR="00C713A9" w:rsidRPr="00C917E2">
        <w:fldChar w:fldCharType="end"/>
      </w:r>
      <w:r w:rsidRPr="00C917E2">
        <w:t xml:space="preserve">). </w:t>
      </w:r>
    </w:p>
    <w:p w14:paraId="676574F6" w14:textId="77777777" w:rsidR="008B67F3" w:rsidRPr="00C917E2" w:rsidRDefault="008B67F3" w:rsidP="00C53C89">
      <w:pPr>
        <w:pStyle w:val="Figure"/>
      </w:pPr>
      <w:bookmarkStart w:id="226" w:name="_Ref412024062"/>
      <w:bookmarkStart w:id="227" w:name="_Toc419004118"/>
      <w:r w:rsidRPr="00C917E2">
        <w:t xml:space="preserve">Figure </w:t>
      </w:r>
      <w:r w:rsidR="00113462">
        <w:fldChar w:fldCharType="begin"/>
      </w:r>
      <w:r w:rsidR="00113462">
        <w:instrText xml:space="preserve"> SEQ Figure \* ARABIC </w:instrText>
      </w:r>
      <w:r w:rsidR="00113462">
        <w:fldChar w:fldCharType="separate"/>
      </w:r>
      <w:r w:rsidR="003732A2">
        <w:rPr>
          <w:noProof/>
        </w:rPr>
        <w:t>37</w:t>
      </w:r>
      <w:r w:rsidR="00113462">
        <w:rPr>
          <w:noProof/>
        </w:rPr>
        <w:fldChar w:fldCharType="end"/>
      </w:r>
      <w:bookmarkEnd w:id="226"/>
      <w:r w:rsidRPr="00C917E2">
        <w:t xml:space="preserve"> Government Revenues, 2007–14 (US$ million)</w:t>
      </w:r>
      <w:bookmarkEnd w:id="227"/>
    </w:p>
    <w:p w14:paraId="3A450085" w14:textId="77777777" w:rsidR="008B67F3" w:rsidRPr="00C917E2" w:rsidRDefault="008B67F3" w:rsidP="00952415">
      <w:pPr>
        <w:ind w:left="720"/>
      </w:pPr>
      <w:r w:rsidRPr="00C917E2">
        <w:rPr>
          <w:noProof/>
        </w:rPr>
        <w:drawing>
          <wp:inline distT="0" distB="0" distL="0" distR="0" wp14:anchorId="48B9FAC6" wp14:editId="21D6579F">
            <wp:extent cx="4552950" cy="2114550"/>
            <wp:effectExtent l="0" t="0" r="19050" b="19050"/>
            <wp:docPr id="99"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431D187" w14:textId="77777777" w:rsidR="008B67F3" w:rsidRPr="00C917E2" w:rsidRDefault="008B67F3" w:rsidP="006544A1">
      <w:pPr>
        <w:pStyle w:val="Source"/>
      </w:pPr>
      <w:r w:rsidRPr="00E94700">
        <w:rPr>
          <w:i/>
        </w:rPr>
        <w:t>Source:</w:t>
      </w:r>
      <w:r w:rsidRPr="00C917E2">
        <w:t xml:space="preserve"> MOFED 2014</w:t>
      </w:r>
      <w:r w:rsidR="00F72880" w:rsidRPr="00C917E2">
        <w:t xml:space="preserve"> </w:t>
      </w:r>
      <w:r w:rsidR="00834D59" w:rsidRPr="00C917E2">
        <w:t xml:space="preserve">and IMF </w:t>
      </w:r>
      <w:r w:rsidR="00F72880" w:rsidRPr="00C917E2">
        <w:t>staff estimates</w:t>
      </w:r>
      <w:r w:rsidR="006B2D5F">
        <w:t>.</w:t>
      </w:r>
    </w:p>
    <w:p w14:paraId="28069C77" w14:textId="5EA55955" w:rsidR="00B1362F" w:rsidRDefault="00B1362F" w:rsidP="00B1362F">
      <w:pPr>
        <w:pStyle w:val="Numberpara"/>
      </w:pPr>
      <w:r>
        <w:t>Tax revenue contributed 91 percent of total revenue in 2013. Among the tax heads, income tax was the biggest contributor, with 31 percent, value-added tax contributed 29 percent, excise duties 14 percent</w:t>
      </w:r>
      <w:r w:rsidR="005872C4">
        <w:t>,</w:t>
      </w:r>
      <w:r>
        <w:t xml:space="preserve"> and customs duties 10 percent. Nontax revenues, notably from license fees and diamond dividends, also contributed to revenue growth.</w:t>
      </w:r>
      <w:r w:rsidR="00AA119C">
        <w:t xml:space="preserve"> </w:t>
      </w:r>
      <w:r>
        <w:t xml:space="preserve">Nontax revenues amounted to US$51 million (5 percent of total revenue) in 2009 and increased to US$327 million (9 percent of total revenue) in 2013. Budget grants of US$41 million (4 percent of total revenue) were only received in 2009, and thereafter nothing was received, as donors provided grants off budget. </w:t>
      </w:r>
    </w:p>
    <w:p w14:paraId="20AD4FAF" w14:textId="09BE3DD4" w:rsidR="00B1362F" w:rsidRPr="00C917E2" w:rsidRDefault="00B1362F" w:rsidP="00B1362F">
      <w:pPr>
        <w:pStyle w:val="Numberpara"/>
      </w:pPr>
      <w:r>
        <w:t>With economic growth expected to be sluggish in the short to medium term, total revenue and tax revenue are projected at around recent shares of GDP (</w:t>
      </w:r>
      <w:r w:rsidR="00D8274B">
        <w:fldChar w:fldCharType="begin"/>
      </w:r>
      <w:r w:rsidR="00D8274B">
        <w:instrText xml:space="preserve"> REF _Ref418936284 \h </w:instrText>
      </w:r>
      <w:r w:rsidR="00D8274B">
        <w:fldChar w:fldCharType="separate"/>
      </w:r>
      <w:r w:rsidR="003732A2" w:rsidRPr="00BD64A3">
        <w:t xml:space="preserve">Table </w:t>
      </w:r>
      <w:r w:rsidR="003732A2">
        <w:rPr>
          <w:noProof/>
        </w:rPr>
        <w:t>11</w:t>
      </w:r>
      <w:r w:rsidR="00D8274B">
        <w:fldChar w:fldCharType="end"/>
      </w:r>
      <w:r>
        <w:t>).</w:t>
      </w:r>
    </w:p>
    <w:tbl>
      <w:tblPr>
        <w:tblW w:w="9723" w:type="dxa"/>
        <w:tblLook w:val="04A0" w:firstRow="1" w:lastRow="0" w:firstColumn="1" w:lastColumn="0" w:noHBand="0" w:noVBand="1"/>
      </w:tblPr>
      <w:tblGrid>
        <w:gridCol w:w="3387"/>
        <w:gridCol w:w="636"/>
        <w:gridCol w:w="636"/>
        <w:gridCol w:w="636"/>
        <w:gridCol w:w="636"/>
        <w:gridCol w:w="636"/>
        <w:gridCol w:w="992"/>
        <w:gridCol w:w="1082"/>
        <w:gridCol w:w="1082"/>
      </w:tblGrid>
      <w:tr w:rsidR="00B1362F" w:rsidRPr="00EF5F28" w14:paraId="7308FB49" w14:textId="77777777" w:rsidTr="00AB6DF4">
        <w:trPr>
          <w:trHeight w:val="315"/>
        </w:trPr>
        <w:tc>
          <w:tcPr>
            <w:tcW w:w="0" w:type="auto"/>
            <w:gridSpan w:val="9"/>
            <w:tcBorders>
              <w:top w:val="nil"/>
              <w:left w:val="nil"/>
              <w:bottom w:val="single" w:sz="8" w:space="0" w:color="auto"/>
              <w:right w:val="nil"/>
            </w:tcBorders>
            <w:shd w:val="clear" w:color="auto" w:fill="auto"/>
            <w:noWrap/>
            <w:vAlign w:val="center"/>
            <w:hideMark/>
          </w:tcPr>
          <w:p w14:paraId="45D40D24" w14:textId="1F1A7107" w:rsidR="00B1362F" w:rsidRPr="00BD64A3" w:rsidRDefault="00BD64A3" w:rsidP="00BD64A3">
            <w:pPr>
              <w:pStyle w:val="Table"/>
            </w:pPr>
            <w:bookmarkStart w:id="228" w:name="_Ref418936284"/>
            <w:bookmarkStart w:id="229" w:name="RANGE!C4"/>
            <w:bookmarkStart w:id="230" w:name="_Toc419004079"/>
            <w:r w:rsidRPr="00BD64A3">
              <w:lastRenderedPageBreak/>
              <w:t xml:space="preserve">Table </w:t>
            </w:r>
            <w:r w:rsidR="00113462">
              <w:fldChar w:fldCharType="begin"/>
            </w:r>
            <w:r w:rsidR="00113462">
              <w:instrText xml:space="preserve"> SEQ Table \* ARABIC </w:instrText>
            </w:r>
            <w:r w:rsidR="00113462">
              <w:fldChar w:fldCharType="separate"/>
            </w:r>
            <w:r w:rsidR="003732A2">
              <w:rPr>
                <w:noProof/>
              </w:rPr>
              <w:t>11</w:t>
            </w:r>
            <w:r w:rsidR="00113462">
              <w:rPr>
                <w:noProof/>
              </w:rPr>
              <w:fldChar w:fldCharType="end"/>
            </w:r>
            <w:bookmarkEnd w:id="228"/>
            <w:r w:rsidRPr="00BD64A3">
              <w:t xml:space="preserve"> </w:t>
            </w:r>
            <w:r w:rsidR="00B1362F" w:rsidRPr="00BD64A3">
              <w:t>Fiscal Trends and Projections (% of GDP)</w:t>
            </w:r>
            <w:bookmarkEnd w:id="229"/>
            <w:bookmarkEnd w:id="230"/>
          </w:p>
        </w:tc>
      </w:tr>
      <w:tr w:rsidR="00B1362F" w:rsidRPr="00EF5F28" w14:paraId="181D6A15" w14:textId="77777777" w:rsidTr="00AB6DF4">
        <w:trPr>
          <w:trHeight w:val="315"/>
        </w:trPr>
        <w:tc>
          <w:tcPr>
            <w:tcW w:w="0" w:type="auto"/>
            <w:tcBorders>
              <w:top w:val="nil"/>
              <w:left w:val="nil"/>
              <w:bottom w:val="single" w:sz="8" w:space="0" w:color="auto"/>
              <w:right w:val="nil"/>
            </w:tcBorders>
            <w:shd w:val="clear" w:color="auto" w:fill="auto"/>
            <w:noWrap/>
            <w:vAlign w:val="center"/>
            <w:hideMark/>
          </w:tcPr>
          <w:p w14:paraId="3A9D1E39" w14:textId="77777777" w:rsidR="00B1362F" w:rsidRPr="00EF5F28" w:rsidRDefault="00B1362F" w:rsidP="00B1362F">
            <w:pPr>
              <w:keepNext/>
              <w:spacing w:after="0"/>
              <w:rPr>
                <w:rFonts w:ascii="Calibri" w:eastAsia="Times New Roman" w:hAnsi="Calibri" w:cs="Times New Roman"/>
                <w:b/>
                <w:bCs/>
                <w:color w:val="000000"/>
                <w:sz w:val="20"/>
                <w:szCs w:val="20"/>
              </w:rPr>
            </w:pPr>
            <w:r w:rsidRPr="00EF5F28">
              <w:rPr>
                <w:rFonts w:ascii="Calibri" w:eastAsia="Times New Roman" w:hAnsi="Calibri" w:cs="Times New Roman"/>
                <w:b/>
                <w:bCs/>
                <w:color w:val="000000"/>
                <w:sz w:val="20"/>
                <w:szCs w:val="20"/>
              </w:rPr>
              <w:t> </w:t>
            </w:r>
          </w:p>
        </w:tc>
        <w:tc>
          <w:tcPr>
            <w:tcW w:w="0" w:type="auto"/>
            <w:tcBorders>
              <w:top w:val="nil"/>
              <w:left w:val="nil"/>
              <w:bottom w:val="single" w:sz="8" w:space="0" w:color="auto"/>
              <w:right w:val="nil"/>
            </w:tcBorders>
            <w:shd w:val="clear" w:color="auto" w:fill="auto"/>
            <w:noWrap/>
            <w:vAlign w:val="center"/>
            <w:hideMark/>
          </w:tcPr>
          <w:p w14:paraId="389D508B" w14:textId="77777777" w:rsidR="00B1362F" w:rsidRPr="00EF5F28" w:rsidRDefault="00B1362F" w:rsidP="00B1362F">
            <w:pPr>
              <w:keepNext/>
              <w:spacing w:after="0"/>
              <w:jc w:val="right"/>
              <w:rPr>
                <w:rFonts w:ascii="Calibri" w:eastAsia="Times New Roman" w:hAnsi="Calibri" w:cs="Times New Roman"/>
                <w:b/>
                <w:bCs/>
                <w:color w:val="000000"/>
                <w:sz w:val="20"/>
                <w:szCs w:val="20"/>
              </w:rPr>
            </w:pPr>
            <w:r w:rsidRPr="00EF5F28">
              <w:rPr>
                <w:rFonts w:ascii="Calibri" w:eastAsia="Times New Roman" w:hAnsi="Calibri" w:cs="Times New Roman"/>
                <w:b/>
                <w:bCs/>
                <w:color w:val="000000"/>
                <w:sz w:val="20"/>
                <w:szCs w:val="20"/>
              </w:rPr>
              <w:t>2009</w:t>
            </w:r>
          </w:p>
        </w:tc>
        <w:tc>
          <w:tcPr>
            <w:tcW w:w="0" w:type="auto"/>
            <w:tcBorders>
              <w:top w:val="nil"/>
              <w:left w:val="nil"/>
              <w:bottom w:val="single" w:sz="8" w:space="0" w:color="auto"/>
              <w:right w:val="nil"/>
            </w:tcBorders>
            <w:shd w:val="clear" w:color="auto" w:fill="auto"/>
            <w:noWrap/>
            <w:vAlign w:val="center"/>
            <w:hideMark/>
          </w:tcPr>
          <w:p w14:paraId="0627A430" w14:textId="77777777" w:rsidR="00B1362F" w:rsidRPr="00EF5F28" w:rsidRDefault="00B1362F" w:rsidP="00B1362F">
            <w:pPr>
              <w:keepNext/>
              <w:spacing w:after="0"/>
              <w:jc w:val="right"/>
              <w:rPr>
                <w:rFonts w:ascii="Calibri" w:eastAsia="Times New Roman" w:hAnsi="Calibri" w:cs="Times New Roman"/>
                <w:b/>
                <w:bCs/>
                <w:color w:val="000000"/>
                <w:sz w:val="20"/>
                <w:szCs w:val="20"/>
              </w:rPr>
            </w:pPr>
            <w:r w:rsidRPr="00EF5F28">
              <w:rPr>
                <w:rFonts w:ascii="Calibri" w:eastAsia="Times New Roman" w:hAnsi="Calibri" w:cs="Times New Roman"/>
                <w:b/>
                <w:bCs/>
                <w:color w:val="000000"/>
                <w:sz w:val="20"/>
                <w:szCs w:val="20"/>
              </w:rPr>
              <w:t>2010</w:t>
            </w:r>
          </w:p>
        </w:tc>
        <w:tc>
          <w:tcPr>
            <w:tcW w:w="0" w:type="auto"/>
            <w:tcBorders>
              <w:top w:val="nil"/>
              <w:left w:val="nil"/>
              <w:bottom w:val="single" w:sz="8" w:space="0" w:color="auto"/>
              <w:right w:val="nil"/>
            </w:tcBorders>
            <w:shd w:val="clear" w:color="auto" w:fill="auto"/>
            <w:noWrap/>
            <w:vAlign w:val="center"/>
            <w:hideMark/>
          </w:tcPr>
          <w:p w14:paraId="39D2880D" w14:textId="77777777" w:rsidR="00B1362F" w:rsidRPr="00EF5F28" w:rsidRDefault="00B1362F" w:rsidP="00B1362F">
            <w:pPr>
              <w:keepNext/>
              <w:spacing w:after="0"/>
              <w:jc w:val="right"/>
              <w:rPr>
                <w:rFonts w:ascii="Calibri" w:eastAsia="Times New Roman" w:hAnsi="Calibri" w:cs="Times New Roman"/>
                <w:b/>
                <w:bCs/>
                <w:color w:val="000000"/>
                <w:sz w:val="20"/>
                <w:szCs w:val="20"/>
              </w:rPr>
            </w:pPr>
            <w:r w:rsidRPr="00EF5F28">
              <w:rPr>
                <w:rFonts w:ascii="Calibri" w:eastAsia="Times New Roman" w:hAnsi="Calibri" w:cs="Times New Roman"/>
                <w:b/>
                <w:bCs/>
                <w:color w:val="000000"/>
                <w:sz w:val="20"/>
                <w:szCs w:val="20"/>
              </w:rPr>
              <w:t>2011</w:t>
            </w:r>
          </w:p>
        </w:tc>
        <w:tc>
          <w:tcPr>
            <w:tcW w:w="0" w:type="auto"/>
            <w:tcBorders>
              <w:top w:val="nil"/>
              <w:left w:val="nil"/>
              <w:bottom w:val="single" w:sz="8" w:space="0" w:color="auto"/>
              <w:right w:val="nil"/>
            </w:tcBorders>
            <w:shd w:val="clear" w:color="auto" w:fill="auto"/>
            <w:noWrap/>
            <w:vAlign w:val="center"/>
            <w:hideMark/>
          </w:tcPr>
          <w:p w14:paraId="5CBA208E" w14:textId="77777777" w:rsidR="00B1362F" w:rsidRPr="00EF5F28" w:rsidRDefault="00B1362F" w:rsidP="00B1362F">
            <w:pPr>
              <w:keepNext/>
              <w:spacing w:after="0"/>
              <w:jc w:val="right"/>
              <w:rPr>
                <w:rFonts w:ascii="Calibri" w:eastAsia="Times New Roman" w:hAnsi="Calibri" w:cs="Times New Roman"/>
                <w:b/>
                <w:bCs/>
                <w:color w:val="000000"/>
                <w:sz w:val="20"/>
                <w:szCs w:val="20"/>
              </w:rPr>
            </w:pPr>
            <w:r w:rsidRPr="00EF5F28">
              <w:rPr>
                <w:rFonts w:ascii="Calibri" w:eastAsia="Times New Roman" w:hAnsi="Calibri" w:cs="Times New Roman"/>
                <w:b/>
                <w:bCs/>
                <w:color w:val="000000"/>
                <w:sz w:val="20"/>
                <w:szCs w:val="20"/>
              </w:rPr>
              <w:t>2012</w:t>
            </w:r>
          </w:p>
        </w:tc>
        <w:tc>
          <w:tcPr>
            <w:tcW w:w="0" w:type="auto"/>
            <w:tcBorders>
              <w:top w:val="nil"/>
              <w:left w:val="nil"/>
              <w:bottom w:val="single" w:sz="8" w:space="0" w:color="auto"/>
              <w:right w:val="nil"/>
            </w:tcBorders>
            <w:shd w:val="clear" w:color="auto" w:fill="auto"/>
            <w:noWrap/>
            <w:vAlign w:val="center"/>
            <w:hideMark/>
          </w:tcPr>
          <w:p w14:paraId="6B7FCC83" w14:textId="77777777" w:rsidR="00B1362F" w:rsidRPr="00EF5F28" w:rsidRDefault="00B1362F" w:rsidP="00B1362F">
            <w:pPr>
              <w:keepNext/>
              <w:spacing w:after="0"/>
              <w:jc w:val="right"/>
              <w:rPr>
                <w:rFonts w:ascii="Calibri" w:eastAsia="Times New Roman" w:hAnsi="Calibri" w:cs="Times New Roman"/>
                <w:b/>
                <w:bCs/>
                <w:color w:val="000000"/>
                <w:sz w:val="20"/>
                <w:szCs w:val="20"/>
              </w:rPr>
            </w:pPr>
            <w:r w:rsidRPr="00EF5F28">
              <w:rPr>
                <w:rFonts w:ascii="Calibri" w:eastAsia="Times New Roman" w:hAnsi="Calibri" w:cs="Times New Roman"/>
                <w:b/>
                <w:bCs/>
                <w:color w:val="000000"/>
                <w:sz w:val="20"/>
                <w:szCs w:val="20"/>
              </w:rPr>
              <w:t>2013</w:t>
            </w:r>
          </w:p>
        </w:tc>
        <w:tc>
          <w:tcPr>
            <w:tcW w:w="0" w:type="auto"/>
            <w:tcBorders>
              <w:top w:val="nil"/>
              <w:left w:val="nil"/>
              <w:bottom w:val="single" w:sz="8" w:space="0" w:color="auto"/>
              <w:right w:val="nil"/>
            </w:tcBorders>
            <w:shd w:val="clear" w:color="auto" w:fill="auto"/>
            <w:noWrap/>
            <w:vAlign w:val="center"/>
            <w:hideMark/>
          </w:tcPr>
          <w:p w14:paraId="20D5B122" w14:textId="77777777" w:rsidR="00B1362F" w:rsidRPr="00EF5F28" w:rsidRDefault="00B1362F" w:rsidP="00B1362F">
            <w:pPr>
              <w:keepNext/>
              <w:spacing w:after="0"/>
              <w:jc w:val="right"/>
              <w:rPr>
                <w:rFonts w:ascii="Calibri" w:eastAsia="Times New Roman" w:hAnsi="Calibri" w:cs="Times New Roman"/>
                <w:b/>
                <w:bCs/>
                <w:color w:val="000000"/>
                <w:sz w:val="20"/>
                <w:szCs w:val="20"/>
              </w:rPr>
            </w:pPr>
            <w:r w:rsidRPr="00EF5F28">
              <w:rPr>
                <w:rFonts w:ascii="Calibri" w:eastAsia="Times New Roman" w:hAnsi="Calibri" w:cs="Times New Roman"/>
                <w:b/>
                <w:bCs/>
                <w:color w:val="000000"/>
                <w:sz w:val="20"/>
                <w:szCs w:val="20"/>
              </w:rPr>
              <w:t xml:space="preserve">2014 est. </w:t>
            </w:r>
          </w:p>
        </w:tc>
        <w:tc>
          <w:tcPr>
            <w:tcW w:w="0" w:type="auto"/>
            <w:tcBorders>
              <w:top w:val="nil"/>
              <w:left w:val="nil"/>
              <w:bottom w:val="single" w:sz="8" w:space="0" w:color="auto"/>
              <w:right w:val="nil"/>
            </w:tcBorders>
            <w:shd w:val="clear" w:color="auto" w:fill="auto"/>
            <w:noWrap/>
            <w:vAlign w:val="center"/>
            <w:hideMark/>
          </w:tcPr>
          <w:p w14:paraId="40F91C6D" w14:textId="77777777" w:rsidR="00B1362F" w:rsidRPr="00EF5F28" w:rsidRDefault="00B1362F" w:rsidP="00B1362F">
            <w:pPr>
              <w:keepNext/>
              <w:spacing w:after="0"/>
              <w:jc w:val="right"/>
              <w:rPr>
                <w:rFonts w:ascii="Calibri" w:eastAsia="Times New Roman" w:hAnsi="Calibri" w:cs="Times New Roman"/>
                <w:b/>
                <w:bCs/>
                <w:color w:val="000000"/>
                <w:sz w:val="20"/>
                <w:szCs w:val="20"/>
              </w:rPr>
            </w:pPr>
            <w:r w:rsidRPr="00EF5F28">
              <w:rPr>
                <w:rFonts w:ascii="Calibri" w:eastAsia="Times New Roman" w:hAnsi="Calibri" w:cs="Times New Roman"/>
                <w:b/>
                <w:bCs/>
                <w:color w:val="000000"/>
                <w:sz w:val="20"/>
                <w:szCs w:val="20"/>
              </w:rPr>
              <w:t>2015 proj.</w:t>
            </w:r>
          </w:p>
        </w:tc>
        <w:tc>
          <w:tcPr>
            <w:tcW w:w="0" w:type="auto"/>
            <w:tcBorders>
              <w:top w:val="nil"/>
              <w:left w:val="nil"/>
              <w:bottom w:val="single" w:sz="8" w:space="0" w:color="auto"/>
              <w:right w:val="nil"/>
            </w:tcBorders>
            <w:shd w:val="clear" w:color="auto" w:fill="auto"/>
            <w:noWrap/>
            <w:vAlign w:val="center"/>
            <w:hideMark/>
          </w:tcPr>
          <w:p w14:paraId="2FC4487B" w14:textId="77777777" w:rsidR="00B1362F" w:rsidRPr="00EF5F28" w:rsidRDefault="00B1362F" w:rsidP="00B1362F">
            <w:pPr>
              <w:keepNext/>
              <w:spacing w:after="0"/>
              <w:jc w:val="right"/>
              <w:rPr>
                <w:rFonts w:ascii="Calibri" w:eastAsia="Times New Roman" w:hAnsi="Calibri" w:cs="Times New Roman"/>
                <w:b/>
                <w:bCs/>
                <w:color w:val="000000"/>
                <w:sz w:val="20"/>
                <w:szCs w:val="20"/>
              </w:rPr>
            </w:pPr>
            <w:r w:rsidRPr="00EF5F28">
              <w:rPr>
                <w:rFonts w:ascii="Calibri" w:eastAsia="Times New Roman" w:hAnsi="Calibri" w:cs="Times New Roman"/>
                <w:b/>
                <w:bCs/>
                <w:color w:val="000000"/>
                <w:sz w:val="20"/>
                <w:szCs w:val="20"/>
              </w:rPr>
              <w:t>2016 proj.</w:t>
            </w:r>
          </w:p>
        </w:tc>
      </w:tr>
      <w:tr w:rsidR="00B1362F" w:rsidRPr="00EF5F28" w14:paraId="2427CD37" w14:textId="77777777" w:rsidTr="00AB6DF4">
        <w:trPr>
          <w:trHeight w:val="300"/>
        </w:trPr>
        <w:tc>
          <w:tcPr>
            <w:tcW w:w="0" w:type="auto"/>
            <w:tcBorders>
              <w:top w:val="nil"/>
              <w:left w:val="nil"/>
              <w:bottom w:val="nil"/>
              <w:right w:val="nil"/>
            </w:tcBorders>
            <w:shd w:val="clear" w:color="auto" w:fill="auto"/>
            <w:noWrap/>
            <w:vAlign w:val="center"/>
            <w:hideMark/>
          </w:tcPr>
          <w:p w14:paraId="3B7B6179"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Total revenue incl. grants</w:t>
            </w:r>
          </w:p>
        </w:tc>
        <w:tc>
          <w:tcPr>
            <w:tcW w:w="0" w:type="auto"/>
            <w:tcBorders>
              <w:top w:val="nil"/>
              <w:left w:val="nil"/>
              <w:bottom w:val="nil"/>
              <w:right w:val="nil"/>
            </w:tcBorders>
            <w:shd w:val="clear" w:color="auto" w:fill="auto"/>
            <w:noWrap/>
            <w:vAlign w:val="center"/>
            <w:hideMark/>
          </w:tcPr>
          <w:p w14:paraId="0757417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12.0</w:t>
            </w:r>
          </w:p>
        </w:tc>
        <w:tc>
          <w:tcPr>
            <w:tcW w:w="0" w:type="auto"/>
            <w:tcBorders>
              <w:top w:val="nil"/>
              <w:left w:val="nil"/>
              <w:bottom w:val="nil"/>
              <w:right w:val="nil"/>
            </w:tcBorders>
            <w:shd w:val="clear" w:color="auto" w:fill="auto"/>
            <w:noWrap/>
            <w:vAlign w:val="center"/>
            <w:hideMark/>
          </w:tcPr>
          <w:p w14:paraId="39782CC8"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24.7</w:t>
            </w:r>
          </w:p>
        </w:tc>
        <w:tc>
          <w:tcPr>
            <w:tcW w:w="0" w:type="auto"/>
            <w:tcBorders>
              <w:top w:val="nil"/>
              <w:left w:val="nil"/>
              <w:bottom w:val="nil"/>
              <w:right w:val="nil"/>
            </w:tcBorders>
            <w:shd w:val="clear" w:color="auto" w:fill="auto"/>
            <w:noWrap/>
            <w:vAlign w:val="center"/>
            <w:hideMark/>
          </w:tcPr>
          <w:p w14:paraId="525ABC5D"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26.7</w:t>
            </w:r>
          </w:p>
        </w:tc>
        <w:tc>
          <w:tcPr>
            <w:tcW w:w="0" w:type="auto"/>
            <w:tcBorders>
              <w:top w:val="nil"/>
              <w:left w:val="nil"/>
              <w:bottom w:val="nil"/>
              <w:right w:val="nil"/>
            </w:tcBorders>
            <w:shd w:val="clear" w:color="auto" w:fill="auto"/>
            <w:noWrap/>
            <w:vAlign w:val="center"/>
            <w:hideMark/>
          </w:tcPr>
          <w:p w14:paraId="7DF90F1A"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28.0</w:t>
            </w:r>
          </w:p>
        </w:tc>
        <w:tc>
          <w:tcPr>
            <w:tcW w:w="0" w:type="auto"/>
            <w:tcBorders>
              <w:top w:val="nil"/>
              <w:left w:val="nil"/>
              <w:bottom w:val="nil"/>
              <w:right w:val="nil"/>
            </w:tcBorders>
            <w:shd w:val="clear" w:color="auto" w:fill="auto"/>
            <w:noWrap/>
            <w:vAlign w:val="center"/>
            <w:hideMark/>
          </w:tcPr>
          <w:p w14:paraId="56C5580C"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27.7</w:t>
            </w:r>
          </w:p>
        </w:tc>
        <w:tc>
          <w:tcPr>
            <w:tcW w:w="0" w:type="auto"/>
            <w:tcBorders>
              <w:top w:val="nil"/>
              <w:left w:val="nil"/>
              <w:bottom w:val="nil"/>
              <w:right w:val="nil"/>
            </w:tcBorders>
            <w:shd w:val="clear" w:color="auto" w:fill="auto"/>
            <w:noWrap/>
            <w:vAlign w:val="center"/>
            <w:hideMark/>
          </w:tcPr>
          <w:p w14:paraId="6BCFAB15"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27.6</w:t>
            </w:r>
          </w:p>
        </w:tc>
        <w:tc>
          <w:tcPr>
            <w:tcW w:w="0" w:type="auto"/>
            <w:tcBorders>
              <w:top w:val="nil"/>
              <w:left w:val="nil"/>
              <w:bottom w:val="nil"/>
              <w:right w:val="nil"/>
            </w:tcBorders>
            <w:shd w:val="clear" w:color="auto" w:fill="auto"/>
            <w:noWrap/>
            <w:vAlign w:val="center"/>
            <w:hideMark/>
          </w:tcPr>
          <w:p w14:paraId="18E345F5"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27.5</w:t>
            </w:r>
          </w:p>
        </w:tc>
        <w:tc>
          <w:tcPr>
            <w:tcW w:w="0" w:type="auto"/>
            <w:tcBorders>
              <w:top w:val="nil"/>
              <w:left w:val="nil"/>
              <w:bottom w:val="nil"/>
              <w:right w:val="nil"/>
            </w:tcBorders>
            <w:shd w:val="clear" w:color="auto" w:fill="auto"/>
            <w:noWrap/>
            <w:vAlign w:val="center"/>
            <w:hideMark/>
          </w:tcPr>
          <w:p w14:paraId="61FF8F42"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27.4</w:t>
            </w:r>
          </w:p>
        </w:tc>
      </w:tr>
      <w:tr w:rsidR="00B1362F" w:rsidRPr="00EF5F28" w14:paraId="5AAA7EB3" w14:textId="77777777" w:rsidTr="00AB6DF4">
        <w:trPr>
          <w:trHeight w:val="300"/>
        </w:trPr>
        <w:tc>
          <w:tcPr>
            <w:tcW w:w="0" w:type="auto"/>
            <w:tcBorders>
              <w:top w:val="nil"/>
              <w:left w:val="nil"/>
              <w:bottom w:val="nil"/>
              <w:right w:val="nil"/>
            </w:tcBorders>
            <w:shd w:val="clear" w:color="auto" w:fill="auto"/>
            <w:noWrap/>
            <w:vAlign w:val="center"/>
            <w:hideMark/>
          </w:tcPr>
          <w:p w14:paraId="25F88296"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Tax revenue</w:t>
            </w:r>
          </w:p>
        </w:tc>
        <w:tc>
          <w:tcPr>
            <w:tcW w:w="0" w:type="auto"/>
            <w:tcBorders>
              <w:top w:val="nil"/>
              <w:left w:val="nil"/>
              <w:bottom w:val="nil"/>
              <w:right w:val="nil"/>
            </w:tcBorders>
            <w:shd w:val="clear" w:color="auto" w:fill="auto"/>
            <w:noWrap/>
            <w:vAlign w:val="center"/>
            <w:hideMark/>
          </w:tcPr>
          <w:p w14:paraId="49B67288"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10.8</w:t>
            </w:r>
          </w:p>
        </w:tc>
        <w:tc>
          <w:tcPr>
            <w:tcW w:w="0" w:type="auto"/>
            <w:tcBorders>
              <w:top w:val="nil"/>
              <w:left w:val="nil"/>
              <w:bottom w:val="nil"/>
              <w:right w:val="nil"/>
            </w:tcBorders>
            <w:shd w:val="clear" w:color="auto" w:fill="auto"/>
            <w:noWrap/>
            <w:vAlign w:val="center"/>
            <w:hideMark/>
          </w:tcPr>
          <w:p w14:paraId="7754B487"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23.4</w:t>
            </w:r>
          </w:p>
        </w:tc>
        <w:tc>
          <w:tcPr>
            <w:tcW w:w="0" w:type="auto"/>
            <w:tcBorders>
              <w:top w:val="nil"/>
              <w:left w:val="nil"/>
              <w:bottom w:val="nil"/>
              <w:right w:val="nil"/>
            </w:tcBorders>
            <w:shd w:val="clear" w:color="auto" w:fill="auto"/>
            <w:noWrap/>
            <w:vAlign w:val="center"/>
            <w:hideMark/>
          </w:tcPr>
          <w:p w14:paraId="079E992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24.3</w:t>
            </w:r>
          </w:p>
        </w:tc>
        <w:tc>
          <w:tcPr>
            <w:tcW w:w="0" w:type="auto"/>
            <w:tcBorders>
              <w:top w:val="nil"/>
              <w:left w:val="nil"/>
              <w:bottom w:val="nil"/>
              <w:right w:val="nil"/>
            </w:tcBorders>
            <w:shd w:val="clear" w:color="auto" w:fill="auto"/>
            <w:noWrap/>
            <w:vAlign w:val="center"/>
            <w:hideMark/>
          </w:tcPr>
          <w:p w14:paraId="6A67302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26.3</w:t>
            </w:r>
          </w:p>
        </w:tc>
        <w:tc>
          <w:tcPr>
            <w:tcW w:w="0" w:type="auto"/>
            <w:tcBorders>
              <w:top w:val="nil"/>
              <w:left w:val="nil"/>
              <w:bottom w:val="nil"/>
              <w:right w:val="nil"/>
            </w:tcBorders>
            <w:shd w:val="clear" w:color="auto" w:fill="auto"/>
            <w:noWrap/>
            <w:vAlign w:val="center"/>
            <w:hideMark/>
          </w:tcPr>
          <w:p w14:paraId="13B056F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25.3</w:t>
            </w:r>
          </w:p>
        </w:tc>
        <w:tc>
          <w:tcPr>
            <w:tcW w:w="0" w:type="auto"/>
            <w:tcBorders>
              <w:top w:val="nil"/>
              <w:left w:val="nil"/>
              <w:bottom w:val="nil"/>
              <w:right w:val="nil"/>
            </w:tcBorders>
            <w:shd w:val="clear" w:color="auto" w:fill="auto"/>
            <w:noWrap/>
            <w:vAlign w:val="center"/>
            <w:hideMark/>
          </w:tcPr>
          <w:p w14:paraId="6F04032F"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25.8</w:t>
            </w:r>
          </w:p>
        </w:tc>
        <w:tc>
          <w:tcPr>
            <w:tcW w:w="0" w:type="auto"/>
            <w:tcBorders>
              <w:top w:val="nil"/>
              <w:left w:val="nil"/>
              <w:bottom w:val="nil"/>
              <w:right w:val="nil"/>
            </w:tcBorders>
            <w:shd w:val="clear" w:color="auto" w:fill="auto"/>
            <w:noWrap/>
            <w:vAlign w:val="center"/>
            <w:hideMark/>
          </w:tcPr>
          <w:p w14:paraId="07FB25A7"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25.8</w:t>
            </w:r>
          </w:p>
        </w:tc>
        <w:tc>
          <w:tcPr>
            <w:tcW w:w="0" w:type="auto"/>
            <w:tcBorders>
              <w:top w:val="nil"/>
              <w:left w:val="nil"/>
              <w:bottom w:val="nil"/>
              <w:right w:val="nil"/>
            </w:tcBorders>
            <w:shd w:val="clear" w:color="auto" w:fill="auto"/>
            <w:noWrap/>
            <w:vAlign w:val="center"/>
            <w:hideMark/>
          </w:tcPr>
          <w:p w14:paraId="48E029A5"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25.8</w:t>
            </w:r>
          </w:p>
        </w:tc>
      </w:tr>
      <w:tr w:rsidR="00B1362F" w:rsidRPr="00EF5F28" w14:paraId="1FE4C461" w14:textId="77777777" w:rsidTr="00AB6DF4">
        <w:trPr>
          <w:trHeight w:val="300"/>
        </w:trPr>
        <w:tc>
          <w:tcPr>
            <w:tcW w:w="0" w:type="auto"/>
            <w:tcBorders>
              <w:top w:val="nil"/>
              <w:left w:val="nil"/>
              <w:bottom w:val="nil"/>
              <w:right w:val="nil"/>
            </w:tcBorders>
            <w:shd w:val="clear" w:color="auto" w:fill="auto"/>
            <w:noWrap/>
            <w:vAlign w:val="center"/>
            <w:hideMark/>
          </w:tcPr>
          <w:p w14:paraId="59CB781C"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Nontax revenue</w:t>
            </w:r>
          </w:p>
        </w:tc>
        <w:tc>
          <w:tcPr>
            <w:tcW w:w="0" w:type="auto"/>
            <w:tcBorders>
              <w:top w:val="nil"/>
              <w:left w:val="nil"/>
              <w:bottom w:val="nil"/>
              <w:right w:val="nil"/>
            </w:tcBorders>
            <w:shd w:val="clear" w:color="auto" w:fill="auto"/>
            <w:noWrap/>
            <w:vAlign w:val="center"/>
            <w:hideMark/>
          </w:tcPr>
          <w:p w14:paraId="6DCBB744"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0.6</w:t>
            </w:r>
          </w:p>
        </w:tc>
        <w:tc>
          <w:tcPr>
            <w:tcW w:w="0" w:type="auto"/>
            <w:tcBorders>
              <w:top w:val="nil"/>
              <w:left w:val="nil"/>
              <w:bottom w:val="nil"/>
              <w:right w:val="nil"/>
            </w:tcBorders>
            <w:shd w:val="clear" w:color="auto" w:fill="auto"/>
            <w:noWrap/>
            <w:vAlign w:val="center"/>
            <w:hideMark/>
          </w:tcPr>
          <w:p w14:paraId="3B429787"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1.3</w:t>
            </w:r>
          </w:p>
        </w:tc>
        <w:tc>
          <w:tcPr>
            <w:tcW w:w="0" w:type="auto"/>
            <w:tcBorders>
              <w:top w:val="nil"/>
              <w:left w:val="nil"/>
              <w:bottom w:val="nil"/>
              <w:right w:val="nil"/>
            </w:tcBorders>
            <w:shd w:val="clear" w:color="auto" w:fill="auto"/>
            <w:noWrap/>
            <w:vAlign w:val="center"/>
            <w:hideMark/>
          </w:tcPr>
          <w:p w14:paraId="04BBD835"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2.4</w:t>
            </w:r>
          </w:p>
        </w:tc>
        <w:tc>
          <w:tcPr>
            <w:tcW w:w="0" w:type="auto"/>
            <w:tcBorders>
              <w:top w:val="nil"/>
              <w:left w:val="nil"/>
              <w:bottom w:val="nil"/>
              <w:right w:val="nil"/>
            </w:tcBorders>
            <w:shd w:val="clear" w:color="auto" w:fill="auto"/>
            <w:noWrap/>
            <w:vAlign w:val="center"/>
            <w:hideMark/>
          </w:tcPr>
          <w:p w14:paraId="35622BA4"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1.7</w:t>
            </w:r>
          </w:p>
        </w:tc>
        <w:tc>
          <w:tcPr>
            <w:tcW w:w="0" w:type="auto"/>
            <w:tcBorders>
              <w:top w:val="nil"/>
              <w:left w:val="nil"/>
              <w:bottom w:val="nil"/>
              <w:right w:val="nil"/>
            </w:tcBorders>
            <w:shd w:val="clear" w:color="auto" w:fill="auto"/>
            <w:noWrap/>
            <w:vAlign w:val="center"/>
            <w:hideMark/>
          </w:tcPr>
          <w:p w14:paraId="123109DF"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2.4</w:t>
            </w:r>
          </w:p>
        </w:tc>
        <w:tc>
          <w:tcPr>
            <w:tcW w:w="0" w:type="auto"/>
            <w:tcBorders>
              <w:top w:val="nil"/>
              <w:left w:val="nil"/>
              <w:bottom w:val="nil"/>
              <w:right w:val="nil"/>
            </w:tcBorders>
            <w:shd w:val="clear" w:color="auto" w:fill="auto"/>
            <w:noWrap/>
            <w:vAlign w:val="center"/>
            <w:hideMark/>
          </w:tcPr>
          <w:p w14:paraId="7E547AF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1.8</w:t>
            </w:r>
          </w:p>
        </w:tc>
        <w:tc>
          <w:tcPr>
            <w:tcW w:w="0" w:type="auto"/>
            <w:tcBorders>
              <w:top w:val="nil"/>
              <w:left w:val="nil"/>
              <w:bottom w:val="nil"/>
              <w:right w:val="nil"/>
            </w:tcBorders>
            <w:shd w:val="clear" w:color="auto" w:fill="auto"/>
            <w:noWrap/>
            <w:vAlign w:val="center"/>
            <w:hideMark/>
          </w:tcPr>
          <w:p w14:paraId="09FD3B9B"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1.7</w:t>
            </w:r>
          </w:p>
        </w:tc>
        <w:tc>
          <w:tcPr>
            <w:tcW w:w="0" w:type="auto"/>
            <w:tcBorders>
              <w:top w:val="nil"/>
              <w:left w:val="nil"/>
              <w:bottom w:val="nil"/>
              <w:right w:val="nil"/>
            </w:tcBorders>
            <w:shd w:val="clear" w:color="auto" w:fill="auto"/>
            <w:noWrap/>
            <w:vAlign w:val="center"/>
            <w:hideMark/>
          </w:tcPr>
          <w:p w14:paraId="52E46ADF"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1.6</w:t>
            </w:r>
          </w:p>
        </w:tc>
      </w:tr>
      <w:tr w:rsidR="00B1362F" w:rsidRPr="00EF5F28" w14:paraId="740B4F0C" w14:textId="77777777" w:rsidTr="00AB6DF4">
        <w:trPr>
          <w:trHeight w:val="300"/>
        </w:trPr>
        <w:tc>
          <w:tcPr>
            <w:tcW w:w="0" w:type="auto"/>
            <w:tcBorders>
              <w:top w:val="nil"/>
              <w:left w:val="nil"/>
              <w:bottom w:val="nil"/>
              <w:right w:val="nil"/>
            </w:tcBorders>
            <w:shd w:val="clear" w:color="auto" w:fill="auto"/>
            <w:noWrap/>
            <w:vAlign w:val="center"/>
            <w:hideMark/>
          </w:tcPr>
          <w:p w14:paraId="264E8F23"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 xml:space="preserve">Total expenditure </w:t>
            </w:r>
          </w:p>
        </w:tc>
        <w:tc>
          <w:tcPr>
            <w:tcW w:w="0" w:type="auto"/>
            <w:tcBorders>
              <w:top w:val="nil"/>
              <w:left w:val="nil"/>
              <w:bottom w:val="nil"/>
              <w:right w:val="nil"/>
            </w:tcBorders>
            <w:shd w:val="clear" w:color="auto" w:fill="auto"/>
            <w:noWrap/>
            <w:vAlign w:val="center"/>
            <w:hideMark/>
          </w:tcPr>
          <w:p w14:paraId="2ED5F9A6"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11.4</w:t>
            </w:r>
          </w:p>
        </w:tc>
        <w:tc>
          <w:tcPr>
            <w:tcW w:w="0" w:type="auto"/>
            <w:tcBorders>
              <w:top w:val="nil"/>
              <w:left w:val="nil"/>
              <w:bottom w:val="nil"/>
              <w:right w:val="nil"/>
            </w:tcBorders>
            <w:shd w:val="clear" w:color="auto" w:fill="auto"/>
            <w:noWrap/>
            <w:vAlign w:val="center"/>
            <w:hideMark/>
          </w:tcPr>
          <w:p w14:paraId="61D7172A"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23.0</w:t>
            </w:r>
          </w:p>
        </w:tc>
        <w:tc>
          <w:tcPr>
            <w:tcW w:w="0" w:type="auto"/>
            <w:tcBorders>
              <w:top w:val="nil"/>
              <w:left w:val="nil"/>
              <w:bottom w:val="nil"/>
              <w:right w:val="nil"/>
            </w:tcBorders>
            <w:shd w:val="clear" w:color="auto" w:fill="auto"/>
            <w:noWrap/>
            <w:vAlign w:val="center"/>
            <w:hideMark/>
          </w:tcPr>
          <w:p w14:paraId="13A0998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27.3</w:t>
            </w:r>
          </w:p>
        </w:tc>
        <w:tc>
          <w:tcPr>
            <w:tcW w:w="0" w:type="auto"/>
            <w:tcBorders>
              <w:top w:val="nil"/>
              <w:left w:val="nil"/>
              <w:bottom w:val="nil"/>
              <w:right w:val="nil"/>
            </w:tcBorders>
            <w:shd w:val="clear" w:color="auto" w:fill="auto"/>
            <w:noWrap/>
            <w:vAlign w:val="center"/>
            <w:hideMark/>
          </w:tcPr>
          <w:p w14:paraId="132D84EA"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28.7</w:t>
            </w:r>
          </w:p>
        </w:tc>
        <w:tc>
          <w:tcPr>
            <w:tcW w:w="0" w:type="auto"/>
            <w:tcBorders>
              <w:top w:val="nil"/>
              <w:left w:val="nil"/>
              <w:bottom w:val="nil"/>
              <w:right w:val="nil"/>
            </w:tcBorders>
            <w:shd w:val="clear" w:color="auto" w:fill="auto"/>
            <w:noWrap/>
            <w:vAlign w:val="center"/>
            <w:hideMark/>
          </w:tcPr>
          <w:p w14:paraId="5450CE7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28.8</w:t>
            </w:r>
          </w:p>
        </w:tc>
        <w:tc>
          <w:tcPr>
            <w:tcW w:w="0" w:type="auto"/>
            <w:tcBorders>
              <w:top w:val="nil"/>
              <w:left w:val="nil"/>
              <w:bottom w:val="nil"/>
              <w:right w:val="nil"/>
            </w:tcBorders>
            <w:shd w:val="clear" w:color="auto" w:fill="auto"/>
            <w:noWrap/>
            <w:vAlign w:val="center"/>
            <w:hideMark/>
          </w:tcPr>
          <w:p w14:paraId="3B0C78D4"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29.2</w:t>
            </w:r>
          </w:p>
        </w:tc>
        <w:tc>
          <w:tcPr>
            <w:tcW w:w="0" w:type="auto"/>
            <w:tcBorders>
              <w:top w:val="nil"/>
              <w:left w:val="nil"/>
              <w:bottom w:val="nil"/>
              <w:right w:val="nil"/>
            </w:tcBorders>
            <w:shd w:val="clear" w:color="auto" w:fill="auto"/>
            <w:noWrap/>
            <w:vAlign w:val="center"/>
            <w:hideMark/>
          </w:tcPr>
          <w:p w14:paraId="68842432"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28.8</w:t>
            </w:r>
          </w:p>
        </w:tc>
        <w:tc>
          <w:tcPr>
            <w:tcW w:w="0" w:type="auto"/>
            <w:tcBorders>
              <w:top w:val="nil"/>
              <w:left w:val="nil"/>
              <w:bottom w:val="nil"/>
              <w:right w:val="nil"/>
            </w:tcBorders>
            <w:shd w:val="clear" w:color="auto" w:fill="auto"/>
            <w:noWrap/>
            <w:vAlign w:val="center"/>
            <w:hideMark/>
          </w:tcPr>
          <w:p w14:paraId="306D816F"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27.9</w:t>
            </w:r>
          </w:p>
        </w:tc>
      </w:tr>
      <w:tr w:rsidR="00B1362F" w:rsidRPr="00EF5F28" w14:paraId="69365E07" w14:textId="77777777" w:rsidTr="00AB6DF4">
        <w:trPr>
          <w:trHeight w:val="300"/>
        </w:trPr>
        <w:tc>
          <w:tcPr>
            <w:tcW w:w="0" w:type="auto"/>
            <w:tcBorders>
              <w:top w:val="nil"/>
              <w:left w:val="nil"/>
              <w:bottom w:val="nil"/>
              <w:right w:val="nil"/>
            </w:tcBorders>
            <w:shd w:val="clear" w:color="auto" w:fill="auto"/>
            <w:noWrap/>
            <w:vAlign w:val="center"/>
            <w:hideMark/>
          </w:tcPr>
          <w:p w14:paraId="70E46363"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Current expenditure</w:t>
            </w:r>
          </w:p>
        </w:tc>
        <w:tc>
          <w:tcPr>
            <w:tcW w:w="0" w:type="auto"/>
            <w:tcBorders>
              <w:top w:val="nil"/>
              <w:left w:val="nil"/>
              <w:bottom w:val="nil"/>
              <w:right w:val="nil"/>
            </w:tcBorders>
            <w:shd w:val="clear" w:color="auto" w:fill="auto"/>
            <w:noWrap/>
            <w:vAlign w:val="center"/>
            <w:hideMark/>
          </w:tcPr>
          <w:p w14:paraId="04C5B9B1"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10.8</w:t>
            </w:r>
          </w:p>
        </w:tc>
        <w:tc>
          <w:tcPr>
            <w:tcW w:w="0" w:type="auto"/>
            <w:tcBorders>
              <w:top w:val="nil"/>
              <w:left w:val="nil"/>
              <w:bottom w:val="nil"/>
              <w:right w:val="nil"/>
            </w:tcBorders>
            <w:shd w:val="clear" w:color="auto" w:fill="auto"/>
            <w:noWrap/>
            <w:vAlign w:val="center"/>
            <w:hideMark/>
          </w:tcPr>
          <w:p w14:paraId="30715DF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17.6</w:t>
            </w:r>
          </w:p>
        </w:tc>
        <w:tc>
          <w:tcPr>
            <w:tcW w:w="0" w:type="auto"/>
            <w:tcBorders>
              <w:top w:val="nil"/>
              <w:left w:val="nil"/>
              <w:bottom w:val="nil"/>
              <w:right w:val="nil"/>
            </w:tcBorders>
            <w:shd w:val="clear" w:color="auto" w:fill="auto"/>
            <w:noWrap/>
            <w:vAlign w:val="center"/>
            <w:hideMark/>
          </w:tcPr>
          <w:p w14:paraId="082FB6F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23.5</w:t>
            </w:r>
          </w:p>
        </w:tc>
        <w:tc>
          <w:tcPr>
            <w:tcW w:w="0" w:type="auto"/>
            <w:tcBorders>
              <w:top w:val="nil"/>
              <w:left w:val="nil"/>
              <w:bottom w:val="nil"/>
              <w:right w:val="nil"/>
            </w:tcBorders>
            <w:shd w:val="clear" w:color="auto" w:fill="auto"/>
            <w:noWrap/>
            <w:vAlign w:val="center"/>
            <w:hideMark/>
          </w:tcPr>
          <w:p w14:paraId="2989CA9D"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25.6</w:t>
            </w:r>
          </w:p>
        </w:tc>
        <w:tc>
          <w:tcPr>
            <w:tcW w:w="0" w:type="auto"/>
            <w:tcBorders>
              <w:top w:val="nil"/>
              <w:left w:val="nil"/>
              <w:bottom w:val="nil"/>
              <w:right w:val="nil"/>
            </w:tcBorders>
            <w:shd w:val="clear" w:color="auto" w:fill="auto"/>
            <w:noWrap/>
            <w:vAlign w:val="center"/>
            <w:hideMark/>
          </w:tcPr>
          <w:p w14:paraId="262EB012"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25.3</w:t>
            </w:r>
          </w:p>
        </w:tc>
        <w:tc>
          <w:tcPr>
            <w:tcW w:w="0" w:type="auto"/>
            <w:tcBorders>
              <w:top w:val="nil"/>
              <w:left w:val="nil"/>
              <w:bottom w:val="nil"/>
              <w:right w:val="nil"/>
            </w:tcBorders>
            <w:shd w:val="clear" w:color="auto" w:fill="auto"/>
            <w:noWrap/>
            <w:vAlign w:val="center"/>
            <w:hideMark/>
          </w:tcPr>
          <w:p w14:paraId="68255D81"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26.6</w:t>
            </w:r>
          </w:p>
        </w:tc>
        <w:tc>
          <w:tcPr>
            <w:tcW w:w="0" w:type="auto"/>
            <w:tcBorders>
              <w:top w:val="nil"/>
              <w:left w:val="nil"/>
              <w:bottom w:val="nil"/>
              <w:right w:val="nil"/>
            </w:tcBorders>
            <w:shd w:val="clear" w:color="auto" w:fill="auto"/>
            <w:noWrap/>
            <w:vAlign w:val="center"/>
            <w:hideMark/>
          </w:tcPr>
          <w:p w14:paraId="7C811C3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26.7</w:t>
            </w:r>
          </w:p>
        </w:tc>
        <w:tc>
          <w:tcPr>
            <w:tcW w:w="0" w:type="auto"/>
            <w:tcBorders>
              <w:top w:val="nil"/>
              <w:left w:val="nil"/>
              <w:bottom w:val="nil"/>
              <w:right w:val="nil"/>
            </w:tcBorders>
            <w:shd w:val="clear" w:color="auto" w:fill="auto"/>
            <w:noWrap/>
            <w:vAlign w:val="center"/>
            <w:hideMark/>
          </w:tcPr>
          <w:p w14:paraId="00236716"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23.8</w:t>
            </w:r>
          </w:p>
        </w:tc>
      </w:tr>
      <w:tr w:rsidR="00B1362F" w:rsidRPr="00EF5F28" w14:paraId="04A58039" w14:textId="77777777" w:rsidTr="00AB6DF4">
        <w:trPr>
          <w:trHeight w:val="300"/>
        </w:trPr>
        <w:tc>
          <w:tcPr>
            <w:tcW w:w="0" w:type="auto"/>
            <w:tcBorders>
              <w:top w:val="nil"/>
              <w:left w:val="nil"/>
              <w:bottom w:val="nil"/>
              <w:right w:val="nil"/>
            </w:tcBorders>
            <w:shd w:val="clear" w:color="auto" w:fill="auto"/>
            <w:noWrap/>
            <w:vAlign w:val="center"/>
            <w:hideMark/>
          </w:tcPr>
          <w:p w14:paraId="65C224BC"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Employment costs, including pensions</w:t>
            </w:r>
          </w:p>
        </w:tc>
        <w:tc>
          <w:tcPr>
            <w:tcW w:w="0" w:type="auto"/>
            <w:tcBorders>
              <w:top w:val="nil"/>
              <w:left w:val="nil"/>
              <w:bottom w:val="nil"/>
              <w:right w:val="nil"/>
            </w:tcBorders>
            <w:shd w:val="clear" w:color="auto" w:fill="auto"/>
            <w:noWrap/>
            <w:vAlign w:val="center"/>
            <w:hideMark/>
          </w:tcPr>
          <w:p w14:paraId="640821A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6.3</w:t>
            </w:r>
          </w:p>
        </w:tc>
        <w:tc>
          <w:tcPr>
            <w:tcW w:w="0" w:type="auto"/>
            <w:tcBorders>
              <w:top w:val="nil"/>
              <w:left w:val="nil"/>
              <w:bottom w:val="nil"/>
              <w:right w:val="nil"/>
            </w:tcBorders>
            <w:shd w:val="clear" w:color="auto" w:fill="auto"/>
            <w:noWrap/>
            <w:vAlign w:val="center"/>
            <w:hideMark/>
          </w:tcPr>
          <w:p w14:paraId="26FEF575"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11.2</w:t>
            </w:r>
          </w:p>
        </w:tc>
        <w:tc>
          <w:tcPr>
            <w:tcW w:w="0" w:type="auto"/>
            <w:tcBorders>
              <w:top w:val="nil"/>
              <w:left w:val="nil"/>
              <w:bottom w:val="nil"/>
              <w:right w:val="nil"/>
            </w:tcBorders>
            <w:shd w:val="clear" w:color="auto" w:fill="auto"/>
            <w:noWrap/>
            <w:vAlign w:val="center"/>
            <w:hideMark/>
          </w:tcPr>
          <w:p w14:paraId="1E1B466C"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16.7</w:t>
            </w:r>
          </w:p>
        </w:tc>
        <w:tc>
          <w:tcPr>
            <w:tcW w:w="0" w:type="auto"/>
            <w:tcBorders>
              <w:top w:val="nil"/>
              <w:left w:val="nil"/>
              <w:bottom w:val="nil"/>
              <w:right w:val="nil"/>
            </w:tcBorders>
            <w:shd w:val="clear" w:color="auto" w:fill="auto"/>
            <w:noWrap/>
            <w:vAlign w:val="center"/>
            <w:hideMark/>
          </w:tcPr>
          <w:p w14:paraId="17696A9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20.2</w:t>
            </w:r>
          </w:p>
        </w:tc>
        <w:tc>
          <w:tcPr>
            <w:tcW w:w="0" w:type="auto"/>
            <w:tcBorders>
              <w:top w:val="nil"/>
              <w:left w:val="nil"/>
              <w:bottom w:val="nil"/>
              <w:right w:val="nil"/>
            </w:tcBorders>
            <w:shd w:val="clear" w:color="auto" w:fill="auto"/>
            <w:noWrap/>
            <w:vAlign w:val="center"/>
            <w:hideMark/>
          </w:tcPr>
          <w:p w14:paraId="4229DB2C"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20.2</w:t>
            </w:r>
          </w:p>
        </w:tc>
        <w:tc>
          <w:tcPr>
            <w:tcW w:w="0" w:type="auto"/>
            <w:tcBorders>
              <w:top w:val="nil"/>
              <w:left w:val="nil"/>
              <w:bottom w:val="nil"/>
              <w:right w:val="nil"/>
            </w:tcBorders>
            <w:shd w:val="clear" w:color="auto" w:fill="auto"/>
            <w:noWrap/>
            <w:vAlign w:val="center"/>
            <w:hideMark/>
          </w:tcPr>
          <w:p w14:paraId="5AC9FE0D"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22.4</w:t>
            </w:r>
          </w:p>
        </w:tc>
        <w:tc>
          <w:tcPr>
            <w:tcW w:w="0" w:type="auto"/>
            <w:tcBorders>
              <w:top w:val="nil"/>
              <w:left w:val="nil"/>
              <w:bottom w:val="nil"/>
              <w:right w:val="nil"/>
            </w:tcBorders>
            <w:shd w:val="clear" w:color="auto" w:fill="auto"/>
            <w:noWrap/>
            <w:vAlign w:val="center"/>
            <w:hideMark/>
          </w:tcPr>
          <w:p w14:paraId="1224151D"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22.9</w:t>
            </w:r>
          </w:p>
        </w:tc>
        <w:tc>
          <w:tcPr>
            <w:tcW w:w="0" w:type="auto"/>
            <w:tcBorders>
              <w:top w:val="nil"/>
              <w:left w:val="nil"/>
              <w:bottom w:val="nil"/>
              <w:right w:val="nil"/>
            </w:tcBorders>
            <w:shd w:val="clear" w:color="auto" w:fill="auto"/>
            <w:noWrap/>
            <w:vAlign w:val="center"/>
            <w:hideMark/>
          </w:tcPr>
          <w:p w14:paraId="0D4AAB97"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19.5</w:t>
            </w:r>
          </w:p>
        </w:tc>
      </w:tr>
      <w:tr w:rsidR="00B1362F" w:rsidRPr="00EF5F28" w14:paraId="33FB0EE7" w14:textId="77777777" w:rsidTr="00AB6DF4">
        <w:trPr>
          <w:trHeight w:val="300"/>
        </w:trPr>
        <w:tc>
          <w:tcPr>
            <w:tcW w:w="0" w:type="auto"/>
            <w:tcBorders>
              <w:top w:val="nil"/>
              <w:left w:val="nil"/>
              <w:bottom w:val="nil"/>
              <w:right w:val="nil"/>
            </w:tcBorders>
            <w:shd w:val="clear" w:color="auto" w:fill="auto"/>
            <w:noWrap/>
            <w:vAlign w:val="center"/>
            <w:hideMark/>
          </w:tcPr>
          <w:p w14:paraId="5C34BF4E"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Goods and services</w:t>
            </w:r>
          </w:p>
        </w:tc>
        <w:tc>
          <w:tcPr>
            <w:tcW w:w="0" w:type="auto"/>
            <w:tcBorders>
              <w:top w:val="nil"/>
              <w:left w:val="nil"/>
              <w:bottom w:val="nil"/>
              <w:right w:val="nil"/>
            </w:tcBorders>
            <w:shd w:val="clear" w:color="auto" w:fill="auto"/>
            <w:noWrap/>
            <w:vAlign w:val="center"/>
            <w:hideMark/>
          </w:tcPr>
          <w:p w14:paraId="6E9C00C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3.3</w:t>
            </w:r>
          </w:p>
        </w:tc>
        <w:tc>
          <w:tcPr>
            <w:tcW w:w="0" w:type="auto"/>
            <w:tcBorders>
              <w:top w:val="nil"/>
              <w:left w:val="nil"/>
              <w:bottom w:val="nil"/>
              <w:right w:val="nil"/>
            </w:tcBorders>
            <w:shd w:val="clear" w:color="auto" w:fill="auto"/>
            <w:noWrap/>
            <w:vAlign w:val="center"/>
            <w:hideMark/>
          </w:tcPr>
          <w:p w14:paraId="71D7C722"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5.4</w:t>
            </w:r>
          </w:p>
        </w:tc>
        <w:tc>
          <w:tcPr>
            <w:tcW w:w="0" w:type="auto"/>
            <w:tcBorders>
              <w:top w:val="nil"/>
              <w:left w:val="nil"/>
              <w:bottom w:val="nil"/>
              <w:right w:val="nil"/>
            </w:tcBorders>
            <w:shd w:val="clear" w:color="auto" w:fill="auto"/>
            <w:noWrap/>
            <w:vAlign w:val="center"/>
            <w:hideMark/>
          </w:tcPr>
          <w:p w14:paraId="7DFF5D8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5.9</w:t>
            </w:r>
          </w:p>
        </w:tc>
        <w:tc>
          <w:tcPr>
            <w:tcW w:w="0" w:type="auto"/>
            <w:tcBorders>
              <w:top w:val="nil"/>
              <w:left w:val="nil"/>
              <w:bottom w:val="nil"/>
              <w:right w:val="nil"/>
            </w:tcBorders>
            <w:shd w:val="clear" w:color="auto" w:fill="auto"/>
            <w:noWrap/>
            <w:vAlign w:val="center"/>
            <w:hideMark/>
          </w:tcPr>
          <w:p w14:paraId="48B51AA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4.6</w:t>
            </w:r>
          </w:p>
        </w:tc>
        <w:tc>
          <w:tcPr>
            <w:tcW w:w="0" w:type="auto"/>
            <w:tcBorders>
              <w:top w:val="nil"/>
              <w:left w:val="nil"/>
              <w:bottom w:val="nil"/>
              <w:right w:val="nil"/>
            </w:tcBorders>
            <w:shd w:val="clear" w:color="auto" w:fill="auto"/>
            <w:noWrap/>
            <w:vAlign w:val="center"/>
            <w:hideMark/>
          </w:tcPr>
          <w:p w14:paraId="66CD560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4.3</w:t>
            </w:r>
          </w:p>
        </w:tc>
        <w:tc>
          <w:tcPr>
            <w:tcW w:w="0" w:type="auto"/>
            <w:tcBorders>
              <w:top w:val="nil"/>
              <w:left w:val="nil"/>
              <w:bottom w:val="nil"/>
              <w:right w:val="nil"/>
            </w:tcBorders>
            <w:shd w:val="clear" w:color="auto" w:fill="auto"/>
            <w:noWrap/>
            <w:vAlign w:val="center"/>
            <w:hideMark/>
          </w:tcPr>
          <w:p w14:paraId="6E6B56E9"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3.4</w:t>
            </w:r>
          </w:p>
        </w:tc>
        <w:tc>
          <w:tcPr>
            <w:tcW w:w="0" w:type="auto"/>
            <w:tcBorders>
              <w:top w:val="nil"/>
              <w:left w:val="nil"/>
              <w:bottom w:val="nil"/>
              <w:right w:val="nil"/>
            </w:tcBorders>
            <w:shd w:val="clear" w:color="auto" w:fill="auto"/>
            <w:noWrap/>
            <w:vAlign w:val="center"/>
            <w:hideMark/>
          </w:tcPr>
          <w:p w14:paraId="26F22434"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2.5</w:t>
            </w:r>
          </w:p>
        </w:tc>
        <w:tc>
          <w:tcPr>
            <w:tcW w:w="0" w:type="auto"/>
            <w:tcBorders>
              <w:top w:val="nil"/>
              <w:left w:val="nil"/>
              <w:bottom w:val="nil"/>
              <w:right w:val="nil"/>
            </w:tcBorders>
            <w:shd w:val="clear" w:color="auto" w:fill="auto"/>
            <w:noWrap/>
            <w:vAlign w:val="center"/>
            <w:hideMark/>
          </w:tcPr>
          <w:p w14:paraId="3263A699"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3.5</w:t>
            </w:r>
          </w:p>
        </w:tc>
      </w:tr>
      <w:tr w:rsidR="00B1362F" w:rsidRPr="00EF5F28" w14:paraId="1DA1589A" w14:textId="77777777" w:rsidTr="00AB6DF4">
        <w:trPr>
          <w:trHeight w:val="300"/>
        </w:trPr>
        <w:tc>
          <w:tcPr>
            <w:tcW w:w="0" w:type="auto"/>
            <w:tcBorders>
              <w:top w:val="nil"/>
              <w:left w:val="nil"/>
              <w:bottom w:val="nil"/>
              <w:right w:val="nil"/>
            </w:tcBorders>
            <w:shd w:val="clear" w:color="auto" w:fill="auto"/>
            <w:noWrap/>
            <w:vAlign w:val="center"/>
            <w:hideMark/>
          </w:tcPr>
          <w:p w14:paraId="41778D28"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 xml:space="preserve">Capital expenditure </w:t>
            </w:r>
          </w:p>
        </w:tc>
        <w:tc>
          <w:tcPr>
            <w:tcW w:w="0" w:type="auto"/>
            <w:tcBorders>
              <w:top w:val="nil"/>
              <w:left w:val="nil"/>
              <w:bottom w:val="nil"/>
              <w:right w:val="nil"/>
            </w:tcBorders>
            <w:shd w:val="clear" w:color="auto" w:fill="auto"/>
            <w:noWrap/>
            <w:vAlign w:val="center"/>
            <w:hideMark/>
          </w:tcPr>
          <w:p w14:paraId="226F1E2F"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0.6</w:t>
            </w:r>
          </w:p>
        </w:tc>
        <w:tc>
          <w:tcPr>
            <w:tcW w:w="0" w:type="auto"/>
            <w:tcBorders>
              <w:top w:val="nil"/>
              <w:left w:val="nil"/>
              <w:bottom w:val="nil"/>
              <w:right w:val="nil"/>
            </w:tcBorders>
            <w:shd w:val="clear" w:color="auto" w:fill="auto"/>
            <w:noWrap/>
            <w:vAlign w:val="center"/>
            <w:hideMark/>
          </w:tcPr>
          <w:p w14:paraId="1BE5C512"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5.3</w:t>
            </w:r>
          </w:p>
        </w:tc>
        <w:tc>
          <w:tcPr>
            <w:tcW w:w="0" w:type="auto"/>
            <w:tcBorders>
              <w:top w:val="nil"/>
              <w:left w:val="nil"/>
              <w:bottom w:val="nil"/>
              <w:right w:val="nil"/>
            </w:tcBorders>
            <w:shd w:val="clear" w:color="auto" w:fill="auto"/>
            <w:noWrap/>
            <w:vAlign w:val="center"/>
            <w:hideMark/>
          </w:tcPr>
          <w:p w14:paraId="58C60EC4"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3.8</w:t>
            </w:r>
          </w:p>
        </w:tc>
        <w:tc>
          <w:tcPr>
            <w:tcW w:w="0" w:type="auto"/>
            <w:tcBorders>
              <w:top w:val="nil"/>
              <w:left w:val="nil"/>
              <w:bottom w:val="nil"/>
              <w:right w:val="nil"/>
            </w:tcBorders>
            <w:shd w:val="clear" w:color="auto" w:fill="auto"/>
            <w:noWrap/>
            <w:vAlign w:val="center"/>
            <w:hideMark/>
          </w:tcPr>
          <w:p w14:paraId="41315D21"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3.0</w:t>
            </w:r>
          </w:p>
        </w:tc>
        <w:tc>
          <w:tcPr>
            <w:tcW w:w="0" w:type="auto"/>
            <w:tcBorders>
              <w:top w:val="nil"/>
              <w:left w:val="nil"/>
              <w:bottom w:val="nil"/>
              <w:right w:val="nil"/>
            </w:tcBorders>
            <w:shd w:val="clear" w:color="auto" w:fill="auto"/>
            <w:noWrap/>
            <w:vAlign w:val="center"/>
            <w:hideMark/>
          </w:tcPr>
          <w:p w14:paraId="1DCE925B"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3.5</w:t>
            </w:r>
          </w:p>
        </w:tc>
        <w:tc>
          <w:tcPr>
            <w:tcW w:w="0" w:type="auto"/>
            <w:tcBorders>
              <w:top w:val="nil"/>
              <w:left w:val="nil"/>
              <w:bottom w:val="nil"/>
              <w:right w:val="nil"/>
            </w:tcBorders>
            <w:shd w:val="clear" w:color="auto" w:fill="auto"/>
            <w:noWrap/>
            <w:vAlign w:val="center"/>
            <w:hideMark/>
          </w:tcPr>
          <w:p w14:paraId="18D17EF5"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2.5</w:t>
            </w:r>
          </w:p>
        </w:tc>
        <w:tc>
          <w:tcPr>
            <w:tcW w:w="0" w:type="auto"/>
            <w:tcBorders>
              <w:top w:val="nil"/>
              <w:left w:val="nil"/>
              <w:bottom w:val="nil"/>
              <w:right w:val="nil"/>
            </w:tcBorders>
            <w:shd w:val="clear" w:color="auto" w:fill="auto"/>
            <w:noWrap/>
            <w:vAlign w:val="center"/>
            <w:hideMark/>
          </w:tcPr>
          <w:p w14:paraId="380044F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2.1</w:t>
            </w:r>
          </w:p>
        </w:tc>
        <w:tc>
          <w:tcPr>
            <w:tcW w:w="0" w:type="auto"/>
            <w:tcBorders>
              <w:top w:val="nil"/>
              <w:left w:val="nil"/>
              <w:bottom w:val="nil"/>
              <w:right w:val="nil"/>
            </w:tcBorders>
            <w:shd w:val="clear" w:color="auto" w:fill="auto"/>
            <w:noWrap/>
            <w:vAlign w:val="center"/>
            <w:hideMark/>
          </w:tcPr>
          <w:p w14:paraId="7D616D0C"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4.1</w:t>
            </w:r>
          </w:p>
        </w:tc>
      </w:tr>
      <w:tr w:rsidR="00B1362F" w:rsidRPr="00EF5F28" w14:paraId="3EC215CA" w14:textId="77777777" w:rsidTr="00AB6DF4">
        <w:trPr>
          <w:trHeight w:val="300"/>
        </w:trPr>
        <w:tc>
          <w:tcPr>
            <w:tcW w:w="0" w:type="auto"/>
            <w:tcBorders>
              <w:top w:val="nil"/>
              <w:left w:val="nil"/>
              <w:bottom w:val="nil"/>
              <w:right w:val="nil"/>
            </w:tcBorders>
            <w:shd w:val="clear" w:color="auto" w:fill="auto"/>
            <w:noWrap/>
            <w:vAlign w:val="center"/>
            <w:hideMark/>
          </w:tcPr>
          <w:p w14:paraId="51D0CD82"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Overall balance (cash basis)</w:t>
            </w:r>
          </w:p>
        </w:tc>
        <w:tc>
          <w:tcPr>
            <w:tcW w:w="0" w:type="auto"/>
            <w:tcBorders>
              <w:top w:val="nil"/>
              <w:left w:val="nil"/>
              <w:bottom w:val="nil"/>
              <w:right w:val="nil"/>
            </w:tcBorders>
            <w:shd w:val="clear" w:color="auto" w:fill="auto"/>
            <w:noWrap/>
            <w:vAlign w:val="center"/>
            <w:hideMark/>
          </w:tcPr>
          <w:p w14:paraId="5268CB98"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0.6</w:t>
            </w:r>
          </w:p>
        </w:tc>
        <w:tc>
          <w:tcPr>
            <w:tcW w:w="0" w:type="auto"/>
            <w:tcBorders>
              <w:top w:val="nil"/>
              <w:left w:val="nil"/>
              <w:bottom w:val="nil"/>
              <w:right w:val="nil"/>
            </w:tcBorders>
            <w:shd w:val="clear" w:color="auto" w:fill="auto"/>
            <w:noWrap/>
            <w:vAlign w:val="center"/>
            <w:hideMark/>
          </w:tcPr>
          <w:p w14:paraId="1957581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1.8</w:t>
            </w:r>
          </w:p>
        </w:tc>
        <w:tc>
          <w:tcPr>
            <w:tcW w:w="0" w:type="auto"/>
            <w:tcBorders>
              <w:top w:val="nil"/>
              <w:left w:val="nil"/>
              <w:bottom w:val="nil"/>
              <w:right w:val="nil"/>
            </w:tcBorders>
            <w:shd w:val="clear" w:color="auto" w:fill="auto"/>
            <w:noWrap/>
            <w:vAlign w:val="center"/>
            <w:hideMark/>
          </w:tcPr>
          <w:p w14:paraId="46DC3ED4"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-0.6</w:t>
            </w:r>
          </w:p>
        </w:tc>
        <w:tc>
          <w:tcPr>
            <w:tcW w:w="0" w:type="auto"/>
            <w:tcBorders>
              <w:top w:val="nil"/>
              <w:left w:val="nil"/>
              <w:bottom w:val="nil"/>
              <w:right w:val="nil"/>
            </w:tcBorders>
            <w:shd w:val="clear" w:color="auto" w:fill="auto"/>
            <w:noWrap/>
            <w:vAlign w:val="center"/>
            <w:hideMark/>
          </w:tcPr>
          <w:p w14:paraId="0A63333F"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-0.6</w:t>
            </w:r>
          </w:p>
        </w:tc>
        <w:tc>
          <w:tcPr>
            <w:tcW w:w="0" w:type="auto"/>
            <w:tcBorders>
              <w:top w:val="nil"/>
              <w:left w:val="nil"/>
              <w:bottom w:val="nil"/>
              <w:right w:val="nil"/>
            </w:tcBorders>
            <w:shd w:val="clear" w:color="auto" w:fill="auto"/>
            <w:noWrap/>
            <w:vAlign w:val="center"/>
            <w:hideMark/>
          </w:tcPr>
          <w:p w14:paraId="1AB19E67"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-1.0</w:t>
            </w:r>
          </w:p>
        </w:tc>
        <w:tc>
          <w:tcPr>
            <w:tcW w:w="0" w:type="auto"/>
            <w:tcBorders>
              <w:top w:val="nil"/>
              <w:left w:val="nil"/>
              <w:bottom w:val="nil"/>
              <w:right w:val="nil"/>
            </w:tcBorders>
            <w:shd w:val="clear" w:color="auto" w:fill="auto"/>
            <w:noWrap/>
            <w:vAlign w:val="center"/>
            <w:hideMark/>
          </w:tcPr>
          <w:p w14:paraId="2B1696D5"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-1.6</w:t>
            </w:r>
          </w:p>
        </w:tc>
        <w:tc>
          <w:tcPr>
            <w:tcW w:w="0" w:type="auto"/>
            <w:tcBorders>
              <w:top w:val="nil"/>
              <w:left w:val="nil"/>
              <w:bottom w:val="nil"/>
              <w:right w:val="nil"/>
            </w:tcBorders>
            <w:shd w:val="clear" w:color="auto" w:fill="auto"/>
            <w:noWrap/>
            <w:vAlign w:val="center"/>
            <w:hideMark/>
          </w:tcPr>
          <w:p w14:paraId="1CA532D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-1.3</w:t>
            </w:r>
          </w:p>
        </w:tc>
        <w:tc>
          <w:tcPr>
            <w:tcW w:w="0" w:type="auto"/>
            <w:tcBorders>
              <w:top w:val="nil"/>
              <w:left w:val="nil"/>
              <w:bottom w:val="nil"/>
              <w:right w:val="nil"/>
            </w:tcBorders>
            <w:shd w:val="clear" w:color="auto" w:fill="auto"/>
            <w:noWrap/>
            <w:vAlign w:val="center"/>
            <w:hideMark/>
          </w:tcPr>
          <w:p w14:paraId="089B0957"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-0.5</w:t>
            </w:r>
          </w:p>
        </w:tc>
      </w:tr>
      <w:tr w:rsidR="00B1362F" w:rsidRPr="00EF5F28" w14:paraId="4E095C6F" w14:textId="77777777" w:rsidTr="00AB6DF4">
        <w:trPr>
          <w:trHeight w:val="300"/>
        </w:trPr>
        <w:tc>
          <w:tcPr>
            <w:tcW w:w="0" w:type="auto"/>
            <w:tcBorders>
              <w:top w:val="nil"/>
              <w:left w:val="nil"/>
              <w:bottom w:val="nil"/>
              <w:right w:val="nil"/>
            </w:tcBorders>
            <w:shd w:val="clear" w:color="auto" w:fill="auto"/>
            <w:noWrap/>
            <w:vAlign w:val="center"/>
            <w:hideMark/>
          </w:tcPr>
          <w:p w14:paraId="36CAAF4A"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Domestic financing (net)</w:t>
            </w:r>
          </w:p>
        </w:tc>
        <w:tc>
          <w:tcPr>
            <w:tcW w:w="0" w:type="auto"/>
            <w:tcBorders>
              <w:top w:val="nil"/>
              <w:left w:val="nil"/>
              <w:bottom w:val="nil"/>
              <w:right w:val="nil"/>
            </w:tcBorders>
            <w:shd w:val="clear" w:color="auto" w:fill="auto"/>
            <w:noWrap/>
            <w:vAlign w:val="center"/>
            <w:hideMark/>
          </w:tcPr>
          <w:p w14:paraId="18B3799C"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-1.9</w:t>
            </w:r>
          </w:p>
        </w:tc>
        <w:tc>
          <w:tcPr>
            <w:tcW w:w="0" w:type="auto"/>
            <w:tcBorders>
              <w:top w:val="nil"/>
              <w:left w:val="nil"/>
              <w:bottom w:val="nil"/>
              <w:right w:val="nil"/>
            </w:tcBorders>
            <w:shd w:val="clear" w:color="auto" w:fill="auto"/>
            <w:noWrap/>
            <w:vAlign w:val="center"/>
            <w:hideMark/>
          </w:tcPr>
          <w:p w14:paraId="384D1357"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-0.8</w:t>
            </w:r>
          </w:p>
        </w:tc>
        <w:tc>
          <w:tcPr>
            <w:tcW w:w="0" w:type="auto"/>
            <w:tcBorders>
              <w:top w:val="nil"/>
              <w:left w:val="nil"/>
              <w:bottom w:val="nil"/>
              <w:right w:val="nil"/>
            </w:tcBorders>
            <w:shd w:val="clear" w:color="auto" w:fill="auto"/>
            <w:noWrap/>
            <w:vAlign w:val="center"/>
            <w:hideMark/>
          </w:tcPr>
          <w:p w14:paraId="7FEBB6E2"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-0.2</w:t>
            </w:r>
          </w:p>
        </w:tc>
        <w:tc>
          <w:tcPr>
            <w:tcW w:w="0" w:type="auto"/>
            <w:tcBorders>
              <w:top w:val="nil"/>
              <w:left w:val="nil"/>
              <w:bottom w:val="nil"/>
              <w:right w:val="nil"/>
            </w:tcBorders>
            <w:shd w:val="clear" w:color="auto" w:fill="auto"/>
            <w:noWrap/>
            <w:vAlign w:val="center"/>
            <w:hideMark/>
          </w:tcPr>
          <w:p w14:paraId="10D40AD8"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0.1</w:t>
            </w:r>
          </w:p>
        </w:tc>
        <w:tc>
          <w:tcPr>
            <w:tcW w:w="0" w:type="auto"/>
            <w:tcBorders>
              <w:top w:val="nil"/>
              <w:left w:val="nil"/>
              <w:bottom w:val="nil"/>
              <w:right w:val="nil"/>
            </w:tcBorders>
            <w:shd w:val="clear" w:color="auto" w:fill="auto"/>
            <w:noWrap/>
            <w:vAlign w:val="center"/>
            <w:hideMark/>
          </w:tcPr>
          <w:p w14:paraId="31B0B4FF"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1.5</w:t>
            </w:r>
          </w:p>
        </w:tc>
        <w:tc>
          <w:tcPr>
            <w:tcW w:w="0" w:type="auto"/>
            <w:tcBorders>
              <w:top w:val="nil"/>
              <w:left w:val="nil"/>
              <w:bottom w:val="nil"/>
              <w:right w:val="nil"/>
            </w:tcBorders>
            <w:shd w:val="clear" w:color="auto" w:fill="auto"/>
            <w:noWrap/>
            <w:vAlign w:val="center"/>
            <w:hideMark/>
          </w:tcPr>
          <w:p w14:paraId="631C5AC6"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1.3</w:t>
            </w:r>
          </w:p>
        </w:tc>
        <w:tc>
          <w:tcPr>
            <w:tcW w:w="0" w:type="auto"/>
            <w:tcBorders>
              <w:top w:val="nil"/>
              <w:left w:val="nil"/>
              <w:bottom w:val="nil"/>
              <w:right w:val="nil"/>
            </w:tcBorders>
            <w:shd w:val="clear" w:color="auto" w:fill="auto"/>
            <w:noWrap/>
            <w:vAlign w:val="center"/>
            <w:hideMark/>
          </w:tcPr>
          <w:p w14:paraId="51D34A5A"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0.0</w:t>
            </w:r>
          </w:p>
        </w:tc>
        <w:tc>
          <w:tcPr>
            <w:tcW w:w="0" w:type="auto"/>
            <w:tcBorders>
              <w:top w:val="nil"/>
              <w:left w:val="nil"/>
              <w:bottom w:val="nil"/>
              <w:right w:val="nil"/>
            </w:tcBorders>
            <w:shd w:val="clear" w:color="auto" w:fill="auto"/>
            <w:noWrap/>
            <w:vAlign w:val="center"/>
            <w:hideMark/>
          </w:tcPr>
          <w:p w14:paraId="31D8322B"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2.3</w:t>
            </w:r>
          </w:p>
        </w:tc>
      </w:tr>
      <w:tr w:rsidR="00B1362F" w:rsidRPr="00EF5F28" w14:paraId="28A22DF7" w14:textId="77777777" w:rsidTr="00AB6DF4">
        <w:trPr>
          <w:trHeight w:val="315"/>
        </w:trPr>
        <w:tc>
          <w:tcPr>
            <w:tcW w:w="0" w:type="auto"/>
            <w:tcBorders>
              <w:top w:val="nil"/>
              <w:left w:val="nil"/>
              <w:bottom w:val="single" w:sz="8" w:space="0" w:color="auto"/>
              <w:right w:val="nil"/>
            </w:tcBorders>
            <w:shd w:val="clear" w:color="auto" w:fill="auto"/>
            <w:noWrap/>
            <w:vAlign w:val="center"/>
            <w:hideMark/>
          </w:tcPr>
          <w:p w14:paraId="582BECBC" w14:textId="77777777" w:rsidR="00B1362F" w:rsidRPr="00EF5F28" w:rsidRDefault="00B1362F" w:rsidP="00B1362F">
            <w:pPr>
              <w:keepNext/>
              <w:spacing w:after="0"/>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Foreign financing (net)</w:t>
            </w:r>
          </w:p>
        </w:tc>
        <w:tc>
          <w:tcPr>
            <w:tcW w:w="0" w:type="auto"/>
            <w:tcBorders>
              <w:top w:val="nil"/>
              <w:left w:val="nil"/>
              <w:bottom w:val="single" w:sz="8" w:space="0" w:color="auto"/>
              <w:right w:val="nil"/>
            </w:tcBorders>
            <w:shd w:val="clear" w:color="auto" w:fill="auto"/>
            <w:noWrap/>
            <w:vAlign w:val="center"/>
            <w:hideMark/>
          </w:tcPr>
          <w:p w14:paraId="2825BD0B"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-0.5</w:t>
            </w:r>
          </w:p>
        </w:tc>
        <w:tc>
          <w:tcPr>
            <w:tcW w:w="0" w:type="auto"/>
            <w:tcBorders>
              <w:top w:val="nil"/>
              <w:left w:val="nil"/>
              <w:bottom w:val="single" w:sz="8" w:space="0" w:color="auto"/>
              <w:right w:val="nil"/>
            </w:tcBorders>
            <w:shd w:val="clear" w:color="auto" w:fill="auto"/>
            <w:noWrap/>
            <w:vAlign w:val="center"/>
            <w:hideMark/>
          </w:tcPr>
          <w:p w14:paraId="4AD2132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-0.3</w:t>
            </w:r>
          </w:p>
        </w:tc>
        <w:tc>
          <w:tcPr>
            <w:tcW w:w="0" w:type="auto"/>
            <w:tcBorders>
              <w:top w:val="nil"/>
              <w:left w:val="nil"/>
              <w:bottom w:val="single" w:sz="8" w:space="0" w:color="auto"/>
              <w:right w:val="nil"/>
            </w:tcBorders>
            <w:shd w:val="clear" w:color="auto" w:fill="auto"/>
            <w:noWrap/>
            <w:vAlign w:val="center"/>
            <w:hideMark/>
          </w:tcPr>
          <w:p w14:paraId="7836B0C9"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-0.5</w:t>
            </w:r>
          </w:p>
        </w:tc>
        <w:tc>
          <w:tcPr>
            <w:tcW w:w="0" w:type="auto"/>
            <w:tcBorders>
              <w:top w:val="nil"/>
              <w:left w:val="nil"/>
              <w:bottom w:val="single" w:sz="8" w:space="0" w:color="auto"/>
              <w:right w:val="nil"/>
            </w:tcBorders>
            <w:shd w:val="clear" w:color="auto" w:fill="auto"/>
            <w:noWrap/>
            <w:vAlign w:val="center"/>
            <w:hideMark/>
          </w:tcPr>
          <w:p w14:paraId="6529107E"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-0.1</w:t>
            </w:r>
          </w:p>
        </w:tc>
        <w:tc>
          <w:tcPr>
            <w:tcW w:w="0" w:type="auto"/>
            <w:tcBorders>
              <w:top w:val="nil"/>
              <w:left w:val="nil"/>
              <w:bottom w:val="single" w:sz="8" w:space="0" w:color="auto"/>
              <w:right w:val="nil"/>
            </w:tcBorders>
            <w:shd w:val="clear" w:color="auto" w:fill="auto"/>
            <w:noWrap/>
            <w:vAlign w:val="center"/>
            <w:hideMark/>
          </w:tcPr>
          <w:p w14:paraId="736AAD2D"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-0.6</w:t>
            </w:r>
          </w:p>
        </w:tc>
        <w:tc>
          <w:tcPr>
            <w:tcW w:w="0" w:type="auto"/>
            <w:tcBorders>
              <w:top w:val="nil"/>
              <w:left w:val="nil"/>
              <w:bottom w:val="single" w:sz="8" w:space="0" w:color="auto"/>
              <w:right w:val="nil"/>
            </w:tcBorders>
            <w:shd w:val="clear" w:color="auto" w:fill="auto"/>
            <w:noWrap/>
            <w:vAlign w:val="center"/>
            <w:hideMark/>
          </w:tcPr>
          <w:p w14:paraId="5E829DC4"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-1.6</w:t>
            </w:r>
          </w:p>
        </w:tc>
        <w:tc>
          <w:tcPr>
            <w:tcW w:w="0" w:type="auto"/>
            <w:tcBorders>
              <w:top w:val="nil"/>
              <w:left w:val="nil"/>
              <w:bottom w:val="single" w:sz="8" w:space="0" w:color="auto"/>
              <w:right w:val="nil"/>
            </w:tcBorders>
            <w:shd w:val="clear" w:color="auto" w:fill="auto"/>
            <w:noWrap/>
            <w:vAlign w:val="center"/>
            <w:hideMark/>
          </w:tcPr>
          <w:p w14:paraId="53EB634F"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-2.5</w:t>
            </w:r>
          </w:p>
        </w:tc>
        <w:tc>
          <w:tcPr>
            <w:tcW w:w="0" w:type="auto"/>
            <w:tcBorders>
              <w:top w:val="nil"/>
              <w:left w:val="nil"/>
              <w:bottom w:val="single" w:sz="8" w:space="0" w:color="auto"/>
              <w:right w:val="nil"/>
            </w:tcBorders>
            <w:shd w:val="clear" w:color="auto" w:fill="auto"/>
            <w:noWrap/>
            <w:vAlign w:val="center"/>
            <w:hideMark/>
          </w:tcPr>
          <w:p w14:paraId="084DB840" w14:textId="77777777" w:rsidR="00B1362F" w:rsidRPr="00EF5F28" w:rsidRDefault="00B1362F" w:rsidP="00B1362F">
            <w:pPr>
              <w:keepNext/>
              <w:spacing w:after="0"/>
              <w:jc w:val="right"/>
              <w:rPr>
                <w:rFonts w:ascii="Calibri" w:eastAsia="Times New Roman" w:hAnsi="Calibri" w:cs="Times New Roman"/>
                <w:color w:val="000000"/>
                <w:sz w:val="20"/>
                <w:szCs w:val="20"/>
              </w:rPr>
            </w:pPr>
            <w:r w:rsidRPr="00EF5F28">
              <w:rPr>
                <w:rFonts w:ascii="Calibri" w:eastAsia="Times New Roman" w:hAnsi="Calibri" w:cs="Times New Roman"/>
                <w:color w:val="000000"/>
                <w:sz w:val="20"/>
                <w:szCs w:val="20"/>
              </w:rPr>
              <w:t>-2.1</w:t>
            </w:r>
          </w:p>
        </w:tc>
      </w:tr>
      <w:tr w:rsidR="00B1362F" w:rsidRPr="00EF5F28" w14:paraId="18CD2E84" w14:textId="77777777" w:rsidTr="00AB6DF4">
        <w:trPr>
          <w:trHeight w:val="300"/>
        </w:trPr>
        <w:tc>
          <w:tcPr>
            <w:tcW w:w="0" w:type="auto"/>
            <w:gridSpan w:val="9"/>
            <w:tcBorders>
              <w:top w:val="single" w:sz="8" w:space="0" w:color="auto"/>
              <w:left w:val="nil"/>
              <w:bottom w:val="nil"/>
              <w:right w:val="nil"/>
            </w:tcBorders>
            <w:shd w:val="clear" w:color="auto" w:fill="auto"/>
            <w:noWrap/>
            <w:vAlign w:val="center"/>
            <w:hideMark/>
          </w:tcPr>
          <w:p w14:paraId="70CA37D7" w14:textId="77777777" w:rsidR="00B1362F" w:rsidRPr="00EF5F28" w:rsidRDefault="00B1362F" w:rsidP="00B1362F">
            <w:pPr>
              <w:pStyle w:val="Source"/>
              <w:rPr>
                <w:i/>
                <w:iCs/>
              </w:rPr>
            </w:pPr>
            <w:r w:rsidRPr="00EF5F28">
              <w:rPr>
                <w:i/>
                <w:iCs/>
              </w:rPr>
              <w:t>Sources:</w:t>
            </w:r>
            <w:r w:rsidRPr="00EF5F28">
              <w:t xml:space="preserve"> Zimbabwean authorities; IMF staff and World Bank estimates and projections.</w:t>
            </w:r>
          </w:p>
        </w:tc>
      </w:tr>
    </w:tbl>
    <w:p w14:paraId="0AD9F5AC" w14:textId="77777777" w:rsidR="008B67F3" w:rsidRPr="00C917E2" w:rsidRDefault="008B67F3" w:rsidP="00320F82">
      <w:pPr>
        <w:pStyle w:val="Heading3"/>
      </w:pPr>
      <w:bookmarkStart w:id="231" w:name="_Toc419004027"/>
      <w:r w:rsidRPr="00C917E2">
        <w:t>General Trends in Expenditure Allocation</w:t>
      </w:r>
      <w:bookmarkEnd w:id="231"/>
    </w:p>
    <w:p w14:paraId="66B2860C" w14:textId="77777777" w:rsidR="008B67F3" w:rsidRPr="00C917E2" w:rsidRDefault="008B67F3" w:rsidP="00D37198">
      <w:pPr>
        <w:pStyle w:val="Numberpara"/>
      </w:pPr>
      <w:r w:rsidRPr="00C917E2">
        <w:t xml:space="preserve">As revenue climbed after </w:t>
      </w:r>
      <w:r w:rsidR="006112BF">
        <w:t xml:space="preserve">the </w:t>
      </w:r>
      <w:r w:rsidR="004F1105">
        <w:t>multi</w:t>
      </w:r>
      <w:r w:rsidRPr="00C917E2">
        <w:t>currency regime</w:t>
      </w:r>
      <w:r w:rsidR="006112BF">
        <w:t xml:space="preserve"> was adopted</w:t>
      </w:r>
      <w:r w:rsidRPr="00C917E2">
        <w:t xml:space="preserve">, the government also lifted its spending, with much absorbed by employment costs (see </w:t>
      </w:r>
      <w:r w:rsidR="00C713A9" w:rsidRPr="00C917E2">
        <w:fldChar w:fldCharType="begin"/>
      </w:r>
      <w:r w:rsidR="00FF3BD3" w:rsidRPr="00C917E2">
        <w:instrText xml:space="preserve"> REF _Ref414597539 \h </w:instrText>
      </w:r>
      <w:r w:rsidR="00C713A9" w:rsidRPr="00C917E2">
        <w:fldChar w:fldCharType="separate"/>
      </w:r>
      <w:r w:rsidR="003732A2">
        <w:rPr>
          <w:b/>
          <w:bCs/>
        </w:rPr>
        <w:t>Error! Reference source not found.</w:t>
      </w:r>
      <w:r w:rsidR="00C713A9" w:rsidRPr="00C917E2">
        <w:fldChar w:fldCharType="end"/>
      </w:r>
      <w:r w:rsidRPr="00C917E2">
        <w:t xml:space="preserve">). They accounted for 6.2 percent of GDP in 2009 but are estimated to have reached 20 percent in 2014. They absorbed 64 percent of total revenue in 2010, and are estimated to have consumed over 75 percent in 2014, putting further pressure on the budget and crowding out capital and social outlays. </w:t>
      </w:r>
    </w:p>
    <w:p w14:paraId="69CD6DE6" w14:textId="77777777" w:rsidR="008B67F3" w:rsidRPr="00C917E2" w:rsidRDefault="008B67F3" w:rsidP="00D37198">
      <w:pPr>
        <w:pStyle w:val="Numberpara"/>
        <w:rPr>
          <w:color w:val="000000"/>
        </w:rPr>
      </w:pPr>
      <w:r w:rsidRPr="00C917E2">
        <w:t>Expenditure on social sectors increased from 22 to 28 percent of total expenditure from 2009 to 2013</w:t>
      </w:r>
      <w:r w:rsidR="003F4A0D" w:rsidRPr="00C917E2">
        <w:t xml:space="preserve"> (</w:t>
      </w:r>
      <w:r w:rsidR="00C713A9" w:rsidRPr="00C917E2">
        <w:fldChar w:fldCharType="begin"/>
      </w:r>
      <w:r w:rsidR="003F4A0D" w:rsidRPr="00C917E2">
        <w:instrText xml:space="preserve"> REF _Ref414597079 \h </w:instrText>
      </w:r>
      <w:r w:rsidR="00C713A9" w:rsidRPr="00C917E2">
        <w:fldChar w:fldCharType="separate"/>
      </w:r>
      <w:r w:rsidR="003732A2" w:rsidRPr="00C917E2">
        <w:t xml:space="preserve">Figure </w:t>
      </w:r>
      <w:r w:rsidR="003732A2">
        <w:rPr>
          <w:noProof/>
        </w:rPr>
        <w:t>38</w:t>
      </w:r>
      <w:r w:rsidR="00C713A9" w:rsidRPr="00C917E2">
        <w:fldChar w:fldCharType="end"/>
      </w:r>
      <w:r w:rsidR="003F4A0D" w:rsidRPr="00C917E2">
        <w:t>)</w:t>
      </w:r>
      <w:r w:rsidRPr="00C917E2">
        <w:t xml:space="preserve">. However, </w:t>
      </w:r>
      <w:r w:rsidR="00321053">
        <w:t xml:space="preserve">with </w:t>
      </w:r>
      <w:r w:rsidRPr="00C917E2">
        <w:t>employment costs</w:t>
      </w:r>
      <w:r w:rsidR="003F4A0D" w:rsidRPr="00C917E2">
        <w:t xml:space="preserve"> </w:t>
      </w:r>
      <w:r w:rsidR="00321053">
        <w:t xml:space="preserve">the </w:t>
      </w:r>
      <w:r w:rsidR="00321053" w:rsidRPr="00C917E2">
        <w:t xml:space="preserve">fastest area of growth </w:t>
      </w:r>
      <w:r w:rsidR="003F4A0D" w:rsidRPr="00C917E2">
        <w:t>(</w:t>
      </w:r>
      <w:r w:rsidR="00C713A9" w:rsidRPr="00C917E2">
        <w:fldChar w:fldCharType="begin"/>
      </w:r>
      <w:r w:rsidR="003B5585" w:rsidRPr="00C917E2">
        <w:instrText xml:space="preserve"> REF _Ref414597114 \h </w:instrText>
      </w:r>
      <w:r w:rsidR="00C713A9" w:rsidRPr="00C917E2">
        <w:fldChar w:fldCharType="separate"/>
      </w:r>
      <w:r w:rsidR="003732A2" w:rsidRPr="00C917E2">
        <w:t xml:space="preserve">Figure </w:t>
      </w:r>
      <w:r w:rsidR="003732A2">
        <w:rPr>
          <w:noProof/>
        </w:rPr>
        <w:t>39</w:t>
      </w:r>
      <w:r w:rsidR="00C713A9" w:rsidRPr="00C917E2">
        <w:fldChar w:fldCharType="end"/>
      </w:r>
      <w:r w:rsidR="003F4A0D" w:rsidRPr="00C917E2">
        <w:t>)</w:t>
      </w:r>
      <w:r w:rsidR="00321053">
        <w:t xml:space="preserve"> and </w:t>
      </w:r>
      <w:r w:rsidR="00321053" w:rsidRPr="00C917E2">
        <w:t xml:space="preserve">with </w:t>
      </w:r>
      <w:r w:rsidRPr="00C917E2">
        <w:t>stagnating fiscal revenue</w:t>
      </w:r>
      <w:r w:rsidR="00321053">
        <w:t>,</w:t>
      </w:r>
      <w:r w:rsidRPr="00C917E2">
        <w:t xml:space="preserve"> it becomes even </w:t>
      </w:r>
      <w:r w:rsidR="00321053">
        <w:t xml:space="preserve">harder </w:t>
      </w:r>
      <w:r w:rsidRPr="00C917E2">
        <w:t>to fund some important poli</w:t>
      </w:r>
      <w:r w:rsidR="006F4FA4" w:rsidRPr="00C917E2">
        <w:t>cy</w:t>
      </w:r>
      <w:r w:rsidRPr="00C917E2">
        <w:t xml:space="preserve"> commitments, particularly </w:t>
      </w:r>
      <w:r w:rsidR="00321053">
        <w:t xml:space="preserve">for </w:t>
      </w:r>
      <w:r w:rsidRPr="00C917E2">
        <w:t>health (for example</w:t>
      </w:r>
      <w:r w:rsidR="00321053">
        <w:t>,</w:t>
      </w:r>
      <w:r w:rsidRPr="00C917E2">
        <w:t xml:space="preserve"> remov</w:t>
      </w:r>
      <w:r w:rsidR="00321053">
        <w:t>ing</w:t>
      </w:r>
      <w:r w:rsidRPr="00C917E2">
        <w:t xml:space="preserve"> user fees for MCH)</w:t>
      </w:r>
      <w:r w:rsidRPr="00C917E2">
        <w:rPr>
          <w:bCs/>
        </w:rPr>
        <w:t xml:space="preserve">. </w:t>
      </w:r>
      <w:r w:rsidRPr="00C917E2">
        <w:t>This could undermine recent health gains.</w:t>
      </w:r>
    </w:p>
    <w:p w14:paraId="08FDEDD8" w14:textId="77777777" w:rsidR="006F4FA4" w:rsidRPr="00C917E2" w:rsidRDefault="006F4FA4" w:rsidP="006F4FA4">
      <w:pPr>
        <w:pStyle w:val="Figure"/>
      </w:pPr>
      <w:bookmarkStart w:id="232" w:name="_Ref414597079"/>
      <w:bookmarkStart w:id="233" w:name="_Toc419004119"/>
      <w:r w:rsidRPr="00C917E2">
        <w:lastRenderedPageBreak/>
        <w:t xml:space="preserve">Figure </w:t>
      </w:r>
      <w:r w:rsidR="00113462">
        <w:fldChar w:fldCharType="begin"/>
      </w:r>
      <w:r w:rsidR="00113462">
        <w:instrText xml:space="preserve"> SEQ Figure \* ARABIC </w:instrText>
      </w:r>
      <w:r w:rsidR="00113462">
        <w:fldChar w:fldCharType="separate"/>
      </w:r>
      <w:r w:rsidR="003732A2">
        <w:rPr>
          <w:noProof/>
        </w:rPr>
        <w:t>38</w:t>
      </w:r>
      <w:r w:rsidR="00113462">
        <w:rPr>
          <w:noProof/>
        </w:rPr>
        <w:fldChar w:fldCharType="end"/>
      </w:r>
      <w:bookmarkEnd w:id="232"/>
      <w:r w:rsidRPr="00C917E2">
        <w:t xml:space="preserve"> Spending on Social Sectors, 2009–13</w:t>
      </w:r>
      <w:bookmarkEnd w:id="233"/>
    </w:p>
    <w:p w14:paraId="109A306B" w14:textId="77777777" w:rsidR="006F4FA4" w:rsidRPr="00C917E2" w:rsidRDefault="006F4FA4" w:rsidP="00D37198">
      <w:pPr>
        <w:keepNext/>
      </w:pPr>
      <w:r w:rsidRPr="00C917E2">
        <w:rPr>
          <w:noProof/>
        </w:rPr>
        <w:drawing>
          <wp:inline distT="0" distB="0" distL="0" distR="0" wp14:anchorId="36EC327F" wp14:editId="1E5A13C5">
            <wp:extent cx="5414838" cy="3244234"/>
            <wp:effectExtent l="0" t="0" r="14605" b="1333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6402E26" w14:textId="77777777" w:rsidR="006F4FA4" w:rsidRPr="00C917E2" w:rsidRDefault="006F4FA4" w:rsidP="006F4FA4">
      <w:pPr>
        <w:pStyle w:val="Source"/>
      </w:pPr>
      <w:r w:rsidRPr="00E94700">
        <w:rPr>
          <w:i/>
        </w:rPr>
        <w:t>Source:</w:t>
      </w:r>
      <w:r w:rsidRPr="00C917E2">
        <w:t xml:space="preserve"> </w:t>
      </w:r>
      <w:r w:rsidR="00283D74">
        <w:t>MOFED</w:t>
      </w:r>
      <w:r w:rsidRPr="00C917E2">
        <w:t xml:space="preserve"> </w:t>
      </w:r>
      <w:r w:rsidR="00283D74" w:rsidRPr="00C917E2">
        <w:t>consolidated expenditure reports</w:t>
      </w:r>
      <w:r w:rsidR="00283D74">
        <w:t xml:space="preserve"> </w:t>
      </w:r>
      <w:r w:rsidRPr="00C917E2">
        <w:t>2009</w:t>
      </w:r>
      <w:r w:rsidR="00283D74">
        <w:t>–</w:t>
      </w:r>
      <w:r w:rsidRPr="00C917E2">
        <w:t>2013</w:t>
      </w:r>
      <w:r w:rsidR="006B2D5F">
        <w:t>.</w:t>
      </w:r>
    </w:p>
    <w:p w14:paraId="673720E6" w14:textId="77777777" w:rsidR="006F4FA4" w:rsidRPr="00C917E2" w:rsidRDefault="006F4FA4" w:rsidP="00BC5418">
      <w:pPr>
        <w:pStyle w:val="Figure"/>
      </w:pPr>
      <w:bookmarkStart w:id="234" w:name="_Ref414597114"/>
      <w:bookmarkStart w:id="235" w:name="_Toc419004120"/>
      <w:r w:rsidRPr="00C917E2">
        <w:t>Figure</w:t>
      </w:r>
      <w:r w:rsidR="00BC5418" w:rsidRPr="00C917E2">
        <w:t xml:space="preserve"> </w:t>
      </w:r>
      <w:r w:rsidR="00113462">
        <w:fldChar w:fldCharType="begin"/>
      </w:r>
      <w:r w:rsidR="00113462">
        <w:instrText xml:space="preserve"> SEQ Figure \* ARABIC </w:instrText>
      </w:r>
      <w:r w:rsidR="00113462">
        <w:fldChar w:fldCharType="separate"/>
      </w:r>
      <w:r w:rsidR="003732A2">
        <w:rPr>
          <w:noProof/>
        </w:rPr>
        <w:t>39</w:t>
      </w:r>
      <w:r w:rsidR="00113462">
        <w:rPr>
          <w:noProof/>
        </w:rPr>
        <w:fldChar w:fldCharType="end"/>
      </w:r>
      <w:bookmarkEnd w:id="234"/>
      <w:r w:rsidR="00B72993" w:rsidRPr="00C917E2">
        <w:t xml:space="preserve"> </w:t>
      </w:r>
      <w:r w:rsidRPr="00C917E2">
        <w:t>Wages in Social Sectors, 2009</w:t>
      </w:r>
      <w:r w:rsidR="00047CD8">
        <w:t>–</w:t>
      </w:r>
      <w:r w:rsidRPr="00C917E2">
        <w:t>13</w:t>
      </w:r>
      <w:bookmarkEnd w:id="235"/>
    </w:p>
    <w:p w14:paraId="48F60121" w14:textId="77777777" w:rsidR="006F4FA4" w:rsidRPr="00C917E2" w:rsidRDefault="006F4FA4" w:rsidP="006F4FA4">
      <w:pPr>
        <w:pStyle w:val="Source"/>
      </w:pPr>
      <w:r w:rsidRPr="00C917E2">
        <w:rPr>
          <w:noProof/>
        </w:rPr>
        <w:drawing>
          <wp:inline distT="0" distB="0" distL="0" distR="0" wp14:anchorId="00B53A0C" wp14:editId="43808ACB">
            <wp:extent cx="4682121" cy="3204376"/>
            <wp:effectExtent l="0" t="0" r="23495" b="1524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0962635" w14:textId="77777777" w:rsidR="006F4FA4" w:rsidRPr="00C917E2" w:rsidRDefault="006F4FA4" w:rsidP="006F4FA4">
      <w:pPr>
        <w:pStyle w:val="Source"/>
      </w:pPr>
      <w:r w:rsidRPr="00E94700">
        <w:rPr>
          <w:i/>
        </w:rPr>
        <w:t>Source:</w:t>
      </w:r>
      <w:r w:rsidRPr="00C917E2">
        <w:t xml:space="preserve"> </w:t>
      </w:r>
      <w:r w:rsidR="00283D74">
        <w:t>MOFED</w:t>
      </w:r>
      <w:r w:rsidRPr="00C917E2">
        <w:t xml:space="preserve"> </w:t>
      </w:r>
      <w:r w:rsidR="00283D74" w:rsidRPr="00C917E2">
        <w:t xml:space="preserve">consolidated expenditure reports </w:t>
      </w:r>
      <w:r w:rsidRPr="00C917E2">
        <w:t>2009</w:t>
      </w:r>
      <w:r w:rsidR="00283D74">
        <w:t>–</w:t>
      </w:r>
      <w:r w:rsidRPr="00C917E2">
        <w:t>2013</w:t>
      </w:r>
      <w:r w:rsidR="006B2D5F">
        <w:t>.</w:t>
      </w:r>
    </w:p>
    <w:p w14:paraId="3B448337" w14:textId="77777777" w:rsidR="008B67F3" w:rsidRPr="00C917E2" w:rsidRDefault="008B67F3" w:rsidP="00D37198">
      <w:pPr>
        <w:pStyle w:val="Numberpara"/>
      </w:pPr>
      <w:r w:rsidRPr="00C917E2">
        <w:t>In March 2013, the International Monetary Fund (IMF) and MOFED signed an agreement for a Staff Monitored Program</w:t>
      </w:r>
      <w:r w:rsidR="00B72993" w:rsidRPr="00C917E2">
        <w:t xml:space="preserve">, which </w:t>
      </w:r>
      <w:r w:rsidRPr="00C917E2">
        <w:t xml:space="preserve">seeks to help the country strengthen its efforts to stabilize the economy, support its reform program and assist in reengaging the country with its donor partners. The program has put in place a mechanism for quantifiable targets for social sector spending by the </w:t>
      </w:r>
      <w:r w:rsidRPr="00C917E2">
        <w:lastRenderedPageBreak/>
        <w:t>government. Though an excellent step forward, the MOFED and MOHCC should still carefully prioritize and track wage spending within the agreed social sector spending targets.</w:t>
      </w:r>
    </w:p>
    <w:p w14:paraId="4E6AA527" w14:textId="31FF5F1E" w:rsidR="008B67F3" w:rsidRPr="00C917E2" w:rsidRDefault="008B67F3" w:rsidP="00226FA8">
      <w:pPr>
        <w:pStyle w:val="Heading2"/>
      </w:pPr>
      <w:bookmarkStart w:id="236" w:name="_Toc419004028"/>
      <w:r w:rsidRPr="00C917E2">
        <w:t xml:space="preserve">4.2 Prospects for </w:t>
      </w:r>
      <w:r w:rsidR="009446C1">
        <w:t xml:space="preserve">Domestic </w:t>
      </w:r>
      <w:r w:rsidRPr="00C917E2">
        <w:t>Generati</w:t>
      </w:r>
      <w:r w:rsidR="009446C1">
        <w:t>on of</w:t>
      </w:r>
      <w:r w:rsidRPr="00C917E2">
        <w:t xml:space="preserve"> Funds for Health</w:t>
      </w:r>
      <w:bookmarkEnd w:id="236"/>
      <w:r w:rsidRPr="00C917E2">
        <w:t xml:space="preserve"> </w:t>
      </w:r>
    </w:p>
    <w:p w14:paraId="6C4EB0A4" w14:textId="77777777" w:rsidR="008B67F3" w:rsidRPr="00C917E2" w:rsidRDefault="008B67F3" w:rsidP="00320F82">
      <w:pPr>
        <w:pStyle w:val="Heading3"/>
      </w:pPr>
      <w:bookmarkStart w:id="237" w:name="_Toc419004029"/>
      <w:r w:rsidRPr="00C917E2">
        <w:t>General Tax Revenue</w:t>
      </w:r>
      <w:bookmarkEnd w:id="237"/>
    </w:p>
    <w:p w14:paraId="21DB7DDD" w14:textId="7441BAAC" w:rsidR="008B67F3" w:rsidRPr="0019307B" w:rsidRDefault="008B67F3" w:rsidP="00D37198">
      <w:pPr>
        <w:pStyle w:val="Numberpara"/>
      </w:pPr>
      <w:r w:rsidRPr="0019307B">
        <w:t xml:space="preserve">Health is financed largely through general tax revenues, but as the tax burden is now </w:t>
      </w:r>
      <w:r w:rsidR="00830000" w:rsidRPr="0019307B">
        <w:t xml:space="preserve">quite </w:t>
      </w:r>
      <w:r w:rsidRPr="0019307B">
        <w:t xml:space="preserve">high </w:t>
      </w:r>
      <w:r w:rsidR="00F052AA" w:rsidRPr="0019307B">
        <w:t xml:space="preserve">in Zimbabwe </w:t>
      </w:r>
      <w:r w:rsidRPr="0019307B">
        <w:t>relative to its peers (</w:t>
      </w:r>
      <w:r w:rsidR="00C713A9" w:rsidRPr="0019307B">
        <w:fldChar w:fldCharType="begin"/>
      </w:r>
      <w:r w:rsidRPr="0019307B">
        <w:instrText xml:space="preserve"> REF _Ref412024189 \h </w:instrText>
      </w:r>
      <w:r w:rsidR="00C713A9" w:rsidRPr="0019307B">
        <w:fldChar w:fldCharType="separate"/>
      </w:r>
      <w:r w:rsidR="003732A2" w:rsidRPr="00C917E2">
        <w:t xml:space="preserve">Figure </w:t>
      </w:r>
      <w:r w:rsidR="003732A2">
        <w:rPr>
          <w:noProof/>
        </w:rPr>
        <w:t>40</w:t>
      </w:r>
      <w:r w:rsidR="00C713A9" w:rsidRPr="0019307B">
        <w:fldChar w:fldCharType="end"/>
      </w:r>
      <w:r w:rsidRPr="0019307B">
        <w:t xml:space="preserve">), prospects </w:t>
      </w:r>
      <w:r w:rsidR="00830000" w:rsidRPr="0019307B">
        <w:t xml:space="preserve">for </w:t>
      </w:r>
      <w:r w:rsidRPr="0019307B">
        <w:t xml:space="preserve">raising additional general revenues rely on economic growth. </w:t>
      </w:r>
      <w:r w:rsidR="009446C1" w:rsidRPr="0019307B">
        <w:t xml:space="preserve">There may be scope to widen </w:t>
      </w:r>
      <w:r w:rsidRPr="0019307B">
        <w:t xml:space="preserve">the tax base </w:t>
      </w:r>
      <w:r w:rsidR="00163154" w:rsidRPr="0019307B">
        <w:t>(the informal economy is hardly touched by the tax net)</w:t>
      </w:r>
      <w:r w:rsidRPr="0019307B">
        <w:t xml:space="preserve">, </w:t>
      </w:r>
      <w:r w:rsidR="00BA4B87">
        <w:t xml:space="preserve">but </w:t>
      </w:r>
      <w:r w:rsidRPr="0019307B">
        <w:t xml:space="preserve">it </w:t>
      </w:r>
      <w:r w:rsidR="00BA4B87">
        <w:t xml:space="preserve">is likely to </w:t>
      </w:r>
      <w:r w:rsidRPr="0019307B">
        <w:t xml:space="preserve">be a challenge in the short to medium term given </w:t>
      </w:r>
      <w:r w:rsidR="00830000" w:rsidRPr="0019307B">
        <w:t xml:space="preserve">a sluggish </w:t>
      </w:r>
      <w:r w:rsidRPr="0019307B">
        <w:t xml:space="preserve">economy, company closures, and </w:t>
      </w:r>
      <w:r w:rsidR="00830000" w:rsidRPr="0019307B">
        <w:t xml:space="preserve">an increasingly </w:t>
      </w:r>
      <w:r w:rsidRPr="0019307B">
        <w:t>informaliz</w:t>
      </w:r>
      <w:r w:rsidR="00830000" w:rsidRPr="0019307B">
        <w:t>ed</w:t>
      </w:r>
      <w:r w:rsidRPr="0019307B">
        <w:t xml:space="preserve"> economy. The tax system is also characterized by widespread tax distortions in the form of concessionary rates, exemptions, allowances, and deductions, with the tax burden falling heavily on a few well-established taxpayers. </w:t>
      </w:r>
      <w:r w:rsidR="009446C1" w:rsidRPr="0019307B">
        <w:t>R</w:t>
      </w:r>
      <w:r w:rsidRPr="0019307B">
        <w:t>emov</w:t>
      </w:r>
      <w:r w:rsidR="009446C1" w:rsidRPr="0019307B">
        <w:t>ing</w:t>
      </w:r>
      <w:r w:rsidRPr="0019307B">
        <w:t xml:space="preserve"> these distortions and improv</w:t>
      </w:r>
      <w:r w:rsidR="00BA4B87">
        <w:t>ing</w:t>
      </w:r>
      <w:r w:rsidRPr="0019307B">
        <w:t xml:space="preserve"> tax collection efficiency </w:t>
      </w:r>
      <w:r w:rsidR="009446C1" w:rsidRPr="0019307B">
        <w:t xml:space="preserve">could help </w:t>
      </w:r>
      <w:r w:rsidRPr="0019307B">
        <w:t>expand the fiscal space</w:t>
      </w:r>
      <w:r w:rsidR="000B741E" w:rsidRPr="0019307B">
        <w:t xml:space="preserve"> in general and for health in particular</w:t>
      </w:r>
      <w:r w:rsidRPr="0019307B">
        <w:t xml:space="preserve">. Strengthening tax administration, streamlining tax exemptions, lowering the number of tariff bands, and simplifying the tax structure (such as customs taxes and payroll tax bands) could possibly help widen the fiscal space. </w:t>
      </w:r>
    </w:p>
    <w:p w14:paraId="7C784B8B" w14:textId="77777777" w:rsidR="008B67F3" w:rsidRPr="00C917E2" w:rsidRDefault="008B67F3" w:rsidP="00C53C89">
      <w:pPr>
        <w:pStyle w:val="Figure"/>
      </w:pPr>
      <w:bookmarkStart w:id="238" w:name="_Ref412024189"/>
      <w:bookmarkStart w:id="239" w:name="_Toc419004121"/>
      <w:r w:rsidRPr="00C917E2">
        <w:t xml:space="preserve">Figure </w:t>
      </w:r>
      <w:r w:rsidR="00113462">
        <w:fldChar w:fldCharType="begin"/>
      </w:r>
      <w:r w:rsidR="00113462">
        <w:instrText xml:space="preserve"> SEQ Figure \* ARABIC </w:instrText>
      </w:r>
      <w:r w:rsidR="00113462">
        <w:fldChar w:fldCharType="separate"/>
      </w:r>
      <w:r w:rsidR="003732A2">
        <w:rPr>
          <w:noProof/>
        </w:rPr>
        <w:t>40</w:t>
      </w:r>
      <w:r w:rsidR="00113462">
        <w:rPr>
          <w:noProof/>
        </w:rPr>
        <w:fldChar w:fldCharType="end"/>
      </w:r>
      <w:bookmarkEnd w:id="238"/>
      <w:r w:rsidRPr="00C917E2">
        <w:t xml:space="preserve"> Total Revenue and Tax Revenue as a Share of GDP</w:t>
      </w:r>
      <w:r w:rsidR="007D3A23">
        <w:t>, 2008, 2010, and 2013</w:t>
      </w:r>
      <w:bookmarkEnd w:id="239"/>
      <w:r w:rsidRPr="00C917E2">
        <w:t xml:space="preserve"> </w:t>
      </w:r>
    </w:p>
    <w:p w14:paraId="2DF6FF8B" w14:textId="77777777" w:rsidR="008B67F3" w:rsidRPr="00C917E2" w:rsidRDefault="008B67F3" w:rsidP="006575DD">
      <w:pPr>
        <w:rPr>
          <w:color w:val="000000"/>
        </w:rPr>
      </w:pPr>
      <w:r w:rsidRPr="00C917E2">
        <w:rPr>
          <w:noProof/>
        </w:rPr>
        <w:drawing>
          <wp:inline distT="0" distB="0" distL="0" distR="0" wp14:anchorId="35595C93" wp14:editId="404135A4">
            <wp:extent cx="2776354" cy="2338966"/>
            <wp:effectExtent l="0" t="0" r="24130" b="23495"/>
            <wp:docPr id="101" name="Chart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Pr="00C917E2">
        <w:rPr>
          <w:noProof/>
        </w:rPr>
        <w:drawing>
          <wp:inline distT="0" distB="0" distL="0" distR="0" wp14:anchorId="20B39DEF" wp14:editId="25BEACFF">
            <wp:extent cx="2833875" cy="2351264"/>
            <wp:effectExtent l="0" t="0" r="24130" b="11430"/>
            <wp:docPr id="104" name="Chart 2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77B64EA2" w14:textId="77777777" w:rsidR="008B67F3" w:rsidRPr="00C917E2" w:rsidRDefault="008B67F3" w:rsidP="003F2032">
      <w:pPr>
        <w:pStyle w:val="Source"/>
      </w:pPr>
      <w:r w:rsidRPr="00E94700">
        <w:rPr>
          <w:i/>
        </w:rPr>
        <w:t>Source</w:t>
      </w:r>
      <w:r w:rsidR="00973B09" w:rsidRPr="00E94700">
        <w:rPr>
          <w:i/>
        </w:rPr>
        <w:t>s</w:t>
      </w:r>
      <w:r w:rsidRPr="00E94700">
        <w:rPr>
          <w:i/>
        </w:rPr>
        <w:t>:</w:t>
      </w:r>
      <w:r w:rsidRPr="00C917E2">
        <w:t xml:space="preserve"> </w:t>
      </w:r>
      <w:r w:rsidR="007D0846" w:rsidRPr="00C917E2">
        <w:t>World Development Indicators and World Economic Outlook Database</w:t>
      </w:r>
      <w:r w:rsidR="006B2D5F">
        <w:t>.</w:t>
      </w:r>
    </w:p>
    <w:p w14:paraId="27F3A692" w14:textId="77777777" w:rsidR="008B67F3" w:rsidRPr="00C917E2" w:rsidRDefault="008B67F3" w:rsidP="00320F82">
      <w:pPr>
        <w:pStyle w:val="Heading3"/>
      </w:pPr>
      <w:bookmarkStart w:id="240" w:name="_Toc419004030"/>
      <w:r w:rsidRPr="00C917E2">
        <w:t>Earmarked Taxes</w:t>
      </w:r>
      <w:bookmarkEnd w:id="240"/>
    </w:p>
    <w:p w14:paraId="494A037C" w14:textId="5A9F953A" w:rsidR="008B67F3" w:rsidRPr="00C917E2" w:rsidRDefault="008B67F3" w:rsidP="00D37198">
      <w:pPr>
        <w:pStyle w:val="Numberpara"/>
      </w:pPr>
      <w:r w:rsidRPr="00C917E2">
        <w:t>Earmarked taxes may be another way to expand fiscal space</w:t>
      </w:r>
      <w:r w:rsidR="009446C1">
        <w:t xml:space="preserve"> for the health sector</w:t>
      </w:r>
      <w:r w:rsidRPr="00C917E2">
        <w:t xml:space="preserve">. </w:t>
      </w:r>
      <w:r w:rsidR="009446C1">
        <w:t xml:space="preserve">Zimbabwe already has an important earmarked tax in the AIDS </w:t>
      </w:r>
      <w:r w:rsidR="006F26E4">
        <w:t xml:space="preserve">levy </w:t>
      </w:r>
      <w:r w:rsidR="009446C1">
        <w:t xml:space="preserve">(discussed below). </w:t>
      </w:r>
      <w:r w:rsidRPr="00C917E2">
        <w:t>Such earmarking is,</w:t>
      </w:r>
      <w:r w:rsidR="009446C1">
        <w:t xml:space="preserve"> </w:t>
      </w:r>
      <w:r w:rsidRPr="00C917E2">
        <w:t xml:space="preserve">however, sometimes viewed with skepticism because </w:t>
      </w:r>
      <w:r w:rsidR="009446C1">
        <w:t xml:space="preserve">ultimately </w:t>
      </w:r>
      <w:r w:rsidRPr="00C917E2">
        <w:t xml:space="preserve">it prevents the allocation of funds to where they are most needed and best used. </w:t>
      </w:r>
    </w:p>
    <w:p w14:paraId="37747AB9" w14:textId="77777777" w:rsidR="008B67F3" w:rsidRPr="00C917E2" w:rsidRDefault="008B67F3" w:rsidP="00D37198">
      <w:pPr>
        <w:pStyle w:val="Numberpara"/>
      </w:pPr>
      <w:r w:rsidRPr="00C917E2">
        <w:t xml:space="preserve">Earmarked taxes can take various forms, such as payroll taxes for social health, a higher tax take on large corporations, excise duties </w:t>
      </w:r>
      <w:r w:rsidR="00E161F2">
        <w:t xml:space="preserve">(“sin taxes”) </w:t>
      </w:r>
      <w:r w:rsidRPr="00C917E2">
        <w:t xml:space="preserve">on products </w:t>
      </w:r>
      <w:r w:rsidR="00E161F2" w:rsidRPr="00C917E2">
        <w:t xml:space="preserve">harmful </w:t>
      </w:r>
      <w:r w:rsidR="00E161F2">
        <w:t xml:space="preserve">for </w:t>
      </w:r>
      <w:r w:rsidRPr="00C917E2">
        <w:t xml:space="preserve">health such as cigarettes, </w:t>
      </w:r>
      <w:r w:rsidR="00E161F2">
        <w:t xml:space="preserve">taxes </w:t>
      </w:r>
      <w:r w:rsidRPr="00C917E2">
        <w:t xml:space="preserve">on financial transactions, and levies on mobile phones. Increasing excise taxes in developing countries to the world average has the potential </w:t>
      </w:r>
      <w:r w:rsidR="00E161F2">
        <w:t xml:space="preserve">to </w:t>
      </w:r>
      <w:r w:rsidRPr="00C917E2">
        <w:t>rais</w:t>
      </w:r>
      <w:r w:rsidR="00E161F2">
        <w:t>e</w:t>
      </w:r>
      <w:r w:rsidRPr="00C917E2">
        <w:t xml:space="preserve"> about 0.5–1.3 percent of GDP</w:t>
      </w:r>
      <w:r w:rsidR="00830000" w:rsidRPr="00C917E2">
        <w:t xml:space="preserve">, a target that Zimbabwe should be </w:t>
      </w:r>
      <w:r w:rsidR="00D50875" w:rsidRPr="00C917E2">
        <w:t>able</w:t>
      </w:r>
      <w:r w:rsidR="00830000" w:rsidRPr="00C917E2">
        <w:t xml:space="preserve"> to reach</w:t>
      </w:r>
      <w:r w:rsidRPr="00C917E2">
        <w:t xml:space="preserve">. </w:t>
      </w:r>
    </w:p>
    <w:p w14:paraId="0A94DA69" w14:textId="77777777" w:rsidR="008B67F3" w:rsidRPr="00C917E2" w:rsidRDefault="008B67F3" w:rsidP="00303D80">
      <w:pPr>
        <w:pStyle w:val="Heading3"/>
      </w:pPr>
      <w:bookmarkStart w:id="241" w:name="_Toc419004031"/>
      <w:r w:rsidRPr="00C917E2">
        <w:lastRenderedPageBreak/>
        <w:t>AIDS Levy</w:t>
      </w:r>
      <w:bookmarkEnd w:id="241"/>
    </w:p>
    <w:p w14:paraId="0B8BA166" w14:textId="43AF1199" w:rsidR="008B67F3" w:rsidRPr="0019307B" w:rsidRDefault="008B67F3" w:rsidP="00D37198">
      <w:pPr>
        <w:pStyle w:val="Numberpara"/>
      </w:pPr>
      <w:r w:rsidRPr="0019307B">
        <w:t>This is the only earmarked tax for health in Zimbabwe, charged on individuals, companies, and trusts at a rate of 3 percent of the income tax assessed by the Zimbabwe Revenue Authority. It mainly finances HIV/AIDS programs through an off-budget credit line from the MOFED. Since 2009 when the country</w:t>
      </w:r>
      <w:r w:rsidR="004F1105" w:rsidRPr="0019307B">
        <w:t xml:space="preserve"> moved to a multi</w:t>
      </w:r>
      <w:r w:rsidRPr="0019307B">
        <w:t>currency regime, revenue from the levy has risen from US$5.7 million to US$33.5 million in 2013 (</w:t>
      </w:r>
      <w:r w:rsidR="00C713A9" w:rsidRPr="0019307B">
        <w:fldChar w:fldCharType="begin"/>
      </w:r>
      <w:r w:rsidR="00FF3BD3" w:rsidRPr="0019307B">
        <w:instrText xml:space="preserve"> REF _Ref414597619 \h </w:instrText>
      </w:r>
      <w:r w:rsidR="00C713A9" w:rsidRPr="0019307B">
        <w:fldChar w:fldCharType="separate"/>
      </w:r>
      <w:r w:rsidR="003732A2" w:rsidRPr="00C917E2">
        <w:t xml:space="preserve">Table </w:t>
      </w:r>
      <w:r w:rsidR="003732A2">
        <w:rPr>
          <w:noProof/>
        </w:rPr>
        <w:t>12</w:t>
      </w:r>
      <w:r w:rsidR="00C713A9" w:rsidRPr="0019307B">
        <w:fldChar w:fldCharType="end"/>
      </w:r>
      <w:r w:rsidRPr="0019307B">
        <w:t xml:space="preserve">). Of the levy, 55 percent is earmarked for treatment, care, and support; 11 percent for prevention; 5 percent for monitoring and evaluation; 4 percent for creating an enabling environment; and the remaining 25 percent for program and logistical support. </w:t>
      </w:r>
      <w:r w:rsidR="004946C5" w:rsidRPr="0019307B">
        <w:t xml:space="preserve">To strengthen this earmark tax, public accountability through better managed parliamentary </w:t>
      </w:r>
      <w:r w:rsidR="00756718" w:rsidRPr="0019307B">
        <w:t>oversight</w:t>
      </w:r>
      <w:r w:rsidR="004946C5" w:rsidRPr="0019307B">
        <w:t xml:space="preserve"> is important. It</w:t>
      </w:r>
      <w:r w:rsidR="00756718" w:rsidRPr="0019307B">
        <w:t xml:space="preserve"> is also important to have such funds managed </w:t>
      </w:r>
      <w:r w:rsidR="00C869D5">
        <w:t xml:space="preserve">via </w:t>
      </w:r>
      <w:r w:rsidR="00756718" w:rsidRPr="0019307B">
        <w:t xml:space="preserve">the Public Finance Management System. </w:t>
      </w:r>
    </w:p>
    <w:p w14:paraId="06BB82D3" w14:textId="3704423E" w:rsidR="008B67F3" w:rsidRPr="00C917E2" w:rsidRDefault="008B67F3" w:rsidP="00796CD2">
      <w:pPr>
        <w:pStyle w:val="Table"/>
      </w:pPr>
      <w:bookmarkStart w:id="242" w:name="_Ref414597619"/>
      <w:bookmarkStart w:id="243" w:name="_Toc419004080"/>
      <w:r w:rsidRPr="00C917E2">
        <w:t xml:space="preserve">Table </w:t>
      </w:r>
      <w:r w:rsidR="00113462">
        <w:fldChar w:fldCharType="begin"/>
      </w:r>
      <w:r w:rsidR="00113462">
        <w:instrText xml:space="preserve"> SEQ Table \* ARABIC </w:instrText>
      </w:r>
      <w:r w:rsidR="00113462">
        <w:fldChar w:fldCharType="separate"/>
      </w:r>
      <w:r w:rsidR="003732A2">
        <w:rPr>
          <w:noProof/>
        </w:rPr>
        <w:t>12</w:t>
      </w:r>
      <w:r w:rsidR="00113462">
        <w:rPr>
          <w:noProof/>
        </w:rPr>
        <w:fldChar w:fldCharType="end"/>
      </w:r>
      <w:bookmarkEnd w:id="242"/>
      <w:r w:rsidRPr="00C917E2">
        <w:t xml:space="preserve"> NAC Sources of Income, 2009–13 (US$ thousand)</w:t>
      </w:r>
      <w:bookmarkEnd w:id="243"/>
      <w:r w:rsidRPr="00C917E2">
        <w:t xml:space="preserve"> </w:t>
      </w:r>
    </w:p>
    <w:tbl>
      <w:tblPr>
        <w:tblW w:w="5000" w:type="pct"/>
        <w:jc w:val="center"/>
        <w:tblBorders>
          <w:top w:val="single" w:sz="8" w:space="0" w:color="4F81BD"/>
          <w:bottom w:val="single" w:sz="8" w:space="0" w:color="4F81BD"/>
        </w:tblBorders>
        <w:tblLook w:val="04A0" w:firstRow="1" w:lastRow="0" w:firstColumn="1" w:lastColumn="0" w:noHBand="0" w:noVBand="1"/>
      </w:tblPr>
      <w:tblGrid>
        <w:gridCol w:w="4114"/>
        <w:gridCol w:w="989"/>
        <w:gridCol w:w="1089"/>
        <w:gridCol w:w="930"/>
        <w:gridCol w:w="982"/>
        <w:gridCol w:w="922"/>
      </w:tblGrid>
      <w:tr w:rsidR="008B67F3" w:rsidRPr="00C917E2" w14:paraId="296F9FD8" w14:textId="77777777" w:rsidTr="00551D51">
        <w:trPr>
          <w:jc w:val="center"/>
        </w:trPr>
        <w:tc>
          <w:tcPr>
            <w:tcW w:w="2279" w:type="pct"/>
            <w:tcBorders>
              <w:top w:val="single" w:sz="8" w:space="0" w:color="4F81BD"/>
              <w:bottom w:val="single" w:sz="8" w:space="0" w:color="4F81BD"/>
            </w:tcBorders>
            <w:shd w:val="clear" w:color="auto" w:fill="auto"/>
          </w:tcPr>
          <w:p w14:paraId="6296980A" w14:textId="77777777" w:rsidR="008B67F3" w:rsidRPr="00C917E2" w:rsidRDefault="008B67F3" w:rsidP="00796CD2">
            <w:pPr>
              <w:keepNext/>
              <w:rPr>
                <w:rFonts w:asciiTheme="minorHAnsi" w:hAnsiTheme="minorHAnsi"/>
                <w:b/>
                <w:sz w:val="20"/>
                <w:szCs w:val="20"/>
              </w:rPr>
            </w:pPr>
            <w:r w:rsidRPr="00C917E2">
              <w:rPr>
                <w:rFonts w:asciiTheme="minorHAnsi" w:hAnsiTheme="minorHAnsi"/>
                <w:b/>
                <w:sz w:val="20"/>
                <w:szCs w:val="20"/>
              </w:rPr>
              <w:t>Source</w:t>
            </w:r>
          </w:p>
        </w:tc>
        <w:tc>
          <w:tcPr>
            <w:tcW w:w="548" w:type="pct"/>
            <w:tcBorders>
              <w:top w:val="single" w:sz="8" w:space="0" w:color="4F81BD"/>
              <w:bottom w:val="single" w:sz="8" w:space="0" w:color="4F81BD"/>
            </w:tcBorders>
            <w:shd w:val="clear" w:color="auto" w:fill="auto"/>
          </w:tcPr>
          <w:p w14:paraId="4653AB19" w14:textId="77777777" w:rsidR="008B67F3" w:rsidRPr="00C917E2" w:rsidRDefault="008B67F3" w:rsidP="00796CD2">
            <w:pPr>
              <w:keepNext/>
              <w:jc w:val="right"/>
              <w:rPr>
                <w:rFonts w:asciiTheme="minorHAnsi" w:hAnsiTheme="minorHAnsi"/>
                <w:b/>
                <w:sz w:val="20"/>
                <w:szCs w:val="20"/>
              </w:rPr>
            </w:pPr>
            <w:r w:rsidRPr="00C917E2">
              <w:rPr>
                <w:rFonts w:asciiTheme="minorHAnsi" w:hAnsiTheme="minorHAnsi"/>
                <w:b/>
                <w:sz w:val="20"/>
                <w:szCs w:val="20"/>
              </w:rPr>
              <w:t>2009</w:t>
            </w:r>
          </w:p>
        </w:tc>
        <w:tc>
          <w:tcPr>
            <w:tcW w:w="603" w:type="pct"/>
            <w:tcBorders>
              <w:top w:val="single" w:sz="8" w:space="0" w:color="4F81BD"/>
              <w:bottom w:val="single" w:sz="8" w:space="0" w:color="4F81BD"/>
            </w:tcBorders>
            <w:shd w:val="clear" w:color="auto" w:fill="auto"/>
          </w:tcPr>
          <w:p w14:paraId="12D7B467" w14:textId="77777777" w:rsidR="008B67F3" w:rsidRPr="00C917E2" w:rsidRDefault="008B67F3" w:rsidP="00796CD2">
            <w:pPr>
              <w:keepNext/>
              <w:jc w:val="right"/>
              <w:rPr>
                <w:rFonts w:asciiTheme="minorHAnsi" w:hAnsiTheme="minorHAnsi"/>
                <w:b/>
                <w:sz w:val="20"/>
                <w:szCs w:val="20"/>
              </w:rPr>
            </w:pPr>
            <w:r w:rsidRPr="00C917E2">
              <w:rPr>
                <w:rFonts w:asciiTheme="minorHAnsi" w:hAnsiTheme="minorHAnsi"/>
                <w:b/>
                <w:sz w:val="20"/>
                <w:szCs w:val="20"/>
              </w:rPr>
              <w:t>2010</w:t>
            </w:r>
          </w:p>
        </w:tc>
        <w:tc>
          <w:tcPr>
            <w:tcW w:w="515" w:type="pct"/>
            <w:tcBorders>
              <w:top w:val="single" w:sz="8" w:space="0" w:color="4F81BD"/>
              <w:bottom w:val="single" w:sz="8" w:space="0" w:color="4F81BD"/>
            </w:tcBorders>
            <w:shd w:val="clear" w:color="auto" w:fill="auto"/>
          </w:tcPr>
          <w:p w14:paraId="7830907B" w14:textId="77777777" w:rsidR="008B67F3" w:rsidRPr="00C917E2" w:rsidRDefault="008B67F3" w:rsidP="00796CD2">
            <w:pPr>
              <w:keepNext/>
              <w:jc w:val="right"/>
              <w:rPr>
                <w:rFonts w:asciiTheme="minorHAnsi" w:hAnsiTheme="minorHAnsi"/>
                <w:b/>
                <w:sz w:val="20"/>
                <w:szCs w:val="20"/>
              </w:rPr>
            </w:pPr>
            <w:r w:rsidRPr="00C917E2">
              <w:rPr>
                <w:rFonts w:asciiTheme="minorHAnsi" w:hAnsiTheme="minorHAnsi"/>
                <w:b/>
                <w:sz w:val="20"/>
                <w:szCs w:val="20"/>
              </w:rPr>
              <w:t>2011</w:t>
            </w:r>
          </w:p>
        </w:tc>
        <w:tc>
          <w:tcPr>
            <w:tcW w:w="544" w:type="pct"/>
            <w:tcBorders>
              <w:top w:val="single" w:sz="8" w:space="0" w:color="4F81BD"/>
              <w:bottom w:val="single" w:sz="8" w:space="0" w:color="4F81BD"/>
            </w:tcBorders>
            <w:shd w:val="clear" w:color="auto" w:fill="auto"/>
          </w:tcPr>
          <w:p w14:paraId="7A23C04E" w14:textId="77777777" w:rsidR="008B67F3" w:rsidRPr="00C917E2" w:rsidRDefault="008B67F3" w:rsidP="00796CD2">
            <w:pPr>
              <w:keepNext/>
              <w:jc w:val="right"/>
              <w:rPr>
                <w:rFonts w:asciiTheme="minorHAnsi" w:hAnsiTheme="minorHAnsi"/>
                <w:b/>
                <w:sz w:val="20"/>
                <w:szCs w:val="20"/>
              </w:rPr>
            </w:pPr>
            <w:r w:rsidRPr="00C917E2">
              <w:rPr>
                <w:rFonts w:asciiTheme="minorHAnsi" w:hAnsiTheme="minorHAnsi"/>
                <w:b/>
                <w:sz w:val="20"/>
                <w:szCs w:val="20"/>
              </w:rPr>
              <w:t>2012</w:t>
            </w:r>
          </w:p>
        </w:tc>
        <w:tc>
          <w:tcPr>
            <w:tcW w:w="511" w:type="pct"/>
            <w:tcBorders>
              <w:top w:val="single" w:sz="8" w:space="0" w:color="4F81BD"/>
              <w:bottom w:val="single" w:sz="8" w:space="0" w:color="4F81BD"/>
            </w:tcBorders>
            <w:shd w:val="clear" w:color="auto" w:fill="auto"/>
          </w:tcPr>
          <w:p w14:paraId="489579D4" w14:textId="77777777" w:rsidR="008B67F3" w:rsidRPr="00C917E2" w:rsidRDefault="008B67F3" w:rsidP="00AD07E9">
            <w:pPr>
              <w:keepNext/>
              <w:jc w:val="right"/>
              <w:rPr>
                <w:rFonts w:asciiTheme="minorHAnsi" w:hAnsiTheme="minorHAnsi"/>
                <w:b/>
                <w:sz w:val="20"/>
                <w:szCs w:val="20"/>
              </w:rPr>
            </w:pPr>
            <w:r w:rsidRPr="00C917E2">
              <w:rPr>
                <w:rFonts w:asciiTheme="minorHAnsi" w:hAnsiTheme="minorHAnsi"/>
                <w:b/>
                <w:sz w:val="20"/>
                <w:szCs w:val="20"/>
              </w:rPr>
              <w:t>2013</w:t>
            </w:r>
          </w:p>
        </w:tc>
      </w:tr>
      <w:tr w:rsidR="008B67F3" w:rsidRPr="00C917E2" w14:paraId="1C794F3D" w14:textId="77777777" w:rsidTr="00551D51">
        <w:trPr>
          <w:jc w:val="center"/>
        </w:trPr>
        <w:tc>
          <w:tcPr>
            <w:tcW w:w="2279" w:type="pct"/>
            <w:shd w:val="clear" w:color="auto" w:fill="auto"/>
          </w:tcPr>
          <w:p w14:paraId="3A53F58A" w14:textId="77777777" w:rsidR="008B67F3" w:rsidRPr="00C917E2" w:rsidRDefault="008B67F3" w:rsidP="00796CD2">
            <w:pPr>
              <w:keepNext/>
              <w:spacing w:after="0"/>
              <w:rPr>
                <w:rFonts w:asciiTheme="minorHAnsi" w:hAnsiTheme="minorHAnsi"/>
                <w:sz w:val="20"/>
                <w:szCs w:val="20"/>
              </w:rPr>
            </w:pPr>
            <w:r w:rsidRPr="00C917E2">
              <w:rPr>
                <w:rFonts w:asciiTheme="minorHAnsi" w:hAnsiTheme="minorHAnsi"/>
                <w:sz w:val="20"/>
                <w:szCs w:val="20"/>
              </w:rPr>
              <w:t xml:space="preserve">AIDS </w:t>
            </w:r>
            <w:r w:rsidR="006B2D5F" w:rsidRPr="00C917E2">
              <w:rPr>
                <w:rFonts w:asciiTheme="minorHAnsi" w:hAnsiTheme="minorHAnsi"/>
                <w:sz w:val="20"/>
                <w:szCs w:val="20"/>
              </w:rPr>
              <w:t>levy</w:t>
            </w:r>
          </w:p>
        </w:tc>
        <w:tc>
          <w:tcPr>
            <w:tcW w:w="548" w:type="pct"/>
            <w:tcBorders>
              <w:left w:val="nil"/>
              <w:right w:val="nil"/>
            </w:tcBorders>
            <w:shd w:val="clear" w:color="auto" w:fill="auto"/>
          </w:tcPr>
          <w:p w14:paraId="41FF8154"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5,711</w:t>
            </w:r>
          </w:p>
        </w:tc>
        <w:tc>
          <w:tcPr>
            <w:tcW w:w="603" w:type="pct"/>
            <w:shd w:val="clear" w:color="auto" w:fill="auto"/>
          </w:tcPr>
          <w:p w14:paraId="02115753"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20,522</w:t>
            </w:r>
          </w:p>
        </w:tc>
        <w:tc>
          <w:tcPr>
            <w:tcW w:w="515" w:type="pct"/>
            <w:tcBorders>
              <w:left w:val="nil"/>
              <w:right w:val="nil"/>
            </w:tcBorders>
            <w:shd w:val="clear" w:color="auto" w:fill="auto"/>
          </w:tcPr>
          <w:p w14:paraId="6E4FBC87"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26,459</w:t>
            </w:r>
          </w:p>
        </w:tc>
        <w:tc>
          <w:tcPr>
            <w:tcW w:w="544" w:type="pct"/>
            <w:shd w:val="clear" w:color="auto" w:fill="auto"/>
          </w:tcPr>
          <w:p w14:paraId="04007BCA"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32,500</w:t>
            </w:r>
          </w:p>
        </w:tc>
        <w:tc>
          <w:tcPr>
            <w:tcW w:w="511" w:type="pct"/>
            <w:shd w:val="clear" w:color="auto" w:fill="auto"/>
          </w:tcPr>
          <w:p w14:paraId="2199986D"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34,236</w:t>
            </w:r>
          </w:p>
        </w:tc>
      </w:tr>
      <w:tr w:rsidR="008B67F3" w:rsidRPr="00C917E2" w14:paraId="274BC5AC" w14:textId="77777777" w:rsidTr="00551D51">
        <w:trPr>
          <w:jc w:val="center"/>
        </w:trPr>
        <w:tc>
          <w:tcPr>
            <w:tcW w:w="2279" w:type="pct"/>
            <w:shd w:val="clear" w:color="auto" w:fill="auto"/>
          </w:tcPr>
          <w:p w14:paraId="74E18F21" w14:textId="77777777" w:rsidR="008B67F3" w:rsidRPr="00C917E2" w:rsidRDefault="008B67F3" w:rsidP="00796CD2">
            <w:pPr>
              <w:keepNext/>
              <w:spacing w:after="0"/>
              <w:rPr>
                <w:rFonts w:asciiTheme="minorHAnsi" w:hAnsiTheme="minorHAnsi"/>
                <w:sz w:val="20"/>
                <w:szCs w:val="20"/>
              </w:rPr>
            </w:pPr>
            <w:r w:rsidRPr="00C917E2">
              <w:rPr>
                <w:rFonts w:asciiTheme="minorHAnsi" w:hAnsiTheme="minorHAnsi"/>
                <w:sz w:val="20"/>
                <w:szCs w:val="20"/>
              </w:rPr>
              <w:t>General revenue grant</w:t>
            </w:r>
          </w:p>
        </w:tc>
        <w:tc>
          <w:tcPr>
            <w:tcW w:w="548" w:type="pct"/>
            <w:shd w:val="clear" w:color="auto" w:fill="auto"/>
          </w:tcPr>
          <w:p w14:paraId="0C3CD921"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1,259</w:t>
            </w:r>
          </w:p>
        </w:tc>
        <w:tc>
          <w:tcPr>
            <w:tcW w:w="603" w:type="pct"/>
            <w:shd w:val="clear" w:color="auto" w:fill="auto"/>
          </w:tcPr>
          <w:p w14:paraId="15628F72"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1,248,</w:t>
            </w:r>
          </w:p>
        </w:tc>
        <w:tc>
          <w:tcPr>
            <w:tcW w:w="515" w:type="pct"/>
            <w:shd w:val="clear" w:color="auto" w:fill="auto"/>
          </w:tcPr>
          <w:p w14:paraId="0125D4B2"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1,395</w:t>
            </w:r>
          </w:p>
        </w:tc>
        <w:tc>
          <w:tcPr>
            <w:tcW w:w="544" w:type="pct"/>
            <w:shd w:val="clear" w:color="auto" w:fill="auto"/>
          </w:tcPr>
          <w:p w14:paraId="235D60B2"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428</w:t>
            </w:r>
          </w:p>
        </w:tc>
        <w:tc>
          <w:tcPr>
            <w:tcW w:w="511" w:type="pct"/>
            <w:shd w:val="clear" w:color="auto" w:fill="auto"/>
          </w:tcPr>
          <w:p w14:paraId="505350B3"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1,031</w:t>
            </w:r>
          </w:p>
        </w:tc>
      </w:tr>
      <w:tr w:rsidR="008B67F3" w:rsidRPr="00C917E2" w14:paraId="60AB6C28" w14:textId="77777777" w:rsidTr="00551D51">
        <w:trPr>
          <w:jc w:val="center"/>
        </w:trPr>
        <w:tc>
          <w:tcPr>
            <w:tcW w:w="2279" w:type="pct"/>
            <w:shd w:val="clear" w:color="auto" w:fill="auto"/>
          </w:tcPr>
          <w:p w14:paraId="20EB232A" w14:textId="77777777" w:rsidR="008B67F3" w:rsidRPr="00C917E2" w:rsidRDefault="008B67F3" w:rsidP="00796CD2">
            <w:pPr>
              <w:keepNext/>
              <w:spacing w:after="0"/>
              <w:rPr>
                <w:rFonts w:asciiTheme="minorHAnsi" w:hAnsiTheme="minorHAnsi"/>
                <w:sz w:val="20"/>
                <w:szCs w:val="20"/>
              </w:rPr>
            </w:pPr>
            <w:r w:rsidRPr="00C917E2">
              <w:rPr>
                <w:rFonts w:asciiTheme="minorHAnsi" w:hAnsiTheme="minorHAnsi"/>
                <w:sz w:val="20"/>
                <w:szCs w:val="20"/>
              </w:rPr>
              <w:t>Global Fund</w:t>
            </w:r>
          </w:p>
        </w:tc>
        <w:tc>
          <w:tcPr>
            <w:tcW w:w="548" w:type="pct"/>
            <w:tcBorders>
              <w:left w:val="nil"/>
              <w:right w:val="nil"/>
            </w:tcBorders>
            <w:shd w:val="clear" w:color="auto" w:fill="auto"/>
          </w:tcPr>
          <w:p w14:paraId="77B0C744"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14,310</w:t>
            </w:r>
          </w:p>
        </w:tc>
        <w:tc>
          <w:tcPr>
            <w:tcW w:w="603" w:type="pct"/>
            <w:shd w:val="clear" w:color="auto" w:fill="auto"/>
          </w:tcPr>
          <w:p w14:paraId="53D960B5"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17,432</w:t>
            </w:r>
          </w:p>
        </w:tc>
        <w:tc>
          <w:tcPr>
            <w:tcW w:w="515" w:type="pct"/>
            <w:tcBorders>
              <w:left w:val="nil"/>
              <w:right w:val="nil"/>
            </w:tcBorders>
            <w:shd w:val="clear" w:color="auto" w:fill="auto"/>
          </w:tcPr>
          <w:p w14:paraId="555FD3E6" w14:textId="77777777" w:rsidR="008B67F3" w:rsidRPr="00C917E2" w:rsidRDefault="008B67F3" w:rsidP="001D7DFE">
            <w:pPr>
              <w:keepNext/>
              <w:spacing w:after="0"/>
              <w:jc w:val="right"/>
              <w:rPr>
                <w:rFonts w:asciiTheme="minorHAnsi" w:hAnsiTheme="minorHAnsi"/>
                <w:sz w:val="20"/>
                <w:szCs w:val="20"/>
              </w:rPr>
            </w:pPr>
            <w:r w:rsidRPr="00C917E2">
              <w:rPr>
                <w:rFonts w:asciiTheme="minorHAnsi" w:hAnsiTheme="minorHAnsi"/>
                <w:sz w:val="20"/>
                <w:szCs w:val="20"/>
              </w:rPr>
              <w:t>5,566</w:t>
            </w:r>
          </w:p>
        </w:tc>
        <w:tc>
          <w:tcPr>
            <w:tcW w:w="544" w:type="pct"/>
            <w:shd w:val="clear" w:color="auto" w:fill="auto"/>
          </w:tcPr>
          <w:p w14:paraId="5850F7B8"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na</w:t>
            </w:r>
          </w:p>
        </w:tc>
        <w:tc>
          <w:tcPr>
            <w:tcW w:w="511" w:type="pct"/>
            <w:shd w:val="clear" w:color="auto" w:fill="auto"/>
          </w:tcPr>
          <w:p w14:paraId="353C2D87"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na</w:t>
            </w:r>
          </w:p>
        </w:tc>
      </w:tr>
      <w:tr w:rsidR="008B67F3" w:rsidRPr="00C917E2" w14:paraId="138065B7" w14:textId="77777777" w:rsidTr="00551D51">
        <w:trPr>
          <w:jc w:val="center"/>
        </w:trPr>
        <w:tc>
          <w:tcPr>
            <w:tcW w:w="2279" w:type="pct"/>
            <w:shd w:val="clear" w:color="auto" w:fill="auto"/>
          </w:tcPr>
          <w:p w14:paraId="2B612BC0" w14:textId="77777777" w:rsidR="008B67F3" w:rsidRPr="00C917E2" w:rsidRDefault="008B67F3" w:rsidP="00796CD2">
            <w:pPr>
              <w:keepNext/>
              <w:spacing w:after="0"/>
              <w:rPr>
                <w:rFonts w:asciiTheme="minorHAnsi" w:hAnsiTheme="minorHAnsi"/>
                <w:sz w:val="20"/>
                <w:szCs w:val="20"/>
              </w:rPr>
            </w:pPr>
            <w:r w:rsidRPr="00C917E2">
              <w:rPr>
                <w:rFonts w:asciiTheme="minorHAnsi" w:hAnsiTheme="minorHAnsi"/>
                <w:sz w:val="20"/>
                <w:szCs w:val="20"/>
              </w:rPr>
              <w:t>Investment income</w:t>
            </w:r>
          </w:p>
        </w:tc>
        <w:tc>
          <w:tcPr>
            <w:tcW w:w="548" w:type="pct"/>
            <w:shd w:val="clear" w:color="auto" w:fill="auto"/>
          </w:tcPr>
          <w:p w14:paraId="49D829D5"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10</w:t>
            </w:r>
          </w:p>
        </w:tc>
        <w:tc>
          <w:tcPr>
            <w:tcW w:w="603" w:type="pct"/>
            <w:shd w:val="clear" w:color="auto" w:fill="auto"/>
          </w:tcPr>
          <w:p w14:paraId="04C9BC5B"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655</w:t>
            </w:r>
          </w:p>
        </w:tc>
        <w:tc>
          <w:tcPr>
            <w:tcW w:w="515" w:type="pct"/>
            <w:shd w:val="clear" w:color="auto" w:fill="auto"/>
          </w:tcPr>
          <w:p w14:paraId="4A4B98B8"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1,114</w:t>
            </w:r>
          </w:p>
        </w:tc>
        <w:tc>
          <w:tcPr>
            <w:tcW w:w="544" w:type="pct"/>
            <w:shd w:val="clear" w:color="auto" w:fill="auto"/>
          </w:tcPr>
          <w:p w14:paraId="512EA462"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680</w:t>
            </w:r>
          </w:p>
        </w:tc>
        <w:tc>
          <w:tcPr>
            <w:tcW w:w="511" w:type="pct"/>
            <w:shd w:val="clear" w:color="auto" w:fill="auto"/>
          </w:tcPr>
          <w:p w14:paraId="05651FC4"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607</w:t>
            </w:r>
          </w:p>
        </w:tc>
      </w:tr>
      <w:tr w:rsidR="008B67F3" w:rsidRPr="00C917E2" w14:paraId="0574EC86" w14:textId="77777777" w:rsidTr="00551D51">
        <w:trPr>
          <w:jc w:val="center"/>
        </w:trPr>
        <w:tc>
          <w:tcPr>
            <w:tcW w:w="2279" w:type="pct"/>
            <w:shd w:val="clear" w:color="auto" w:fill="auto"/>
          </w:tcPr>
          <w:p w14:paraId="3FCAEA35" w14:textId="77777777" w:rsidR="008B67F3" w:rsidRPr="00C917E2" w:rsidRDefault="008B67F3" w:rsidP="00796CD2">
            <w:pPr>
              <w:keepNext/>
              <w:spacing w:after="0"/>
              <w:rPr>
                <w:rFonts w:asciiTheme="minorHAnsi" w:hAnsiTheme="minorHAnsi"/>
                <w:sz w:val="20"/>
                <w:szCs w:val="20"/>
              </w:rPr>
            </w:pPr>
            <w:r w:rsidRPr="00C917E2">
              <w:rPr>
                <w:rFonts w:asciiTheme="minorHAnsi" w:hAnsiTheme="minorHAnsi"/>
                <w:sz w:val="20"/>
                <w:szCs w:val="20"/>
              </w:rPr>
              <w:t>Profit on disposal of noncurrent assets</w:t>
            </w:r>
          </w:p>
        </w:tc>
        <w:tc>
          <w:tcPr>
            <w:tcW w:w="548" w:type="pct"/>
            <w:tcBorders>
              <w:left w:val="nil"/>
              <w:right w:val="nil"/>
            </w:tcBorders>
            <w:shd w:val="clear" w:color="auto" w:fill="auto"/>
          </w:tcPr>
          <w:p w14:paraId="6687CD17" w14:textId="77777777" w:rsidR="008B67F3" w:rsidRPr="00C917E2" w:rsidRDefault="008B67F3" w:rsidP="001D7DFE">
            <w:pPr>
              <w:keepNext/>
              <w:spacing w:after="0"/>
              <w:jc w:val="right"/>
              <w:rPr>
                <w:rFonts w:asciiTheme="minorHAnsi" w:hAnsiTheme="minorHAnsi"/>
                <w:sz w:val="20"/>
                <w:szCs w:val="20"/>
              </w:rPr>
            </w:pPr>
            <w:r w:rsidRPr="00C917E2">
              <w:rPr>
                <w:rFonts w:asciiTheme="minorHAnsi" w:hAnsiTheme="minorHAnsi"/>
                <w:sz w:val="20"/>
                <w:szCs w:val="20"/>
              </w:rPr>
              <w:t>6</w:t>
            </w:r>
          </w:p>
        </w:tc>
        <w:tc>
          <w:tcPr>
            <w:tcW w:w="603" w:type="pct"/>
            <w:shd w:val="clear" w:color="auto" w:fill="auto"/>
          </w:tcPr>
          <w:p w14:paraId="02D3E365"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14</w:t>
            </w:r>
          </w:p>
        </w:tc>
        <w:tc>
          <w:tcPr>
            <w:tcW w:w="515" w:type="pct"/>
            <w:tcBorders>
              <w:left w:val="nil"/>
              <w:right w:val="nil"/>
            </w:tcBorders>
            <w:shd w:val="clear" w:color="auto" w:fill="auto"/>
          </w:tcPr>
          <w:p w14:paraId="15C74CB8"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14</w:t>
            </w:r>
          </w:p>
        </w:tc>
        <w:tc>
          <w:tcPr>
            <w:tcW w:w="544" w:type="pct"/>
            <w:shd w:val="clear" w:color="auto" w:fill="auto"/>
          </w:tcPr>
          <w:p w14:paraId="19D6FD13"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12</w:t>
            </w:r>
          </w:p>
        </w:tc>
        <w:tc>
          <w:tcPr>
            <w:tcW w:w="511" w:type="pct"/>
            <w:shd w:val="clear" w:color="auto" w:fill="auto"/>
          </w:tcPr>
          <w:p w14:paraId="67B77E4B"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0.8</w:t>
            </w:r>
          </w:p>
        </w:tc>
      </w:tr>
      <w:tr w:rsidR="008B67F3" w:rsidRPr="00C917E2" w14:paraId="5AFE17BD" w14:textId="77777777" w:rsidTr="00551D51">
        <w:trPr>
          <w:jc w:val="center"/>
        </w:trPr>
        <w:tc>
          <w:tcPr>
            <w:tcW w:w="2279" w:type="pct"/>
            <w:shd w:val="clear" w:color="auto" w:fill="auto"/>
          </w:tcPr>
          <w:p w14:paraId="71A28C05" w14:textId="77777777" w:rsidR="008B67F3" w:rsidRPr="00C917E2" w:rsidRDefault="008B67F3" w:rsidP="00796CD2">
            <w:pPr>
              <w:keepNext/>
              <w:spacing w:after="0"/>
              <w:rPr>
                <w:rFonts w:asciiTheme="minorHAnsi" w:hAnsiTheme="minorHAnsi"/>
                <w:sz w:val="20"/>
                <w:szCs w:val="20"/>
              </w:rPr>
            </w:pPr>
            <w:r w:rsidRPr="00C917E2">
              <w:rPr>
                <w:rFonts w:asciiTheme="minorHAnsi" w:hAnsiTheme="minorHAnsi"/>
                <w:sz w:val="20"/>
                <w:szCs w:val="20"/>
              </w:rPr>
              <w:t>Other</w:t>
            </w:r>
          </w:p>
        </w:tc>
        <w:tc>
          <w:tcPr>
            <w:tcW w:w="548" w:type="pct"/>
            <w:shd w:val="clear" w:color="auto" w:fill="auto"/>
          </w:tcPr>
          <w:p w14:paraId="03E296A1"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2</w:t>
            </w:r>
          </w:p>
        </w:tc>
        <w:tc>
          <w:tcPr>
            <w:tcW w:w="603" w:type="pct"/>
            <w:shd w:val="clear" w:color="auto" w:fill="auto"/>
          </w:tcPr>
          <w:p w14:paraId="26B946E0"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14</w:t>
            </w:r>
          </w:p>
        </w:tc>
        <w:tc>
          <w:tcPr>
            <w:tcW w:w="515" w:type="pct"/>
            <w:shd w:val="clear" w:color="auto" w:fill="auto"/>
          </w:tcPr>
          <w:p w14:paraId="2CE0D58B"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18</w:t>
            </w:r>
          </w:p>
        </w:tc>
        <w:tc>
          <w:tcPr>
            <w:tcW w:w="544" w:type="pct"/>
            <w:shd w:val="clear" w:color="auto" w:fill="auto"/>
          </w:tcPr>
          <w:p w14:paraId="486D0AFD"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20</w:t>
            </w:r>
          </w:p>
        </w:tc>
        <w:tc>
          <w:tcPr>
            <w:tcW w:w="511" w:type="pct"/>
            <w:shd w:val="clear" w:color="auto" w:fill="auto"/>
          </w:tcPr>
          <w:p w14:paraId="1A4B6F6B" w14:textId="77777777" w:rsidR="008B67F3" w:rsidRPr="00C917E2" w:rsidRDefault="008B67F3" w:rsidP="00796CD2">
            <w:pPr>
              <w:keepNext/>
              <w:spacing w:after="0"/>
              <w:jc w:val="right"/>
              <w:rPr>
                <w:rFonts w:asciiTheme="minorHAnsi" w:hAnsiTheme="minorHAnsi"/>
                <w:sz w:val="20"/>
                <w:szCs w:val="20"/>
              </w:rPr>
            </w:pPr>
            <w:r w:rsidRPr="00C917E2">
              <w:rPr>
                <w:rFonts w:asciiTheme="minorHAnsi" w:hAnsiTheme="minorHAnsi"/>
                <w:sz w:val="20"/>
                <w:szCs w:val="20"/>
              </w:rPr>
              <w:t>28</w:t>
            </w:r>
          </w:p>
        </w:tc>
      </w:tr>
    </w:tbl>
    <w:p w14:paraId="60E18C85" w14:textId="77777777" w:rsidR="00EC35B6" w:rsidRPr="00C917E2" w:rsidRDefault="00EC35B6" w:rsidP="00EC35B6">
      <w:pPr>
        <w:pStyle w:val="Source"/>
      </w:pPr>
      <w:r w:rsidRPr="00E94700">
        <w:rPr>
          <w:i/>
        </w:rPr>
        <w:t>Sources:</w:t>
      </w:r>
      <w:r w:rsidRPr="00C917E2">
        <w:t xml:space="preserve"> NAC 2010 and 2011 audited accounts</w:t>
      </w:r>
      <w:r>
        <w:t>;</w:t>
      </w:r>
      <w:r w:rsidRPr="00C917E2">
        <w:t xml:space="preserve"> MOFED for 2012 and 2013</w:t>
      </w:r>
      <w:r>
        <w:t>;</w:t>
      </w:r>
      <w:r w:rsidRPr="00C917E2">
        <w:t xml:space="preserve"> NAC 2014 progress reports on annual HIV/AIDS estimates and coverage targets.</w:t>
      </w:r>
    </w:p>
    <w:p w14:paraId="47D8A282" w14:textId="77777777" w:rsidR="00EC35B6" w:rsidRPr="00C917E2" w:rsidRDefault="00EC35B6" w:rsidP="00EC35B6">
      <w:pPr>
        <w:pStyle w:val="Source"/>
        <w:rPr>
          <w:b/>
        </w:rPr>
      </w:pPr>
      <w:r w:rsidRPr="00E94700">
        <w:rPr>
          <w:i/>
        </w:rPr>
        <w:t>Note:</w:t>
      </w:r>
      <w:r w:rsidRPr="00C917E2">
        <w:t xml:space="preserve"> No information could be obtained on foreign aid to NAC for 2012 and 2013. Given the withdrawal of Global Fund support through NAC and a statement in the NAC 2014 progress report on a major challenge being “Limited funding due to withdrawal of other funders,” it was assumed that the NAC did not directly channel foreign aid after 2011.</w:t>
      </w:r>
    </w:p>
    <w:p w14:paraId="5CDF270C" w14:textId="77777777" w:rsidR="008B67F3" w:rsidRPr="00C917E2" w:rsidRDefault="008B67F3" w:rsidP="00EC35B6">
      <w:pPr>
        <w:pStyle w:val="Source"/>
      </w:pPr>
      <w:r w:rsidRPr="00C917E2">
        <w:t>na = no data</w:t>
      </w:r>
      <w:r w:rsidR="00F67A69">
        <w:t xml:space="preserve"> available</w:t>
      </w:r>
      <w:r w:rsidR="006B2D5F">
        <w:t>.</w:t>
      </w:r>
      <w:r w:rsidRPr="00C917E2">
        <w:t xml:space="preserve"> </w:t>
      </w:r>
    </w:p>
    <w:p w14:paraId="77E9DEAF" w14:textId="523DC15E" w:rsidR="00E161F2" w:rsidRPr="0019307B" w:rsidRDefault="00E161F2" w:rsidP="00D37198">
      <w:pPr>
        <w:pStyle w:val="Numberpara"/>
      </w:pPr>
      <w:r w:rsidRPr="0019307B">
        <w:t xml:space="preserve">The mechanism of the AIDS levy could potentially be expanded, so as to include additional disease control programs. Although strict constraints on the allocation of revenues may not be optimal, some control is necessary to ensure that the new funds are used in a balanced way, in terms of inputs and services, and, as with the AIDS levy, such control can be built into the mechanism. Additional revenue could be used to smooth fluctuations in foreign aid going to specific health programs and ensure a critical level of funding. </w:t>
      </w:r>
      <w:r w:rsidR="005A6561" w:rsidRPr="0019307B">
        <w:t xml:space="preserve">Further analysis of this possible expansion in the scope of the AIDS levy should be undertaken so that full implications of such a move are carefully reviewed before any final decisions are made. </w:t>
      </w:r>
      <w:r w:rsidRPr="0019307B">
        <w:t>The revenue base of the levy has already been broadened as mining companies are no longer exempt (since January 2015), which should boost revenues. It may be possible to do more, in particular examining the chances of including the informal economy, bearing in mind possible effects on equity and collection efficiency.</w:t>
      </w:r>
      <w:r w:rsidR="005A6561" w:rsidRPr="0019307B">
        <w:t xml:space="preserve"> </w:t>
      </w:r>
    </w:p>
    <w:p w14:paraId="6210CBEB" w14:textId="77777777" w:rsidR="008B67F3" w:rsidRPr="00C917E2" w:rsidRDefault="008B67F3" w:rsidP="00303D80">
      <w:pPr>
        <w:pStyle w:val="Heading3"/>
      </w:pPr>
      <w:bookmarkStart w:id="244" w:name="_Toc419004032"/>
      <w:r w:rsidRPr="00C917E2">
        <w:t>Excise Taxes</w:t>
      </w:r>
      <w:bookmarkEnd w:id="244"/>
    </w:p>
    <w:p w14:paraId="396BE963" w14:textId="27E63488" w:rsidR="00B1362F" w:rsidRPr="0019307B" w:rsidRDefault="004779A8" w:rsidP="00D37198">
      <w:pPr>
        <w:pStyle w:val="Numberpara"/>
      </w:pPr>
      <w:r w:rsidRPr="0019307B">
        <w:t xml:space="preserve">Excise duties on tobacco, cigarettes, and fuel contribute significantly to tax revenues, though they are not earmarked for health. </w:t>
      </w:r>
      <w:r w:rsidR="008B67F3" w:rsidRPr="0019307B">
        <w:t>Zimbabwe has some latitude to increase its excise tax on cigarettes and match those of its regional counterparts (</w:t>
      </w:r>
      <w:r w:rsidR="00C713A9" w:rsidRPr="0019307B">
        <w:fldChar w:fldCharType="begin"/>
      </w:r>
      <w:r w:rsidR="00FF3BD3" w:rsidRPr="0019307B">
        <w:instrText xml:space="preserve"> REF _Ref414597628 \h </w:instrText>
      </w:r>
      <w:r w:rsidR="00C713A9" w:rsidRPr="0019307B">
        <w:fldChar w:fldCharType="separate"/>
      </w:r>
      <w:r w:rsidR="003732A2" w:rsidRPr="00C917E2">
        <w:t xml:space="preserve">Table </w:t>
      </w:r>
      <w:r w:rsidR="003732A2">
        <w:rPr>
          <w:noProof/>
        </w:rPr>
        <w:t>13</w:t>
      </w:r>
      <w:r w:rsidR="00C713A9" w:rsidRPr="0019307B">
        <w:fldChar w:fldCharType="end"/>
      </w:r>
      <w:r w:rsidR="008B67F3" w:rsidRPr="0019307B">
        <w:t xml:space="preserve">). Though modest, it may even have the effect of reducing cigarette smuggling between Zimbabwe and its neighbors. More important, perhaps, would be the health (and long-term government financial benefit): </w:t>
      </w:r>
      <w:r w:rsidR="00E161F2" w:rsidRPr="0019307B">
        <w:t xml:space="preserve">several </w:t>
      </w:r>
      <w:r w:rsidR="00511201" w:rsidRPr="0019307B">
        <w:t>studies</w:t>
      </w:r>
      <w:r w:rsidR="00E161F2" w:rsidRPr="00D666D8">
        <w:rPr>
          <w:vertAlign w:val="superscript"/>
        </w:rPr>
        <w:endnoteReference w:id="89"/>
      </w:r>
      <w:r w:rsidR="008B67F3" w:rsidRPr="0019307B">
        <w:t xml:space="preserve"> </w:t>
      </w:r>
      <w:r w:rsidR="00511201" w:rsidRPr="0019307B">
        <w:t xml:space="preserve">have </w:t>
      </w:r>
      <w:r w:rsidR="008B67F3" w:rsidRPr="0019307B">
        <w:t>show</w:t>
      </w:r>
      <w:r w:rsidR="00E161F2" w:rsidRPr="0019307B">
        <w:t>n</w:t>
      </w:r>
      <w:r w:rsidR="008B67F3" w:rsidRPr="0019307B">
        <w:t xml:space="preserve"> potential gains in revenue and health</w:t>
      </w:r>
      <w:r w:rsidR="00755F56" w:rsidRPr="0019307B">
        <w:t xml:space="preserve"> outcomes</w:t>
      </w:r>
      <w:r w:rsidR="008B67F3" w:rsidRPr="0019307B">
        <w:t xml:space="preserve"> if cigarette excise </w:t>
      </w:r>
      <w:r w:rsidR="00E161F2" w:rsidRPr="0019307B">
        <w:t xml:space="preserve">is </w:t>
      </w:r>
      <w:r w:rsidR="008B67F3" w:rsidRPr="0019307B">
        <w:t>raised, citing India and Vietnam, where such taxes take in the equivalent of 0.3–0.4 percent of GDP.</w:t>
      </w:r>
      <w:r w:rsidR="008B67F3" w:rsidRPr="00B1362F">
        <w:rPr>
          <w:vertAlign w:val="superscript"/>
        </w:rPr>
        <w:endnoteReference w:id="90"/>
      </w:r>
      <w:r w:rsidR="00B1362F" w:rsidRPr="00B1362F">
        <w:rPr>
          <w:vertAlign w:val="superscript"/>
        </w:rPr>
        <w:t>,</w:t>
      </w:r>
      <w:r w:rsidRPr="00B1362F">
        <w:rPr>
          <w:vertAlign w:val="superscript"/>
        </w:rPr>
        <w:t xml:space="preserve"> </w:t>
      </w:r>
      <w:r w:rsidR="00B1362F" w:rsidRPr="00B1362F">
        <w:rPr>
          <w:vertAlign w:val="superscript"/>
        </w:rPr>
        <w:endnoteReference w:id="91"/>
      </w:r>
    </w:p>
    <w:p w14:paraId="7BE54DD5" w14:textId="77777777" w:rsidR="008B67F3" w:rsidRPr="00C917E2" w:rsidRDefault="008B67F3" w:rsidP="00C53C89">
      <w:pPr>
        <w:pStyle w:val="Table"/>
        <w:rPr>
          <w:rFonts w:eastAsia="Times New Roman"/>
        </w:rPr>
      </w:pPr>
      <w:bookmarkStart w:id="245" w:name="_Ref414597628"/>
      <w:bookmarkStart w:id="246" w:name="_Toc419004081"/>
      <w:r w:rsidRPr="00C917E2">
        <w:lastRenderedPageBreak/>
        <w:t xml:space="preserve">Table </w:t>
      </w:r>
      <w:r w:rsidR="00113462">
        <w:fldChar w:fldCharType="begin"/>
      </w:r>
      <w:r w:rsidR="00113462">
        <w:instrText xml:space="preserve"> SEQ Table \* ARABIC </w:instrText>
      </w:r>
      <w:r w:rsidR="00113462">
        <w:fldChar w:fldCharType="separate"/>
      </w:r>
      <w:r w:rsidR="003732A2">
        <w:rPr>
          <w:noProof/>
        </w:rPr>
        <w:t>13</w:t>
      </w:r>
      <w:r w:rsidR="00113462">
        <w:rPr>
          <w:noProof/>
        </w:rPr>
        <w:fldChar w:fldCharType="end"/>
      </w:r>
      <w:bookmarkEnd w:id="245"/>
      <w:r w:rsidRPr="00C917E2">
        <w:t xml:space="preserve"> Cigarette Tax Rates, Zimbabwe and Regional Peers</w:t>
      </w:r>
      <w:bookmarkEnd w:id="246"/>
    </w:p>
    <w:tbl>
      <w:tblPr>
        <w:tblW w:w="9198" w:type="dxa"/>
        <w:tblLook w:val="0420" w:firstRow="1" w:lastRow="0" w:firstColumn="0" w:lastColumn="0" w:noHBand="0" w:noVBand="1"/>
      </w:tblPr>
      <w:tblGrid>
        <w:gridCol w:w="1615"/>
        <w:gridCol w:w="2527"/>
        <w:gridCol w:w="2528"/>
        <w:gridCol w:w="2528"/>
      </w:tblGrid>
      <w:tr w:rsidR="008B67F3" w:rsidRPr="00C917E2" w14:paraId="231CC19F" w14:textId="77777777" w:rsidTr="00E161F2">
        <w:tc>
          <w:tcPr>
            <w:tcW w:w="1615" w:type="dxa"/>
            <w:tcBorders>
              <w:top w:val="single" w:sz="4" w:space="0" w:color="auto"/>
              <w:bottom w:val="single" w:sz="4" w:space="0" w:color="auto"/>
            </w:tcBorders>
            <w:shd w:val="clear" w:color="auto" w:fill="auto"/>
          </w:tcPr>
          <w:p w14:paraId="26E7E089" w14:textId="77777777" w:rsidR="008B67F3" w:rsidRPr="00C917E2" w:rsidRDefault="008B67F3" w:rsidP="00E161F2">
            <w:pPr>
              <w:keepNext/>
              <w:spacing w:after="0"/>
              <w:rPr>
                <w:rFonts w:asciiTheme="minorHAnsi" w:hAnsiTheme="minorHAnsi"/>
                <w:b/>
                <w:sz w:val="20"/>
                <w:szCs w:val="20"/>
              </w:rPr>
            </w:pPr>
            <w:r w:rsidRPr="00C917E2">
              <w:rPr>
                <w:rFonts w:asciiTheme="minorHAnsi" w:hAnsiTheme="minorHAnsi"/>
                <w:b/>
                <w:sz w:val="20"/>
                <w:szCs w:val="20"/>
              </w:rPr>
              <w:t>Country</w:t>
            </w:r>
          </w:p>
        </w:tc>
        <w:tc>
          <w:tcPr>
            <w:tcW w:w="2527" w:type="dxa"/>
            <w:tcBorders>
              <w:top w:val="single" w:sz="4" w:space="0" w:color="auto"/>
              <w:bottom w:val="single" w:sz="4" w:space="0" w:color="auto"/>
            </w:tcBorders>
          </w:tcPr>
          <w:p w14:paraId="289DC0DC" w14:textId="77777777" w:rsidR="008B67F3" w:rsidRPr="00C917E2" w:rsidRDefault="008B67F3" w:rsidP="00E161F2">
            <w:pPr>
              <w:keepNext/>
              <w:spacing w:after="0"/>
              <w:jc w:val="center"/>
              <w:rPr>
                <w:rFonts w:asciiTheme="minorHAnsi" w:hAnsiTheme="minorHAnsi"/>
                <w:b/>
                <w:sz w:val="20"/>
                <w:szCs w:val="20"/>
              </w:rPr>
            </w:pPr>
            <w:r w:rsidRPr="00C917E2">
              <w:rPr>
                <w:rFonts w:asciiTheme="minorHAnsi" w:hAnsiTheme="minorHAnsi"/>
                <w:b/>
                <w:sz w:val="20"/>
                <w:szCs w:val="20"/>
              </w:rPr>
              <w:t xml:space="preserve">Cigarette </w:t>
            </w:r>
            <w:r w:rsidR="00E161F2" w:rsidRPr="00C917E2">
              <w:rPr>
                <w:rFonts w:asciiTheme="minorHAnsi" w:hAnsiTheme="minorHAnsi"/>
                <w:b/>
                <w:sz w:val="20"/>
                <w:szCs w:val="20"/>
              </w:rPr>
              <w:t xml:space="preserve">Price </w:t>
            </w:r>
            <w:r w:rsidRPr="00C917E2">
              <w:rPr>
                <w:rFonts w:asciiTheme="minorHAnsi" w:hAnsiTheme="minorHAnsi"/>
                <w:b/>
                <w:sz w:val="20"/>
                <w:szCs w:val="20"/>
              </w:rPr>
              <w:t xml:space="preserve">per </w:t>
            </w:r>
            <w:r w:rsidR="00E161F2" w:rsidRPr="00C917E2">
              <w:rPr>
                <w:rFonts w:asciiTheme="minorHAnsi" w:hAnsiTheme="minorHAnsi"/>
                <w:b/>
                <w:sz w:val="20"/>
                <w:szCs w:val="20"/>
              </w:rPr>
              <w:t xml:space="preserve">Pack </w:t>
            </w:r>
            <w:r w:rsidRPr="00C917E2">
              <w:rPr>
                <w:rFonts w:asciiTheme="minorHAnsi" w:hAnsiTheme="minorHAnsi"/>
                <w:b/>
                <w:sz w:val="20"/>
                <w:szCs w:val="20"/>
              </w:rPr>
              <w:t>(US$)</w:t>
            </w:r>
          </w:p>
        </w:tc>
        <w:tc>
          <w:tcPr>
            <w:tcW w:w="2528" w:type="dxa"/>
            <w:tcBorders>
              <w:top w:val="single" w:sz="4" w:space="0" w:color="auto"/>
              <w:bottom w:val="single" w:sz="4" w:space="0" w:color="auto"/>
            </w:tcBorders>
          </w:tcPr>
          <w:p w14:paraId="46FC90A3" w14:textId="77777777" w:rsidR="008B67F3" w:rsidRPr="00C917E2" w:rsidRDefault="008B67F3" w:rsidP="00E161F2">
            <w:pPr>
              <w:keepNext/>
              <w:spacing w:after="0"/>
              <w:jc w:val="center"/>
              <w:rPr>
                <w:rFonts w:asciiTheme="minorHAnsi" w:hAnsiTheme="minorHAnsi"/>
                <w:b/>
                <w:sz w:val="20"/>
                <w:szCs w:val="20"/>
              </w:rPr>
            </w:pPr>
            <w:r w:rsidRPr="00C917E2">
              <w:rPr>
                <w:rFonts w:asciiTheme="minorHAnsi" w:hAnsiTheme="minorHAnsi"/>
                <w:b/>
                <w:sz w:val="20"/>
                <w:szCs w:val="20"/>
              </w:rPr>
              <w:t xml:space="preserve">Illicit </w:t>
            </w:r>
            <w:r w:rsidR="00E161F2" w:rsidRPr="00C917E2">
              <w:rPr>
                <w:rFonts w:asciiTheme="minorHAnsi" w:hAnsiTheme="minorHAnsi"/>
                <w:b/>
                <w:sz w:val="20"/>
                <w:szCs w:val="20"/>
              </w:rPr>
              <w:t xml:space="preserve">Share </w:t>
            </w:r>
            <w:r w:rsidRPr="00C917E2">
              <w:rPr>
                <w:rFonts w:asciiTheme="minorHAnsi" w:hAnsiTheme="minorHAnsi"/>
                <w:b/>
                <w:sz w:val="20"/>
                <w:szCs w:val="20"/>
              </w:rPr>
              <w:t xml:space="preserve">of the </w:t>
            </w:r>
            <w:r w:rsidR="00E161F2" w:rsidRPr="00C917E2">
              <w:rPr>
                <w:rFonts w:asciiTheme="minorHAnsi" w:hAnsiTheme="minorHAnsi"/>
                <w:b/>
                <w:sz w:val="20"/>
                <w:szCs w:val="20"/>
              </w:rPr>
              <w:t xml:space="preserve">Total Cigarette Market </w:t>
            </w:r>
            <w:r w:rsidRPr="00C917E2">
              <w:rPr>
                <w:rFonts w:asciiTheme="minorHAnsi" w:hAnsiTheme="minorHAnsi"/>
                <w:b/>
                <w:sz w:val="20"/>
                <w:szCs w:val="20"/>
              </w:rPr>
              <w:t>(%)</w:t>
            </w:r>
          </w:p>
        </w:tc>
        <w:tc>
          <w:tcPr>
            <w:tcW w:w="2528" w:type="dxa"/>
            <w:tcBorders>
              <w:top w:val="single" w:sz="4" w:space="0" w:color="auto"/>
              <w:bottom w:val="single" w:sz="4" w:space="0" w:color="auto"/>
            </w:tcBorders>
            <w:shd w:val="clear" w:color="auto" w:fill="auto"/>
          </w:tcPr>
          <w:p w14:paraId="62459973" w14:textId="77777777" w:rsidR="008B67F3" w:rsidRPr="00C917E2" w:rsidRDefault="008B67F3" w:rsidP="00E161F2">
            <w:pPr>
              <w:keepNext/>
              <w:spacing w:after="0"/>
              <w:jc w:val="center"/>
              <w:rPr>
                <w:rFonts w:asciiTheme="minorHAnsi" w:hAnsiTheme="minorHAnsi"/>
                <w:b/>
                <w:sz w:val="20"/>
                <w:szCs w:val="20"/>
              </w:rPr>
            </w:pPr>
            <w:r w:rsidRPr="00C917E2">
              <w:rPr>
                <w:rFonts w:asciiTheme="minorHAnsi" w:hAnsiTheme="minorHAnsi"/>
                <w:b/>
                <w:sz w:val="20"/>
                <w:szCs w:val="20"/>
              </w:rPr>
              <w:t xml:space="preserve">Excise </w:t>
            </w:r>
            <w:r w:rsidR="00E161F2" w:rsidRPr="00C917E2">
              <w:rPr>
                <w:rFonts w:asciiTheme="minorHAnsi" w:hAnsiTheme="minorHAnsi"/>
                <w:b/>
                <w:sz w:val="20"/>
                <w:szCs w:val="20"/>
              </w:rPr>
              <w:t xml:space="preserve">Tax </w:t>
            </w:r>
            <w:r w:rsidR="006B2D5F" w:rsidRPr="00C917E2">
              <w:rPr>
                <w:rFonts w:asciiTheme="minorHAnsi" w:hAnsiTheme="minorHAnsi"/>
                <w:b/>
                <w:sz w:val="20"/>
                <w:szCs w:val="20"/>
              </w:rPr>
              <w:t xml:space="preserve">as </w:t>
            </w:r>
            <w:r w:rsidR="00E161F2" w:rsidRPr="00C917E2">
              <w:rPr>
                <w:rFonts w:asciiTheme="minorHAnsi" w:hAnsiTheme="minorHAnsi"/>
                <w:b/>
                <w:sz w:val="20"/>
                <w:szCs w:val="20"/>
              </w:rPr>
              <w:t xml:space="preserve">Share </w:t>
            </w:r>
            <w:r w:rsidR="006B2D5F" w:rsidRPr="00C917E2">
              <w:rPr>
                <w:rFonts w:asciiTheme="minorHAnsi" w:hAnsiTheme="minorHAnsi"/>
                <w:b/>
                <w:sz w:val="20"/>
                <w:szCs w:val="20"/>
              </w:rPr>
              <w:t xml:space="preserve">of </w:t>
            </w:r>
            <w:r w:rsidR="00E161F2" w:rsidRPr="00C917E2">
              <w:rPr>
                <w:rFonts w:asciiTheme="minorHAnsi" w:hAnsiTheme="minorHAnsi"/>
                <w:b/>
                <w:sz w:val="20"/>
                <w:szCs w:val="20"/>
              </w:rPr>
              <w:t xml:space="preserve">Retail Price </w:t>
            </w:r>
            <w:r w:rsidRPr="00C917E2">
              <w:rPr>
                <w:rFonts w:asciiTheme="minorHAnsi" w:hAnsiTheme="minorHAnsi"/>
                <w:b/>
                <w:sz w:val="20"/>
                <w:szCs w:val="20"/>
              </w:rPr>
              <w:t>(%)</w:t>
            </w:r>
          </w:p>
        </w:tc>
      </w:tr>
      <w:tr w:rsidR="008B67F3" w:rsidRPr="00C917E2" w14:paraId="54382D8E" w14:textId="77777777" w:rsidTr="00E161F2">
        <w:tc>
          <w:tcPr>
            <w:tcW w:w="1615" w:type="dxa"/>
            <w:tcBorders>
              <w:top w:val="single" w:sz="4" w:space="0" w:color="auto"/>
            </w:tcBorders>
            <w:shd w:val="clear" w:color="auto" w:fill="auto"/>
          </w:tcPr>
          <w:p w14:paraId="213CB95F" w14:textId="77777777" w:rsidR="008B67F3" w:rsidRPr="00C917E2" w:rsidRDefault="008B67F3" w:rsidP="00234CCE">
            <w:pPr>
              <w:keepNext/>
              <w:spacing w:after="0"/>
              <w:rPr>
                <w:rFonts w:asciiTheme="minorHAnsi" w:hAnsiTheme="minorHAnsi"/>
                <w:sz w:val="20"/>
                <w:szCs w:val="20"/>
              </w:rPr>
            </w:pPr>
            <w:r w:rsidRPr="00C917E2">
              <w:rPr>
                <w:rFonts w:asciiTheme="minorHAnsi" w:hAnsiTheme="minorHAnsi"/>
                <w:sz w:val="20"/>
                <w:szCs w:val="20"/>
              </w:rPr>
              <w:t>Zambia</w:t>
            </w:r>
          </w:p>
        </w:tc>
        <w:tc>
          <w:tcPr>
            <w:tcW w:w="2527" w:type="dxa"/>
            <w:tcBorders>
              <w:top w:val="single" w:sz="4" w:space="0" w:color="auto"/>
            </w:tcBorders>
            <w:shd w:val="clear" w:color="auto" w:fill="auto"/>
          </w:tcPr>
          <w:p w14:paraId="31A0255D"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1.83</w:t>
            </w:r>
          </w:p>
        </w:tc>
        <w:tc>
          <w:tcPr>
            <w:tcW w:w="2528" w:type="dxa"/>
            <w:tcBorders>
              <w:top w:val="single" w:sz="4" w:space="0" w:color="auto"/>
            </w:tcBorders>
            <w:shd w:val="clear" w:color="auto" w:fill="auto"/>
          </w:tcPr>
          <w:p w14:paraId="67C62EEF"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25.0</w:t>
            </w:r>
          </w:p>
        </w:tc>
        <w:tc>
          <w:tcPr>
            <w:tcW w:w="2528" w:type="dxa"/>
            <w:tcBorders>
              <w:top w:val="single" w:sz="4" w:space="0" w:color="auto"/>
            </w:tcBorders>
            <w:shd w:val="clear" w:color="auto" w:fill="auto"/>
          </w:tcPr>
          <w:p w14:paraId="390371F9"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30.9</w:t>
            </w:r>
          </w:p>
        </w:tc>
      </w:tr>
      <w:tr w:rsidR="008B67F3" w:rsidRPr="00C917E2" w14:paraId="3BBCFC87" w14:textId="77777777" w:rsidTr="00E161F2">
        <w:tc>
          <w:tcPr>
            <w:tcW w:w="1615" w:type="dxa"/>
            <w:shd w:val="clear" w:color="auto" w:fill="auto"/>
          </w:tcPr>
          <w:p w14:paraId="0A388119" w14:textId="77777777" w:rsidR="008B67F3" w:rsidRPr="00C917E2" w:rsidRDefault="008B67F3" w:rsidP="00234CCE">
            <w:pPr>
              <w:keepNext/>
              <w:spacing w:after="0"/>
              <w:rPr>
                <w:rFonts w:asciiTheme="minorHAnsi" w:hAnsiTheme="minorHAnsi"/>
                <w:sz w:val="20"/>
                <w:szCs w:val="20"/>
              </w:rPr>
            </w:pPr>
            <w:r w:rsidRPr="00C917E2">
              <w:rPr>
                <w:rFonts w:asciiTheme="minorHAnsi" w:hAnsiTheme="minorHAnsi"/>
                <w:sz w:val="20"/>
                <w:szCs w:val="20"/>
              </w:rPr>
              <w:t>Swaziland</w:t>
            </w:r>
          </w:p>
        </w:tc>
        <w:tc>
          <w:tcPr>
            <w:tcW w:w="2527" w:type="dxa"/>
            <w:shd w:val="clear" w:color="auto" w:fill="auto"/>
          </w:tcPr>
          <w:p w14:paraId="34BD4DC3"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3.47</w:t>
            </w:r>
          </w:p>
        </w:tc>
        <w:tc>
          <w:tcPr>
            <w:tcW w:w="2528" w:type="dxa"/>
            <w:shd w:val="clear" w:color="auto" w:fill="auto"/>
          </w:tcPr>
          <w:p w14:paraId="5D5CF5B9"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15.0</w:t>
            </w:r>
          </w:p>
        </w:tc>
        <w:tc>
          <w:tcPr>
            <w:tcW w:w="2528" w:type="dxa"/>
            <w:shd w:val="clear" w:color="auto" w:fill="auto"/>
          </w:tcPr>
          <w:p w14:paraId="524BA9C6"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32.5</w:t>
            </w:r>
          </w:p>
        </w:tc>
      </w:tr>
      <w:tr w:rsidR="008B67F3" w:rsidRPr="00C917E2" w14:paraId="053BEA37" w14:textId="77777777" w:rsidTr="00E161F2">
        <w:tc>
          <w:tcPr>
            <w:tcW w:w="1615" w:type="dxa"/>
            <w:shd w:val="clear" w:color="auto" w:fill="auto"/>
          </w:tcPr>
          <w:p w14:paraId="5C309A96" w14:textId="77777777" w:rsidR="008B67F3" w:rsidRPr="00C917E2" w:rsidRDefault="008B67F3" w:rsidP="00234CCE">
            <w:pPr>
              <w:keepNext/>
              <w:spacing w:after="0"/>
              <w:rPr>
                <w:rFonts w:asciiTheme="minorHAnsi" w:hAnsiTheme="minorHAnsi"/>
                <w:sz w:val="20"/>
                <w:szCs w:val="20"/>
              </w:rPr>
            </w:pPr>
            <w:r w:rsidRPr="00C917E2">
              <w:rPr>
                <w:rFonts w:asciiTheme="minorHAnsi" w:hAnsiTheme="minorHAnsi"/>
                <w:sz w:val="20"/>
                <w:szCs w:val="20"/>
              </w:rPr>
              <w:t>Namibia</w:t>
            </w:r>
          </w:p>
        </w:tc>
        <w:tc>
          <w:tcPr>
            <w:tcW w:w="2527" w:type="dxa"/>
            <w:shd w:val="clear" w:color="auto" w:fill="auto"/>
          </w:tcPr>
          <w:p w14:paraId="4FA75AA3"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2.71</w:t>
            </w:r>
          </w:p>
        </w:tc>
        <w:tc>
          <w:tcPr>
            <w:tcW w:w="2528" w:type="dxa"/>
            <w:shd w:val="clear" w:color="auto" w:fill="auto"/>
          </w:tcPr>
          <w:p w14:paraId="624CF980"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w:t>
            </w:r>
          </w:p>
        </w:tc>
        <w:tc>
          <w:tcPr>
            <w:tcW w:w="2528" w:type="dxa"/>
            <w:shd w:val="clear" w:color="auto" w:fill="auto"/>
          </w:tcPr>
          <w:p w14:paraId="3E0C9EFB"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33.2</w:t>
            </w:r>
          </w:p>
        </w:tc>
      </w:tr>
      <w:tr w:rsidR="008B67F3" w:rsidRPr="006770DD" w14:paraId="3279FB2B" w14:textId="77777777" w:rsidTr="00E161F2">
        <w:trPr>
          <w:trHeight w:val="206"/>
        </w:trPr>
        <w:tc>
          <w:tcPr>
            <w:tcW w:w="1615" w:type="dxa"/>
            <w:shd w:val="clear" w:color="auto" w:fill="auto"/>
          </w:tcPr>
          <w:p w14:paraId="6694EA17" w14:textId="77777777" w:rsidR="008B67F3" w:rsidRPr="006770DD" w:rsidRDefault="008B67F3" w:rsidP="00234CCE">
            <w:pPr>
              <w:keepNext/>
              <w:spacing w:after="0"/>
              <w:rPr>
                <w:rFonts w:asciiTheme="minorHAnsi" w:hAnsiTheme="minorHAnsi"/>
                <w:b/>
                <w:sz w:val="20"/>
                <w:szCs w:val="20"/>
              </w:rPr>
            </w:pPr>
            <w:r w:rsidRPr="006770DD">
              <w:rPr>
                <w:rFonts w:asciiTheme="minorHAnsi" w:hAnsiTheme="minorHAnsi"/>
                <w:b/>
                <w:sz w:val="20"/>
                <w:szCs w:val="20"/>
              </w:rPr>
              <w:t>Zimbabwe</w:t>
            </w:r>
          </w:p>
        </w:tc>
        <w:tc>
          <w:tcPr>
            <w:tcW w:w="2527" w:type="dxa"/>
            <w:shd w:val="clear" w:color="auto" w:fill="auto"/>
          </w:tcPr>
          <w:p w14:paraId="79E55157" w14:textId="77777777" w:rsidR="008B67F3" w:rsidRPr="006770DD" w:rsidRDefault="008B67F3" w:rsidP="00E161F2">
            <w:pPr>
              <w:keepNext/>
              <w:spacing w:after="0"/>
              <w:jc w:val="center"/>
              <w:rPr>
                <w:rFonts w:asciiTheme="minorHAnsi" w:hAnsiTheme="minorHAnsi"/>
                <w:b/>
                <w:sz w:val="20"/>
                <w:szCs w:val="20"/>
              </w:rPr>
            </w:pPr>
            <w:r w:rsidRPr="006770DD">
              <w:rPr>
                <w:rFonts w:asciiTheme="minorHAnsi" w:hAnsiTheme="minorHAnsi"/>
                <w:b/>
                <w:sz w:val="20"/>
                <w:szCs w:val="20"/>
              </w:rPr>
              <w:t>1.80</w:t>
            </w:r>
          </w:p>
        </w:tc>
        <w:tc>
          <w:tcPr>
            <w:tcW w:w="2528" w:type="dxa"/>
            <w:shd w:val="clear" w:color="auto" w:fill="auto"/>
          </w:tcPr>
          <w:p w14:paraId="6D6E6067" w14:textId="77777777" w:rsidR="008B67F3" w:rsidRPr="006770DD" w:rsidRDefault="008B67F3" w:rsidP="00E161F2">
            <w:pPr>
              <w:keepNext/>
              <w:spacing w:after="0"/>
              <w:jc w:val="center"/>
              <w:rPr>
                <w:rFonts w:asciiTheme="minorHAnsi" w:hAnsiTheme="minorHAnsi"/>
                <w:b/>
                <w:sz w:val="20"/>
                <w:szCs w:val="20"/>
              </w:rPr>
            </w:pPr>
            <w:r w:rsidRPr="006770DD">
              <w:rPr>
                <w:rFonts w:asciiTheme="minorHAnsi" w:hAnsiTheme="minorHAnsi"/>
                <w:b/>
                <w:sz w:val="20"/>
                <w:szCs w:val="20"/>
              </w:rPr>
              <w:t>2.3</w:t>
            </w:r>
          </w:p>
        </w:tc>
        <w:tc>
          <w:tcPr>
            <w:tcW w:w="2528" w:type="dxa"/>
            <w:shd w:val="clear" w:color="auto" w:fill="auto"/>
          </w:tcPr>
          <w:p w14:paraId="3E753B8A" w14:textId="77777777" w:rsidR="008B67F3" w:rsidRPr="006770DD" w:rsidRDefault="008B67F3" w:rsidP="00E161F2">
            <w:pPr>
              <w:keepNext/>
              <w:spacing w:after="0"/>
              <w:jc w:val="center"/>
              <w:rPr>
                <w:rFonts w:asciiTheme="minorHAnsi" w:hAnsiTheme="minorHAnsi"/>
                <w:b/>
                <w:sz w:val="20"/>
                <w:szCs w:val="20"/>
              </w:rPr>
            </w:pPr>
            <w:r w:rsidRPr="006770DD">
              <w:rPr>
                <w:rFonts w:asciiTheme="minorHAnsi" w:hAnsiTheme="minorHAnsi"/>
                <w:b/>
                <w:sz w:val="20"/>
                <w:szCs w:val="20"/>
              </w:rPr>
              <w:t>38.6</w:t>
            </w:r>
          </w:p>
        </w:tc>
      </w:tr>
      <w:tr w:rsidR="008B67F3" w:rsidRPr="00C917E2" w14:paraId="1641184A" w14:textId="77777777" w:rsidTr="00E161F2">
        <w:tc>
          <w:tcPr>
            <w:tcW w:w="1615" w:type="dxa"/>
            <w:shd w:val="clear" w:color="auto" w:fill="auto"/>
          </w:tcPr>
          <w:p w14:paraId="0CA578E4" w14:textId="77777777" w:rsidR="008B67F3" w:rsidRPr="00C917E2" w:rsidRDefault="008B67F3" w:rsidP="00234CCE">
            <w:pPr>
              <w:keepNext/>
              <w:spacing w:after="0"/>
              <w:rPr>
                <w:rFonts w:asciiTheme="minorHAnsi" w:hAnsiTheme="minorHAnsi"/>
                <w:sz w:val="20"/>
                <w:szCs w:val="20"/>
              </w:rPr>
            </w:pPr>
            <w:r w:rsidRPr="00C917E2">
              <w:rPr>
                <w:rFonts w:asciiTheme="minorHAnsi" w:hAnsiTheme="minorHAnsi"/>
                <w:sz w:val="20"/>
                <w:szCs w:val="20"/>
              </w:rPr>
              <w:t>Botswana</w:t>
            </w:r>
          </w:p>
        </w:tc>
        <w:tc>
          <w:tcPr>
            <w:tcW w:w="2527" w:type="dxa"/>
            <w:shd w:val="clear" w:color="auto" w:fill="auto"/>
          </w:tcPr>
          <w:p w14:paraId="431B7541"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2.08</w:t>
            </w:r>
          </w:p>
        </w:tc>
        <w:tc>
          <w:tcPr>
            <w:tcW w:w="2528" w:type="dxa"/>
            <w:shd w:val="clear" w:color="auto" w:fill="auto"/>
          </w:tcPr>
          <w:p w14:paraId="0F6E21D2"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w:t>
            </w:r>
          </w:p>
        </w:tc>
        <w:tc>
          <w:tcPr>
            <w:tcW w:w="2528" w:type="dxa"/>
            <w:shd w:val="clear" w:color="auto" w:fill="auto"/>
          </w:tcPr>
          <w:p w14:paraId="0F143BA6"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39.1</w:t>
            </w:r>
          </w:p>
        </w:tc>
      </w:tr>
      <w:tr w:rsidR="008B67F3" w:rsidRPr="00C917E2" w14:paraId="0C2B6A76" w14:textId="77777777" w:rsidTr="00E161F2">
        <w:tc>
          <w:tcPr>
            <w:tcW w:w="1615" w:type="dxa"/>
            <w:shd w:val="clear" w:color="auto" w:fill="auto"/>
          </w:tcPr>
          <w:p w14:paraId="5A4D7F36" w14:textId="77777777" w:rsidR="008B67F3" w:rsidRPr="00C917E2" w:rsidRDefault="008B67F3" w:rsidP="00234CCE">
            <w:pPr>
              <w:keepNext/>
              <w:spacing w:after="0"/>
              <w:rPr>
                <w:rFonts w:asciiTheme="minorHAnsi" w:hAnsiTheme="minorHAnsi"/>
                <w:sz w:val="20"/>
                <w:szCs w:val="20"/>
              </w:rPr>
            </w:pPr>
            <w:r w:rsidRPr="00C917E2">
              <w:rPr>
                <w:rFonts w:asciiTheme="minorHAnsi" w:hAnsiTheme="minorHAnsi"/>
                <w:sz w:val="20"/>
                <w:szCs w:val="20"/>
              </w:rPr>
              <w:t>South Africa</w:t>
            </w:r>
          </w:p>
        </w:tc>
        <w:tc>
          <w:tcPr>
            <w:tcW w:w="2527" w:type="dxa"/>
            <w:shd w:val="clear" w:color="auto" w:fill="auto"/>
          </w:tcPr>
          <w:p w14:paraId="6A161A86"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4.14</w:t>
            </w:r>
          </w:p>
        </w:tc>
        <w:tc>
          <w:tcPr>
            <w:tcW w:w="2528" w:type="dxa"/>
            <w:shd w:val="clear" w:color="auto" w:fill="auto"/>
          </w:tcPr>
          <w:p w14:paraId="6D0473B3"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9.0</w:t>
            </w:r>
          </w:p>
        </w:tc>
        <w:tc>
          <w:tcPr>
            <w:tcW w:w="2528" w:type="dxa"/>
            <w:shd w:val="clear" w:color="auto" w:fill="auto"/>
          </w:tcPr>
          <w:p w14:paraId="5ED77EE1"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40.7</w:t>
            </w:r>
          </w:p>
        </w:tc>
      </w:tr>
      <w:tr w:rsidR="008B67F3" w:rsidRPr="00C917E2" w14:paraId="4354FF56" w14:textId="77777777" w:rsidTr="00E161F2">
        <w:tc>
          <w:tcPr>
            <w:tcW w:w="1615" w:type="dxa"/>
            <w:tcBorders>
              <w:bottom w:val="single" w:sz="4" w:space="0" w:color="auto"/>
            </w:tcBorders>
            <w:shd w:val="clear" w:color="auto" w:fill="auto"/>
          </w:tcPr>
          <w:p w14:paraId="789FF9D8" w14:textId="77777777" w:rsidR="008B67F3" w:rsidRPr="00C917E2" w:rsidRDefault="008B67F3" w:rsidP="00234CCE">
            <w:pPr>
              <w:keepNext/>
              <w:spacing w:after="0"/>
              <w:rPr>
                <w:rFonts w:asciiTheme="minorHAnsi" w:hAnsiTheme="minorHAnsi"/>
                <w:sz w:val="20"/>
                <w:szCs w:val="20"/>
              </w:rPr>
            </w:pPr>
            <w:r w:rsidRPr="00C917E2">
              <w:rPr>
                <w:rFonts w:asciiTheme="minorHAnsi" w:hAnsiTheme="minorHAnsi"/>
                <w:sz w:val="20"/>
                <w:szCs w:val="20"/>
              </w:rPr>
              <w:t>Mozambique</w:t>
            </w:r>
          </w:p>
        </w:tc>
        <w:tc>
          <w:tcPr>
            <w:tcW w:w="2527" w:type="dxa"/>
            <w:tcBorders>
              <w:bottom w:val="single" w:sz="4" w:space="0" w:color="auto"/>
            </w:tcBorders>
            <w:shd w:val="clear" w:color="auto" w:fill="auto"/>
          </w:tcPr>
          <w:p w14:paraId="2C40D087"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w:t>
            </w:r>
          </w:p>
        </w:tc>
        <w:tc>
          <w:tcPr>
            <w:tcW w:w="2528" w:type="dxa"/>
            <w:tcBorders>
              <w:bottom w:val="single" w:sz="4" w:space="0" w:color="auto"/>
            </w:tcBorders>
            <w:shd w:val="clear" w:color="auto" w:fill="auto"/>
          </w:tcPr>
          <w:p w14:paraId="4D8C84AA"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10.4</w:t>
            </w:r>
          </w:p>
        </w:tc>
        <w:tc>
          <w:tcPr>
            <w:tcW w:w="2528" w:type="dxa"/>
            <w:tcBorders>
              <w:bottom w:val="single" w:sz="4" w:space="0" w:color="auto"/>
            </w:tcBorders>
            <w:shd w:val="clear" w:color="auto" w:fill="auto"/>
          </w:tcPr>
          <w:p w14:paraId="22CA3B63" w14:textId="77777777" w:rsidR="008B67F3" w:rsidRPr="00C917E2" w:rsidRDefault="008B67F3" w:rsidP="00E161F2">
            <w:pPr>
              <w:keepNext/>
              <w:spacing w:after="0"/>
              <w:jc w:val="center"/>
              <w:rPr>
                <w:rFonts w:asciiTheme="minorHAnsi" w:hAnsiTheme="minorHAnsi"/>
                <w:sz w:val="20"/>
                <w:szCs w:val="20"/>
              </w:rPr>
            </w:pPr>
            <w:r w:rsidRPr="00C917E2">
              <w:rPr>
                <w:rFonts w:asciiTheme="minorHAnsi" w:hAnsiTheme="minorHAnsi"/>
                <w:sz w:val="20"/>
                <w:szCs w:val="20"/>
              </w:rPr>
              <w:t>48.5</w:t>
            </w:r>
          </w:p>
        </w:tc>
      </w:tr>
    </w:tbl>
    <w:p w14:paraId="2ED44CD3" w14:textId="77777777" w:rsidR="008B67F3" w:rsidRPr="00C917E2" w:rsidRDefault="008B67F3" w:rsidP="0018240D">
      <w:pPr>
        <w:pStyle w:val="Source"/>
        <w:rPr>
          <w:lang w:eastAsia="ja-JP"/>
        </w:rPr>
      </w:pPr>
      <w:r w:rsidRPr="00E94700">
        <w:rPr>
          <w:i/>
        </w:rPr>
        <w:t>Source:</w:t>
      </w:r>
      <w:r w:rsidRPr="00C917E2">
        <w:t xml:space="preserve"> </w:t>
      </w:r>
      <w:r w:rsidRPr="00C917E2">
        <w:rPr>
          <w:lang w:eastAsia="ja-JP"/>
        </w:rPr>
        <w:t>Tobaccoatlas.org</w:t>
      </w:r>
      <w:r w:rsidR="00551D51">
        <w:rPr>
          <w:lang w:eastAsia="ja-JP"/>
        </w:rPr>
        <w:t>,</w:t>
      </w:r>
      <w:r w:rsidRPr="00C917E2">
        <w:rPr>
          <w:lang w:eastAsia="ja-JP"/>
        </w:rPr>
        <w:t xml:space="preserve"> accessed February </w:t>
      </w:r>
      <w:r w:rsidR="00283D74" w:rsidRPr="00C917E2">
        <w:rPr>
          <w:lang w:eastAsia="ja-JP"/>
        </w:rPr>
        <w:t>24</w:t>
      </w:r>
      <w:r w:rsidR="00283D74">
        <w:rPr>
          <w:lang w:eastAsia="ja-JP"/>
        </w:rPr>
        <w:t>,</w:t>
      </w:r>
      <w:r w:rsidR="00283D74" w:rsidRPr="00C917E2">
        <w:rPr>
          <w:lang w:eastAsia="ja-JP"/>
        </w:rPr>
        <w:t xml:space="preserve"> </w:t>
      </w:r>
      <w:r w:rsidRPr="00C917E2">
        <w:rPr>
          <w:lang w:eastAsia="ja-JP"/>
        </w:rPr>
        <w:t>2015.</w:t>
      </w:r>
    </w:p>
    <w:p w14:paraId="2194188A" w14:textId="77777777" w:rsidR="008B67F3" w:rsidRPr="00C917E2" w:rsidRDefault="008B67F3" w:rsidP="00320F82">
      <w:pPr>
        <w:pStyle w:val="Heading3"/>
      </w:pPr>
      <w:bookmarkStart w:id="247" w:name="_Toc419004033"/>
      <w:r w:rsidRPr="00C917E2">
        <w:t>Public</w:t>
      </w:r>
      <w:r w:rsidR="00DB6F5B" w:rsidRPr="00C917E2">
        <w:t>–</w:t>
      </w:r>
      <w:r w:rsidRPr="00C917E2">
        <w:t>Private Partnerships</w:t>
      </w:r>
      <w:bookmarkEnd w:id="247"/>
    </w:p>
    <w:p w14:paraId="1A9DFD14" w14:textId="3B42F43D" w:rsidR="00D42086" w:rsidRPr="0019307B" w:rsidRDefault="00FA4869" w:rsidP="0016545E">
      <w:pPr>
        <w:pStyle w:val="Numberpara"/>
      </w:pPr>
      <w:r w:rsidRPr="0019307B">
        <w:t xml:space="preserve"> While there is need to gather more evidence on the potential role of private sector financing and partnerships with the public sector, there is potential scope to adopt models </w:t>
      </w:r>
      <w:r w:rsidR="00D70F9E">
        <w:t xml:space="preserve">that </w:t>
      </w:r>
      <w:r w:rsidRPr="0019307B">
        <w:t>promote public</w:t>
      </w:r>
      <w:r w:rsidR="00D70F9E">
        <w:t>–</w:t>
      </w:r>
      <w:r w:rsidRPr="0019307B">
        <w:t>private funding partnerships in the health sector.</w:t>
      </w:r>
      <w:r w:rsidR="00194AB0" w:rsidRPr="00D666D8">
        <w:rPr>
          <w:vertAlign w:val="superscript"/>
        </w:rPr>
        <w:endnoteReference w:id="92"/>
      </w:r>
      <w:r w:rsidR="008B67F3" w:rsidRPr="0019307B">
        <w:t xml:space="preserve"> </w:t>
      </w:r>
      <w:r w:rsidR="00DB6F5B" w:rsidRPr="0019307B">
        <w:t xml:space="preserve">There may also be potential to tap </w:t>
      </w:r>
      <w:r w:rsidR="00BF519C" w:rsidRPr="0019307B">
        <w:t>the</w:t>
      </w:r>
      <w:r w:rsidR="008B67F3" w:rsidRPr="0019307B">
        <w:t xml:space="preserve"> </w:t>
      </w:r>
      <w:r w:rsidR="00755F56" w:rsidRPr="0019307B">
        <w:t xml:space="preserve">private </w:t>
      </w:r>
      <w:r w:rsidR="008B67F3" w:rsidRPr="0019307B">
        <w:t xml:space="preserve">sector </w:t>
      </w:r>
      <w:r w:rsidR="00DB6F5B" w:rsidRPr="0019307B">
        <w:t>via voluntary contributions</w:t>
      </w:r>
      <w:r w:rsidR="008B67F3" w:rsidRPr="0019307B">
        <w:t>.</w:t>
      </w:r>
      <w:r w:rsidR="00922458" w:rsidRPr="0019307B">
        <w:t xml:space="preserve"> Some private </w:t>
      </w:r>
      <w:r w:rsidR="00BF519C" w:rsidRPr="0019307B">
        <w:t xml:space="preserve">companies such as Econet Wireless </w:t>
      </w:r>
      <w:r w:rsidR="00922458" w:rsidRPr="0019307B">
        <w:t xml:space="preserve">may also be willing to </w:t>
      </w:r>
      <w:r w:rsidR="00BF519C" w:rsidRPr="0019307B">
        <w:t>finance health care in partnership with the government, development partners</w:t>
      </w:r>
      <w:r w:rsidR="00D63D2D" w:rsidRPr="0019307B">
        <w:t>,</w:t>
      </w:r>
      <w:r w:rsidR="00BF519C" w:rsidRPr="0019307B">
        <w:t xml:space="preserve"> or other private sect</w:t>
      </w:r>
      <w:r w:rsidR="00B72993" w:rsidRPr="0019307B">
        <w:t>or entities.</w:t>
      </w:r>
      <w:r w:rsidR="00D63D2D" w:rsidRPr="0019307B">
        <w:t xml:space="preserve"> More widely, the government may wish to explore examples from other resource-rich countries like Chile where vast mineral wealth has been leveraged to achieve better health outcomes.</w:t>
      </w:r>
    </w:p>
    <w:p w14:paraId="497E3076" w14:textId="06A9BCDB" w:rsidR="008B67F3" w:rsidRPr="0019307B" w:rsidRDefault="00FC4D0F" w:rsidP="0016545E">
      <w:pPr>
        <w:pStyle w:val="Numberpara"/>
      </w:pPr>
      <w:r w:rsidRPr="0019307B">
        <w:t>Public</w:t>
      </w:r>
      <w:r w:rsidR="00D70F9E">
        <w:t>–</w:t>
      </w:r>
      <w:r w:rsidR="00D70F9E" w:rsidRPr="0019307B">
        <w:t xml:space="preserve">private partnerships </w:t>
      </w:r>
      <w:r w:rsidRPr="0019307B">
        <w:t>(PPP) in service</w:t>
      </w:r>
      <w:r w:rsidR="00FA4869" w:rsidRPr="0019307B">
        <w:t xml:space="preserve"> </w:t>
      </w:r>
      <w:r w:rsidRPr="0019307B">
        <w:t xml:space="preserve">delivery </w:t>
      </w:r>
      <w:r w:rsidR="003B026C">
        <w:t xml:space="preserve">represent </w:t>
      </w:r>
      <w:r w:rsidRPr="0019307B">
        <w:t xml:space="preserve">another option </w:t>
      </w:r>
      <w:r w:rsidR="00D70F9E">
        <w:t xml:space="preserve">that </w:t>
      </w:r>
      <w:r w:rsidRPr="0019307B">
        <w:t xml:space="preserve">could help </w:t>
      </w:r>
      <w:r w:rsidR="00D70F9E">
        <w:t xml:space="preserve">in </w:t>
      </w:r>
      <w:r w:rsidRPr="0019307B">
        <w:t xml:space="preserve">mobilizing resources in the private sector. </w:t>
      </w:r>
      <w:r w:rsidR="00FA4869" w:rsidRPr="0019307B">
        <w:t xml:space="preserve">The Lesotho Hospital </w:t>
      </w:r>
      <w:r w:rsidRPr="0019307B">
        <w:t xml:space="preserve">PPP </w:t>
      </w:r>
      <w:r w:rsidR="00FA4869" w:rsidRPr="0019307B">
        <w:t>offer</w:t>
      </w:r>
      <w:r w:rsidR="00D70F9E">
        <w:t>s</w:t>
      </w:r>
      <w:r w:rsidR="00FA4869" w:rsidRPr="0019307B">
        <w:t xml:space="preserve"> </w:t>
      </w:r>
      <w:r w:rsidRPr="0019307B">
        <w:t>some experience</w:t>
      </w:r>
      <w:r w:rsidR="00FA4869" w:rsidRPr="0019307B">
        <w:t xml:space="preserve">. </w:t>
      </w:r>
      <w:r w:rsidRPr="0019307B">
        <w:t>Supported by the International Finance Corporation</w:t>
      </w:r>
      <w:r w:rsidR="002E63AA" w:rsidRPr="0019307B">
        <w:t xml:space="preserve"> </w:t>
      </w:r>
      <w:r w:rsidR="003B655F" w:rsidRPr="0019307B">
        <w:t xml:space="preserve">(IFC) </w:t>
      </w:r>
      <w:r w:rsidR="002E63AA" w:rsidRPr="0019307B">
        <w:t>and started in 200</w:t>
      </w:r>
      <w:r w:rsidR="00D42086" w:rsidRPr="0019307B">
        <w:t>7</w:t>
      </w:r>
      <w:r w:rsidRPr="0019307B">
        <w:t>, the Partnership is an initiative by the Lesotho government to involve the private sector</w:t>
      </w:r>
      <w:r w:rsidR="007524F6">
        <w:t>—</w:t>
      </w:r>
      <w:r w:rsidRPr="0019307B">
        <w:t>Tsepong consortium</w:t>
      </w:r>
      <w:r w:rsidR="007524F6">
        <w:t>—</w:t>
      </w:r>
      <w:r w:rsidRPr="0019307B">
        <w:t>to design, build, and operate a 425-bed hospital and associated clinics with the aim of providing high-quality health care services affordabl</w:t>
      </w:r>
      <w:r w:rsidR="00D70F9E">
        <w:t>y</w:t>
      </w:r>
      <w:r w:rsidRPr="0019307B">
        <w:t>.</w:t>
      </w:r>
      <w:r w:rsidR="002E63AA" w:rsidRPr="0019307B">
        <w:t xml:space="preserve"> The private operator has significant local ownership: 40 percent of shares held by Lesotho-owned businesses, increasing to 55 percent during the project term.</w:t>
      </w:r>
      <w:r w:rsidR="00736AB7" w:rsidRPr="00D666D8">
        <w:rPr>
          <w:vertAlign w:val="superscript"/>
        </w:rPr>
        <w:endnoteReference w:id="93"/>
      </w:r>
      <w:r w:rsidR="002E63AA" w:rsidRPr="0019307B">
        <w:t xml:space="preserve"> </w:t>
      </w:r>
      <w:r w:rsidR="003B655F" w:rsidRPr="0019307B">
        <w:t>While no rigorous evaluation has been conducted, handling a sophisticated PPP requires highly capable government leadership</w:t>
      </w:r>
      <w:r w:rsidR="00743BB5">
        <w:t>.</w:t>
      </w:r>
    </w:p>
    <w:p w14:paraId="0915FFE7" w14:textId="653F79CB" w:rsidR="008B67F3" w:rsidRPr="00C917E2" w:rsidRDefault="008B67F3" w:rsidP="00226FA8">
      <w:pPr>
        <w:pStyle w:val="Heading2"/>
      </w:pPr>
      <w:bookmarkStart w:id="248" w:name="_Toc401030268"/>
      <w:bookmarkStart w:id="249" w:name="_Toc401030927"/>
      <w:bookmarkStart w:id="250" w:name="_Toc419004034"/>
      <w:r w:rsidRPr="00C917E2">
        <w:t>4.3 Mobilizing External Funding</w:t>
      </w:r>
      <w:bookmarkEnd w:id="248"/>
      <w:bookmarkEnd w:id="249"/>
      <w:bookmarkEnd w:id="250"/>
    </w:p>
    <w:p w14:paraId="2C06FD03" w14:textId="20D98EC5" w:rsidR="00742E4D" w:rsidRPr="0019307B" w:rsidRDefault="00742E4D" w:rsidP="00742E4D">
      <w:pPr>
        <w:pStyle w:val="Numberpara"/>
      </w:pPr>
      <w:r w:rsidRPr="0019307B">
        <w:t xml:space="preserve">Development partners could be encouraged to increase the resources for Zimbabwe’s health sector </w:t>
      </w:r>
      <w:r w:rsidR="00755F56" w:rsidRPr="0019307B">
        <w:t xml:space="preserve">in line with per capita spending in other similar countries </w:t>
      </w:r>
      <w:r w:rsidRPr="0019307B">
        <w:t>and to channel these additional resources through Zimbabwe’s country systems. Currently</w:t>
      </w:r>
      <w:r w:rsidR="006F26E4">
        <w:t>,</w:t>
      </w:r>
      <w:r w:rsidRPr="0019307B">
        <w:t xml:space="preserve"> country systems are hardly used by development partners, but this may change after the </w:t>
      </w:r>
      <w:r w:rsidR="006F26E4" w:rsidRPr="0019307B">
        <w:t xml:space="preserve">government </w:t>
      </w:r>
      <w:r w:rsidRPr="0019307B">
        <w:t>clears its arrears on external payments</w:t>
      </w:r>
      <w:r w:rsidR="00755F56" w:rsidRPr="0019307B">
        <w:t xml:space="preserve"> and reengages with multilateral and bilateral aid agencies</w:t>
      </w:r>
      <w:r w:rsidRPr="0019307B">
        <w:t xml:space="preserve">. </w:t>
      </w:r>
    </w:p>
    <w:p w14:paraId="2325297E" w14:textId="7B21E1B6" w:rsidR="008B67F3" w:rsidRPr="0019307B" w:rsidRDefault="008B67F3" w:rsidP="00D37198">
      <w:pPr>
        <w:pStyle w:val="Numberpara"/>
      </w:pPr>
      <w:r w:rsidRPr="0019307B">
        <w:t xml:space="preserve">Dialogue on </w:t>
      </w:r>
      <w:r w:rsidR="00755F56" w:rsidRPr="0019307B">
        <w:t>reengagement</w:t>
      </w:r>
      <w:r w:rsidRPr="0019307B">
        <w:t xml:space="preserve"> betwee</w:t>
      </w:r>
      <w:r w:rsidR="00FD115A" w:rsidRPr="0019307B">
        <w:t xml:space="preserve">n </w:t>
      </w:r>
      <w:r w:rsidR="00755F56" w:rsidRPr="0019307B">
        <w:t>Zimbabwe</w:t>
      </w:r>
      <w:r w:rsidR="00FD115A" w:rsidRPr="0019307B">
        <w:t xml:space="preserve"> and development partners c</w:t>
      </w:r>
      <w:r w:rsidRPr="0019307B">
        <w:t xml:space="preserve">ould cover </w:t>
      </w:r>
      <w:r w:rsidR="00755F56" w:rsidRPr="0019307B">
        <w:t xml:space="preserve">commitments </w:t>
      </w:r>
      <w:r w:rsidRPr="0019307B">
        <w:t>in health and</w:t>
      </w:r>
      <w:r w:rsidR="00755F56" w:rsidRPr="0019307B">
        <w:t>, more broadly,</w:t>
      </w:r>
      <w:r w:rsidR="003B026C">
        <w:t xml:space="preserve"> </w:t>
      </w:r>
      <w:r w:rsidRPr="0019307B">
        <w:t xml:space="preserve">social sector spending, </w:t>
      </w:r>
      <w:r w:rsidR="003B026C">
        <w:t xml:space="preserve">as well as </w:t>
      </w:r>
      <w:r w:rsidRPr="0019307B">
        <w:t>in the quality of those expenditures, so that any new resources finance high-impact nonwage expenditures. Greater efficiency and reduced transaction and overhead costs could be obtained by harmonizing donor resources.</w:t>
      </w:r>
    </w:p>
    <w:p w14:paraId="63B59299" w14:textId="3CAE5B37" w:rsidR="008B67F3" w:rsidRPr="0019307B" w:rsidRDefault="008B67F3" w:rsidP="00D37198">
      <w:pPr>
        <w:pStyle w:val="Numberpara"/>
      </w:pPr>
      <w:r w:rsidRPr="0019307B">
        <w:t xml:space="preserve">In the short to medium term, given the sluggish economic outlook and limited fiscal space, donor financing will remain critical. Additional funding from that source should, however, only be considered as </w:t>
      </w:r>
      <w:r w:rsidR="00755F56" w:rsidRPr="0019307B">
        <w:t xml:space="preserve">contributing </w:t>
      </w:r>
      <w:r w:rsidRPr="0019307B">
        <w:t xml:space="preserve">to improving allocation of existing resources and </w:t>
      </w:r>
      <w:r w:rsidR="00755F56" w:rsidRPr="0019307B">
        <w:t xml:space="preserve">complementary to </w:t>
      </w:r>
      <w:r w:rsidRPr="0019307B">
        <w:t>domestic resource</w:t>
      </w:r>
      <w:r w:rsidR="00755F56" w:rsidRPr="0019307B">
        <w:t xml:space="preserve"> mobilization</w:t>
      </w:r>
      <w:r w:rsidRPr="0019307B">
        <w:t xml:space="preserve">. The level and allocation of foreign funding are often difficult to forecast and coordinate, </w:t>
      </w:r>
      <w:r w:rsidRPr="0019307B">
        <w:lastRenderedPageBreak/>
        <w:t>making it hard to integrate in medium-term budget plans. A sustainable hea</w:t>
      </w:r>
      <w:r w:rsidR="00845332">
        <w:t>l</w:t>
      </w:r>
      <w:r w:rsidRPr="0019307B">
        <w:t>th system cannot</w:t>
      </w:r>
      <w:r w:rsidR="00830000" w:rsidRPr="0019307B">
        <w:t>, therefore,</w:t>
      </w:r>
      <w:r w:rsidRPr="0019307B">
        <w:t xml:space="preserve"> rely on such funding. </w:t>
      </w:r>
    </w:p>
    <w:p w14:paraId="47C5F0E4" w14:textId="77777777" w:rsidR="008B67F3" w:rsidRPr="00C917E2" w:rsidRDefault="008B67F3" w:rsidP="00D37198">
      <w:pPr>
        <w:pStyle w:val="Numberpara"/>
      </w:pPr>
      <w:r w:rsidRPr="00C917E2">
        <w:t>In 2009 donors provided US$650 million in development assistance outside the budget, which increased to about US$934 million in 2012 but fell to US$559 million in 2013. In the first 6 months of 2014, donors disbursed about US$370.6 million, of which virtually half (US$181.5 million) was for health. A total of US$786.7 million was estimated to have been disbursed in 2014, with a higher share directed to health.</w:t>
      </w:r>
    </w:p>
    <w:p w14:paraId="0FB73798" w14:textId="2F8B6D56" w:rsidR="008B67F3" w:rsidRPr="00C917E2" w:rsidRDefault="008B67F3" w:rsidP="00D37198">
      <w:pPr>
        <w:pStyle w:val="Numberpara"/>
      </w:pPr>
      <w:r w:rsidRPr="00C917E2">
        <w:t>Worldwide</w:t>
      </w:r>
      <w:r w:rsidR="00550FA0">
        <w:t>,</w:t>
      </w:r>
      <w:r w:rsidRPr="00C917E2">
        <w:t xml:space="preserve"> Development Assistance for Health (DAH) is relatively small but improving despite the </w:t>
      </w:r>
      <w:r w:rsidR="00550FA0">
        <w:t xml:space="preserve">recent global </w:t>
      </w:r>
      <w:r w:rsidRPr="00C917E2">
        <w:t xml:space="preserve">financial crisis and budget cuts and tough measures implemented by donors. In 2013, donors disbursed US$31.1 billion </w:t>
      </w:r>
      <w:r w:rsidR="00F57969" w:rsidRPr="00C917E2">
        <w:t>to</w:t>
      </w:r>
      <w:r w:rsidRPr="00C917E2">
        <w:t xml:space="preserve"> low</w:t>
      </w:r>
      <w:r w:rsidR="00F57969" w:rsidRPr="00C917E2">
        <w:t>-</w:t>
      </w:r>
      <w:r w:rsidRPr="00C917E2">
        <w:t xml:space="preserve"> and middle</w:t>
      </w:r>
      <w:r w:rsidR="00F57969" w:rsidRPr="00C917E2">
        <w:t>-</w:t>
      </w:r>
      <w:r w:rsidRPr="00C917E2">
        <w:t>income countries</w:t>
      </w:r>
      <w:r w:rsidR="00F57969" w:rsidRPr="00C917E2">
        <w:t>,</w:t>
      </w:r>
      <w:r w:rsidRPr="00C917E2">
        <w:rPr>
          <w:rStyle w:val="EndnoteReference"/>
        </w:rPr>
        <w:endnoteReference w:id="94"/>
      </w:r>
      <w:r w:rsidRPr="00C917E2">
        <w:t xml:space="preserve"> growth of 3.9</w:t>
      </w:r>
      <w:r w:rsidR="006509AE">
        <w:t> percent</w:t>
      </w:r>
      <w:r w:rsidRPr="00C917E2">
        <w:t xml:space="preserve"> </w:t>
      </w:r>
      <w:r w:rsidR="00F57969" w:rsidRPr="00C917E2">
        <w:t xml:space="preserve">over </w:t>
      </w:r>
      <w:r w:rsidRPr="00C917E2">
        <w:t>2012, but still far short of the more than 10</w:t>
      </w:r>
      <w:r w:rsidR="006509AE">
        <w:t> percent</w:t>
      </w:r>
      <w:r w:rsidRPr="00C917E2">
        <w:t xml:space="preserve"> annual growth recorded </w:t>
      </w:r>
      <w:r w:rsidR="00550FA0">
        <w:t xml:space="preserve">over </w:t>
      </w:r>
      <w:r w:rsidRPr="00C917E2">
        <w:t>2001</w:t>
      </w:r>
      <w:r w:rsidR="00550FA0">
        <w:t>–</w:t>
      </w:r>
      <w:r w:rsidRPr="00C917E2">
        <w:t>10. Sub-Saharan Africa has been the main focus of DAH, in 2011 receiv</w:t>
      </w:r>
      <w:r w:rsidR="00550FA0">
        <w:t>ing</w:t>
      </w:r>
      <w:r w:rsidRPr="00C917E2">
        <w:t xml:space="preserve"> 46.5</w:t>
      </w:r>
      <w:r w:rsidR="006509AE">
        <w:t> percent</w:t>
      </w:r>
      <w:r w:rsidRPr="00C917E2">
        <w:t xml:space="preserve"> of allocable DAH </w:t>
      </w:r>
      <w:r w:rsidR="00871B23">
        <w:t xml:space="preserve">and </w:t>
      </w:r>
      <w:r w:rsidRPr="00C917E2">
        <w:t>in 2013 receiv</w:t>
      </w:r>
      <w:r w:rsidR="00871B23">
        <w:t>ing</w:t>
      </w:r>
      <w:r w:rsidRPr="00C917E2">
        <w:t xml:space="preserve"> US$8.8 billion, a 6.1</w:t>
      </w:r>
      <w:r w:rsidR="006509AE">
        <w:t> percent</w:t>
      </w:r>
      <w:r w:rsidRPr="00C917E2">
        <w:t xml:space="preserve"> increase from that </w:t>
      </w:r>
      <w:r w:rsidR="00094E22">
        <w:t>in</w:t>
      </w:r>
      <w:r w:rsidR="00094E22" w:rsidRPr="00C917E2">
        <w:t xml:space="preserve"> </w:t>
      </w:r>
      <w:r w:rsidRPr="00C917E2">
        <w:t>2010</w:t>
      </w:r>
      <w:r w:rsidR="00200C26" w:rsidRPr="00C917E2">
        <w:t xml:space="preserve"> (</w:t>
      </w:r>
      <w:r w:rsidR="008E30C8">
        <w:fldChar w:fldCharType="begin"/>
      </w:r>
      <w:r w:rsidR="008E30C8">
        <w:instrText xml:space="preserve"> REF _Ref413838166 \h </w:instrText>
      </w:r>
      <w:r w:rsidR="008E30C8">
        <w:fldChar w:fldCharType="separate"/>
      </w:r>
      <w:r w:rsidR="003732A2" w:rsidRPr="00C917E2">
        <w:t xml:space="preserve">Figure </w:t>
      </w:r>
      <w:r w:rsidR="003732A2">
        <w:rPr>
          <w:b/>
          <w:noProof/>
        </w:rPr>
        <w:t>41</w:t>
      </w:r>
      <w:r w:rsidR="008E30C8">
        <w:fldChar w:fldCharType="end"/>
      </w:r>
      <w:r w:rsidR="00200C26" w:rsidRPr="00C917E2">
        <w:t>)</w:t>
      </w:r>
      <w:r w:rsidRPr="00C917E2">
        <w:t>.</w:t>
      </w:r>
      <w:r w:rsidRPr="00C917E2">
        <w:rPr>
          <w:rStyle w:val="EndnoteReference"/>
        </w:rPr>
        <w:endnoteReference w:id="95"/>
      </w:r>
    </w:p>
    <w:p w14:paraId="02DC70C1" w14:textId="77777777" w:rsidR="008B67F3" w:rsidRPr="00C917E2" w:rsidRDefault="00200C26" w:rsidP="000A0260">
      <w:pPr>
        <w:pStyle w:val="Figure"/>
      </w:pPr>
      <w:bookmarkStart w:id="251" w:name="_Ref413838166"/>
      <w:bookmarkStart w:id="252" w:name="_Toc419004122"/>
      <w:r w:rsidRPr="00C917E2">
        <w:t xml:space="preserve">Figure </w:t>
      </w:r>
      <w:r w:rsidR="00C713A9" w:rsidRPr="00C917E2">
        <w:rPr>
          <w:b w:val="0"/>
        </w:rPr>
        <w:fldChar w:fldCharType="begin"/>
      </w:r>
      <w:r w:rsidR="00D26E20" w:rsidRPr="00C917E2">
        <w:rPr>
          <w:b w:val="0"/>
        </w:rPr>
        <w:instrText xml:space="preserve"> SEQ Figure \* ARABIC </w:instrText>
      </w:r>
      <w:r w:rsidR="00C713A9" w:rsidRPr="00C917E2">
        <w:rPr>
          <w:b w:val="0"/>
        </w:rPr>
        <w:fldChar w:fldCharType="separate"/>
      </w:r>
      <w:r w:rsidR="003732A2">
        <w:rPr>
          <w:b w:val="0"/>
          <w:noProof/>
        </w:rPr>
        <w:t>41</w:t>
      </w:r>
      <w:r w:rsidR="00C713A9" w:rsidRPr="00C917E2">
        <w:rPr>
          <w:b w:val="0"/>
        </w:rPr>
        <w:fldChar w:fldCharType="end"/>
      </w:r>
      <w:bookmarkEnd w:id="251"/>
      <w:r w:rsidRPr="00C917E2">
        <w:t xml:space="preserve"> </w:t>
      </w:r>
      <w:r w:rsidR="00301C2D" w:rsidRPr="00C917E2">
        <w:t>ODA</w:t>
      </w:r>
      <w:r w:rsidRPr="00C917E2">
        <w:t xml:space="preserve"> in Sub-Saharan Africa, 2007–12</w:t>
      </w:r>
      <w:bookmarkEnd w:id="252"/>
    </w:p>
    <w:p w14:paraId="5DDE47DF" w14:textId="77777777" w:rsidR="008B67F3" w:rsidRPr="00C917E2" w:rsidRDefault="008B67F3" w:rsidP="00E73060">
      <w:r w:rsidRPr="00C917E2">
        <w:rPr>
          <w:noProof/>
        </w:rPr>
        <w:drawing>
          <wp:inline distT="0" distB="0" distL="0" distR="0" wp14:anchorId="1EFF7DF1" wp14:editId="4A8F4F15">
            <wp:extent cx="5343896" cy="2980473"/>
            <wp:effectExtent l="0" t="0" r="9525" b="10795"/>
            <wp:docPr id="106" name="Char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37812DA" w14:textId="77777777" w:rsidR="008B67F3" w:rsidRPr="00C917E2" w:rsidRDefault="008B67F3" w:rsidP="00EE3490">
      <w:pPr>
        <w:pStyle w:val="Source"/>
      </w:pPr>
      <w:r w:rsidRPr="00C917E2">
        <w:t>Source of data: OECD Database 2014</w:t>
      </w:r>
      <w:r w:rsidR="006B2D5F">
        <w:t>.</w:t>
      </w:r>
    </w:p>
    <w:p w14:paraId="207801B3" w14:textId="77777777" w:rsidR="008B67F3" w:rsidRPr="00C917E2" w:rsidRDefault="008B67F3" w:rsidP="00D37198">
      <w:pPr>
        <w:pStyle w:val="Numberpara"/>
      </w:pPr>
      <w:r w:rsidRPr="00C917E2">
        <w:t>The indicative spending of major donors for selected disease areas over 2014–17 vary as they revise their plans in response to changing country dynamics</w:t>
      </w:r>
      <w:r w:rsidR="00B72993" w:rsidRPr="00C917E2">
        <w:t xml:space="preserve"> </w:t>
      </w:r>
      <w:r w:rsidRPr="00C917E2">
        <w:t xml:space="preserve">(Box </w:t>
      </w:r>
      <w:r w:rsidR="00A5066E">
        <w:t>5</w:t>
      </w:r>
      <w:r w:rsidRPr="00C917E2">
        <w:t xml:space="preserve">). Some of the funds have already been committed, and they are likely to be entirely disbursed. </w:t>
      </w:r>
    </w:p>
    <w:p w14:paraId="36E5F4F6" w14:textId="77777777" w:rsidR="008B67F3" w:rsidRPr="00C917E2" w:rsidRDefault="008B67F3" w:rsidP="00DE4A3B">
      <w:pPr>
        <w:pStyle w:val="BOX"/>
      </w:pPr>
      <w:bookmarkStart w:id="253" w:name="_Toc419004055"/>
      <w:r w:rsidRPr="00C917E2">
        <w:lastRenderedPageBreak/>
        <w:t xml:space="preserve">Box </w:t>
      </w:r>
      <w:r w:rsidR="003D2889" w:rsidRPr="00C917E2">
        <w:t>5</w:t>
      </w:r>
      <w:r w:rsidR="005E6993" w:rsidRPr="00C917E2">
        <w:t xml:space="preserve"> </w:t>
      </w:r>
      <w:r w:rsidRPr="00C917E2">
        <w:t>Donor Spending Plans</w:t>
      </w:r>
      <w:bookmarkEnd w:id="253"/>
    </w:p>
    <w:p w14:paraId="2EF35F67" w14:textId="77777777" w:rsidR="008B67F3" w:rsidRPr="00C917E2" w:rsidRDefault="008B67F3" w:rsidP="00DE4A3B">
      <w:pPr>
        <w:pStyle w:val="Boxtext"/>
      </w:pPr>
      <w:r w:rsidRPr="00C917E2">
        <w:t>Global Fund—HIV/AIDS: US$311 million for 2014–17.</w:t>
      </w:r>
    </w:p>
    <w:p w14:paraId="499FCAAF" w14:textId="77777777" w:rsidR="008B67F3" w:rsidRPr="00C917E2" w:rsidRDefault="008B67F3" w:rsidP="00DE4A3B">
      <w:pPr>
        <w:pStyle w:val="Boxtext"/>
      </w:pPr>
      <w:r w:rsidRPr="00C917E2">
        <w:t>Global Fund—additional funding: US$126 million for 2015–16.</w:t>
      </w:r>
    </w:p>
    <w:p w14:paraId="122F745E" w14:textId="77777777" w:rsidR="008B67F3" w:rsidRPr="00C917E2" w:rsidRDefault="008B67F3" w:rsidP="00DE4A3B">
      <w:pPr>
        <w:pStyle w:val="Boxtext"/>
      </w:pPr>
      <w:r w:rsidRPr="00C917E2">
        <w:t>Global Fund—tuberculosis proposal: US$32.9 million for 2015–16.</w:t>
      </w:r>
    </w:p>
    <w:p w14:paraId="418FF6FE" w14:textId="77777777" w:rsidR="008B67F3" w:rsidRPr="00C917E2" w:rsidRDefault="008B67F3" w:rsidP="00DE4A3B">
      <w:pPr>
        <w:pStyle w:val="Boxtext"/>
      </w:pPr>
      <w:r w:rsidRPr="00C917E2">
        <w:t>Global Fund—malaria proposal: US$34.23 million for 2015.</w:t>
      </w:r>
    </w:p>
    <w:p w14:paraId="4B0334A1" w14:textId="77777777" w:rsidR="008B67F3" w:rsidRPr="00C917E2" w:rsidRDefault="008B67F3" w:rsidP="00DE4A3B">
      <w:pPr>
        <w:pStyle w:val="Boxtext"/>
      </w:pPr>
      <w:r w:rsidRPr="00C917E2">
        <w:t>DFID, SIDA, and Irish Aid—Integrated Support Program: US$90 million for 2012–15.</w:t>
      </w:r>
    </w:p>
    <w:p w14:paraId="5506F3D5" w14:textId="77777777" w:rsidR="008B67F3" w:rsidRPr="00C917E2" w:rsidRDefault="008B67F3" w:rsidP="00DE4A3B">
      <w:pPr>
        <w:pStyle w:val="Boxtext"/>
      </w:pPr>
      <w:r w:rsidRPr="00C917E2">
        <w:t>PEPFAR—HIV/AIDS: US$101 million for 2014 plus an expected US$7 million for a three-year program to prevent mother-to-child-transmission of HIV.</w:t>
      </w:r>
    </w:p>
    <w:p w14:paraId="06C50913" w14:textId="77777777" w:rsidR="008B67F3" w:rsidRPr="00C917E2" w:rsidRDefault="00A5066E" w:rsidP="00DE4A3B">
      <w:pPr>
        <w:pStyle w:val="Boxtext"/>
      </w:pPr>
      <w:r>
        <w:t>U.S.</w:t>
      </w:r>
      <w:r w:rsidR="008B67F3" w:rsidRPr="00C917E2">
        <w:t xml:space="preserve"> </w:t>
      </w:r>
      <w:r w:rsidRPr="00C917E2">
        <w:t>government</w:t>
      </w:r>
      <w:r w:rsidR="008B67F3" w:rsidRPr="00C917E2">
        <w:t>—President's Malaria Initiative: US$15.84 million for 2015.</w:t>
      </w:r>
    </w:p>
    <w:p w14:paraId="4FF9D772" w14:textId="77777777" w:rsidR="008B67F3" w:rsidRPr="00C917E2" w:rsidRDefault="00A5066E" w:rsidP="00DE4A3B">
      <w:pPr>
        <w:pStyle w:val="Boxtext"/>
      </w:pPr>
      <w:r>
        <w:t xml:space="preserve">U.S. </w:t>
      </w:r>
      <w:r w:rsidRPr="00C917E2">
        <w:t>government</w:t>
      </w:r>
      <w:r w:rsidR="008B67F3" w:rsidRPr="00C917E2">
        <w:t>—tuberculosis: US$5.2 million for 2014–15.</w:t>
      </w:r>
    </w:p>
    <w:p w14:paraId="3ECB1D6F" w14:textId="77777777" w:rsidR="008B67F3" w:rsidRPr="00C917E2" w:rsidRDefault="008B67F3" w:rsidP="00DE4A3B"/>
    <w:p w14:paraId="1135102E" w14:textId="77777777" w:rsidR="008B67F3" w:rsidRPr="00C917E2" w:rsidRDefault="008B67F3" w:rsidP="00D37198">
      <w:pPr>
        <w:pStyle w:val="Numberpara"/>
      </w:pPr>
      <w:r w:rsidRPr="00C917E2">
        <w:t>It appears that the total amount of foreign aid to the health sector is on the rise</w:t>
      </w:r>
      <w:r w:rsidR="001325F8" w:rsidRPr="00C917E2">
        <w:t xml:space="preserve"> (</w:t>
      </w:r>
      <w:r w:rsidR="00C713A9" w:rsidRPr="00C917E2">
        <w:fldChar w:fldCharType="begin"/>
      </w:r>
      <w:r w:rsidR="001325F8" w:rsidRPr="00C917E2">
        <w:instrText xml:space="preserve"> REF _Ref412006003 \h </w:instrText>
      </w:r>
      <w:r w:rsidR="00C713A9" w:rsidRPr="00C917E2">
        <w:fldChar w:fldCharType="separate"/>
      </w:r>
      <w:r w:rsidR="003732A2" w:rsidRPr="00C917E2">
        <w:t xml:space="preserve">Figure </w:t>
      </w:r>
      <w:r w:rsidR="003732A2">
        <w:rPr>
          <w:noProof/>
        </w:rPr>
        <w:t>30</w:t>
      </w:r>
      <w:r w:rsidR="00C713A9" w:rsidRPr="00C917E2">
        <w:fldChar w:fldCharType="end"/>
      </w:r>
      <w:r w:rsidR="00FF3BD3" w:rsidRPr="00C917E2">
        <w:t xml:space="preserve"> above</w:t>
      </w:r>
      <w:r w:rsidR="001325F8" w:rsidRPr="00C917E2">
        <w:t>)</w:t>
      </w:r>
      <w:r w:rsidRPr="00C917E2">
        <w:rPr>
          <w:i/>
        </w:rPr>
        <w:t>,</w:t>
      </w:r>
      <w:r w:rsidRPr="00C917E2">
        <w:t xml:space="preserve"> suggesting that the international community may be increasing its commitment, but for reasons already given it is inadvisable to include foreign aid projections in budget plans. The impact of foreign aid projects will certainly be greater if existing resource allocation can be improved. Partners and the government could explore ways to minimize silo financing by identifying technically competent implementing agencies that can pool funding for subsectors or technical areas and ensure that resource flows nationally and </w:t>
      </w:r>
      <w:r w:rsidR="000C57C7" w:rsidRPr="00C917E2">
        <w:t>subnationally</w:t>
      </w:r>
      <w:r w:rsidRPr="00C917E2">
        <w:t xml:space="preserve"> are tracked jointly.</w:t>
      </w:r>
    </w:p>
    <w:p w14:paraId="3BBA7AEB" w14:textId="77777777" w:rsidR="008B67F3" w:rsidRPr="00C917E2" w:rsidRDefault="008B67F3" w:rsidP="00C65720"/>
    <w:p w14:paraId="7C0A6AC6" w14:textId="77777777" w:rsidR="008B67F3" w:rsidRPr="00C917E2" w:rsidRDefault="008B67F3" w:rsidP="00C65720">
      <w:pPr>
        <w:sectPr w:rsidR="008B67F3" w:rsidRPr="00C917E2" w:rsidSect="00B50A85">
          <w:headerReference w:type="default" r:id="rId77"/>
          <w:endnotePr>
            <w:numFmt w:val="decimal"/>
          </w:endnotePr>
          <w:pgSz w:w="11906" w:h="16838"/>
          <w:pgMar w:top="1440" w:right="1440" w:bottom="1440" w:left="1440" w:header="720" w:footer="720" w:gutter="0"/>
          <w:cols w:space="720"/>
          <w:docGrid w:linePitch="360"/>
        </w:sectPr>
      </w:pPr>
    </w:p>
    <w:p w14:paraId="36AF333A" w14:textId="77777777" w:rsidR="008B67F3" w:rsidRPr="00C917E2" w:rsidRDefault="008B67F3" w:rsidP="00226FA8">
      <w:pPr>
        <w:pStyle w:val="Heading1"/>
      </w:pPr>
      <w:bookmarkStart w:id="254" w:name="_Toc401030272"/>
      <w:bookmarkStart w:id="255" w:name="_Toc401030931"/>
      <w:bookmarkStart w:id="256" w:name="_Toc388367950"/>
      <w:bookmarkStart w:id="257" w:name="_Toc401030273"/>
      <w:bookmarkStart w:id="258" w:name="_Toc401030932"/>
      <w:bookmarkStart w:id="259" w:name="_Toc419004035"/>
      <w:bookmarkEnd w:id="254"/>
      <w:bookmarkEnd w:id="255"/>
      <w:r w:rsidRPr="00C917E2">
        <w:lastRenderedPageBreak/>
        <w:t>5. Conclusions</w:t>
      </w:r>
      <w:bookmarkEnd w:id="256"/>
      <w:r w:rsidRPr="00C917E2">
        <w:t xml:space="preserve"> and Recommendations</w:t>
      </w:r>
      <w:bookmarkEnd w:id="257"/>
      <w:bookmarkEnd w:id="258"/>
      <w:bookmarkEnd w:id="259"/>
    </w:p>
    <w:p w14:paraId="7A4D174D" w14:textId="77777777" w:rsidR="008B67F3" w:rsidRPr="00C917E2" w:rsidRDefault="008B67F3" w:rsidP="00226FA8">
      <w:pPr>
        <w:pStyle w:val="Heading2"/>
      </w:pPr>
      <w:bookmarkStart w:id="260" w:name="_Toc419004036"/>
      <w:r w:rsidRPr="00C917E2">
        <w:t>5.1 Conclusions</w:t>
      </w:r>
      <w:bookmarkEnd w:id="260"/>
    </w:p>
    <w:p w14:paraId="7A83E000" w14:textId="719E2F18" w:rsidR="00B27F5C" w:rsidRPr="00C917E2" w:rsidRDefault="00B27F5C" w:rsidP="00D37198">
      <w:pPr>
        <w:pStyle w:val="Numberpara"/>
      </w:pPr>
      <w:r w:rsidRPr="00C917E2">
        <w:t xml:space="preserve">With donor </w:t>
      </w:r>
      <w:r w:rsidR="008B67F3" w:rsidRPr="00C917E2">
        <w:t xml:space="preserve">coordination </w:t>
      </w:r>
      <w:r w:rsidRPr="00C917E2">
        <w:t xml:space="preserve">meetings chaired by </w:t>
      </w:r>
      <w:r w:rsidR="008B67F3" w:rsidRPr="00C917E2">
        <w:t>the MOHCC</w:t>
      </w:r>
      <w:r w:rsidRPr="00C917E2">
        <w:t xml:space="preserve"> and donor plans informed by the MOHCC’S strategic plans and annual plans,</w:t>
      </w:r>
      <w:r w:rsidR="008B67F3" w:rsidRPr="00C917E2">
        <w:t xml:space="preserve"> </w:t>
      </w:r>
      <w:r w:rsidRPr="00C917E2">
        <w:t xml:space="preserve">collaboration </w:t>
      </w:r>
      <w:r w:rsidR="00755F56">
        <w:t xml:space="preserve">on </w:t>
      </w:r>
      <w:r w:rsidR="008B67F3" w:rsidRPr="00C917E2">
        <w:t>indicative resource allocations</w:t>
      </w:r>
      <w:r w:rsidR="00755F56" w:rsidRPr="00755F56">
        <w:t xml:space="preserve"> </w:t>
      </w:r>
      <w:r w:rsidR="00755F56" w:rsidRPr="00C917E2">
        <w:t>is improv</w:t>
      </w:r>
      <w:r w:rsidR="00755F56">
        <w:t>ing steadily</w:t>
      </w:r>
      <w:r w:rsidRPr="00C917E2">
        <w:t>. Still</w:t>
      </w:r>
      <w:r w:rsidR="008B67F3" w:rsidRPr="00C917E2">
        <w:t xml:space="preserve">, </w:t>
      </w:r>
      <w:r w:rsidR="00BE31C2" w:rsidRPr="00C917E2">
        <w:t xml:space="preserve">there is scope to </w:t>
      </w:r>
      <w:r w:rsidR="00755F56">
        <w:t xml:space="preserve">further </w:t>
      </w:r>
      <w:r w:rsidR="00BE31C2" w:rsidRPr="00C917E2">
        <w:t xml:space="preserve">consolidate some parallel financing mechanisms and administrative overhead arrangements by financial management or implementation agencies, and </w:t>
      </w:r>
      <w:r w:rsidR="008B67F3" w:rsidRPr="00C917E2">
        <w:t>to strengthen budget expenditure reviews and reporting by the MOHCC</w:t>
      </w:r>
      <w:r w:rsidR="00755F56">
        <w:t xml:space="preserve"> and donors</w:t>
      </w:r>
      <w:r w:rsidR="008B67F3" w:rsidRPr="00C917E2">
        <w:t>.</w:t>
      </w:r>
      <w:r w:rsidR="00AA119C">
        <w:t xml:space="preserve"> </w:t>
      </w:r>
      <w:r w:rsidR="00BE31C2" w:rsidRPr="00C917E2">
        <w:t xml:space="preserve">This is </w:t>
      </w:r>
      <w:r w:rsidR="00755F56">
        <w:t xml:space="preserve">increasingly </w:t>
      </w:r>
      <w:r w:rsidR="00BE31C2" w:rsidRPr="00C917E2">
        <w:t xml:space="preserve">important because </w:t>
      </w:r>
      <w:r w:rsidRPr="00C917E2">
        <w:t xml:space="preserve">development </w:t>
      </w:r>
      <w:r w:rsidR="008B67F3" w:rsidRPr="00C917E2">
        <w:t xml:space="preserve">partner financing </w:t>
      </w:r>
      <w:r w:rsidR="00C904EC">
        <w:t>in</w:t>
      </w:r>
      <w:r w:rsidR="00C904EC" w:rsidRPr="00C917E2">
        <w:t xml:space="preserve"> </w:t>
      </w:r>
      <w:r w:rsidR="008B67F3" w:rsidRPr="00C917E2">
        <w:t xml:space="preserve">total health expenditures </w:t>
      </w:r>
      <w:r w:rsidRPr="00C917E2">
        <w:t xml:space="preserve">shot up </w:t>
      </w:r>
      <w:r w:rsidR="008B67F3" w:rsidRPr="00C917E2">
        <w:t xml:space="preserve">to 19 percent </w:t>
      </w:r>
      <w:r w:rsidR="00FE6995" w:rsidRPr="00C917E2">
        <w:t xml:space="preserve">in 2010 </w:t>
      </w:r>
      <w:r w:rsidRPr="00C917E2">
        <w:t xml:space="preserve">to become </w:t>
      </w:r>
      <w:r w:rsidR="008B67F3" w:rsidRPr="00C917E2">
        <w:t xml:space="preserve">the second-largest source of financing in health after </w:t>
      </w:r>
      <w:r w:rsidRPr="00C917E2">
        <w:t>OOP</w:t>
      </w:r>
      <w:r w:rsidR="008B67F3" w:rsidRPr="00C917E2">
        <w:t xml:space="preserve"> </w:t>
      </w:r>
      <w:r w:rsidRPr="00C917E2">
        <w:t>spending</w:t>
      </w:r>
      <w:r w:rsidR="00BE31C2" w:rsidRPr="00C917E2">
        <w:t>;</w:t>
      </w:r>
      <w:r w:rsidRPr="00C917E2">
        <w:t xml:space="preserve"> </w:t>
      </w:r>
      <w:r w:rsidR="008B67F3" w:rsidRPr="00C917E2">
        <w:t>yet almost all of it is off</w:t>
      </w:r>
      <w:r w:rsidRPr="00C917E2">
        <w:t xml:space="preserve"> </w:t>
      </w:r>
      <w:r w:rsidR="008B67F3" w:rsidRPr="00C917E2">
        <w:t>budget</w:t>
      </w:r>
      <w:r w:rsidRPr="00C917E2">
        <w:t>,</w:t>
      </w:r>
      <w:r w:rsidR="008B67F3" w:rsidRPr="00C917E2">
        <w:t xml:space="preserve"> </w:t>
      </w:r>
      <w:r w:rsidRPr="00C917E2">
        <w:t xml:space="preserve">with </w:t>
      </w:r>
      <w:r w:rsidR="008B67F3" w:rsidRPr="00C917E2">
        <w:t xml:space="preserve">limited communication or coordination of expenditures with the MOHCC </w:t>
      </w:r>
      <w:r w:rsidR="00A86061">
        <w:t>(</w:t>
      </w:r>
      <w:r w:rsidR="00755F56">
        <w:t xml:space="preserve">as </w:t>
      </w:r>
      <w:r w:rsidR="008B67F3" w:rsidRPr="00C917E2">
        <w:t xml:space="preserve">the chief accounting officer for the </w:t>
      </w:r>
      <w:r w:rsidRPr="00C917E2">
        <w:t xml:space="preserve">health </w:t>
      </w:r>
      <w:r w:rsidR="008B67F3" w:rsidRPr="00C917E2">
        <w:t>sector</w:t>
      </w:r>
      <w:r w:rsidRPr="00C917E2">
        <w:t>)</w:t>
      </w:r>
      <w:r w:rsidR="008B67F3" w:rsidRPr="00C917E2">
        <w:t xml:space="preserve">. </w:t>
      </w:r>
    </w:p>
    <w:p w14:paraId="30356A18" w14:textId="77777777" w:rsidR="008B67F3" w:rsidRPr="00C917E2" w:rsidRDefault="008B67F3" w:rsidP="00D37198">
      <w:pPr>
        <w:pStyle w:val="Numberpara"/>
      </w:pPr>
      <w:r w:rsidRPr="00C917E2">
        <w:t>Improved strategic financial coordination will enable the MOHCC and development partners to identify areas of low</w:t>
      </w:r>
      <w:r w:rsidR="00B27F5C" w:rsidRPr="00C917E2">
        <w:t xml:space="preserve"> </w:t>
      </w:r>
      <w:r w:rsidRPr="00C917E2">
        <w:t xml:space="preserve">performance and coordinate reallocations or increases. </w:t>
      </w:r>
    </w:p>
    <w:p w14:paraId="0C33EB92" w14:textId="77777777" w:rsidR="008B67F3" w:rsidRPr="00C917E2" w:rsidRDefault="006235B0" w:rsidP="00D37198">
      <w:pPr>
        <w:pStyle w:val="Numberpara"/>
      </w:pPr>
      <w:r w:rsidRPr="00C917E2">
        <w:t xml:space="preserve">The health system’s cost structure is skewed: </w:t>
      </w:r>
      <w:r w:rsidR="00484DFB" w:rsidRPr="00C917E2">
        <w:t xml:space="preserve">high </w:t>
      </w:r>
      <w:r w:rsidR="008B67F3" w:rsidRPr="00C917E2">
        <w:t>recurrent government expenditures are the norm</w:t>
      </w:r>
      <w:r w:rsidR="00484DFB" w:rsidRPr="00C917E2">
        <w:t xml:space="preserve">, especially </w:t>
      </w:r>
      <w:r w:rsidR="008B67F3" w:rsidRPr="00C917E2">
        <w:t xml:space="preserve">employment costs, </w:t>
      </w:r>
      <w:r w:rsidR="00484DFB" w:rsidRPr="00C917E2">
        <w:t xml:space="preserve">which are </w:t>
      </w:r>
      <w:r w:rsidR="008B67F3" w:rsidRPr="00C917E2">
        <w:t xml:space="preserve">crowding out capital and social </w:t>
      </w:r>
      <w:r w:rsidR="00484DFB" w:rsidRPr="00C917E2">
        <w:t xml:space="preserve">spending, while </w:t>
      </w:r>
      <w:r w:rsidR="008B67F3" w:rsidRPr="00C917E2">
        <w:t xml:space="preserve">total health expenditure </w:t>
      </w:r>
      <w:r w:rsidR="00484DFB" w:rsidRPr="00C917E2">
        <w:t xml:space="preserve">heavily favors </w:t>
      </w:r>
      <w:r w:rsidR="008B67F3" w:rsidRPr="00C917E2">
        <w:t xml:space="preserve">curative </w:t>
      </w:r>
      <w:r w:rsidR="00484DFB" w:rsidRPr="00C917E2">
        <w:t xml:space="preserve">not </w:t>
      </w:r>
      <w:r w:rsidR="00237FB5" w:rsidRPr="00C917E2">
        <w:t>preventive</w:t>
      </w:r>
      <w:r w:rsidR="008B67F3" w:rsidRPr="00C917E2">
        <w:t xml:space="preserve"> care</w:t>
      </w:r>
      <w:r w:rsidR="00672296" w:rsidRPr="00C917E2">
        <w:t xml:space="preserve">, and although the former </w:t>
      </w:r>
      <w:r w:rsidR="008B67F3" w:rsidRPr="00C917E2">
        <w:t xml:space="preserve">includes health facility–based preventive care, there is no disaggregation </w:t>
      </w:r>
      <w:r w:rsidR="00672296" w:rsidRPr="00C917E2">
        <w:t xml:space="preserve">into </w:t>
      </w:r>
      <w:r w:rsidR="008B67F3" w:rsidRPr="00C917E2">
        <w:t xml:space="preserve">subcomponents for preventive </w:t>
      </w:r>
      <w:r w:rsidR="00672296" w:rsidRPr="00C917E2">
        <w:t xml:space="preserve">versus </w:t>
      </w:r>
      <w:r w:rsidR="008B67F3" w:rsidRPr="00C917E2">
        <w:t xml:space="preserve">purely curative </w:t>
      </w:r>
      <w:r w:rsidR="00672296" w:rsidRPr="00C917E2">
        <w:t xml:space="preserve">care </w:t>
      </w:r>
      <w:r w:rsidR="008B67F3" w:rsidRPr="00C917E2">
        <w:t xml:space="preserve">to enable budget tracking. </w:t>
      </w:r>
    </w:p>
    <w:p w14:paraId="3EE0F324" w14:textId="5C81966A" w:rsidR="008B67F3" w:rsidRPr="00C917E2" w:rsidRDefault="008B67F3" w:rsidP="00D37198">
      <w:pPr>
        <w:pStyle w:val="Numberpara"/>
      </w:pPr>
      <w:r w:rsidRPr="00C917E2">
        <w:t xml:space="preserve">Government health spending is less than it was before the country’s economic crisis and needs to increase, </w:t>
      </w:r>
      <w:r w:rsidR="00E34096">
        <w:t>but</w:t>
      </w:r>
      <w:r w:rsidR="00E34096" w:rsidRPr="00C917E2">
        <w:t xml:space="preserve"> </w:t>
      </w:r>
      <w:r w:rsidRPr="00C917E2">
        <w:t xml:space="preserve">priority should be given to </w:t>
      </w:r>
      <w:r w:rsidR="00672296" w:rsidRPr="00C917E2">
        <w:t xml:space="preserve">spending </w:t>
      </w:r>
      <w:r w:rsidRPr="00C917E2">
        <w:t>existing resources</w:t>
      </w:r>
      <w:r w:rsidR="00672296" w:rsidRPr="00C917E2">
        <w:t xml:space="preserve"> more efficiently</w:t>
      </w:r>
      <w:r w:rsidRPr="00C917E2">
        <w:t xml:space="preserve">. </w:t>
      </w:r>
      <w:r w:rsidR="00672296" w:rsidRPr="00C917E2">
        <w:t xml:space="preserve">In </w:t>
      </w:r>
      <w:r w:rsidRPr="00C917E2">
        <w:t>2013 Zimbabwe spent 2.9 percent of GDP</w:t>
      </w:r>
      <w:r w:rsidR="00672296" w:rsidRPr="00C917E2">
        <w:t xml:space="preserve"> on health</w:t>
      </w:r>
      <w:r w:rsidRPr="00C917E2">
        <w:t>—close to the 2012 SSA average of 3.1 percent</w:t>
      </w:r>
      <w:r w:rsidR="00672296" w:rsidRPr="00C917E2">
        <w:t>—</w:t>
      </w:r>
      <w:r w:rsidRPr="00C917E2">
        <w:t xml:space="preserve">but still under the WHO’s lower threshold of 5 percent of the GDP. </w:t>
      </w:r>
    </w:p>
    <w:p w14:paraId="56DC8145" w14:textId="72745385" w:rsidR="008B67F3" w:rsidRPr="00C917E2" w:rsidRDefault="00E34096" w:rsidP="00D37198">
      <w:pPr>
        <w:pStyle w:val="Numberpara"/>
      </w:pPr>
      <w:r>
        <w:t xml:space="preserve"> A t</w:t>
      </w:r>
      <w:r w:rsidR="00FE6995" w:rsidRPr="00C917E2">
        <w:t xml:space="preserve">oo </w:t>
      </w:r>
      <w:r w:rsidR="008B67F3" w:rsidRPr="00C917E2">
        <w:t xml:space="preserve">large part of the </w:t>
      </w:r>
      <w:r w:rsidR="00FE6995" w:rsidRPr="00C917E2">
        <w:t xml:space="preserve">whole </w:t>
      </w:r>
      <w:r w:rsidR="008B67F3" w:rsidRPr="00C917E2">
        <w:t xml:space="preserve">population </w:t>
      </w:r>
      <w:r w:rsidR="00FE6995" w:rsidRPr="00C917E2">
        <w:t xml:space="preserve">(20–30 percent) </w:t>
      </w:r>
      <w:r w:rsidR="008B67F3" w:rsidRPr="00C917E2">
        <w:t>is forgoing care for financial reasons</w:t>
      </w:r>
      <w:r w:rsidR="00FE6995" w:rsidRPr="00C917E2">
        <w:t>, largely due to high OOP payments,</w:t>
      </w:r>
      <w:r w:rsidR="00B72993" w:rsidRPr="00C917E2">
        <w:t xml:space="preserve"> </w:t>
      </w:r>
      <w:r w:rsidR="008B67F3" w:rsidRPr="00C917E2">
        <w:t xml:space="preserve">and the poor are forgoing </w:t>
      </w:r>
      <w:r w:rsidR="00FE6995" w:rsidRPr="00C917E2">
        <w:t>higher-</w:t>
      </w:r>
      <w:r w:rsidR="008B67F3" w:rsidRPr="00C917E2">
        <w:t>quality care</w:t>
      </w:r>
      <w:r w:rsidR="00FE6995" w:rsidRPr="00C917E2">
        <w:t xml:space="preserve">. A major challenge is equitable access to hospital services in rural districts, especially for the two bottom wealth quintiles. Yet </w:t>
      </w:r>
      <w:r w:rsidR="008B67F3" w:rsidRPr="00C917E2">
        <w:t xml:space="preserve">(based on a </w:t>
      </w:r>
      <w:r w:rsidR="00FE6995" w:rsidRPr="00C917E2">
        <w:t>few provinces and no district data</w:t>
      </w:r>
      <w:r w:rsidR="008B67F3" w:rsidRPr="00C917E2">
        <w:t xml:space="preserve">) catastrophic expenditures </w:t>
      </w:r>
      <w:r w:rsidR="00237FB5" w:rsidRPr="00C917E2">
        <w:t xml:space="preserve">seem </w:t>
      </w:r>
      <w:r w:rsidR="008B67F3" w:rsidRPr="00C917E2">
        <w:t xml:space="preserve">not </w:t>
      </w:r>
      <w:r w:rsidR="00237FB5" w:rsidRPr="00C917E2">
        <w:t xml:space="preserve">to be </w:t>
      </w:r>
      <w:r w:rsidR="008B67F3" w:rsidRPr="00C917E2">
        <w:t xml:space="preserve">widespread. </w:t>
      </w:r>
    </w:p>
    <w:p w14:paraId="6458220F" w14:textId="77777777" w:rsidR="008B67F3" w:rsidRPr="00C917E2" w:rsidRDefault="008B67F3" w:rsidP="00D37198">
      <w:pPr>
        <w:pStyle w:val="Numberpara"/>
      </w:pPr>
      <w:r w:rsidRPr="00C917E2">
        <w:t xml:space="preserve">Zimbabwe has been making </w:t>
      </w:r>
      <w:r w:rsidR="00686861" w:rsidRPr="00C917E2">
        <w:t xml:space="preserve">some </w:t>
      </w:r>
      <w:r w:rsidRPr="00C917E2">
        <w:t xml:space="preserve">progress in health status in recent years, yet there are still </w:t>
      </w:r>
      <w:r w:rsidR="00686861" w:rsidRPr="00C917E2">
        <w:t xml:space="preserve">wide </w:t>
      </w:r>
      <w:r w:rsidRPr="00C917E2">
        <w:t xml:space="preserve">gaps and a major burden of communicable and </w:t>
      </w:r>
      <w:r w:rsidR="00686117" w:rsidRPr="00C917E2">
        <w:t>noncommunicable disease</w:t>
      </w:r>
      <w:r w:rsidRPr="00C917E2">
        <w:t xml:space="preserve">. </w:t>
      </w:r>
      <w:r w:rsidR="00686117" w:rsidRPr="00C917E2">
        <w:t xml:space="preserve">The government </w:t>
      </w:r>
      <w:r w:rsidRPr="00C917E2">
        <w:t xml:space="preserve">needs urgently </w:t>
      </w:r>
      <w:r w:rsidR="00686117" w:rsidRPr="00C917E2">
        <w:t xml:space="preserve">to </w:t>
      </w:r>
      <w:r w:rsidRPr="00C917E2">
        <w:t>invest more in preventive and public health programs</w:t>
      </w:r>
      <w:r w:rsidR="00EC50C3" w:rsidRPr="00C917E2">
        <w:t>, including health promotion and education</w:t>
      </w:r>
      <w:r w:rsidRPr="00C917E2">
        <w:t xml:space="preserve">. This </w:t>
      </w:r>
      <w:r w:rsidR="00EC50C3" w:rsidRPr="00C917E2">
        <w:t xml:space="preserve">effort should </w:t>
      </w:r>
      <w:r w:rsidRPr="00C917E2">
        <w:t>focus on rebuilding the primary care system, once a</w:t>
      </w:r>
      <w:r w:rsidR="00EC50C3" w:rsidRPr="00C917E2">
        <w:t>n</w:t>
      </w:r>
      <w:r w:rsidRPr="00C917E2">
        <w:t xml:space="preserve"> example </w:t>
      </w:r>
      <w:r w:rsidR="00686117" w:rsidRPr="00C917E2">
        <w:t xml:space="preserve">for </w:t>
      </w:r>
      <w:r w:rsidRPr="00C917E2">
        <w:t>Africa</w:t>
      </w:r>
      <w:r w:rsidR="00EC50C3" w:rsidRPr="00C917E2">
        <w:t>,</w:t>
      </w:r>
      <w:r w:rsidRPr="00C917E2">
        <w:t xml:space="preserve"> </w:t>
      </w:r>
      <w:r w:rsidR="00EC50C3" w:rsidRPr="00C917E2">
        <w:t xml:space="preserve">with </w:t>
      </w:r>
      <w:r w:rsidRPr="00C917E2">
        <w:t>well-trained</w:t>
      </w:r>
      <w:r w:rsidR="00686117" w:rsidRPr="00C917E2">
        <w:t xml:space="preserve"> and</w:t>
      </w:r>
      <w:r w:rsidRPr="00C917E2">
        <w:t xml:space="preserve"> </w:t>
      </w:r>
      <w:r w:rsidR="00686117" w:rsidRPr="00C917E2">
        <w:t>well-</w:t>
      </w:r>
      <w:r w:rsidRPr="00C917E2">
        <w:t xml:space="preserve">equipped </w:t>
      </w:r>
      <w:r w:rsidR="00CF07B6" w:rsidRPr="00CF07B6">
        <w:t>community health worker</w:t>
      </w:r>
      <w:r w:rsidR="00CF07B6" w:rsidRPr="00C917E2">
        <w:t xml:space="preserve">s </w:t>
      </w:r>
      <w:r w:rsidRPr="00C917E2">
        <w:t>and environmental health technicians.</w:t>
      </w:r>
    </w:p>
    <w:p w14:paraId="241F8C2B" w14:textId="77777777" w:rsidR="008B67F3" w:rsidRPr="00C917E2" w:rsidRDefault="008B67F3" w:rsidP="00226FA8">
      <w:pPr>
        <w:pStyle w:val="Heading2"/>
        <w:rPr>
          <w:i/>
        </w:rPr>
      </w:pPr>
      <w:bookmarkStart w:id="261" w:name="_Toc419004037"/>
      <w:r w:rsidRPr="00C917E2">
        <w:t>5.2 Recommendations</w:t>
      </w:r>
      <w:bookmarkEnd w:id="261"/>
    </w:p>
    <w:p w14:paraId="6951049E" w14:textId="77777777" w:rsidR="008B67F3" w:rsidRPr="00C917E2" w:rsidRDefault="00686117" w:rsidP="00D37198">
      <w:pPr>
        <w:pStyle w:val="Numberpara"/>
      </w:pPr>
      <w:r w:rsidRPr="00C917E2">
        <w:t xml:space="preserve">Most of </w:t>
      </w:r>
      <w:r w:rsidR="008B67F3" w:rsidRPr="00C917E2">
        <w:t>the following recommendations</w:t>
      </w:r>
      <w:r w:rsidRPr="00C917E2">
        <w:t xml:space="preserve"> are for </w:t>
      </w:r>
      <w:r w:rsidR="008B67F3" w:rsidRPr="00C917E2">
        <w:t xml:space="preserve">policy makers and technical staff </w:t>
      </w:r>
      <w:r w:rsidRPr="00C917E2">
        <w:t xml:space="preserve">at </w:t>
      </w:r>
      <w:r w:rsidR="008B67F3" w:rsidRPr="00C917E2">
        <w:t xml:space="preserve">the MOFED and MOHCC. </w:t>
      </w:r>
    </w:p>
    <w:p w14:paraId="642B07AC" w14:textId="77777777" w:rsidR="008B67F3" w:rsidRPr="00C917E2" w:rsidRDefault="008B67F3" w:rsidP="00664E02">
      <w:pPr>
        <w:pStyle w:val="Heading4"/>
      </w:pPr>
      <w:r w:rsidRPr="00C917E2">
        <w:t>Increas</w:t>
      </w:r>
      <w:r w:rsidR="00686117" w:rsidRPr="00C917E2">
        <w:t>e</w:t>
      </w:r>
      <w:r w:rsidRPr="00C917E2">
        <w:t xml:space="preserve"> Government Spending on Health </w:t>
      </w:r>
      <w:r w:rsidR="00686117" w:rsidRPr="00C917E2">
        <w:t xml:space="preserve">and </w:t>
      </w:r>
      <w:r w:rsidRPr="00C917E2">
        <w:t>Reallocat</w:t>
      </w:r>
      <w:r w:rsidR="00686117" w:rsidRPr="00C917E2">
        <w:t>e</w:t>
      </w:r>
      <w:r w:rsidRPr="00C917E2">
        <w:t xml:space="preserve"> Expenditures</w:t>
      </w:r>
    </w:p>
    <w:p w14:paraId="61D24F5D" w14:textId="65849033" w:rsidR="002E3687" w:rsidRPr="0019307B" w:rsidRDefault="00686117" w:rsidP="00D37198">
      <w:pPr>
        <w:pStyle w:val="Numberpara"/>
      </w:pPr>
      <w:r w:rsidRPr="0019307B">
        <w:t xml:space="preserve">Government health spending is </w:t>
      </w:r>
      <w:r w:rsidR="008B67F3" w:rsidRPr="0019307B">
        <w:t xml:space="preserve">lower than </w:t>
      </w:r>
      <w:r w:rsidR="00237FB5" w:rsidRPr="0019307B">
        <w:t xml:space="preserve">in </w:t>
      </w:r>
      <w:r w:rsidR="008B67F3" w:rsidRPr="0019307B">
        <w:t xml:space="preserve">most regional peers and too low to ensure </w:t>
      </w:r>
      <w:r w:rsidR="00237FB5" w:rsidRPr="0019307B">
        <w:t xml:space="preserve">the right </w:t>
      </w:r>
      <w:r w:rsidR="008B67F3" w:rsidRPr="0019307B">
        <w:t>balance between health inputs. Reliance on donor financing is unsustainable, while reliance on user fees at the point of service delivery is highly regressive.</w:t>
      </w:r>
      <w:r w:rsidR="00A86061">
        <w:t xml:space="preserve"> </w:t>
      </w:r>
      <w:r w:rsidR="00E34096" w:rsidRPr="0019307B">
        <w:t>T</w:t>
      </w:r>
      <w:r w:rsidR="008B67F3" w:rsidRPr="0019307B">
        <w:t xml:space="preserve">he government </w:t>
      </w:r>
      <w:r w:rsidR="00E34096" w:rsidRPr="0019307B">
        <w:t xml:space="preserve">could consider measures to </w:t>
      </w:r>
      <w:r w:rsidR="008B67F3" w:rsidRPr="0019307B">
        <w:lastRenderedPageBreak/>
        <w:t>enlarge fiscal space for health</w:t>
      </w:r>
      <w:r w:rsidR="002E3687" w:rsidRPr="0019307B">
        <w:t xml:space="preserve"> </w:t>
      </w:r>
      <w:r w:rsidR="008B67F3" w:rsidRPr="0019307B">
        <w:t xml:space="preserve">by exploring other domestic sources of financing such as </w:t>
      </w:r>
      <w:r w:rsidR="002E3687" w:rsidRPr="0019307B">
        <w:t>“</w:t>
      </w:r>
      <w:r w:rsidR="008B67F3" w:rsidRPr="0019307B">
        <w:t>sin taxes</w:t>
      </w:r>
      <w:r w:rsidR="002E3687" w:rsidRPr="0019307B">
        <w:t>”</w:t>
      </w:r>
      <w:r w:rsidR="008B67F3" w:rsidRPr="0019307B">
        <w:t xml:space="preserve"> and earmarked levies</w:t>
      </w:r>
      <w:r w:rsidR="00E34096" w:rsidRPr="0019307B">
        <w:t xml:space="preserve"> while taking into account the allocative restrictions posed by any earmarking</w:t>
      </w:r>
      <w:r w:rsidR="00A86061">
        <w:t>,</w:t>
      </w:r>
      <w:r w:rsidR="002E3687" w:rsidRPr="0019307B">
        <w:t xml:space="preserve"> and </w:t>
      </w:r>
      <w:r w:rsidR="00A86061">
        <w:t xml:space="preserve">by </w:t>
      </w:r>
      <w:r w:rsidR="008B67F3" w:rsidRPr="0019307B">
        <w:t>strengthening public</w:t>
      </w:r>
      <w:r w:rsidR="00D3761C" w:rsidRPr="0019307B">
        <w:t>–</w:t>
      </w:r>
      <w:r w:rsidR="008B67F3" w:rsidRPr="0019307B">
        <w:t>private partnerships</w:t>
      </w:r>
      <w:r w:rsidR="000C57C7" w:rsidRPr="0019307B">
        <w:t xml:space="preserve">. </w:t>
      </w:r>
      <w:r w:rsidR="002E3687" w:rsidRPr="0019307B">
        <w:t>A policy framework with incentives for private-for-profit investment in health would, though, be needed to mobiliz</w:t>
      </w:r>
      <w:r w:rsidR="00D3761C" w:rsidRPr="0019307B">
        <w:t>e</w:t>
      </w:r>
      <w:r w:rsidR="002E3687" w:rsidRPr="0019307B">
        <w:t xml:space="preserve"> domestic resources from the private sector.</w:t>
      </w:r>
    </w:p>
    <w:p w14:paraId="5C3B829E" w14:textId="56A992EA" w:rsidR="006407EC" w:rsidRPr="0019307B" w:rsidRDefault="008B67F3" w:rsidP="00D37198">
      <w:pPr>
        <w:pStyle w:val="Numberpara"/>
      </w:pPr>
      <w:r w:rsidRPr="0019307B">
        <w:t xml:space="preserve">With strong </w:t>
      </w:r>
      <w:r w:rsidR="00E34096" w:rsidRPr="0019307B">
        <w:t>comparative advantages in key natural resource sectors</w:t>
      </w:r>
      <w:r w:rsidRPr="0019307B">
        <w:t xml:space="preserve">, Zimbabwe should consider leveraging some of these </w:t>
      </w:r>
      <w:r w:rsidR="00E34096" w:rsidRPr="0019307B">
        <w:t>returns from these sectors</w:t>
      </w:r>
      <w:r w:rsidRPr="0019307B">
        <w:t xml:space="preserve"> to</w:t>
      </w:r>
      <w:r w:rsidR="00E34096" w:rsidRPr="0019307B">
        <w:t>ward</w:t>
      </w:r>
      <w:r w:rsidRPr="0019307B">
        <w:t xml:space="preserve"> financ</w:t>
      </w:r>
      <w:r w:rsidR="00E34096" w:rsidRPr="0019307B">
        <w:t>ing</w:t>
      </w:r>
      <w:r w:rsidRPr="0019307B">
        <w:t xml:space="preserve"> the health sector. The MOFED </w:t>
      </w:r>
      <w:r w:rsidR="00E34096" w:rsidRPr="0019307B">
        <w:t>could</w:t>
      </w:r>
      <w:r w:rsidRPr="0019307B">
        <w:t xml:space="preserve"> explore examples from other resource-rich countries, </w:t>
      </w:r>
      <w:r w:rsidR="002E3687" w:rsidRPr="0019307B">
        <w:t xml:space="preserve">including </w:t>
      </w:r>
      <w:r w:rsidRPr="0019307B">
        <w:t xml:space="preserve">Chile. </w:t>
      </w:r>
    </w:p>
    <w:p w14:paraId="720ECD73" w14:textId="77777777" w:rsidR="008B67F3" w:rsidRPr="00C917E2" w:rsidRDefault="008B67F3" w:rsidP="00D37198">
      <w:pPr>
        <w:pStyle w:val="Numberpara"/>
      </w:pPr>
      <w:r w:rsidRPr="00C917E2">
        <w:t xml:space="preserve">The government’s health budget should prioritize expenditures in health to primary care and prevention </w:t>
      </w:r>
      <w:r w:rsidR="008501F7" w:rsidRPr="00C917E2">
        <w:t>(</w:t>
      </w:r>
      <w:r w:rsidRPr="00C917E2">
        <w:t>health service</w:t>
      </w:r>
      <w:r w:rsidR="008501F7" w:rsidRPr="00C917E2">
        <w:t>s)</w:t>
      </w:r>
      <w:r w:rsidRPr="00C917E2">
        <w:t xml:space="preserve"> and medicines and supplies </w:t>
      </w:r>
      <w:r w:rsidR="008501F7" w:rsidRPr="00C917E2">
        <w:t>(</w:t>
      </w:r>
      <w:r w:rsidRPr="00C917E2">
        <w:t>inputs</w:t>
      </w:r>
      <w:r w:rsidR="008501F7" w:rsidRPr="00C917E2">
        <w:t>)</w:t>
      </w:r>
      <w:r w:rsidRPr="00C917E2">
        <w:t xml:space="preserve">. New expenditures </w:t>
      </w:r>
      <w:r w:rsidR="008501F7" w:rsidRPr="00C917E2">
        <w:t xml:space="preserve">should not </w:t>
      </w:r>
      <w:r w:rsidRPr="00C917E2">
        <w:t xml:space="preserve">be used </w:t>
      </w:r>
      <w:r w:rsidR="008501F7" w:rsidRPr="00C917E2">
        <w:t xml:space="preserve">for </w:t>
      </w:r>
      <w:r w:rsidRPr="00C917E2">
        <w:t xml:space="preserve">salaries, despite </w:t>
      </w:r>
      <w:r w:rsidR="008501F7" w:rsidRPr="00C917E2">
        <w:t xml:space="preserve">their </w:t>
      </w:r>
      <w:r w:rsidRPr="00C917E2">
        <w:t xml:space="preserve">being lower than </w:t>
      </w:r>
      <w:r w:rsidR="008501F7" w:rsidRPr="00C917E2">
        <w:t xml:space="preserve">in </w:t>
      </w:r>
      <w:r w:rsidRPr="00C917E2">
        <w:t xml:space="preserve">regional peers (overall or in the health sector). Such prioritization also </w:t>
      </w:r>
      <w:r w:rsidR="008501F7" w:rsidRPr="00C917E2">
        <w:t xml:space="preserve">requires the MOHCC to </w:t>
      </w:r>
      <w:r w:rsidRPr="00C917E2">
        <w:t>keep track of health expenditures by level of care.</w:t>
      </w:r>
    </w:p>
    <w:p w14:paraId="3CEC9DC1" w14:textId="77777777" w:rsidR="008B67F3" w:rsidRPr="00C917E2" w:rsidRDefault="008B67F3" w:rsidP="003B6CF6">
      <w:pPr>
        <w:pStyle w:val="Heading4"/>
      </w:pPr>
      <w:r w:rsidRPr="00C917E2">
        <w:t>Improv</w:t>
      </w:r>
      <w:r w:rsidR="00671DE4" w:rsidRPr="00C917E2">
        <w:t>e</w:t>
      </w:r>
      <w:r w:rsidRPr="00C917E2">
        <w:t xml:space="preserve"> Allocative Efficiency</w:t>
      </w:r>
    </w:p>
    <w:p w14:paraId="5C6CBB05" w14:textId="77777777" w:rsidR="006407EC" w:rsidRPr="00C917E2" w:rsidRDefault="006407EC" w:rsidP="00D37198">
      <w:pPr>
        <w:pStyle w:val="Numberpara"/>
      </w:pPr>
      <w:r w:rsidRPr="00C917E2">
        <w:t xml:space="preserve">Weak harmonization of health sector programming results in duplication of funding, and inefficiencies in provision of services. Parallel financing in Zimbabwe is worsened by lack of cost-effectiveness analysis or robust evaluation of the multiple interventions. Off-budget financing needs to be better coordinated and reported to enable the government to strengthen planning and execution of public sector resources and to build on possible synergies with private financing. </w:t>
      </w:r>
    </w:p>
    <w:p w14:paraId="524F9AB6" w14:textId="77777777" w:rsidR="006407EC" w:rsidRPr="00C917E2" w:rsidRDefault="006407EC" w:rsidP="00D37198">
      <w:pPr>
        <w:pStyle w:val="Numberpara"/>
      </w:pPr>
      <w:r w:rsidRPr="00C917E2">
        <w:t xml:space="preserve">Empirical evidence-based models for resource allocation are essential to rebalancing skewed and inefficient resource allocation and should emphasize: coordination of funding sources to avoid spending duplication and asymmetry; regional-specific resource-allocation formulas to cater for areas, levels of care, and individual facilities; decentralized (and coordinated) tracking, budgeting, and management systems for resource generation and community needs; </w:t>
      </w:r>
      <w:r w:rsidRPr="00C917E2">
        <w:rPr>
          <w:rStyle w:val="EndnoteReference"/>
        </w:rPr>
        <w:endnoteReference w:id="96"/>
      </w:r>
      <w:r w:rsidRPr="00C917E2">
        <w:t xml:space="preserve"> and preventive rather than curative care. </w:t>
      </w:r>
    </w:p>
    <w:p w14:paraId="52EF2789" w14:textId="77777777" w:rsidR="006407EC" w:rsidRPr="00C917E2" w:rsidRDefault="006407EC" w:rsidP="00D37198">
      <w:pPr>
        <w:pStyle w:val="Numberpara"/>
      </w:pPr>
      <w:r w:rsidRPr="00C917E2">
        <w:t>As the MOHCC and MOFED have no mechanism to track financial allocations and expenditures at different levels of administration, such as province and district, the MOHCC should introduce a financing module in the HMIS/DHIS2 at different levels of care. Two linked opportunities arise: use program-based budgeting to clearly prioritize programs financed by the MOFED over a defined period; and under the IMF Staff Monitored Program, track expenditures on high-impact health sector interventions financed by the government, and share that information with development partners.</w:t>
      </w:r>
    </w:p>
    <w:p w14:paraId="3BCC906E" w14:textId="4275EEDA" w:rsidR="00DC6414" w:rsidRPr="00C917E2" w:rsidRDefault="00DC6414" w:rsidP="00DC6414">
      <w:pPr>
        <w:pStyle w:val="Heading4"/>
      </w:pPr>
      <w:r w:rsidRPr="00C917E2">
        <w:t>Harmoniz</w:t>
      </w:r>
      <w:r w:rsidR="00973C3E" w:rsidRPr="00C917E2">
        <w:t>e</w:t>
      </w:r>
      <w:r w:rsidRPr="00C917E2">
        <w:t xml:space="preserve"> Funding and </w:t>
      </w:r>
      <w:r w:rsidR="00E34096">
        <w:t xml:space="preserve">Strengthen </w:t>
      </w:r>
      <w:r w:rsidRPr="00C917E2">
        <w:t>Donor Coordination</w:t>
      </w:r>
    </w:p>
    <w:p w14:paraId="31CDA7C0" w14:textId="77777777" w:rsidR="00DC6414" w:rsidRPr="00C917E2" w:rsidRDefault="006407EC" w:rsidP="00D37198">
      <w:pPr>
        <w:pStyle w:val="Numberpara"/>
      </w:pPr>
      <w:r w:rsidRPr="00C917E2">
        <w:t xml:space="preserve">The </w:t>
      </w:r>
      <w:r w:rsidR="00DC6414" w:rsidRPr="00C917E2">
        <w:t xml:space="preserve">MOHCC </w:t>
      </w:r>
      <w:r w:rsidRPr="00C917E2">
        <w:t xml:space="preserve">may be </w:t>
      </w:r>
      <w:r w:rsidR="00DC6414" w:rsidRPr="00C917E2">
        <w:t xml:space="preserve">the overall coordinator </w:t>
      </w:r>
      <w:r w:rsidRPr="00C917E2">
        <w:t xml:space="preserve">for </w:t>
      </w:r>
      <w:r w:rsidR="00DC6414" w:rsidRPr="00C917E2">
        <w:t xml:space="preserve">policy and spending prioritization </w:t>
      </w:r>
      <w:r w:rsidRPr="00C917E2">
        <w:t xml:space="preserve">but does </w:t>
      </w:r>
      <w:r w:rsidR="00DC6414" w:rsidRPr="00C917E2">
        <w:t>not allocat</w:t>
      </w:r>
      <w:r w:rsidRPr="00C917E2">
        <w:t>e</w:t>
      </w:r>
      <w:r w:rsidR="00DC6414" w:rsidRPr="00C917E2">
        <w:t xml:space="preserve"> resources from external partners. Weak coordination </w:t>
      </w:r>
      <w:r w:rsidRPr="00C917E2">
        <w:t xml:space="preserve">like this </w:t>
      </w:r>
      <w:r w:rsidR="00DC6414" w:rsidRPr="00C917E2">
        <w:t>creates problems in budget planning and tracking. Given that donors contribute 19 percent and government 18 percent of total health expenditures, a resource planning, mapping</w:t>
      </w:r>
      <w:r w:rsidRPr="00C917E2">
        <w:t>,</w:t>
      </w:r>
      <w:r w:rsidR="00DC6414" w:rsidRPr="00C917E2">
        <w:t xml:space="preserve"> and tracking mechanism </w:t>
      </w:r>
      <w:r w:rsidRPr="00C917E2">
        <w:t xml:space="preserve">needs to be built, jointly </w:t>
      </w:r>
      <w:r w:rsidR="00DC6414" w:rsidRPr="00C917E2">
        <w:t>coordinat</w:t>
      </w:r>
      <w:r w:rsidRPr="00C917E2">
        <w:t>ed</w:t>
      </w:r>
      <w:r w:rsidR="00DC6414" w:rsidRPr="00C917E2">
        <w:t xml:space="preserve"> </w:t>
      </w:r>
      <w:r w:rsidRPr="00C917E2">
        <w:t xml:space="preserve">by </w:t>
      </w:r>
      <w:r w:rsidR="00DC6414" w:rsidRPr="00C917E2">
        <w:t xml:space="preserve">the MOHCC and MOFED. </w:t>
      </w:r>
    </w:p>
    <w:p w14:paraId="39A937C8" w14:textId="415904DA" w:rsidR="00973C3E" w:rsidRPr="00C917E2" w:rsidRDefault="00DC6414" w:rsidP="00D37198">
      <w:pPr>
        <w:pStyle w:val="Numberpara"/>
      </w:pPr>
      <w:r w:rsidRPr="00C917E2">
        <w:t xml:space="preserve">Partners </w:t>
      </w:r>
      <w:r w:rsidR="00E34096">
        <w:t>c</w:t>
      </w:r>
      <w:r w:rsidR="00E34096" w:rsidRPr="00C917E2">
        <w:t xml:space="preserve">ould </w:t>
      </w:r>
      <w:r w:rsidRPr="00C917E2">
        <w:t>share more expenditure information with the MOHCC through a resource-tracking template that can be administered both mid- and end-financial year, working with the MOHCC.</w:t>
      </w:r>
    </w:p>
    <w:p w14:paraId="2BCDD4FD" w14:textId="77777777" w:rsidR="00DC6414" w:rsidRPr="00C917E2" w:rsidRDefault="00DC6414" w:rsidP="00DC6414">
      <w:pPr>
        <w:pStyle w:val="Heading4"/>
      </w:pPr>
      <w:r w:rsidRPr="00C917E2">
        <w:t xml:space="preserve">Address </w:t>
      </w:r>
      <w:r w:rsidR="00973C3E" w:rsidRPr="00C917E2">
        <w:t xml:space="preserve">Inequities </w:t>
      </w:r>
      <w:r w:rsidRPr="00C917E2">
        <w:t>and Expand Effective Coverage</w:t>
      </w:r>
    </w:p>
    <w:p w14:paraId="1270C5E1" w14:textId="77777777" w:rsidR="00DC6414" w:rsidRPr="00C917E2" w:rsidRDefault="00DC6414" w:rsidP="00D37198">
      <w:pPr>
        <w:pStyle w:val="Numberpara"/>
      </w:pPr>
      <w:r w:rsidRPr="00C917E2">
        <w:t>Given the large share of household OOP expenditures, it is essential for the MOHCC</w:t>
      </w:r>
      <w:r w:rsidR="005B151C" w:rsidRPr="00C917E2">
        <w:t>,</w:t>
      </w:r>
      <w:r w:rsidRPr="00C917E2">
        <w:t xml:space="preserve"> support</w:t>
      </w:r>
      <w:r w:rsidR="005B151C" w:rsidRPr="00C917E2">
        <w:t>ed</w:t>
      </w:r>
      <w:r w:rsidRPr="00C917E2">
        <w:t xml:space="preserve"> </w:t>
      </w:r>
      <w:r w:rsidR="005B151C" w:rsidRPr="00C917E2">
        <w:t xml:space="preserve">by </w:t>
      </w:r>
      <w:r w:rsidRPr="00C917E2">
        <w:t>development partners</w:t>
      </w:r>
      <w:r w:rsidR="005B151C" w:rsidRPr="00C917E2">
        <w:t>,</w:t>
      </w:r>
      <w:r w:rsidRPr="00C917E2">
        <w:t xml:space="preserve"> to continue to roll</w:t>
      </w:r>
      <w:r w:rsidR="005B151C" w:rsidRPr="00C917E2">
        <w:t xml:space="preserve"> </w:t>
      </w:r>
      <w:r w:rsidRPr="00C917E2">
        <w:t>out and evaluat</w:t>
      </w:r>
      <w:r w:rsidR="005B151C" w:rsidRPr="00C917E2">
        <w:t>e</w:t>
      </w:r>
      <w:r w:rsidRPr="00C917E2">
        <w:t xml:space="preserve"> interventions that minimize payment at point of care. These interventions include provider-payment mechanisms such as RBF that remov</w:t>
      </w:r>
      <w:r w:rsidR="00B83E46">
        <w:t>e</w:t>
      </w:r>
      <w:r w:rsidRPr="00C917E2">
        <w:t xml:space="preserve"> user</w:t>
      </w:r>
      <w:r w:rsidR="00D3761C">
        <w:t xml:space="preserve"> </w:t>
      </w:r>
      <w:r w:rsidRPr="00C917E2">
        <w:t>fees and motivat</w:t>
      </w:r>
      <w:r w:rsidR="00B83E46">
        <w:t>e</w:t>
      </w:r>
      <w:r w:rsidRPr="00C917E2">
        <w:t xml:space="preserve"> health workers</w:t>
      </w:r>
      <w:r w:rsidR="00D3761C">
        <w:t xml:space="preserve"> (</w:t>
      </w:r>
      <w:r w:rsidR="00550EF3" w:rsidRPr="00C917E2">
        <w:t>see just below)</w:t>
      </w:r>
      <w:r w:rsidRPr="00C917E2">
        <w:t xml:space="preserve">. </w:t>
      </w:r>
    </w:p>
    <w:p w14:paraId="0B6405A9" w14:textId="77777777" w:rsidR="00DC6414" w:rsidRPr="00C917E2" w:rsidRDefault="00DC6414" w:rsidP="00D37198">
      <w:pPr>
        <w:pStyle w:val="Numberpara"/>
      </w:pPr>
      <w:r w:rsidRPr="00C917E2">
        <w:lastRenderedPageBreak/>
        <w:t>To reduce reliance on user fees</w:t>
      </w:r>
      <w:r w:rsidR="00550EF3" w:rsidRPr="00C917E2">
        <w:t xml:space="preserve">, </w:t>
      </w:r>
      <w:r w:rsidRPr="00C917E2">
        <w:t>especially in disadvantaged provinces</w:t>
      </w:r>
      <w:r w:rsidR="00550EF3" w:rsidRPr="00C917E2">
        <w:t xml:space="preserve">, the </w:t>
      </w:r>
      <w:r w:rsidRPr="00C917E2">
        <w:t xml:space="preserve">national health budget should be </w:t>
      </w:r>
      <w:r w:rsidR="00B83E46">
        <w:t>distributed</w:t>
      </w:r>
      <w:r w:rsidR="00B83E46" w:rsidRPr="00C917E2">
        <w:t xml:space="preserve"> </w:t>
      </w:r>
      <w:r w:rsidR="00550EF3" w:rsidRPr="00C917E2">
        <w:t xml:space="preserve">according </w:t>
      </w:r>
      <w:r w:rsidRPr="00C917E2">
        <w:t xml:space="preserve">to a formula </w:t>
      </w:r>
      <w:r w:rsidR="00550EF3" w:rsidRPr="00C917E2">
        <w:t xml:space="preserve">that grants the poorest </w:t>
      </w:r>
      <w:r w:rsidRPr="00C917E2">
        <w:t xml:space="preserve">districts higher allocations, </w:t>
      </w:r>
      <w:r w:rsidR="00550EF3" w:rsidRPr="00C917E2">
        <w:t xml:space="preserve">letting them </w:t>
      </w:r>
      <w:r w:rsidRPr="00C917E2">
        <w:t>remove user</w:t>
      </w:r>
      <w:r w:rsidR="00550EF3" w:rsidRPr="00C917E2">
        <w:t xml:space="preserve"> </w:t>
      </w:r>
      <w:r w:rsidRPr="00C917E2">
        <w:t>fees and overcom</w:t>
      </w:r>
      <w:r w:rsidR="00550EF3" w:rsidRPr="00C917E2">
        <w:t>ing</w:t>
      </w:r>
      <w:r w:rsidRPr="00C917E2">
        <w:t xml:space="preserve"> the additional </w:t>
      </w:r>
      <w:r w:rsidR="00550EF3" w:rsidRPr="00C917E2">
        <w:t xml:space="preserve">distance-linked </w:t>
      </w:r>
      <w:r w:rsidRPr="00C917E2">
        <w:t>cost</w:t>
      </w:r>
      <w:r w:rsidR="00550EF3" w:rsidRPr="00C917E2">
        <w:t>s</w:t>
      </w:r>
      <w:r w:rsidRPr="00C917E2">
        <w:t xml:space="preserve"> of delivering </w:t>
      </w:r>
      <w:r w:rsidR="00550EF3" w:rsidRPr="00C917E2">
        <w:t xml:space="preserve">health </w:t>
      </w:r>
      <w:r w:rsidRPr="00C917E2">
        <w:t>services. The resource allocation formula should at a minimum include indicators</w:t>
      </w:r>
      <w:r w:rsidR="00550EF3" w:rsidRPr="00C917E2">
        <w:t xml:space="preserve"> on</w:t>
      </w:r>
      <w:r w:rsidRPr="00C917E2">
        <w:t xml:space="preserve"> </w:t>
      </w:r>
      <w:r w:rsidR="00550EF3" w:rsidRPr="00C917E2">
        <w:t xml:space="preserve">remoteness, </w:t>
      </w:r>
      <w:r w:rsidRPr="00C917E2">
        <w:t xml:space="preserve">population size, population of under-fives, infant mortality, maternal mortality, </w:t>
      </w:r>
      <w:r w:rsidR="00550EF3" w:rsidRPr="00C917E2">
        <w:t xml:space="preserve">and the </w:t>
      </w:r>
      <w:r w:rsidRPr="00C917E2">
        <w:t>general disease burden.</w:t>
      </w:r>
      <w:r w:rsidRPr="00C917E2">
        <w:rPr>
          <w:rStyle w:val="EndnoteReference"/>
        </w:rPr>
        <w:t xml:space="preserve"> </w:t>
      </w:r>
      <w:r w:rsidRPr="00C917E2">
        <w:rPr>
          <w:rStyle w:val="EndnoteReference"/>
        </w:rPr>
        <w:endnoteReference w:id="97"/>
      </w:r>
    </w:p>
    <w:p w14:paraId="1739CB5C" w14:textId="77777777" w:rsidR="00A81745" w:rsidRPr="00C917E2" w:rsidRDefault="00550EF3" w:rsidP="00D37198">
      <w:pPr>
        <w:pStyle w:val="Numberpara"/>
      </w:pPr>
      <w:r w:rsidRPr="00C917E2">
        <w:t xml:space="preserve">The </w:t>
      </w:r>
      <w:r w:rsidR="00DC6414" w:rsidRPr="00C917E2">
        <w:t xml:space="preserve">MOHCC </w:t>
      </w:r>
      <w:r w:rsidRPr="00C917E2">
        <w:t xml:space="preserve">should </w:t>
      </w:r>
      <w:r w:rsidR="00DC6414" w:rsidRPr="00C917E2">
        <w:t>undertake equity surveys to capture data on socioeconomic profiles of those using health care services</w:t>
      </w:r>
      <w:r w:rsidRPr="00C917E2">
        <w:t xml:space="preserve">, to reveal </w:t>
      </w:r>
      <w:r w:rsidR="00DC6414" w:rsidRPr="00C917E2">
        <w:t xml:space="preserve">whether the poorest quintiles are falling through the cracks by not seeking health care at all, as </w:t>
      </w:r>
      <w:r w:rsidRPr="00C917E2">
        <w:t xml:space="preserve">happens </w:t>
      </w:r>
      <w:r w:rsidR="00DC6414" w:rsidRPr="00C917E2">
        <w:t>now.</w:t>
      </w:r>
      <w:r w:rsidR="00B72993" w:rsidRPr="00C917E2">
        <w:t xml:space="preserve"> </w:t>
      </w:r>
      <w:r w:rsidR="00497566" w:rsidRPr="00C917E2">
        <w:t xml:space="preserve">Also, </w:t>
      </w:r>
      <w:r w:rsidR="00A81745" w:rsidRPr="00C917E2">
        <w:t>because internationally comparable data on total public expenditures are unavailab</w:t>
      </w:r>
      <w:r w:rsidR="0095571E" w:rsidRPr="00C917E2">
        <w:t>le for Zimbabwe</w:t>
      </w:r>
      <w:r w:rsidR="00497566" w:rsidRPr="00C917E2">
        <w:t>,</w:t>
      </w:r>
      <w:r w:rsidR="00A81745" w:rsidRPr="00C917E2">
        <w:t xml:space="preserve"> reliable NHA exercises </w:t>
      </w:r>
      <w:r w:rsidR="00497566" w:rsidRPr="00C917E2">
        <w:t xml:space="preserve">should be institutionalized </w:t>
      </w:r>
      <w:r w:rsidR="00A81745" w:rsidRPr="00C917E2">
        <w:t>so that WHO can incorporate GHE data in</w:t>
      </w:r>
      <w:r w:rsidR="00497566" w:rsidRPr="00C917E2">
        <w:t>to</w:t>
      </w:r>
      <w:r w:rsidR="00A81745" w:rsidRPr="00C917E2">
        <w:t xml:space="preserve"> its internationally comparable database.</w:t>
      </w:r>
    </w:p>
    <w:p w14:paraId="1F3B4D49" w14:textId="77777777" w:rsidR="006407EC" w:rsidRPr="00C917E2" w:rsidRDefault="006407EC" w:rsidP="006407EC">
      <w:pPr>
        <w:pStyle w:val="Heading4"/>
      </w:pPr>
      <w:r w:rsidRPr="00C917E2">
        <w:t>Retain the Best Staff</w:t>
      </w:r>
    </w:p>
    <w:p w14:paraId="41109A39" w14:textId="77777777" w:rsidR="006407EC" w:rsidRPr="00C917E2" w:rsidRDefault="006407EC" w:rsidP="00D37198">
      <w:pPr>
        <w:pStyle w:val="Numberpara"/>
        <w:rPr>
          <w:lang w:eastAsia="ja-JP"/>
        </w:rPr>
      </w:pPr>
      <w:r w:rsidRPr="00C917E2">
        <w:t xml:space="preserve">The staff-retention schemes financed by </w:t>
      </w:r>
      <w:r w:rsidR="00337AB7" w:rsidRPr="00C917E2">
        <w:t xml:space="preserve">the </w:t>
      </w:r>
      <w:r w:rsidRPr="00C917E2">
        <w:t>HTF</w:t>
      </w:r>
      <w:r w:rsidR="00337AB7" w:rsidRPr="00C917E2">
        <w:t>,</w:t>
      </w:r>
      <w:r w:rsidRPr="00C917E2">
        <w:t xml:space="preserve"> Global Fund</w:t>
      </w:r>
      <w:r w:rsidR="0066672F" w:rsidRPr="00C917E2">
        <w:t>,</w:t>
      </w:r>
      <w:r w:rsidRPr="00C917E2">
        <w:t xml:space="preserve"> and MOFED need to be reviewed given the huge share of labor costs in government health spending. </w:t>
      </w:r>
      <w:r w:rsidR="00550EF3" w:rsidRPr="00C917E2">
        <w:t xml:space="preserve">Countries </w:t>
      </w:r>
      <w:r w:rsidRPr="00C917E2">
        <w:t>like Rwanda and some OECD countries</w:t>
      </w:r>
      <w:r w:rsidR="00550EF3" w:rsidRPr="00C917E2">
        <w:t xml:space="preserve"> </w:t>
      </w:r>
      <w:r w:rsidRPr="00C917E2">
        <w:t>pay variable</w:t>
      </w:r>
      <w:r w:rsidR="008F4F86">
        <w:t>,</w:t>
      </w:r>
      <w:r w:rsidRPr="00C917E2">
        <w:t xml:space="preserve"> not fixed</w:t>
      </w:r>
      <w:r w:rsidR="008F4F86">
        <w:t>,</w:t>
      </w:r>
      <w:r w:rsidRPr="00C917E2">
        <w:t xml:space="preserve"> top-up allowances linked to health worker performance, </w:t>
      </w:r>
      <w:r w:rsidR="00550EF3" w:rsidRPr="00C917E2">
        <w:t xml:space="preserve">and these approaches </w:t>
      </w:r>
      <w:r w:rsidRPr="00C917E2">
        <w:t xml:space="preserve">should be considered. The government and partners should </w:t>
      </w:r>
      <w:r w:rsidR="001F4671" w:rsidRPr="00C917E2">
        <w:t xml:space="preserve">also </w:t>
      </w:r>
      <w:r w:rsidRPr="00C917E2">
        <w:t xml:space="preserve">explore using management tools such as </w:t>
      </w:r>
      <w:r w:rsidR="005B151C" w:rsidRPr="00C917E2">
        <w:t>RBF</w:t>
      </w:r>
      <w:r w:rsidR="001F4671" w:rsidRPr="00C917E2">
        <w:t xml:space="preserve">, which </w:t>
      </w:r>
      <w:r w:rsidRPr="00C917E2">
        <w:t xml:space="preserve">could be applied </w:t>
      </w:r>
      <w:r w:rsidR="001F4671" w:rsidRPr="00C917E2">
        <w:t xml:space="preserve">to </w:t>
      </w:r>
      <w:r w:rsidRPr="00C917E2">
        <w:t>off-budget health worker allowances</w:t>
      </w:r>
      <w:r w:rsidR="00550EF3" w:rsidRPr="00C917E2">
        <w:t>,</w:t>
      </w:r>
      <w:r w:rsidRPr="00C917E2">
        <w:t xml:space="preserve"> starting with rural health centers and their district management teams. </w:t>
      </w:r>
    </w:p>
    <w:p w14:paraId="34F95918" w14:textId="77777777" w:rsidR="005B151C" w:rsidRPr="00C917E2" w:rsidRDefault="005B151C" w:rsidP="005B151C">
      <w:pPr>
        <w:pStyle w:val="Heading4"/>
      </w:pPr>
      <w:r w:rsidRPr="00C917E2">
        <w:t>Draft Sustainability Plan</w:t>
      </w:r>
      <w:r w:rsidR="003708BE" w:rsidRPr="00C917E2">
        <w:t>s</w:t>
      </w:r>
    </w:p>
    <w:p w14:paraId="5CDBC622" w14:textId="77777777" w:rsidR="005B151C" w:rsidRPr="00C917E2" w:rsidRDefault="005B151C" w:rsidP="00D37198">
      <w:pPr>
        <w:pStyle w:val="Numberpara"/>
      </w:pPr>
      <w:r w:rsidRPr="00C917E2">
        <w:t>The MOHCC needs to develop phase-out plans for interventions that rely on donor financing. The MOHCC’s only indicative resource plan for health financing is its annual national budget. While there are national stakeholder consultations on the budget that involve the private sector, external partners</w:t>
      </w:r>
      <w:r w:rsidR="008F4F86">
        <w:t>,</w:t>
      </w:r>
      <w:r w:rsidRPr="00C917E2">
        <w:t xml:space="preserve"> and other potential sources of financing, such meetings rarely explore the MOHCC’s resource mobilization and expenditure plans for the future. Sustainability planning should be based on analysis of project costs and financing needs as well as economic returns on government investments. </w:t>
      </w:r>
    </w:p>
    <w:p w14:paraId="764CED13" w14:textId="77777777" w:rsidR="005B151C" w:rsidRPr="00C917E2" w:rsidRDefault="005B151C" w:rsidP="006407EC">
      <w:pPr>
        <w:rPr>
          <w:lang w:eastAsia="ja-JP"/>
        </w:rPr>
        <w:sectPr w:rsidR="005B151C" w:rsidRPr="00C917E2" w:rsidSect="00B50A85">
          <w:headerReference w:type="default" r:id="rId78"/>
          <w:endnotePr>
            <w:numFmt w:val="decimal"/>
          </w:endnotePr>
          <w:pgSz w:w="11906" w:h="16838"/>
          <w:pgMar w:top="1440" w:right="1440" w:bottom="1440" w:left="1440" w:header="720" w:footer="720" w:gutter="0"/>
          <w:cols w:space="720"/>
          <w:docGrid w:linePitch="360"/>
        </w:sectPr>
      </w:pPr>
    </w:p>
    <w:p w14:paraId="002FF33C" w14:textId="77777777" w:rsidR="008B67F3" w:rsidRPr="00C917E2" w:rsidRDefault="008B67F3" w:rsidP="00962EED">
      <w:pPr>
        <w:pStyle w:val="Heading1"/>
      </w:pPr>
      <w:bookmarkStart w:id="262" w:name="_Toc419004038"/>
      <w:bookmarkStart w:id="263" w:name="_Toc400920192"/>
      <w:r w:rsidRPr="00C917E2">
        <w:lastRenderedPageBreak/>
        <w:t>Annex 1. Additional Tables and Figures</w:t>
      </w:r>
      <w:bookmarkEnd w:id="262"/>
    </w:p>
    <w:p w14:paraId="4A92E5B1" w14:textId="77777777" w:rsidR="008B67F3" w:rsidRPr="00C917E2" w:rsidRDefault="008B67F3" w:rsidP="00300CB4">
      <w:pPr>
        <w:pStyle w:val="Figureannex0"/>
      </w:pPr>
      <w:bookmarkStart w:id="264" w:name="_Toc405817334"/>
      <w:r w:rsidRPr="00C917E2">
        <w:t xml:space="preserve">Figure A1.1 </w:t>
      </w:r>
      <w:bookmarkStart w:id="265" w:name="_Toc405817335"/>
      <w:bookmarkEnd w:id="264"/>
      <w:r w:rsidRPr="00C917E2">
        <w:t>Utilization of private facilities across provinces</w:t>
      </w:r>
      <w:bookmarkEnd w:id="265"/>
    </w:p>
    <w:p w14:paraId="0082872E" w14:textId="77777777" w:rsidR="008B67F3" w:rsidRPr="00C917E2" w:rsidRDefault="008B67F3" w:rsidP="00962EED">
      <w:pPr>
        <w:pStyle w:val="Source"/>
        <w:spacing w:after="120"/>
      </w:pPr>
      <w:r w:rsidRPr="00C917E2">
        <w:rPr>
          <w:noProof/>
        </w:rPr>
        <w:drawing>
          <wp:inline distT="0" distB="0" distL="0" distR="0" wp14:anchorId="76D9ABDF" wp14:editId="17A382A6">
            <wp:extent cx="5731510" cy="3159460"/>
            <wp:effectExtent l="0" t="0" r="21590" b="22225"/>
            <wp:docPr id="108" name="Graphique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2A88A357" w14:textId="77777777" w:rsidR="006D5091" w:rsidRPr="00C917E2" w:rsidRDefault="006D5091" w:rsidP="006D5091">
      <w:pPr>
        <w:pStyle w:val="Source"/>
      </w:pPr>
      <w:r w:rsidRPr="00E94700">
        <w:rPr>
          <w:i/>
        </w:rPr>
        <w:t>Source:</w:t>
      </w:r>
      <w:r w:rsidRPr="00C917E2">
        <w:t xml:space="preserve"> Authors from ZDHS 2010–11 data</w:t>
      </w:r>
      <w:r>
        <w:t>.</w:t>
      </w:r>
    </w:p>
    <w:p w14:paraId="56EEF9DA" w14:textId="77777777" w:rsidR="008B67F3" w:rsidRPr="00C917E2" w:rsidRDefault="008B67F3" w:rsidP="00962EED">
      <w:pPr>
        <w:pStyle w:val="Source"/>
      </w:pPr>
      <w:r w:rsidRPr="00E94700">
        <w:rPr>
          <w:i/>
        </w:rPr>
        <w:t>Note:</w:t>
      </w:r>
      <w:r w:rsidRPr="00C917E2">
        <w:t xml:space="preserve"> Percentage seeking care in a private facility</w:t>
      </w:r>
      <w:r w:rsidR="00B72993" w:rsidRPr="00C917E2">
        <w:t xml:space="preserve"> </w:t>
      </w:r>
      <w:r w:rsidRPr="00C917E2">
        <w:t>(out of all households seeking care for their child with cough or diarrhea)</w:t>
      </w:r>
      <w:r w:rsidR="00C31FF2">
        <w:t>.</w:t>
      </w:r>
    </w:p>
    <w:p w14:paraId="28F3FCD9" w14:textId="77777777" w:rsidR="008B67F3" w:rsidRPr="00C917E2" w:rsidRDefault="008B67F3" w:rsidP="00962EED">
      <w:pPr>
        <w:pStyle w:val="Source"/>
      </w:pPr>
      <w:bookmarkStart w:id="266" w:name="_Toc405608240"/>
    </w:p>
    <w:p w14:paraId="3337C821" w14:textId="77777777" w:rsidR="008B67F3" w:rsidRPr="00C917E2" w:rsidRDefault="008B67F3" w:rsidP="009A6F0D">
      <w:pPr>
        <w:pStyle w:val="Tableannex0"/>
      </w:pPr>
      <w:r w:rsidRPr="00C917E2">
        <w:t>Table A1.1 Summary of Regression Measures of Impact, RBF Program, 2014</w:t>
      </w:r>
      <w:bookmarkEnd w:id="266"/>
      <w:r w:rsidRPr="00C917E2">
        <w:t xml:space="preserve"> </w:t>
      </w:r>
    </w:p>
    <w:tbl>
      <w:tblPr>
        <w:tblW w:w="8364" w:type="dxa"/>
        <w:tblInd w:w="15" w:type="dxa"/>
        <w:tblCellMar>
          <w:left w:w="0" w:type="dxa"/>
          <w:right w:w="0" w:type="dxa"/>
        </w:tblCellMar>
        <w:tblLook w:val="0600" w:firstRow="0" w:lastRow="0" w:firstColumn="0" w:lastColumn="0" w:noHBand="1" w:noVBand="1"/>
      </w:tblPr>
      <w:tblGrid>
        <w:gridCol w:w="4699"/>
        <w:gridCol w:w="1680"/>
        <w:gridCol w:w="1985"/>
      </w:tblGrid>
      <w:tr w:rsidR="008B67F3" w:rsidRPr="00C917E2" w14:paraId="4C424403" w14:textId="77777777" w:rsidTr="006931A4">
        <w:trPr>
          <w:cantSplit/>
        </w:trPr>
        <w:tc>
          <w:tcPr>
            <w:tcW w:w="4699" w:type="dxa"/>
            <w:tcBorders>
              <w:top w:val="single" w:sz="8" w:space="0" w:color="365F91" w:themeColor="accent1" w:themeShade="BF"/>
              <w:left w:val="single" w:sz="8" w:space="0" w:color="FFFFFF"/>
              <w:bottom w:val="single" w:sz="8" w:space="0" w:color="365F91" w:themeColor="accent1" w:themeShade="BF"/>
              <w:right w:val="single" w:sz="8" w:space="0" w:color="FFFFFF"/>
            </w:tcBorders>
            <w:shd w:val="clear" w:color="auto" w:fill="auto"/>
            <w:tcMar>
              <w:top w:w="15" w:type="dxa"/>
              <w:left w:w="15" w:type="dxa"/>
              <w:bottom w:w="0" w:type="dxa"/>
              <w:right w:w="15" w:type="dxa"/>
            </w:tcMar>
            <w:vAlign w:val="center"/>
            <w:hideMark/>
          </w:tcPr>
          <w:p w14:paraId="7E0575C6" w14:textId="77777777" w:rsidR="008B67F3" w:rsidRPr="00C917E2" w:rsidRDefault="008B67F3" w:rsidP="006931A4">
            <w:pPr>
              <w:pStyle w:val="NoSpacing"/>
              <w:keepNext/>
              <w:rPr>
                <w:rFonts w:asciiTheme="minorHAnsi" w:hAnsiTheme="minorHAnsi" w:cs="Tahoma"/>
                <w:b/>
                <w:sz w:val="20"/>
                <w:szCs w:val="20"/>
                <w:lang w:val="en-US"/>
              </w:rPr>
            </w:pPr>
            <w:r w:rsidRPr="00C917E2">
              <w:rPr>
                <w:rFonts w:asciiTheme="minorHAnsi" w:hAnsiTheme="minorHAnsi" w:cs="Tahoma"/>
                <w:b/>
                <w:bCs/>
                <w:sz w:val="20"/>
                <w:szCs w:val="20"/>
                <w:lang w:val="en-US"/>
              </w:rPr>
              <w:t>Outcome</w:t>
            </w:r>
          </w:p>
        </w:tc>
        <w:tc>
          <w:tcPr>
            <w:tcW w:w="1680" w:type="dxa"/>
            <w:tcBorders>
              <w:top w:val="single" w:sz="8" w:space="0" w:color="365F91" w:themeColor="accent1" w:themeShade="BF"/>
              <w:left w:val="single" w:sz="8" w:space="0" w:color="FFFFFF"/>
              <w:bottom w:val="single" w:sz="8" w:space="0" w:color="365F91" w:themeColor="accent1" w:themeShade="BF"/>
              <w:right w:val="single" w:sz="8" w:space="0" w:color="FFFFFF"/>
            </w:tcBorders>
            <w:shd w:val="clear" w:color="auto" w:fill="auto"/>
            <w:tcMar>
              <w:top w:w="15" w:type="dxa"/>
              <w:left w:w="15" w:type="dxa"/>
              <w:bottom w:w="0" w:type="dxa"/>
              <w:right w:w="15" w:type="dxa"/>
            </w:tcMar>
            <w:vAlign w:val="center"/>
            <w:hideMark/>
          </w:tcPr>
          <w:p w14:paraId="32841A53" w14:textId="77777777" w:rsidR="008B67F3" w:rsidRPr="00C917E2" w:rsidRDefault="008B67F3" w:rsidP="00EA172B">
            <w:pPr>
              <w:pStyle w:val="NoSpacing"/>
              <w:keepNext/>
              <w:jc w:val="center"/>
              <w:rPr>
                <w:rFonts w:asciiTheme="minorHAnsi" w:hAnsiTheme="minorHAnsi" w:cs="Tahoma"/>
                <w:b/>
                <w:sz w:val="20"/>
                <w:szCs w:val="20"/>
                <w:lang w:val="en-US"/>
              </w:rPr>
            </w:pPr>
            <w:r w:rsidRPr="00C917E2">
              <w:rPr>
                <w:rFonts w:asciiTheme="minorHAnsi" w:hAnsiTheme="minorHAnsi" w:cs="Tahoma"/>
                <w:b/>
                <w:bCs/>
                <w:sz w:val="20"/>
                <w:szCs w:val="20"/>
                <w:lang w:val="en-US"/>
              </w:rPr>
              <w:t>Impact</w:t>
            </w:r>
          </w:p>
        </w:tc>
        <w:tc>
          <w:tcPr>
            <w:tcW w:w="1985" w:type="dxa"/>
            <w:tcBorders>
              <w:top w:val="single" w:sz="8" w:space="0" w:color="365F91" w:themeColor="accent1" w:themeShade="BF"/>
              <w:left w:val="single" w:sz="8" w:space="0" w:color="FFFFFF"/>
              <w:bottom w:val="single" w:sz="8" w:space="0" w:color="365F91" w:themeColor="accent1" w:themeShade="BF"/>
              <w:right w:val="single" w:sz="8" w:space="0" w:color="FFFFFF"/>
            </w:tcBorders>
            <w:shd w:val="clear" w:color="auto" w:fill="auto"/>
            <w:tcMar>
              <w:top w:w="15" w:type="dxa"/>
              <w:left w:w="15" w:type="dxa"/>
              <w:bottom w:w="0" w:type="dxa"/>
              <w:right w:w="15" w:type="dxa"/>
            </w:tcMar>
            <w:vAlign w:val="center"/>
            <w:hideMark/>
          </w:tcPr>
          <w:p w14:paraId="10F2C37D" w14:textId="77777777" w:rsidR="008B67F3" w:rsidRPr="00C917E2" w:rsidRDefault="008B67F3" w:rsidP="00EA172B">
            <w:pPr>
              <w:pStyle w:val="NoSpacing"/>
              <w:keepNext/>
              <w:jc w:val="center"/>
              <w:rPr>
                <w:rFonts w:asciiTheme="minorHAnsi" w:hAnsiTheme="minorHAnsi" w:cs="Tahoma"/>
                <w:b/>
                <w:sz w:val="20"/>
                <w:szCs w:val="20"/>
                <w:lang w:val="en-US"/>
              </w:rPr>
            </w:pPr>
            <w:r w:rsidRPr="00C917E2">
              <w:rPr>
                <w:rFonts w:asciiTheme="minorHAnsi" w:hAnsiTheme="minorHAnsi" w:cs="Tahoma"/>
                <w:b/>
                <w:bCs/>
                <w:sz w:val="20"/>
                <w:szCs w:val="20"/>
                <w:lang w:val="en-US"/>
              </w:rPr>
              <w:t>Level of Significance</w:t>
            </w:r>
          </w:p>
        </w:tc>
      </w:tr>
      <w:tr w:rsidR="008B67F3" w:rsidRPr="00C917E2" w14:paraId="5CB8A9DF" w14:textId="77777777" w:rsidTr="006931A4">
        <w:trPr>
          <w:cantSplit/>
        </w:trPr>
        <w:tc>
          <w:tcPr>
            <w:tcW w:w="4699" w:type="dxa"/>
            <w:tcBorders>
              <w:top w:val="single" w:sz="8" w:space="0" w:color="365F91" w:themeColor="accent1" w:themeShade="B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25380A5F" w14:textId="77777777" w:rsidR="008B67F3" w:rsidRPr="00C917E2" w:rsidRDefault="008B67F3" w:rsidP="006931A4">
            <w:pPr>
              <w:keepNext/>
              <w:spacing w:after="0"/>
              <w:rPr>
                <w:rFonts w:asciiTheme="minorHAnsi" w:hAnsiTheme="minorHAnsi"/>
                <w:sz w:val="20"/>
                <w:szCs w:val="20"/>
              </w:rPr>
            </w:pPr>
            <w:r w:rsidRPr="00C917E2">
              <w:rPr>
                <w:rFonts w:asciiTheme="minorHAnsi" w:hAnsiTheme="minorHAnsi"/>
                <w:sz w:val="20"/>
                <w:szCs w:val="20"/>
              </w:rPr>
              <w:t>Facility delivery</w:t>
            </w:r>
          </w:p>
        </w:tc>
        <w:tc>
          <w:tcPr>
            <w:tcW w:w="1680" w:type="dxa"/>
            <w:tcBorders>
              <w:top w:val="single" w:sz="8" w:space="0" w:color="365F91" w:themeColor="accent1" w:themeShade="B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71F2ABD6"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0.13</w:t>
            </w:r>
          </w:p>
        </w:tc>
        <w:tc>
          <w:tcPr>
            <w:tcW w:w="1985" w:type="dxa"/>
            <w:tcBorders>
              <w:top w:val="single" w:sz="8" w:space="0" w:color="365F91" w:themeColor="accent1" w:themeShade="B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05B71BF8"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0.00</w:t>
            </w:r>
          </w:p>
        </w:tc>
      </w:tr>
      <w:tr w:rsidR="008B67F3" w:rsidRPr="00C917E2" w14:paraId="3D29A69C" w14:textId="77777777" w:rsidTr="006931A4">
        <w:trPr>
          <w:cantSplit/>
        </w:trPr>
        <w:tc>
          <w:tcPr>
            <w:tcW w:w="4699"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3359B35E" w14:textId="77777777" w:rsidR="008B67F3" w:rsidRPr="00C917E2" w:rsidRDefault="008B67F3" w:rsidP="006931A4">
            <w:pPr>
              <w:keepNext/>
              <w:spacing w:after="0"/>
              <w:rPr>
                <w:rFonts w:asciiTheme="minorHAnsi" w:hAnsiTheme="minorHAnsi"/>
                <w:sz w:val="20"/>
                <w:szCs w:val="20"/>
              </w:rPr>
            </w:pPr>
            <w:r w:rsidRPr="00C917E2">
              <w:rPr>
                <w:rFonts w:asciiTheme="minorHAnsi" w:hAnsiTheme="minorHAnsi"/>
                <w:sz w:val="20"/>
                <w:szCs w:val="20"/>
              </w:rPr>
              <w:t>Skilled delivery</w:t>
            </w:r>
          </w:p>
        </w:tc>
        <w:tc>
          <w:tcPr>
            <w:tcW w:w="1680"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1342F172"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0.14</w:t>
            </w:r>
          </w:p>
        </w:tc>
        <w:tc>
          <w:tcPr>
            <w:tcW w:w="198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0A356328"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0.00</w:t>
            </w:r>
          </w:p>
        </w:tc>
      </w:tr>
      <w:tr w:rsidR="008B67F3" w:rsidRPr="00C917E2" w14:paraId="4F7C429A" w14:textId="77777777" w:rsidTr="006931A4">
        <w:trPr>
          <w:cantSplit/>
        </w:trPr>
        <w:tc>
          <w:tcPr>
            <w:tcW w:w="4699"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01E9878A" w14:textId="77777777" w:rsidR="008B67F3" w:rsidRPr="00C917E2" w:rsidRDefault="008B67F3" w:rsidP="006931A4">
            <w:pPr>
              <w:keepNext/>
              <w:spacing w:after="0"/>
              <w:rPr>
                <w:rFonts w:asciiTheme="minorHAnsi" w:hAnsiTheme="minorHAnsi"/>
                <w:sz w:val="20"/>
                <w:szCs w:val="20"/>
              </w:rPr>
            </w:pPr>
            <w:r w:rsidRPr="00C917E2">
              <w:rPr>
                <w:rFonts w:asciiTheme="minorHAnsi" w:hAnsiTheme="minorHAnsi"/>
                <w:sz w:val="20"/>
                <w:szCs w:val="20"/>
              </w:rPr>
              <w:t>Urine sample collected during ANC</w:t>
            </w:r>
          </w:p>
        </w:tc>
        <w:tc>
          <w:tcPr>
            <w:tcW w:w="1680"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77017CF1"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0.16</w:t>
            </w:r>
          </w:p>
        </w:tc>
        <w:tc>
          <w:tcPr>
            <w:tcW w:w="198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0F231228"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0.02</w:t>
            </w:r>
          </w:p>
        </w:tc>
      </w:tr>
      <w:tr w:rsidR="008B67F3" w:rsidRPr="00C917E2" w14:paraId="797302AB" w14:textId="77777777" w:rsidTr="006931A4">
        <w:trPr>
          <w:cantSplit/>
        </w:trPr>
        <w:tc>
          <w:tcPr>
            <w:tcW w:w="4699"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6D13DF04" w14:textId="77777777" w:rsidR="008B67F3" w:rsidRPr="00C917E2" w:rsidRDefault="00C31FF2" w:rsidP="006931A4">
            <w:pPr>
              <w:keepNext/>
              <w:spacing w:after="0"/>
              <w:rPr>
                <w:rFonts w:asciiTheme="minorHAnsi" w:hAnsiTheme="minorHAnsi"/>
                <w:sz w:val="20"/>
                <w:szCs w:val="20"/>
              </w:rPr>
            </w:pPr>
            <w:r w:rsidRPr="00C31FF2">
              <w:rPr>
                <w:rFonts w:asciiTheme="minorHAnsi" w:hAnsiTheme="minorHAnsi"/>
                <w:sz w:val="20"/>
                <w:szCs w:val="20"/>
              </w:rPr>
              <w:t xml:space="preserve">Postpartum care </w:t>
            </w:r>
            <w:r>
              <w:rPr>
                <w:rFonts w:asciiTheme="minorHAnsi" w:hAnsiTheme="minorHAnsi"/>
                <w:sz w:val="20"/>
                <w:szCs w:val="20"/>
              </w:rPr>
              <w:t>(</w:t>
            </w:r>
            <w:r w:rsidR="008B67F3" w:rsidRPr="00C917E2">
              <w:rPr>
                <w:rFonts w:asciiTheme="minorHAnsi" w:hAnsiTheme="minorHAnsi"/>
                <w:sz w:val="20"/>
                <w:szCs w:val="20"/>
              </w:rPr>
              <w:t>PPC</w:t>
            </w:r>
            <w:r>
              <w:rPr>
                <w:rFonts w:asciiTheme="minorHAnsi" w:hAnsiTheme="minorHAnsi"/>
                <w:sz w:val="20"/>
                <w:szCs w:val="20"/>
              </w:rPr>
              <w:t>)</w:t>
            </w:r>
            <w:r w:rsidR="008B67F3" w:rsidRPr="00C917E2">
              <w:rPr>
                <w:rFonts w:asciiTheme="minorHAnsi" w:hAnsiTheme="minorHAnsi"/>
                <w:sz w:val="20"/>
                <w:szCs w:val="20"/>
              </w:rPr>
              <w:t xml:space="preserve"> by a skilled provider</w:t>
            </w:r>
          </w:p>
        </w:tc>
        <w:tc>
          <w:tcPr>
            <w:tcW w:w="1680"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2E5F8AD3"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0.14</w:t>
            </w:r>
          </w:p>
        </w:tc>
        <w:tc>
          <w:tcPr>
            <w:tcW w:w="198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225D898F"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0.02</w:t>
            </w:r>
          </w:p>
        </w:tc>
      </w:tr>
      <w:tr w:rsidR="008B67F3" w:rsidRPr="00C917E2" w14:paraId="6F1BDCD6" w14:textId="77777777" w:rsidTr="006931A4">
        <w:trPr>
          <w:cantSplit/>
        </w:trPr>
        <w:tc>
          <w:tcPr>
            <w:tcW w:w="4699"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4C3A6483" w14:textId="77777777" w:rsidR="008B67F3" w:rsidRPr="00C917E2" w:rsidRDefault="008B67F3" w:rsidP="006931A4">
            <w:pPr>
              <w:keepNext/>
              <w:spacing w:after="0"/>
              <w:rPr>
                <w:rFonts w:asciiTheme="minorHAnsi" w:hAnsiTheme="minorHAnsi"/>
                <w:sz w:val="20"/>
                <w:szCs w:val="20"/>
              </w:rPr>
            </w:pPr>
            <w:r w:rsidRPr="00C917E2">
              <w:rPr>
                <w:rFonts w:asciiTheme="minorHAnsi" w:hAnsiTheme="minorHAnsi"/>
                <w:sz w:val="20"/>
                <w:szCs w:val="20"/>
              </w:rPr>
              <w:t>Receipt of tetanus vaccine during pregnancy</w:t>
            </w:r>
          </w:p>
        </w:tc>
        <w:tc>
          <w:tcPr>
            <w:tcW w:w="1680"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772EE24F"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0.08</w:t>
            </w:r>
          </w:p>
        </w:tc>
        <w:tc>
          <w:tcPr>
            <w:tcW w:w="198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5CACE00B"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0.05</w:t>
            </w:r>
          </w:p>
        </w:tc>
      </w:tr>
      <w:tr w:rsidR="008B67F3" w:rsidRPr="00C917E2" w14:paraId="5650536E" w14:textId="77777777" w:rsidTr="006931A4">
        <w:trPr>
          <w:cantSplit/>
        </w:trPr>
        <w:tc>
          <w:tcPr>
            <w:tcW w:w="4699"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1AF3EB97" w14:textId="77777777" w:rsidR="008B67F3" w:rsidRPr="00C917E2" w:rsidRDefault="008B67F3" w:rsidP="006931A4">
            <w:pPr>
              <w:keepNext/>
              <w:spacing w:after="0"/>
              <w:rPr>
                <w:rFonts w:asciiTheme="minorHAnsi" w:hAnsiTheme="minorHAnsi"/>
                <w:sz w:val="20"/>
                <w:szCs w:val="20"/>
              </w:rPr>
            </w:pPr>
            <w:r w:rsidRPr="00C917E2">
              <w:rPr>
                <w:rFonts w:asciiTheme="minorHAnsi" w:hAnsiTheme="minorHAnsi"/>
                <w:sz w:val="20"/>
                <w:szCs w:val="20"/>
              </w:rPr>
              <w:t>Number of tetanus vaccine</w:t>
            </w:r>
          </w:p>
        </w:tc>
        <w:tc>
          <w:tcPr>
            <w:tcW w:w="1680"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1AA1BE6C"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0.33</w:t>
            </w:r>
          </w:p>
        </w:tc>
        <w:tc>
          <w:tcPr>
            <w:tcW w:w="198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4A130269"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0.05</w:t>
            </w:r>
          </w:p>
        </w:tc>
      </w:tr>
      <w:tr w:rsidR="008B67F3" w:rsidRPr="00C917E2" w14:paraId="367AB268" w14:textId="77777777" w:rsidTr="006931A4">
        <w:trPr>
          <w:cantSplit/>
        </w:trPr>
        <w:tc>
          <w:tcPr>
            <w:tcW w:w="4699"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629D8245" w14:textId="77777777" w:rsidR="008B67F3" w:rsidRPr="00C917E2" w:rsidRDefault="008B67F3" w:rsidP="00C31FF2">
            <w:pPr>
              <w:keepNext/>
              <w:spacing w:after="0"/>
              <w:rPr>
                <w:rFonts w:asciiTheme="minorHAnsi" w:hAnsiTheme="minorHAnsi"/>
                <w:sz w:val="20"/>
                <w:szCs w:val="20"/>
              </w:rPr>
            </w:pPr>
            <w:r w:rsidRPr="00C917E2">
              <w:rPr>
                <w:rFonts w:asciiTheme="minorHAnsi" w:hAnsiTheme="minorHAnsi"/>
                <w:sz w:val="20"/>
                <w:szCs w:val="20"/>
              </w:rPr>
              <w:t>Receipt of any PPC</w:t>
            </w:r>
          </w:p>
        </w:tc>
        <w:tc>
          <w:tcPr>
            <w:tcW w:w="1680"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4F9B6CB4"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0.12</w:t>
            </w:r>
          </w:p>
        </w:tc>
        <w:tc>
          <w:tcPr>
            <w:tcW w:w="198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18A614DA"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0.05</w:t>
            </w:r>
          </w:p>
        </w:tc>
      </w:tr>
      <w:tr w:rsidR="008B67F3" w:rsidRPr="00C917E2" w14:paraId="2D56FC9C" w14:textId="77777777" w:rsidTr="006931A4">
        <w:trPr>
          <w:cantSplit/>
        </w:trPr>
        <w:tc>
          <w:tcPr>
            <w:tcW w:w="4699"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1C1B1700" w14:textId="77777777" w:rsidR="008B67F3" w:rsidRPr="00C917E2" w:rsidRDefault="008B67F3" w:rsidP="006931A4">
            <w:pPr>
              <w:keepNext/>
              <w:spacing w:after="0"/>
              <w:rPr>
                <w:rFonts w:asciiTheme="minorHAnsi" w:hAnsiTheme="minorHAnsi"/>
                <w:sz w:val="20"/>
                <w:szCs w:val="20"/>
              </w:rPr>
            </w:pPr>
            <w:r w:rsidRPr="00C917E2">
              <w:rPr>
                <w:rFonts w:asciiTheme="minorHAnsi" w:hAnsiTheme="minorHAnsi"/>
                <w:sz w:val="20"/>
                <w:szCs w:val="20"/>
              </w:rPr>
              <w:t>A PPC within 2 months of delivery</w:t>
            </w:r>
          </w:p>
        </w:tc>
        <w:tc>
          <w:tcPr>
            <w:tcW w:w="1680"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564E1EF5"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0.12</w:t>
            </w:r>
          </w:p>
        </w:tc>
        <w:tc>
          <w:tcPr>
            <w:tcW w:w="198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0E06938B"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0.06</w:t>
            </w:r>
          </w:p>
        </w:tc>
      </w:tr>
      <w:tr w:rsidR="008B67F3" w:rsidRPr="00C917E2" w14:paraId="086F9404" w14:textId="77777777" w:rsidTr="006931A4">
        <w:trPr>
          <w:cantSplit/>
        </w:trPr>
        <w:tc>
          <w:tcPr>
            <w:tcW w:w="4699"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7D25C097" w14:textId="77777777" w:rsidR="008B67F3" w:rsidRPr="00C917E2" w:rsidRDefault="008B67F3" w:rsidP="006931A4">
            <w:pPr>
              <w:keepNext/>
              <w:spacing w:after="0"/>
              <w:rPr>
                <w:rFonts w:asciiTheme="minorHAnsi" w:hAnsiTheme="minorHAnsi"/>
                <w:sz w:val="20"/>
                <w:szCs w:val="20"/>
              </w:rPr>
            </w:pPr>
            <w:r w:rsidRPr="00C917E2">
              <w:rPr>
                <w:rFonts w:asciiTheme="minorHAnsi" w:hAnsiTheme="minorHAnsi"/>
                <w:sz w:val="20"/>
                <w:szCs w:val="20"/>
              </w:rPr>
              <w:t>Blood sample collected during ANC</w:t>
            </w:r>
          </w:p>
        </w:tc>
        <w:tc>
          <w:tcPr>
            <w:tcW w:w="1680"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2C5A4B7B"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0.08</w:t>
            </w:r>
          </w:p>
        </w:tc>
        <w:tc>
          <w:tcPr>
            <w:tcW w:w="198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1F0E7372"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0.14</w:t>
            </w:r>
          </w:p>
        </w:tc>
      </w:tr>
      <w:tr w:rsidR="008B67F3" w:rsidRPr="00C917E2" w14:paraId="215BC923" w14:textId="77777777" w:rsidTr="006931A4">
        <w:trPr>
          <w:cantSplit/>
        </w:trPr>
        <w:tc>
          <w:tcPr>
            <w:tcW w:w="4699"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3B8E0863" w14:textId="77777777" w:rsidR="008B67F3" w:rsidRPr="00C917E2" w:rsidRDefault="008B67F3" w:rsidP="006931A4">
            <w:pPr>
              <w:keepNext/>
              <w:spacing w:after="0"/>
              <w:rPr>
                <w:rFonts w:asciiTheme="minorHAnsi" w:hAnsiTheme="minorHAnsi"/>
                <w:sz w:val="20"/>
                <w:szCs w:val="20"/>
              </w:rPr>
            </w:pPr>
            <w:r w:rsidRPr="00C917E2">
              <w:rPr>
                <w:rFonts w:asciiTheme="minorHAnsi" w:hAnsiTheme="minorHAnsi"/>
                <w:sz w:val="20"/>
                <w:szCs w:val="20"/>
              </w:rPr>
              <w:t>Number of ANC visits</w:t>
            </w:r>
          </w:p>
        </w:tc>
        <w:tc>
          <w:tcPr>
            <w:tcW w:w="1680"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52E49AE0"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0.40</w:t>
            </w:r>
          </w:p>
        </w:tc>
        <w:tc>
          <w:tcPr>
            <w:tcW w:w="198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27166635"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0.15</w:t>
            </w:r>
          </w:p>
        </w:tc>
      </w:tr>
      <w:tr w:rsidR="008B67F3" w:rsidRPr="00C917E2" w14:paraId="3BD601B2" w14:textId="77777777" w:rsidTr="006931A4">
        <w:trPr>
          <w:cantSplit/>
        </w:trPr>
        <w:tc>
          <w:tcPr>
            <w:tcW w:w="4699"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593FFAF0" w14:textId="77777777" w:rsidR="008B67F3" w:rsidRPr="00C917E2" w:rsidRDefault="008B67F3" w:rsidP="006931A4">
            <w:pPr>
              <w:keepNext/>
              <w:spacing w:after="0"/>
              <w:rPr>
                <w:rFonts w:asciiTheme="minorHAnsi" w:hAnsiTheme="minorHAnsi"/>
                <w:sz w:val="20"/>
                <w:szCs w:val="20"/>
              </w:rPr>
            </w:pPr>
            <w:r w:rsidRPr="00C917E2">
              <w:rPr>
                <w:rFonts w:asciiTheme="minorHAnsi" w:hAnsiTheme="minorHAnsi"/>
                <w:sz w:val="20"/>
                <w:szCs w:val="20"/>
              </w:rPr>
              <w:t>Any modern contraception</w:t>
            </w:r>
          </w:p>
        </w:tc>
        <w:tc>
          <w:tcPr>
            <w:tcW w:w="1680"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068A9E03"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0.05</w:t>
            </w:r>
          </w:p>
        </w:tc>
        <w:tc>
          <w:tcPr>
            <w:tcW w:w="198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14:paraId="0EDC7DE2"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0.21</w:t>
            </w:r>
          </w:p>
        </w:tc>
      </w:tr>
      <w:tr w:rsidR="008B67F3" w:rsidRPr="00C917E2" w14:paraId="04075996" w14:textId="77777777" w:rsidTr="006931A4">
        <w:trPr>
          <w:cantSplit/>
        </w:trPr>
        <w:tc>
          <w:tcPr>
            <w:tcW w:w="4699" w:type="dxa"/>
            <w:tcBorders>
              <w:top w:val="single" w:sz="8" w:space="0" w:color="FFFFFF"/>
              <w:left w:val="single" w:sz="8" w:space="0" w:color="FFFFFF"/>
              <w:bottom w:val="single" w:sz="8" w:space="0" w:color="365F91" w:themeColor="accent1" w:themeShade="BF"/>
              <w:right w:val="single" w:sz="8" w:space="0" w:color="FFFFFF"/>
            </w:tcBorders>
            <w:shd w:val="clear" w:color="auto" w:fill="auto"/>
            <w:tcMar>
              <w:top w:w="15" w:type="dxa"/>
              <w:left w:w="15" w:type="dxa"/>
              <w:bottom w:w="0" w:type="dxa"/>
              <w:right w:w="15" w:type="dxa"/>
            </w:tcMar>
            <w:vAlign w:val="bottom"/>
            <w:hideMark/>
          </w:tcPr>
          <w:p w14:paraId="1C0BE527" w14:textId="77777777" w:rsidR="008B67F3" w:rsidRPr="00C917E2" w:rsidRDefault="008B67F3" w:rsidP="006931A4">
            <w:pPr>
              <w:keepNext/>
              <w:spacing w:after="0"/>
              <w:rPr>
                <w:rFonts w:asciiTheme="minorHAnsi" w:hAnsiTheme="minorHAnsi"/>
                <w:sz w:val="20"/>
                <w:szCs w:val="20"/>
              </w:rPr>
            </w:pPr>
            <w:r w:rsidRPr="00C917E2">
              <w:rPr>
                <w:rFonts w:asciiTheme="minorHAnsi" w:hAnsiTheme="minorHAnsi"/>
                <w:sz w:val="20"/>
                <w:szCs w:val="20"/>
              </w:rPr>
              <w:t xml:space="preserve">Time of first ANC </w:t>
            </w:r>
          </w:p>
        </w:tc>
        <w:tc>
          <w:tcPr>
            <w:tcW w:w="1680" w:type="dxa"/>
            <w:tcBorders>
              <w:top w:val="single" w:sz="8" w:space="0" w:color="FFFFFF"/>
              <w:left w:val="single" w:sz="8" w:space="0" w:color="FFFFFF"/>
              <w:bottom w:val="single" w:sz="8" w:space="0" w:color="365F91" w:themeColor="accent1" w:themeShade="BF"/>
              <w:right w:val="single" w:sz="8" w:space="0" w:color="FFFFFF"/>
            </w:tcBorders>
            <w:shd w:val="clear" w:color="auto" w:fill="auto"/>
            <w:tcMar>
              <w:top w:w="15" w:type="dxa"/>
              <w:left w:w="15" w:type="dxa"/>
              <w:bottom w:w="0" w:type="dxa"/>
              <w:right w:w="15" w:type="dxa"/>
            </w:tcMar>
            <w:vAlign w:val="bottom"/>
            <w:hideMark/>
          </w:tcPr>
          <w:p w14:paraId="0F62DAB1"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-0.19</w:t>
            </w:r>
          </w:p>
        </w:tc>
        <w:tc>
          <w:tcPr>
            <w:tcW w:w="1985" w:type="dxa"/>
            <w:tcBorders>
              <w:top w:val="single" w:sz="8" w:space="0" w:color="FFFFFF"/>
              <w:left w:val="single" w:sz="8" w:space="0" w:color="FFFFFF"/>
              <w:bottom w:val="single" w:sz="8" w:space="0" w:color="365F91" w:themeColor="accent1" w:themeShade="BF"/>
              <w:right w:val="single" w:sz="8" w:space="0" w:color="FFFFFF"/>
            </w:tcBorders>
            <w:shd w:val="clear" w:color="auto" w:fill="auto"/>
            <w:tcMar>
              <w:top w:w="15" w:type="dxa"/>
              <w:left w:w="15" w:type="dxa"/>
              <w:bottom w:w="0" w:type="dxa"/>
              <w:right w:w="15" w:type="dxa"/>
            </w:tcMar>
            <w:vAlign w:val="bottom"/>
            <w:hideMark/>
          </w:tcPr>
          <w:p w14:paraId="5E6C83C1" w14:textId="77777777" w:rsidR="008B67F3" w:rsidRPr="00C917E2" w:rsidRDefault="008B67F3" w:rsidP="003C5656">
            <w:pPr>
              <w:keepNext/>
              <w:spacing w:after="0"/>
              <w:jc w:val="center"/>
              <w:rPr>
                <w:rFonts w:asciiTheme="minorHAnsi" w:hAnsiTheme="minorHAnsi"/>
                <w:sz w:val="20"/>
                <w:szCs w:val="20"/>
              </w:rPr>
            </w:pPr>
            <w:r w:rsidRPr="00C917E2">
              <w:rPr>
                <w:rFonts w:asciiTheme="minorHAnsi" w:hAnsiTheme="minorHAnsi"/>
                <w:sz w:val="20"/>
                <w:szCs w:val="20"/>
              </w:rPr>
              <w:t>0.22</w:t>
            </w:r>
          </w:p>
        </w:tc>
      </w:tr>
    </w:tbl>
    <w:p w14:paraId="29047422" w14:textId="77777777" w:rsidR="00E94700" w:rsidRPr="00C917E2" w:rsidRDefault="00E94700" w:rsidP="00E94700">
      <w:pPr>
        <w:pStyle w:val="Source"/>
      </w:pPr>
      <w:r w:rsidRPr="00E94700">
        <w:rPr>
          <w:i/>
        </w:rPr>
        <w:t>Source:</w:t>
      </w:r>
      <w:r w:rsidRPr="00C917E2">
        <w:t xml:space="preserve"> RBF impact evaluation 2014, initial results.</w:t>
      </w:r>
    </w:p>
    <w:p w14:paraId="2AE80F60" w14:textId="77777777" w:rsidR="008B67F3" w:rsidRPr="00C917E2" w:rsidRDefault="008B67F3" w:rsidP="006931A4">
      <w:pPr>
        <w:pStyle w:val="Source"/>
        <w:keepNext/>
      </w:pPr>
      <w:r w:rsidRPr="00E94700">
        <w:rPr>
          <w:i/>
        </w:rPr>
        <w:t>Note</w:t>
      </w:r>
      <w:r w:rsidR="00596F0F" w:rsidRPr="00E94700">
        <w:rPr>
          <w:i/>
        </w:rPr>
        <w:t>:</w:t>
      </w:r>
      <w:r w:rsidRPr="00C917E2">
        <w:t xml:space="preserve"> Sorted by level of significance. The activities for which the impact was found statistically significant are in bold. The “impact” is the relative percentage point increase in the service that RB</w:t>
      </w:r>
      <w:r w:rsidR="007F02D4" w:rsidRPr="00C917E2">
        <w:t>F</w:t>
      </w:r>
      <w:r w:rsidRPr="00C917E2">
        <w:t xml:space="preserve"> districts experienced over and above control districts (non-RB</w:t>
      </w:r>
      <w:r w:rsidR="007F02D4" w:rsidRPr="00C917E2">
        <w:t>F</w:t>
      </w:r>
      <w:r w:rsidRPr="00C917E2">
        <w:t>)</w:t>
      </w:r>
      <w:r w:rsidR="006B2D5F">
        <w:t>.</w:t>
      </w:r>
    </w:p>
    <w:p w14:paraId="23A2933E" w14:textId="77777777" w:rsidR="008B67F3" w:rsidRPr="00C917E2" w:rsidRDefault="008B67F3" w:rsidP="008D626C">
      <w:r w:rsidRPr="00C917E2">
        <w:br w:type="page"/>
      </w:r>
    </w:p>
    <w:p w14:paraId="2EF7824C" w14:textId="77777777" w:rsidR="008B67F3" w:rsidRPr="00C917E2" w:rsidRDefault="008B67F3" w:rsidP="00C002E0">
      <w:pPr>
        <w:pStyle w:val="Heading1"/>
      </w:pPr>
      <w:bookmarkStart w:id="267" w:name="_Toc419004039"/>
      <w:r w:rsidRPr="00C917E2">
        <w:lastRenderedPageBreak/>
        <w:t>Annex 2. Institutional Background and Budget Procedures</w:t>
      </w:r>
      <w:bookmarkEnd w:id="267"/>
    </w:p>
    <w:p w14:paraId="684E701A" w14:textId="77777777" w:rsidR="008B67F3" w:rsidRPr="00C917E2" w:rsidRDefault="008B67F3" w:rsidP="00C002E0">
      <w:pPr>
        <w:pStyle w:val="Heading2nottoc"/>
      </w:pPr>
      <w:bookmarkStart w:id="268" w:name="_Toc419004040"/>
      <w:r w:rsidRPr="00C917E2">
        <w:t>Institutional Background</w:t>
      </w:r>
      <w:bookmarkEnd w:id="268"/>
    </w:p>
    <w:p w14:paraId="242F9520" w14:textId="77777777" w:rsidR="008B67F3" w:rsidRPr="00D56257" w:rsidRDefault="008B67F3" w:rsidP="00D56257">
      <w:pPr>
        <w:pStyle w:val="Numberparaannex"/>
      </w:pPr>
      <w:r w:rsidRPr="00D56257">
        <w:t>Figure A2.1 depicts the flow of funds from the MOFED to the MOHCC and its structures. Financing is centralized at the MOHCC national level, which controls major line expenditures such as salaries, medications and capital expenditures.</w:t>
      </w:r>
      <w:r w:rsidRPr="004A75C8">
        <w:rPr>
          <w:rStyle w:val="EndnoteReference"/>
        </w:rPr>
        <w:endnoteReference w:id="98"/>
      </w:r>
      <w:r w:rsidRPr="00D56257">
        <w:t xml:space="preserve"> </w:t>
      </w:r>
    </w:p>
    <w:p w14:paraId="5078B3E2" w14:textId="77777777" w:rsidR="008B67F3" w:rsidRPr="00C917E2" w:rsidRDefault="008B67F3" w:rsidP="0066484E">
      <w:pPr>
        <w:pStyle w:val="Figureannex0"/>
      </w:pPr>
      <w:r w:rsidRPr="00C917E2">
        <w:t>Figure A2.1 Flow of Central Government Funds in the Health Sector</w:t>
      </w:r>
      <w:r w:rsidRPr="00C917E2">
        <w:rPr>
          <w:rStyle w:val="EndnoteReference"/>
        </w:rPr>
        <w:endnoteReference w:id="99"/>
      </w:r>
    </w:p>
    <w:p w14:paraId="4199B4FA" w14:textId="77777777" w:rsidR="008B67F3" w:rsidRPr="00C917E2" w:rsidRDefault="008B67F3" w:rsidP="008D626C">
      <w:r w:rsidRPr="00C917E2">
        <w:rPr>
          <w:noProof/>
          <w:bdr w:val="single" w:sz="4" w:space="0" w:color="auto"/>
        </w:rPr>
        <w:drawing>
          <wp:inline distT="0" distB="0" distL="0" distR="0" wp14:anchorId="76D7DEDC" wp14:editId="528DA5D7">
            <wp:extent cx="5731510" cy="4084429"/>
            <wp:effectExtent l="19050" t="0" r="2540" b="0"/>
            <wp:docPr id="9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srcRect/>
                    <a:stretch>
                      <a:fillRect/>
                    </a:stretch>
                  </pic:blipFill>
                  <pic:spPr bwMode="auto">
                    <a:xfrm>
                      <a:off x="0" y="0"/>
                      <a:ext cx="5731510" cy="4084429"/>
                    </a:xfrm>
                    <a:prstGeom prst="rect">
                      <a:avLst/>
                    </a:prstGeom>
                    <a:noFill/>
                    <a:ln w="9525">
                      <a:noFill/>
                      <a:miter lim="800000"/>
                      <a:headEnd/>
                      <a:tailEnd/>
                    </a:ln>
                  </pic:spPr>
                </pic:pic>
              </a:graphicData>
            </a:graphic>
          </wp:inline>
        </w:drawing>
      </w:r>
    </w:p>
    <w:p w14:paraId="40C0A66C" w14:textId="58B79AA0" w:rsidR="008B67F3" w:rsidRPr="00C917E2" w:rsidRDefault="008B67F3" w:rsidP="008D626C">
      <w:pPr>
        <w:pStyle w:val="Source"/>
      </w:pPr>
      <w:r w:rsidRPr="00E94700">
        <w:rPr>
          <w:i/>
        </w:rPr>
        <w:t>Source:</w:t>
      </w:r>
      <w:r w:rsidRPr="00C917E2">
        <w:t xml:space="preserve"> Adapted from </w:t>
      </w:r>
      <w:r w:rsidR="00FD213D">
        <w:t xml:space="preserve">John </w:t>
      </w:r>
      <w:r w:rsidRPr="00C917E2">
        <w:t>Osika et al</w:t>
      </w:r>
      <w:r w:rsidR="006B2D5F">
        <w:t>.</w:t>
      </w:r>
      <w:r w:rsidRPr="00C917E2">
        <w:t xml:space="preserve"> 2010</w:t>
      </w:r>
      <w:r w:rsidR="006B2D5F">
        <w:t>.</w:t>
      </w:r>
      <w:r w:rsidR="00FD213D">
        <w:t xml:space="preserve"> “</w:t>
      </w:r>
      <w:r w:rsidR="00FD213D" w:rsidRPr="00FD213D">
        <w:t>Zimbabwe Health Systems Assessment 2010</w:t>
      </w:r>
      <w:r w:rsidR="00FD213D">
        <w:t>.”</w:t>
      </w:r>
      <w:r w:rsidR="00FD213D" w:rsidRPr="00FD213D">
        <w:t xml:space="preserve"> Bethesda, MD, Health Systems 20/20 Project, Abt Associates Inc.</w:t>
      </w:r>
    </w:p>
    <w:p w14:paraId="39BD61A4" w14:textId="77777777" w:rsidR="008B67F3" w:rsidRPr="00C917E2" w:rsidRDefault="008B67F3" w:rsidP="00C002E0">
      <w:pPr>
        <w:pStyle w:val="Heading2nottoc"/>
      </w:pPr>
      <w:bookmarkStart w:id="269" w:name="_Toc401072870"/>
      <w:bookmarkStart w:id="270" w:name="_Toc419004041"/>
      <w:r w:rsidRPr="00C917E2">
        <w:t xml:space="preserve">Overview of Zimbabwe’s </w:t>
      </w:r>
      <w:bookmarkEnd w:id="269"/>
      <w:r w:rsidRPr="00C917E2">
        <w:t>Current Budget Procedures</w:t>
      </w:r>
      <w:bookmarkEnd w:id="270"/>
    </w:p>
    <w:p w14:paraId="31579357" w14:textId="77777777" w:rsidR="008B67F3" w:rsidRPr="00C917E2" w:rsidRDefault="008B67F3" w:rsidP="00C002E0">
      <w:pPr>
        <w:pStyle w:val="Heading3nottoc"/>
      </w:pPr>
      <w:bookmarkStart w:id="271" w:name="_Toc419004042"/>
      <w:r w:rsidRPr="00C917E2">
        <w:t xml:space="preserve">Zimbabwe’s </w:t>
      </w:r>
      <w:r w:rsidR="00B65007" w:rsidRPr="00C917E2">
        <w:t>Re</w:t>
      </w:r>
      <w:r w:rsidRPr="00C917E2">
        <w:t xml:space="preserve">engineered </w:t>
      </w:r>
      <w:r w:rsidR="00B65007" w:rsidRPr="00C917E2">
        <w:t>Budget Process</w:t>
      </w:r>
      <w:bookmarkEnd w:id="271"/>
    </w:p>
    <w:p w14:paraId="07BC4461" w14:textId="3CC67B9E" w:rsidR="008B67F3" w:rsidRPr="00C917E2" w:rsidRDefault="008B67F3" w:rsidP="00D56257">
      <w:pPr>
        <w:pStyle w:val="Numberparaannex"/>
      </w:pPr>
      <w:r w:rsidRPr="00C917E2">
        <w:t xml:space="preserve">Parliament introduced the reengineered budget concept in 2001. The reengineered budget follows a simple cycle that starts from budget formulation, analysis and then monitoring. A call letter from the MOFED for ministries to present their bids is sent out in February. This is followed by prebudget </w:t>
      </w:r>
      <w:r w:rsidR="005A4686" w:rsidRPr="00C917E2">
        <w:t xml:space="preserve">stakeholder </w:t>
      </w:r>
      <w:r w:rsidRPr="00C917E2">
        <w:t xml:space="preserve">consultative meetings that are called by Portfolio Committees to discuss and propose priority areas that should be included in the national budget. After these prebudget stakeholder consultative meetings the final draft bids are presented to the MOFED, who then forward the </w:t>
      </w:r>
      <w:r w:rsidRPr="00C917E2">
        <w:lastRenderedPageBreak/>
        <w:t>estimates to the Cabinet for final allocation and approval. The MOFED then presents the budget to the House of Assembly within a period of 90 days before the end of the current financial year. When the budget is presented in the House of Assembly, the Parliamentary Portfolio Committees and key stakeholders hold post-budget meetings to analyze the budget and reprioritize where necessary. As systematic as it sounds, due to the ever shrinking fiscal space, the described process is just an exercise with no effective bearing on the actual budget allocation or disbursement.</w:t>
      </w:r>
    </w:p>
    <w:p w14:paraId="5C97F38F" w14:textId="77777777" w:rsidR="008B67F3" w:rsidRPr="00C917E2" w:rsidRDefault="008B67F3" w:rsidP="00C002E0">
      <w:pPr>
        <w:pStyle w:val="Heading3nottoc"/>
      </w:pPr>
      <w:bookmarkStart w:id="272" w:name="_Toc419004043"/>
      <w:r w:rsidRPr="00C917E2">
        <w:t>Centralization</w:t>
      </w:r>
      <w:bookmarkEnd w:id="272"/>
    </w:p>
    <w:p w14:paraId="4C67A93D" w14:textId="77777777" w:rsidR="008B67F3" w:rsidRPr="00C917E2" w:rsidRDefault="00B65007" w:rsidP="00D56257">
      <w:pPr>
        <w:pStyle w:val="Numberparaannex"/>
      </w:pPr>
      <w:r w:rsidRPr="00C917E2">
        <w:t xml:space="preserve">In </w:t>
      </w:r>
      <w:r w:rsidR="008B67F3" w:rsidRPr="00C917E2">
        <w:t xml:space="preserve">the central government budget accounting process, the </w:t>
      </w:r>
      <w:r w:rsidRPr="00C917E2">
        <w:t>MOHCC</w:t>
      </w:r>
      <w:r w:rsidR="008B67F3" w:rsidRPr="00C917E2">
        <w:t xml:space="preserve"> has provincial and district/local budget operations classified under heads called </w:t>
      </w:r>
      <w:r w:rsidRPr="00C917E2">
        <w:t>“</w:t>
      </w:r>
      <w:r w:rsidR="008B67F3" w:rsidRPr="00C917E2">
        <w:t>votes</w:t>
      </w:r>
      <w:r w:rsidRPr="00C917E2">
        <w:t>”</w:t>
      </w:r>
      <w:r w:rsidR="008B67F3" w:rsidRPr="00C917E2">
        <w:t xml:space="preserve"> for operational purposes. Each head of operation is then notified of the total amount he/she can spend under each vote allocated. Using a system known as the commitment control, each head keeps a record value of each requisition issued against the budget allocated for each vote, make</w:t>
      </w:r>
      <w:r w:rsidR="005A4686">
        <w:t>s</w:t>
      </w:r>
      <w:r w:rsidR="008B67F3" w:rsidRPr="00C917E2">
        <w:t xml:space="preserve"> requests</w:t>
      </w:r>
      <w:r w:rsidR="005A4686">
        <w:t>,</w:t>
      </w:r>
      <w:r w:rsidR="008B67F3" w:rsidRPr="00C917E2">
        <w:t xml:space="preserve"> and keeps a record of the balance remaining on the allocated budget.</w:t>
      </w:r>
    </w:p>
    <w:p w14:paraId="3FD45F67" w14:textId="77777777" w:rsidR="008B67F3" w:rsidRPr="00C917E2" w:rsidRDefault="008B67F3" w:rsidP="00D56257">
      <w:pPr>
        <w:pStyle w:val="Numberparaannex"/>
      </w:pPr>
      <w:r w:rsidRPr="00C917E2">
        <w:t xml:space="preserve">The districts </w:t>
      </w:r>
      <w:r w:rsidR="008F492D">
        <w:t xml:space="preserve">and </w:t>
      </w:r>
      <w:r w:rsidR="008F492D" w:rsidRPr="00C917E2">
        <w:t xml:space="preserve">provinces </w:t>
      </w:r>
      <w:r w:rsidRPr="00C917E2">
        <w:t>do not hold any central government monies in cash. Requisitions are made by the district/province to the central level (</w:t>
      </w:r>
      <w:r w:rsidR="00B65007" w:rsidRPr="00C917E2">
        <w:t>MOHCC</w:t>
      </w:r>
      <w:r w:rsidRPr="00C917E2">
        <w:t xml:space="preserve">) for approval. Once approved, they are sent to the </w:t>
      </w:r>
      <w:r w:rsidR="00411D30" w:rsidRPr="00C917E2">
        <w:t xml:space="preserve">central payments office </w:t>
      </w:r>
      <w:r w:rsidRPr="00C917E2">
        <w:t>from where they are paid. In the event that by the end of the year, there are some unused budget funds, these are not carried forward. If there are unpaid requisitions at the end of the financial year, they can only be honored using the budget for the next financial year, hence are treated as expenditure against that year’s budget.</w:t>
      </w:r>
    </w:p>
    <w:p w14:paraId="515CCEE1" w14:textId="77777777" w:rsidR="008B67F3" w:rsidRPr="00C917E2" w:rsidRDefault="008B67F3" w:rsidP="00C002E0">
      <w:pPr>
        <w:pStyle w:val="Heading3nottoc"/>
      </w:pPr>
      <w:bookmarkStart w:id="273" w:name="_Toc419004044"/>
      <w:r w:rsidRPr="00C917E2">
        <w:t>Fungibility</w:t>
      </w:r>
      <w:bookmarkEnd w:id="273"/>
    </w:p>
    <w:p w14:paraId="70796D1F" w14:textId="77777777" w:rsidR="008B67F3" w:rsidRPr="00C917E2" w:rsidRDefault="008B67F3" w:rsidP="00D56257">
      <w:pPr>
        <w:pStyle w:val="Numberparaannex"/>
      </w:pPr>
      <w:r w:rsidRPr="00C917E2">
        <w:t>Switching of funds (virement) across line items is done upon following specific procedures and requires approval from the treasury. Unspent amounts on any line item have often signaled to the treasury that the particular line item’s expenditure should be cut in the following financial year, which forces administrators to spend as much as they can, possibly leading to inefficiencies. Where the treasury has not given approval for over-expenditure or virement, the ministry concerned has to apply for parliamentary approval for supplementary expenditure.</w:t>
      </w:r>
    </w:p>
    <w:p w14:paraId="7D5C20DD" w14:textId="77777777" w:rsidR="008B67F3" w:rsidRPr="00C917E2" w:rsidRDefault="008B67F3" w:rsidP="008D626C"/>
    <w:p w14:paraId="5265BFFC" w14:textId="77777777" w:rsidR="008B67F3" w:rsidRPr="00C917E2" w:rsidRDefault="008B67F3" w:rsidP="008D626C">
      <w:r w:rsidRPr="00C917E2">
        <w:br w:type="page"/>
      </w:r>
    </w:p>
    <w:p w14:paraId="24831093" w14:textId="77777777" w:rsidR="008B67F3" w:rsidRPr="00C917E2" w:rsidRDefault="008B67F3" w:rsidP="00BE6BE5">
      <w:pPr>
        <w:pStyle w:val="Heading1nottoc"/>
      </w:pPr>
      <w:bookmarkStart w:id="274" w:name="_Toc419004045"/>
      <w:r w:rsidRPr="00C917E2">
        <w:lastRenderedPageBreak/>
        <w:t>Annex 3. Efficiency Analysis of Public Health Expenditures</w:t>
      </w:r>
      <w:bookmarkEnd w:id="263"/>
      <w:bookmarkEnd w:id="274"/>
    </w:p>
    <w:p w14:paraId="531F8BB4" w14:textId="77777777" w:rsidR="008B67F3" w:rsidRPr="00C917E2" w:rsidRDefault="008B67F3" w:rsidP="006200F7">
      <w:pPr>
        <w:pStyle w:val="Heading3nottoc"/>
      </w:pPr>
      <w:bookmarkStart w:id="275" w:name="_Toc419004046"/>
      <w:r w:rsidRPr="00C917E2">
        <w:t>General Methodology</w:t>
      </w:r>
      <w:bookmarkEnd w:id="275"/>
      <w:r w:rsidRPr="00C917E2">
        <w:t xml:space="preserve"> </w:t>
      </w:r>
    </w:p>
    <w:p w14:paraId="7C3F49FC" w14:textId="77777777" w:rsidR="008B67F3" w:rsidRPr="00C917E2" w:rsidRDefault="008B67F3" w:rsidP="00D56257">
      <w:pPr>
        <w:pStyle w:val="Numberparaannex"/>
      </w:pPr>
      <w:r w:rsidRPr="00C917E2">
        <w:rPr>
          <w:i/>
        </w:rPr>
        <w:t xml:space="preserve">Rationale: </w:t>
      </w:r>
      <w:r w:rsidRPr="00C917E2">
        <w:t>Efficiency results are often presented comparing efficiency score obtained using data envelopment analysis (DEA) methods. The scores are useful</w:t>
      </w:r>
      <w:r w:rsidR="00B72993" w:rsidRPr="00C917E2">
        <w:t xml:space="preserve"> </w:t>
      </w:r>
      <w:r w:rsidRPr="00C917E2">
        <w:t>to situate countries relative to the efficiency frontier but do not reveal whether they are driven by relatively low expenditure or relatively good outcomes. It is therefore difficult to interpret DEA efficiency scores for countries with low levels of spending, such as Zimbabwe, because a country can obtain a very high efficiency score despite very poor health outcomes.</w:t>
      </w:r>
    </w:p>
    <w:p w14:paraId="23064155" w14:textId="77777777" w:rsidR="008B67F3" w:rsidRPr="00C917E2" w:rsidRDefault="008B67F3" w:rsidP="00D56257">
      <w:pPr>
        <w:pStyle w:val="Numberparaannex"/>
      </w:pPr>
      <w:r w:rsidRPr="00C917E2">
        <w:rPr>
          <w:i/>
        </w:rPr>
        <w:t>General methodology:</w:t>
      </w:r>
      <w:r w:rsidRPr="00C917E2">
        <w:t xml:space="preserve"> Here, using similar data as for DEA, efficiency is assessed visually in two dimensions (rather than using a summary indicator as DEA does): both dimensions are obtained using deviations from expectations, one from expected health outcomes, the other from expected government expenditures.</w:t>
      </w:r>
      <w:r w:rsidRPr="00C917E2">
        <w:rPr>
          <w:rStyle w:val="EndnoteReference"/>
        </w:rPr>
        <w:t xml:space="preserve"> </w:t>
      </w:r>
      <w:r w:rsidRPr="00C917E2">
        <w:rPr>
          <w:rStyle w:val="EndnoteReference"/>
        </w:rPr>
        <w:endnoteReference w:id="100"/>
      </w:r>
      <w:r w:rsidRPr="00C917E2">
        <w:t xml:space="preserve"> The expected outcomes and expected expenditures take account of the country’s income level (including the possibility of a nonlinear effect), its size, and regional and income groupings.</w:t>
      </w:r>
      <w:r w:rsidRPr="00C917E2">
        <w:rPr>
          <w:rStyle w:val="EndnoteReference"/>
        </w:rPr>
        <w:endnoteReference w:id="101"/>
      </w:r>
      <w:r w:rsidRPr="00C917E2">
        <w:t xml:space="preserve"> The unexplained variation is used to determine relative efficiency. Different methods can be used to estimate expectations depending on whether one is interested in the long-term standing of a country relative to others (“structural efficiency”) or in changes over time (“current efficiency”). </w:t>
      </w:r>
    </w:p>
    <w:p w14:paraId="42052C3A" w14:textId="77777777" w:rsidR="008B67F3" w:rsidRPr="00C917E2" w:rsidRDefault="008B67F3" w:rsidP="00D56257">
      <w:pPr>
        <w:pStyle w:val="Numberparaannex"/>
      </w:pPr>
      <w:r w:rsidRPr="00C917E2">
        <w:rPr>
          <w:i/>
        </w:rPr>
        <w:t>Structural efficiency:</w:t>
      </w:r>
      <w:r w:rsidRPr="00C917E2">
        <w:t xml:space="preserve"> A measure of structural efficiency is obtained by exploiting the panel structure of the data, using all years with data available (data availability is allowed to differ across countries). A random-effects regression separates the residual variance into a part that is common to all countries and a part that is country-specific. The country-specific residual variance or “random effect” can be used to measure the structural advantage/disadvantage of the country relative to expectations (or its typical deviation from expected outcomes). It is useful to evaluate the extent to which current efficiency can change in the short run, especially considering the fact that results depend on characteristics of the country’s health system (such as the weight of the private sector).</w:t>
      </w:r>
    </w:p>
    <w:p w14:paraId="5B7E7872" w14:textId="77777777" w:rsidR="008B67F3" w:rsidRPr="00C917E2" w:rsidRDefault="008B67F3" w:rsidP="00D56257">
      <w:pPr>
        <w:pStyle w:val="Numberparaannex"/>
      </w:pPr>
      <w:r w:rsidRPr="00C917E2">
        <w:rPr>
          <w:i/>
        </w:rPr>
        <w:t>Current efficiency:</w:t>
      </w:r>
      <w:r w:rsidRPr="00C917E2">
        <w:t xml:space="preserve"> Expectations are estimated for each time period averaging values over two or more years (mainly to reduce measurement errors) and running an ordinary least squares regression on the cross-section of countries for which data are available. Residuals are then calculated as the difference between observed and predicted values.</w:t>
      </w:r>
    </w:p>
    <w:p w14:paraId="1DDFA347" w14:textId="77777777" w:rsidR="004F5198" w:rsidRPr="00C917E2" w:rsidRDefault="008B67F3" w:rsidP="00D56257">
      <w:pPr>
        <w:pStyle w:val="Numberparaannex"/>
      </w:pPr>
      <w:r w:rsidRPr="00C917E2">
        <w:rPr>
          <w:i/>
        </w:rPr>
        <w:t>The health outcome dimension:</w:t>
      </w:r>
      <w:r w:rsidRPr="00C917E2">
        <w:t xml:space="preserve"> Different types of outcomes can be considered depending on whether efficiency is assessed over a long period (structural efficiency) or using averages calculated over short periods (current efficiency). Outcomes that are most contemporaneously related to current expenditures, sufficiently dependent on the overall health situation in the country, and sufficiently available and comparable across countries are usually best suited to evaluate changes over time. Infant mortality rates and maternal mortality rates are commonly used indicators in efficiency analyses of the health sector in PERs</w:t>
      </w:r>
      <w:r w:rsidR="00411D30">
        <w:rPr>
          <w:rStyle w:val="EndnoteReference"/>
        </w:rPr>
        <w:endnoteReference w:id="102"/>
      </w:r>
      <w:r w:rsidRPr="00C917E2">
        <w:t xml:space="preserve"> and in the economic literature,</w:t>
      </w:r>
      <w:r w:rsidRPr="00C917E2">
        <w:rPr>
          <w:rStyle w:val="EndnoteReference"/>
        </w:rPr>
        <w:endnoteReference w:id="103"/>
      </w:r>
      <w:r w:rsidRPr="00C917E2">
        <w:t xml:space="preserve"> and are well suited for the current efficiency analysis. Life expectancy and under-five mortality may be used when looking at structural efficiency, although the HIV/AIDS situation in Zimbabwe will be expected to have a significant impact on life expectancy results. Immunization can also be used</w:t>
      </w:r>
      <w:r w:rsidRPr="00C917E2">
        <w:rPr>
          <w:rStyle w:val="EndnoteReference"/>
        </w:rPr>
        <w:endnoteReference w:id="104"/>
      </w:r>
      <w:r w:rsidRPr="00C917E2">
        <w:t xml:space="preserve"> </w:t>
      </w:r>
      <w:r w:rsidR="004F5198" w:rsidRPr="00C917E2">
        <w:t>but was not retained for this analysis for several reasons: it captures a limited aspect of health provision, it is often highly related to international funding</w:t>
      </w:r>
      <w:r w:rsidR="003D7027">
        <w:t xml:space="preserve">, and </w:t>
      </w:r>
      <w:r w:rsidR="003D7027" w:rsidRPr="00C917E2">
        <w:t xml:space="preserve">it </w:t>
      </w:r>
      <w:r w:rsidR="004F5198" w:rsidRPr="00C917E2">
        <w:t xml:space="preserve">is also difficult to interpret variations once countries have reached a high level of coverage. </w:t>
      </w:r>
    </w:p>
    <w:p w14:paraId="2787A9EB" w14:textId="77777777" w:rsidR="004F5198" w:rsidRPr="00C917E2" w:rsidRDefault="004F5198" w:rsidP="00D56257">
      <w:pPr>
        <w:pStyle w:val="Numberparaannex"/>
      </w:pPr>
      <w:r w:rsidRPr="00C917E2">
        <w:rPr>
          <w:i/>
        </w:rPr>
        <w:lastRenderedPageBreak/>
        <w:t xml:space="preserve">The </w:t>
      </w:r>
      <w:r w:rsidR="00AB4E54" w:rsidRPr="00C917E2">
        <w:rPr>
          <w:i/>
        </w:rPr>
        <w:t xml:space="preserve">health </w:t>
      </w:r>
      <w:r w:rsidRPr="00C917E2">
        <w:rPr>
          <w:i/>
        </w:rPr>
        <w:t>expenditure</w:t>
      </w:r>
      <w:r w:rsidR="00AB4E54" w:rsidRPr="00C917E2">
        <w:rPr>
          <w:i/>
        </w:rPr>
        <w:t>s</w:t>
      </w:r>
      <w:r w:rsidRPr="00C917E2">
        <w:rPr>
          <w:i/>
        </w:rPr>
        <w:t xml:space="preserve"> dimension:</w:t>
      </w:r>
      <w:r w:rsidRPr="00C917E2">
        <w:t xml:space="preserve"> GHE data are widely available in the GHED (WHO) database either in percentage of GDP or in per capita US</w:t>
      </w:r>
      <w:r w:rsidR="00AB4E54" w:rsidRPr="00C917E2">
        <w:t xml:space="preserve"> dollars</w:t>
      </w:r>
      <w:r w:rsidRPr="00C917E2">
        <w:t>. The indicator is comparable across countries and requires country clearance to be published. It includes all public expenditures externally or internally financed, on or off</w:t>
      </w:r>
      <w:r w:rsidR="00AB4E54" w:rsidRPr="00C917E2">
        <w:t xml:space="preserve"> </w:t>
      </w:r>
      <w:r w:rsidRPr="00C917E2">
        <w:t xml:space="preserve">budget. This is the indicator that would normally be used for this type of analysis. For Zimbabwe, government expenditure data </w:t>
      </w:r>
      <w:r w:rsidR="0019147B" w:rsidRPr="00C917E2">
        <w:t xml:space="preserve">are </w:t>
      </w:r>
      <w:r w:rsidRPr="00C917E2">
        <w:t xml:space="preserve">not available so the analysis needs to rely solely on expenditure of </w:t>
      </w:r>
      <w:r w:rsidR="00AB4E54" w:rsidRPr="00C917E2">
        <w:t>the health ministry</w:t>
      </w:r>
      <w:r w:rsidRPr="00C917E2">
        <w:t xml:space="preserve">. This is not as good a measure </w:t>
      </w:r>
      <w:r w:rsidR="00AB4E54" w:rsidRPr="00C917E2">
        <w:t xml:space="preserve">as </w:t>
      </w:r>
      <w:r w:rsidRPr="00C917E2">
        <w:t>it does not include expenditures of local government, parastatal</w:t>
      </w:r>
      <w:r w:rsidR="00AB4E54" w:rsidRPr="00C917E2">
        <w:t>,</w:t>
      </w:r>
      <w:r w:rsidRPr="00C917E2">
        <w:t xml:space="preserve"> or social security agencies, which can represent a large part of government expenditures in some countries.</w:t>
      </w:r>
      <w:r w:rsidR="00F870A5" w:rsidRPr="00C917E2">
        <w:t xml:space="preserve"> In addition, some countries channel less foreign aid through the MOH than others (as is the case for Zimbabwe)</w:t>
      </w:r>
      <w:r w:rsidR="00F06CBE" w:rsidRPr="00C917E2">
        <w:t>.</w:t>
      </w:r>
      <w:r w:rsidR="00F870A5" w:rsidRPr="00C917E2">
        <w:t xml:space="preserve"> </w:t>
      </w:r>
      <w:r w:rsidRPr="00C917E2">
        <w:t xml:space="preserve">However, as a second best, the </w:t>
      </w:r>
      <w:r w:rsidR="00F14A7F" w:rsidRPr="00C917E2">
        <w:t>ministry of health (MOH)</w:t>
      </w:r>
      <w:r w:rsidRPr="00C917E2">
        <w:t xml:space="preserve"> expenditure data have the merit of being generally reliable and are typically highly correlated with the total level of public expenditure. </w:t>
      </w:r>
    </w:p>
    <w:p w14:paraId="1A8E6F05" w14:textId="77777777" w:rsidR="004F5198" w:rsidRPr="00C917E2" w:rsidRDefault="004F5198" w:rsidP="00D56257">
      <w:pPr>
        <w:pStyle w:val="Numberparaannex"/>
      </w:pPr>
      <w:r w:rsidRPr="00C917E2">
        <w:rPr>
          <w:i/>
        </w:rPr>
        <w:t xml:space="preserve">The </w:t>
      </w:r>
      <w:r w:rsidR="003272F3">
        <w:rPr>
          <w:i/>
        </w:rPr>
        <w:t>four-quadrant</w:t>
      </w:r>
      <w:r w:rsidRPr="00C917E2">
        <w:rPr>
          <w:i/>
        </w:rPr>
        <w:t xml:space="preserve"> graphical illustrations:</w:t>
      </w:r>
      <w:r w:rsidRPr="00C917E2">
        <w:t xml:space="preserve"> Results can be plotted into a four</w:t>
      </w:r>
      <w:r w:rsidR="00AB4E54" w:rsidRPr="00C917E2">
        <w:t>-</w:t>
      </w:r>
      <w:r w:rsidRPr="00C917E2">
        <w:t xml:space="preserve">quadrant graph where (0,0) is the point where both health outcome and expenditures are at levels predicted by the model. Deviations from expected health outcomes are represented vertically (y-axis) and deviations from expected expenditure horizontally (x-axis). For health outcomes such as mortality, lower is better so a position in the </w:t>
      </w:r>
      <w:r w:rsidR="00276455" w:rsidRPr="00C917E2">
        <w:t>southwest</w:t>
      </w:r>
      <w:r w:rsidRPr="00C917E2">
        <w:t xml:space="preserve"> quadrant is most efficient and a position to the </w:t>
      </w:r>
      <w:r w:rsidR="00276455" w:rsidRPr="00C917E2">
        <w:t>northeast</w:t>
      </w:r>
      <w:r w:rsidRPr="00C917E2">
        <w:t xml:space="preserve"> is least efficient. The </w:t>
      </w:r>
      <w:r w:rsidR="00276455" w:rsidRPr="00C917E2">
        <w:t>northwest</w:t>
      </w:r>
      <w:r w:rsidRPr="00C917E2">
        <w:t xml:space="preserve"> quadrant includes countries with relatively bad health outcomes that also have relatively low expenditures. They are called underachievers. Those in the </w:t>
      </w:r>
      <w:r w:rsidR="003272F3">
        <w:t>southeast</w:t>
      </w:r>
      <w:r w:rsidRPr="00C917E2">
        <w:t xml:space="preserve"> quadrants are overachievers. When the health outcome is vaccination or life expectancy, most efficient countries are placed in the </w:t>
      </w:r>
      <w:r w:rsidR="00276455" w:rsidRPr="00C917E2">
        <w:t>northwest</w:t>
      </w:r>
      <w:r w:rsidRPr="00C917E2">
        <w:t xml:space="preserve"> quadrant (low expenditures and high </w:t>
      </w:r>
      <w:r w:rsidR="005830BB" w:rsidRPr="00C917E2">
        <w:t>life expectancy</w:t>
      </w:r>
      <w:r w:rsidRPr="00C917E2">
        <w:t xml:space="preserve">) and least efficient in the </w:t>
      </w:r>
      <w:r w:rsidR="003272F3" w:rsidRPr="003272F3">
        <w:t xml:space="preserve">southeast </w:t>
      </w:r>
      <w:r w:rsidRPr="00C917E2">
        <w:t>quadrant.</w:t>
      </w:r>
    </w:p>
    <w:p w14:paraId="6545D3B4" w14:textId="77777777" w:rsidR="00AB4E54" w:rsidRPr="00C917E2" w:rsidRDefault="00415190" w:rsidP="00D56257">
      <w:pPr>
        <w:pStyle w:val="Numberparaannex"/>
      </w:pPr>
      <w:r w:rsidRPr="00C917E2">
        <w:rPr>
          <w:i/>
        </w:rPr>
        <w:t xml:space="preserve">Use of government expenditure: </w:t>
      </w:r>
      <w:r w:rsidR="00AB4E54" w:rsidRPr="00C917E2">
        <w:t xml:space="preserve">Government </w:t>
      </w:r>
      <w:r w:rsidR="004F5198" w:rsidRPr="00C917E2">
        <w:t>expenditure rather than total health expenditure</w:t>
      </w:r>
      <w:r w:rsidR="00AB4E54" w:rsidRPr="00C917E2">
        <w:t xml:space="preserve"> is used for several reasons</w:t>
      </w:r>
      <w:r w:rsidR="004F5198" w:rsidRPr="00C917E2">
        <w:t xml:space="preserve"> Although outcomes are the combined result of public and private health provision and all health expenditures are expected to have some effect on outcome, looking solely at public expenditure is important to understand the level of public expenditure typically necessary to achieve a certain outcome. There are advantages of looking at efficiency excluding private expenditure. First, private sector expenditure data often rel</w:t>
      </w:r>
      <w:r w:rsidR="00B274BF">
        <w:t>y</w:t>
      </w:r>
      <w:r w:rsidR="004F5198" w:rsidRPr="00C917E2">
        <w:t xml:space="preserve"> on survey data with various degrees of representativeness across countries. Second, the outcomes considered depend mostly on primary health care which is provided in good part by the public system</w:t>
      </w:r>
      <w:r w:rsidR="00B72993" w:rsidRPr="00C917E2">
        <w:t xml:space="preserve"> </w:t>
      </w:r>
      <w:r w:rsidR="004F5198" w:rsidRPr="00C917E2">
        <w:t xml:space="preserve">Finally, and importantly, even if comparable data on private expenditure are available, the point here is to evaluate public expenditure needs on efficiency grounds. If a country can obtain better health outcome overall with less public expenditure because the private sector takes care of most of the burden, it is indeed an efficiency improvement in terms of public expenditures. </w:t>
      </w:r>
    </w:p>
    <w:p w14:paraId="42D785C5" w14:textId="6C3A47E2" w:rsidR="004F5198" w:rsidRPr="00C917E2" w:rsidRDefault="00F870A5" w:rsidP="00D56257">
      <w:pPr>
        <w:pStyle w:val="Numberparaannex"/>
      </w:pPr>
      <w:r w:rsidRPr="00C917E2">
        <w:t>Efficiency analysis results are useful to get a sense of overall value for money spent. T</w:t>
      </w:r>
      <w:r w:rsidR="004F5198" w:rsidRPr="00C917E2">
        <w:t xml:space="preserve">o </w:t>
      </w:r>
      <w:r w:rsidR="00AB4E54" w:rsidRPr="00C917E2">
        <w:t xml:space="preserve">appreciate </w:t>
      </w:r>
      <w:r w:rsidR="004F5198" w:rsidRPr="00C917E2">
        <w:t xml:space="preserve">the overall picture and make policy recommendations </w:t>
      </w:r>
      <w:r w:rsidR="00AB4E54" w:rsidRPr="00C917E2">
        <w:t xml:space="preserve">on </w:t>
      </w:r>
      <w:r w:rsidR="004F5198" w:rsidRPr="00C917E2">
        <w:t xml:space="preserve">the size of public expenditure, </w:t>
      </w:r>
      <w:r w:rsidR="00B012D6" w:rsidRPr="00C917E2">
        <w:t xml:space="preserve">however, </w:t>
      </w:r>
      <w:r w:rsidR="004F5198" w:rsidRPr="00C917E2">
        <w:t>one cannot look at results of the efficiency analysis in isolation of analyses of inequalities of financial burdens and outcomes.</w:t>
      </w:r>
      <w:r w:rsidR="003D3899">
        <w:t xml:space="preserve"> </w:t>
      </w:r>
    </w:p>
    <w:p w14:paraId="6133A730" w14:textId="77777777" w:rsidR="006200F7" w:rsidRPr="00C917E2" w:rsidRDefault="006200F7" w:rsidP="006200F7">
      <w:pPr>
        <w:pStyle w:val="Heading3nottoc"/>
      </w:pPr>
      <w:bookmarkStart w:id="276" w:name="_Toc400920194"/>
      <w:bookmarkStart w:id="277" w:name="_Toc419004047"/>
      <w:r w:rsidRPr="00C917E2">
        <w:t xml:space="preserve">Structural </w:t>
      </w:r>
      <w:r w:rsidR="00C73D08" w:rsidRPr="00C917E2">
        <w:t>Efficiency Analysis</w:t>
      </w:r>
      <w:bookmarkEnd w:id="276"/>
      <w:r w:rsidR="002D58D9" w:rsidRPr="00C917E2">
        <w:t>—</w:t>
      </w:r>
      <w:r w:rsidR="00C73D08" w:rsidRPr="00C917E2">
        <w:t xml:space="preserve">Methodology </w:t>
      </w:r>
      <w:r w:rsidRPr="00C917E2">
        <w:t xml:space="preserve">and </w:t>
      </w:r>
      <w:r w:rsidR="00C73D08" w:rsidRPr="00C917E2">
        <w:t>Graphical Results</w:t>
      </w:r>
      <w:bookmarkEnd w:id="277"/>
    </w:p>
    <w:p w14:paraId="15A1C75D" w14:textId="77777777" w:rsidR="00A45098" w:rsidRPr="00C917E2" w:rsidRDefault="000961C0" w:rsidP="00D56257">
      <w:pPr>
        <w:pStyle w:val="Numberparaannex"/>
      </w:pPr>
      <w:r w:rsidRPr="00C917E2">
        <w:t>The analysis relies on the full panel of countries in the WHO database creating a panel</w:t>
      </w:r>
      <w:r w:rsidR="00FB5859" w:rsidRPr="00C917E2">
        <w:t xml:space="preserve"> </w:t>
      </w:r>
      <w:r w:rsidRPr="00C917E2">
        <w:t>of 167 countries for infant mortality and 163 for maternal mortality with data from 1995 to 2012 (yearly for infant mortality and at five</w:t>
      </w:r>
      <w:r w:rsidR="00C73D08" w:rsidRPr="00C917E2">
        <w:t>-</w:t>
      </w:r>
      <w:r w:rsidRPr="00C917E2">
        <w:t xml:space="preserve">year intervals for </w:t>
      </w:r>
      <w:r w:rsidR="00F14A7F" w:rsidRPr="00C917E2">
        <w:t>maternal mortality</w:t>
      </w:r>
      <w:r w:rsidRPr="00C917E2">
        <w:t xml:space="preserve">). The panel structure of the data is exploited to identify an average </w:t>
      </w:r>
      <w:r w:rsidR="002D58D9" w:rsidRPr="00C917E2">
        <w:t>“</w:t>
      </w:r>
      <w:r w:rsidR="002E7EAE" w:rsidRPr="00C917E2">
        <w:t>Zimbabwe effect.</w:t>
      </w:r>
      <w:r w:rsidR="002D58D9" w:rsidRPr="00C917E2">
        <w:t>"</w:t>
      </w:r>
      <w:r w:rsidR="00FB5859" w:rsidRPr="00C917E2">
        <w:t xml:space="preserve"> </w:t>
      </w:r>
      <w:r w:rsidRPr="00C917E2">
        <w:t>The country</w:t>
      </w:r>
      <w:r w:rsidR="00A45098" w:rsidRPr="00C917E2">
        <w:t>-</w:t>
      </w:r>
      <w:r w:rsidRPr="00C917E2">
        <w:t>specific residuals are</w:t>
      </w:r>
      <w:r w:rsidR="00B012D6" w:rsidRPr="00C917E2">
        <w:t xml:space="preserve"> </w:t>
      </w:r>
      <w:r w:rsidRPr="00C917E2">
        <w:t>obtained from a random</w:t>
      </w:r>
      <w:r w:rsidR="007C081B" w:rsidRPr="00C917E2">
        <w:t>-</w:t>
      </w:r>
      <w:r w:rsidRPr="00C917E2">
        <w:t>effect</w:t>
      </w:r>
      <w:r w:rsidR="00FB5859" w:rsidRPr="00C917E2">
        <w:t xml:space="preserve"> </w:t>
      </w:r>
      <w:r w:rsidR="007C081B" w:rsidRPr="00C917E2">
        <w:t>generalized least squares</w:t>
      </w:r>
      <w:r w:rsidRPr="00C917E2">
        <w:t xml:space="preserve"> </w:t>
      </w:r>
      <w:r w:rsidR="007C081B" w:rsidRPr="00C917E2">
        <w:t xml:space="preserve">(GLS) </w:t>
      </w:r>
      <w:r w:rsidRPr="00C917E2">
        <w:t xml:space="preserve">regression </w:t>
      </w:r>
      <w:r w:rsidR="007949EA" w:rsidRPr="00C917E2">
        <w:t xml:space="preserve">of expenditure as a share of GDP </w:t>
      </w:r>
      <w:r w:rsidRPr="00C917E2">
        <w:t xml:space="preserve">on GDP per capita, </w:t>
      </w:r>
      <w:r w:rsidR="007949EA" w:rsidRPr="00C917E2">
        <w:t xml:space="preserve">year, </w:t>
      </w:r>
      <w:r w:rsidRPr="00C917E2">
        <w:t>income group, region, population and size.</w:t>
      </w:r>
      <w:r w:rsidR="00FB5859" w:rsidRPr="00C917E2">
        <w:t xml:space="preserve"> </w:t>
      </w:r>
      <w:r w:rsidRPr="00C917E2">
        <w:t xml:space="preserve">Although infant and maternal mortality are most appropriate for the analysis (see </w:t>
      </w:r>
      <w:r w:rsidR="0010687D" w:rsidRPr="00C917E2">
        <w:rPr>
          <w:i/>
        </w:rPr>
        <w:t>General Methodology</w:t>
      </w:r>
      <w:r w:rsidR="0010687D" w:rsidRPr="00C917E2">
        <w:t xml:space="preserve"> </w:t>
      </w:r>
      <w:r w:rsidR="00B012D6" w:rsidRPr="00C917E2">
        <w:t>above</w:t>
      </w:r>
      <w:r w:rsidRPr="00C917E2">
        <w:t>), child mortality and life expectancy outcomes are also tested.</w:t>
      </w:r>
      <w:r w:rsidR="007949EA" w:rsidRPr="00C917E2">
        <w:t xml:space="preserve"> Results are robust to using </w:t>
      </w:r>
      <w:r w:rsidR="007C081B" w:rsidRPr="00C917E2">
        <w:t xml:space="preserve">expenditure </w:t>
      </w:r>
      <w:r w:rsidR="007949EA" w:rsidRPr="00C917E2">
        <w:t>per capita.</w:t>
      </w:r>
      <w:r w:rsidR="00FB5859" w:rsidRPr="00C917E2">
        <w:t xml:space="preserve"> </w:t>
      </w:r>
    </w:p>
    <w:p w14:paraId="7A69F5FA" w14:textId="77777777" w:rsidR="007949EA" w:rsidRPr="00C917E2" w:rsidRDefault="007949EA" w:rsidP="00D56257">
      <w:pPr>
        <w:pStyle w:val="Numberparaannex"/>
      </w:pPr>
      <w:r w:rsidRPr="00C917E2">
        <w:lastRenderedPageBreak/>
        <w:t xml:space="preserve">An important caveat to this analysis for Zimbabwe is that </w:t>
      </w:r>
      <w:r w:rsidR="00C73D08" w:rsidRPr="00C917E2">
        <w:t xml:space="preserve">only a few </w:t>
      </w:r>
      <w:r w:rsidRPr="00C917E2">
        <w:t xml:space="preserve">years </w:t>
      </w:r>
      <w:r w:rsidR="00C73D08" w:rsidRPr="00C917E2">
        <w:t xml:space="preserve">have </w:t>
      </w:r>
      <w:r w:rsidRPr="00C917E2">
        <w:t xml:space="preserve">expenditure data </w:t>
      </w:r>
      <w:r w:rsidR="00C73D08" w:rsidRPr="00C917E2">
        <w:t xml:space="preserve">with which </w:t>
      </w:r>
      <w:r w:rsidRPr="00C917E2">
        <w:t>to estimate the random effect (</w:t>
      </w:r>
      <w:r w:rsidR="007C081B" w:rsidRPr="00C917E2">
        <w:t xml:space="preserve">two </w:t>
      </w:r>
      <w:r w:rsidRPr="00C917E2">
        <w:t>years</w:t>
      </w:r>
      <w:r w:rsidR="00C73D08" w:rsidRPr="00C917E2">
        <w:t>,</w:t>
      </w:r>
      <w:r w:rsidRPr="00C917E2">
        <w:t xml:space="preserve"> 2000</w:t>
      </w:r>
      <w:r w:rsidR="007C081B" w:rsidRPr="00C917E2">
        <w:t>–</w:t>
      </w:r>
      <w:r w:rsidRPr="00C917E2">
        <w:t>01</w:t>
      </w:r>
      <w:r w:rsidR="00C73D08" w:rsidRPr="00C917E2">
        <w:t>,</w:t>
      </w:r>
      <w:r w:rsidRPr="00C917E2">
        <w:t xml:space="preserve"> and </w:t>
      </w:r>
      <w:r w:rsidR="003410D2" w:rsidRPr="00C917E2">
        <w:t xml:space="preserve">four years, </w:t>
      </w:r>
      <w:r w:rsidR="0078223C" w:rsidRPr="00C917E2">
        <w:t>2010–13</w:t>
      </w:r>
      <w:r w:rsidR="0085547F" w:rsidRPr="00C917E2">
        <w:t>)</w:t>
      </w:r>
      <w:r w:rsidR="00F40F38" w:rsidRPr="00C917E2">
        <w:t xml:space="preserve"> whi</w:t>
      </w:r>
      <w:r w:rsidR="00B012D6" w:rsidRPr="00C917E2">
        <w:t>le other countries generally have longer time series</w:t>
      </w:r>
      <w:r w:rsidR="00A741E3" w:rsidRPr="00C917E2">
        <w:t>. Results are presented in F</w:t>
      </w:r>
      <w:r w:rsidRPr="00C917E2">
        <w:t>igures A</w:t>
      </w:r>
      <w:r w:rsidR="00462FBA" w:rsidRPr="00C917E2">
        <w:t>3.</w:t>
      </w:r>
      <w:r w:rsidRPr="00C917E2">
        <w:t>1 to A</w:t>
      </w:r>
      <w:r w:rsidR="00462FBA" w:rsidRPr="00C917E2">
        <w:t>3.</w:t>
      </w:r>
      <w:r w:rsidRPr="00C917E2">
        <w:t>4.</w:t>
      </w:r>
      <w:r w:rsidR="00FB5859" w:rsidRPr="00C917E2">
        <w:t xml:space="preserve"> </w:t>
      </w:r>
    </w:p>
    <w:p w14:paraId="4E0E64B1" w14:textId="77777777" w:rsidR="000961C0" w:rsidRPr="00C917E2" w:rsidRDefault="0066484E" w:rsidP="0066484E">
      <w:pPr>
        <w:pStyle w:val="Figureannex0"/>
      </w:pPr>
      <w:bookmarkStart w:id="278" w:name="_Toc405817329"/>
      <w:r w:rsidRPr="00C917E2">
        <w:t xml:space="preserve">Figure A3.1 </w:t>
      </w:r>
      <w:r w:rsidR="000961C0" w:rsidRPr="00C917E2">
        <w:t xml:space="preserve">Structural </w:t>
      </w:r>
      <w:r w:rsidR="00C73D08" w:rsidRPr="00C917E2">
        <w:t xml:space="preserve">Efficiency </w:t>
      </w:r>
      <w:r w:rsidR="000961C0" w:rsidRPr="00C917E2">
        <w:t xml:space="preserve">of </w:t>
      </w:r>
      <w:r w:rsidR="00C73D08" w:rsidRPr="00C917E2">
        <w:t xml:space="preserve">Health Expenditure Based </w:t>
      </w:r>
      <w:r w:rsidR="000961C0" w:rsidRPr="00C917E2">
        <w:t>on Infant Mortality, 1995</w:t>
      </w:r>
      <w:r w:rsidR="0058724F" w:rsidRPr="00C917E2">
        <w:t>–2</w:t>
      </w:r>
      <w:r w:rsidR="000961C0" w:rsidRPr="00C917E2">
        <w:t>012</w:t>
      </w:r>
      <w:bookmarkEnd w:id="278"/>
      <w:r w:rsidR="000961C0" w:rsidRPr="00C917E2">
        <w:t xml:space="preserve"> </w:t>
      </w:r>
    </w:p>
    <w:p w14:paraId="1939B14C" w14:textId="77777777" w:rsidR="000961C0" w:rsidRPr="00C917E2" w:rsidRDefault="007949EA" w:rsidP="00E73060">
      <w:r w:rsidRPr="00C917E2">
        <w:rPr>
          <w:noProof/>
        </w:rPr>
        <w:drawing>
          <wp:inline distT="0" distB="0" distL="0" distR="0" wp14:anchorId="1F201621" wp14:editId="2CFDAE7B">
            <wp:extent cx="5319691" cy="3800475"/>
            <wp:effectExtent l="19050" t="0" r="0" b="0"/>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srcRect/>
                    <a:stretch>
                      <a:fillRect/>
                    </a:stretch>
                  </pic:blipFill>
                  <pic:spPr bwMode="auto">
                    <a:xfrm>
                      <a:off x="0" y="0"/>
                      <a:ext cx="5325027" cy="3804287"/>
                    </a:xfrm>
                    <a:prstGeom prst="rect">
                      <a:avLst/>
                    </a:prstGeom>
                    <a:noFill/>
                    <a:ln w="9525">
                      <a:noFill/>
                      <a:miter lim="800000"/>
                      <a:headEnd/>
                      <a:tailEnd/>
                    </a:ln>
                  </pic:spPr>
                </pic:pic>
              </a:graphicData>
            </a:graphic>
          </wp:inline>
        </w:drawing>
      </w:r>
    </w:p>
    <w:p w14:paraId="55535FAA" w14:textId="77777777" w:rsidR="000961C0" w:rsidRPr="00C917E2" w:rsidRDefault="0066484E" w:rsidP="0066484E">
      <w:pPr>
        <w:pStyle w:val="Figureannex0"/>
      </w:pPr>
      <w:bookmarkStart w:id="279" w:name="_Toc405817330"/>
      <w:r w:rsidRPr="00C917E2">
        <w:t xml:space="preserve">Figure A3.2 </w:t>
      </w:r>
      <w:r w:rsidR="000961C0" w:rsidRPr="00C917E2">
        <w:t xml:space="preserve">Structural </w:t>
      </w:r>
      <w:r w:rsidR="00C73D08" w:rsidRPr="00C917E2">
        <w:t xml:space="preserve">Efficiency </w:t>
      </w:r>
      <w:r w:rsidR="000961C0" w:rsidRPr="00C917E2">
        <w:t xml:space="preserve">of </w:t>
      </w:r>
      <w:r w:rsidR="00C73D08" w:rsidRPr="00C917E2">
        <w:t xml:space="preserve">Health Expenditure Based </w:t>
      </w:r>
      <w:r w:rsidR="000961C0" w:rsidRPr="00C917E2">
        <w:t>on Maternal Mortality, 1995</w:t>
      </w:r>
      <w:r w:rsidR="0058724F" w:rsidRPr="00C917E2">
        <w:t>–2</w:t>
      </w:r>
      <w:r w:rsidR="000961C0" w:rsidRPr="00C917E2">
        <w:t>012</w:t>
      </w:r>
      <w:bookmarkEnd w:id="279"/>
      <w:r w:rsidR="000961C0" w:rsidRPr="00C917E2">
        <w:t xml:space="preserve"> </w:t>
      </w:r>
    </w:p>
    <w:p w14:paraId="7A89D94A" w14:textId="77777777" w:rsidR="000961C0" w:rsidRPr="00C917E2" w:rsidRDefault="007949EA" w:rsidP="00E73060">
      <w:r w:rsidRPr="00C917E2">
        <w:rPr>
          <w:noProof/>
        </w:rPr>
        <w:drawing>
          <wp:inline distT="0" distB="0" distL="0" distR="0" wp14:anchorId="1B1B6AE5" wp14:editId="05E08E3D">
            <wp:extent cx="4928890" cy="3457575"/>
            <wp:effectExtent l="19050" t="0" r="5060" b="0"/>
            <wp:docPr id="1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4928515" cy="3457312"/>
                    </a:xfrm>
                    <a:prstGeom prst="rect">
                      <a:avLst/>
                    </a:prstGeom>
                    <a:noFill/>
                    <a:ln w="9525">
                      <a:noFill/>
                      <a:miter lim="800000"/>
                      <a:headEnd/>
                      <a:tailEnd/>
                    </a:ln>
                  </pic:spPr>
                </pic:pic>
              </a:graphicData>
            </a:graphic>
          </wp:inline>
        </w:drawing>
      </w:r>
    </w:p>
    <w:p w14:paraId="1561F89A" w14:textId="77777777" w:rsidR="000961C0" w:rsidRPr="00C917E2" w:rsidRDefault="0066484E" w:rsidP="0066484E">
      <w:pPr>
        <w:pStyle w:val="Figureannex0"/>
      </w:pPr>
      <w:bookmarkStart w:id="280" w:name="_Toc405817331"/>
      <w:r w:rsidRPr="00C917E2">
        <w:lastRenderedPageBreak/>
        <w:t xml:space="preserve">Figure A3.3 </w:t>
      </w:r>
      <w:r w:rsidR="000961C0" w:rsidRPr="00C917E2">
        <w:t xml:space="preserve">Structural </w:t>
      </w:r>
      <w:r w:rsidR="00C73D08" w:rsidRPr="00C917E2">
        <w:t xml:space="preserve">Efficiency </w:t>
      </w:r>
      <w:r w:rsidR="000961C0" w:rsidRPr="00C917E2">
        <w:t xml:space="preserve">of </w:t>
      </w:r>
      <w:r w:rsidR="00C73D08" w:rsidRPr="00C917E2">
        <w:t xml:space="preserve">Health Expenditure Based </w:t>
      </w:r>
      <w:r w:rsidR="000961C0" w:rsidRPr="00C917E2">
        <w:t>on Child Mortality, 1995</w:t>
      </w:r>
      <w:r w:rsidR="0058724F" w:rsidRPr="00C917E2">
        <w:t>–2</w:t>
      </w:r>
      <w:r w:rsidR="000961C0" w:rsidRPr="00C917E2">
        <w:t>012</w:t>
      </w:r>
      <w:bookmarkEnd w:id="280"/>
      <w:r w:rsidR="000961C0" w:rsidRPr="00C917E2">
        <w:t xml:space="preserve"> </w:t>
      </w:r>
    </w:p>
    <w:p w14:paraId="6A8AE437" w14:textId="77777777" w:rsidR="000961C0" w:rsidRPr="00C917E2" w:rsidRDefault="007949EA" w:rsidP="00E73060">
      <w:r w:rsidRPr="00C917E2">
        <w:rPr>
          <w:noProof/>
        </w:rPr>
        <w:drawing>
          <wp:inline distT="0" distB="0" distL="0" distR="0" wp14:anchorId="12BD72BC" wp14:editId="08E74F19">
            <wp:extent cx="4925732" cy="3514725"/>
            <wp:effectExtent l="19050" t="0" r="8218" b="0"/>
            <wp:docPr id="2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4936894" cy="3522690"/>
                    </a:xfrm>
                    <a:prstGeom prst="rect">
                      <a:avLst/>
                    </a:prstGeom>
                    <a:noFill/>
                    <a:ln w="9525">
                      <a:noFill/>
                      <a:miter lim="800000"/>
                      <a:headEnd/>
                      <a:tailEnd/>
                    </a:ln>
                  </pic:spPr>
                </pic:pic>
              </a:graphicData>
            </a:graphic>
          </wp:inline>
        </w:drawing>
      </w:r>
    </w:p>
    <w:p w14:paraId="6D61FBA0" w14:textId="77777777" w:rsidR="000961C0" w:rsidRPr="00C917E2" w:rsidRDefault="0066484E" w:rsidP="0066484E">
      <w:pPr>
        <w:pStyle w:val="Figureannex0"/>
      </w:pPr>
      <w:bookmarkStart w:id="281" w:name="_Toc405817332"/>
      <w:r w:rsidRPr="00C917E2">
        <w:t xml:space="preserve">Figure A3.4 </w:t>
      </w:r>
      <w:r w:rsidR="000961C0" w:rsidRPr="00C917E2">
        <w:t xml:space="preserve">Structural </w:t>
      </w:r>
      <w:r w:rsidR="00C73D08" w:rsidRPr="00C917E2">
        <w:t xml:space="preserve">Efficiency </w:t>
      </w:r>
      <w:r w:rsidR="000961C0" w:rsidRPr="00C917E2">
        <w:t xml:space="preserve">of </w:t>
      </w:r>
      <w:r w:rsidR="00C73D08" w:rsidRPr="00C917E2">
        <w:t xml:space="preserve">Health Expenditure Based </w:t>
      </w:r>
      <w:r w:rsidR="000961C0" w:rsidRPr="00C917E2">
        <w:t xml:space="preserve">on Life </w:t>
      </w:r>
      <w:r w:rsidR="00C73D08" w:rsidRPr="00C917E2">
        <w:t>Expectancy</w:t>
      </w:r>
      <w:r w:rsidR="000961C0" w:rsidRPr="00C917E2">
        <w:t>, 1995</w:t>
      </w:r>
      <w:r w:rsidR="0058724F" w:rsidRPr="00C917E2">
        <w:t>–2</w:t>
      </w:r>
      <w:r w:rsidR="000961C0" w:rsidRPr="00C917E2">
        <w:t>012</w:t>
      </w:r>
      <w:bookmarkEnd w:id="281"/>
      <w:r w:rsidR="000961C0" w:rsidRPr="00C917E2">
        <w:t xml:space="preserve"> </w:t>
      </w:r>
    </w:p>
    <w:p w14:paraId="62FF2DAC" w14:textId="77777777" w:rsidR="000961C0" w:rsidRPr="00C917E2" w:rsidRDefault="007949EA" w:rsidP="00E73060">
      <w:r w:rsidRPr="00C917E2">
        <w:rPr>
          <w:noProof/>
        </w:rPr>
        <w:drawing>
          <wp:inline distT="0" distB="0" distL="0" distR="0" wp14:anchorId="2CD2196C" wp14:editId="13260593">
            <wp:extent cx="5114925" cy="3614838"/>
            <wp:effectExtent l="19050" t="0" r="9525" b="0"/>
            <wp:docPr id="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srcRect/>
                    <a:stretch>
                      <a:fillRect/>
                    </a:stretch>
                  </pic:blipFill>
                  <pic:spPr bwMode="auto">
                    <a:xfrm>
                      <a:off x="0" y="0"/>
                      <a:ext cx="5122487" cy="3620182"/>
                    </a:xfrm>
                    <a:prstGeom prst="rect">
                      <a:avLst/>
                    </a:prstGeom>
                    <a:noFill/>
                    <a:ln w="9525">
                      <a:noFill/>
                      <a:miter lim="800000"/>
                      <a:headEnd/>
                      <a:tailEnd/>
                    </a:ln>
                  </pic:spPr>
                </pic:pic>
              </a:graphicData>
            </a:graphic>
          </wp:inline>
        </w:drawing>
      </w:r>
    </w:p>
    <w:p w14:paraId="728805C2" w14:textId="77777777" w:rsidR="00B319BE" w:rsidRPr="00C917E2" w:rsidRDefault="00B319BE" w:rsidP="0066484E"/>
    <w:p w14:paraId="6751E15B" w14:textId="77777777" w:rsidR="00B319BE" w:rsidRPr="00C917E2" w:rsidRDefault="00B319BE" w:rsidP="00DC456F">
      <w:pPr>
        <w:pStyle w:val="Heading3nottoc"/>
      </w:pPr>
      <w:bookmarkStart w:id="282" w:name="_Toc400920195"/>
      <w:bookmarkStart w:id="283" w:name="_Toc419004048"/>
      <w:r w:rsidRPr="00C917E2">
        <w:lastRenderedPageBreak/>
        <w:t xml:space="preserve">Current </w:t>
      </w:r>
      <w:r w:rsidR="002D58D9" w:rsidRPr="00C917E2">
        <w:t>Efficiency</w:t>
      </w:r>
      <w:r w:rsidRPr="00C917E2">
        <w:t>: 2000</w:t>
      </w:r>
      <w:r w:rsidR="001835E8" w:rsidRPr="00C917E2">
        <w:t>–0</w:t>
      </w:r>
      <w:r w:rsidRPr="00C917E2">
        <w:t>1 versus 2010</w:t>
      </w:r>
      <w:r w:rsidR="000E76A3" w:rsidRPr="00C917E2">
        <w:t>–</w:t>
      </w:r>
      <w:r w:rsidRPr="00C917E2">
        <w:t>12</w:t>
      </w:r>
      <w:r w:rsidR="00FB5859" w:rsidRPr="00C917E2">
        <w:t xml:space="preserve"> </w:t>
      </w:r>
      <w:r w:rsidR="002D58D9" w:rsidRPr="00C917E2">
        <w:t>Expenditure Performance</w:t>
      </w:r>
      <w:bookmarkEnd w:id="282"/>
      <w:bookmarkEnd w:id="283"/>
    </w:p>
    <w:p w14:paraId="4B3F3FE4" w14:textId="77777777" w:rsidR="00A45098" w:rsidRPr="00C917E2" w:rsidRDefault="00B319BE" w:rsidP="00D56257">
      <w:pPr>
        <w:pStyle w:val="Numberparaannex"/>
      </w:pPr>
      <w:r w:rsidRPr="00C917E2">
        <w:t>The analysis is based on methodology presented</w:t>
      </w:r>
      <w:r w:rsidR="00FB5859" w:rsidRPr="00C917E2">
        <w:t xml:space="preserve"> </w:t>
      </w:r>
      <w:r w:rsidRPr="00C917E2">
        <w:t>in the 2006 Djibouti PER although it</w:t>
      </w:r>
      <w:r w:rsidR="00FB5859" w:rsidRPr="00C917E2">
        <w:t xml:space="preserve"> </w:t>
      </w:r>
      <w:r w:rsidRPr="00C917E2">
        <w:t>includes additional variables in the estimation to calculate expectations (as for the structural analysis above).</w:t>
      </w:r>
      <w:r w:rsidR="00FB5859" w:rsidRPr="00C917E2">
        <w:t xml:space="preserve"> </w:t>
      </w:r>
      <w:r w:rsidRPr="00C917E2">
        <w:t>It</w:t>
      </w:r>
      <w:r w:rsidR="00FB5859" w:rsidRPr="00C917E2">
        <w:t xml:space="preserve"> </w:t>
      </w:r>
      <w:r w:rsidRPr="00C917E2">
        <w:t>relies on cross-country regressions on average levels of expenditures and average outcomes for 2000</w:t>
      </w:r>
      <w:r w:rsidR="000E76A3" w:rsidRPr="00C917E2">
        <w:t>–</w:t>
      </w:r>
      <w:r w:rsidRPr="00C917E2">
        <w:t>01 and for 2010</w:t>
      </w:r>
      <w:r w:rsidR="000E76A3" w:rsidRPr="00C917E2">
        <w:t>–</w:t>
      </w:r>
      <w:r w:rsidRPr="00C917E2">
        <w:t>12 to correspond to the</w:t>
      </w:r>
      <w:r w:rsidR="00FB5859" w:rsidRPr="00C917E2">
        <w:t xml:space="preserve"> </w:t>
      </w:r>
      <w:r w:rsidRPr="00C917E2">
        <w:t>two period</w:t>
      </w:r>
      <w:r w:rsidR="002D58D9" w:rsidRPr="00C917E2">
        <w:t>s</w:t>
      </w:r>
      <w:r w:rsidRPr="00C917E2">
        <w:t xml:space="preserve"> for which reliable data </w:t>
      </w:r>
      <w:r w:rsidR="002D58D9" w:rsidRPr="00C917E2">
        <w:t xml:space="preserve">are </w:t>
      </w:r>
      <w:r w:rsidRPr="00C917E2">
        <w:t>available for Zimbabwe.</w:t>
      </w:r>
      <w:r w:rsidR="00FB5859" w:rsidRPr="00C917E2">
        <w:t xml:space="preserve"> </w:t>
      </w:r>
      <w:r w:rsidRPr="00C917E2">
        <w:t>For each period, average outcomes and average expenditures are calculated for all countries in the sample. The number of countries with available data varies between 123 and 177</w:t>
      </w:r>
      <w:r w:rsidR="002D58D9" w:rsidRPr="00C917E2">
        <w:t>,</w:t>
      </w:r>
      <w:r w:rsidRPr="00C917E2">
        <w:t xml:space="preserve"> depending on the indicator and the time period considered. Deviations from expected values are based on residuals in a simple OLS regression using</w:t>
      </w:r>
      <w:r w:rsidR="00FB5859" w:rsidRPr="00C917E2">
        <w:t xml:space="preserve"> </w:t>
      </w:r>
      <w:r w:rsidRPr="00C917E2">
        <w:t xml:space="preserve">average </w:t>
      </w:r>
      <w:r w:rsidR="002D58D9" w:rsidRPr="00C917E2">
        <w:t xml:space="preserve">per capita </w:t>
      </w:r>
      <w:r w:rsidRPr="00C917E2">
        <w:t xml:space="preserve">GDP and its square in PPP, income group, region (for </w:t>
      </w:r>
      <w:r w:rsidR="00417F50" w:rsidRPr="00C917E2">
        <w:t xml:space="preserve">least-developed countries </w:t>
      </w:r>
      <w:r w:rsidRPr="00C917E2">
        <w:t>only), population and size on the right</w:t>
      </w:r>
      <w:r w:rsidR="002D58D9" w:rsidRPr="00C917E2">
        <w:t>-</w:t>
      </w:r>
      <w:r w:rsidRPr="00C917E2">
        <w:t>hand side.</w:t>
      </w:r>
      <w:r w:rsidR="00FB5859" w:rsidRPr="00C917E2">
        <w:t xml:space="preserve"> </w:t>
      </w:r>
    </w:p>
    <w:p w14:paraId="5482F3E1" w14:textId="77777777" w:rsidR="00B319BE" w:rsidRPr="00C917E2" w:rsidRDefault="00B319BE" w:rsidP="00D56257">
      <w:pPr>
        <w:pStyle w:val="Numberparaannex"/>
      </w:pPr>
      <w:r w:rsidRPr="00D56257">
        <w:t xml:space="preserve">The analysis is presented </w:t>
      </w:r>
      <w:r w:rsidR="00A83849" w:rsidRPr="00D56257">
        <w:t xml:space="preserve">in the text </w:t>
      </w:r>
      <w:r w:rsidRPr="00D56257">
        <w:t>using infant and maternal mortality as outcomes</w:t>
      </w:r>
      <w:r w:rsidR="00A83849" w:rsidRPr="00D56257">
        <w:t xml:space="preserve"> (</w:t>
      </w:r>
      <w:r w:rsidR="00601E45">
        <w:fldChar w:fldCharType="begin"/>
      </w:r>
      <w:r w:rsidR="00601E45">
        <w:instrText xml:space="preserve"> REF _Ref412024035 \h  \* MERGEFORMAT </w:instrText>
      </w:r>
      <w:r w:rsidR="00601E45">
        <w:fldChar w:fldCharType="separate"/>
      </w:r>
      <w:r w:rsidR="003732A2" w:rsidRPr="00C917E2">
        <w:t xml:space="preserve">Figure </w:t>
      </w:r>
      <w:r w:rsidR="003732A2">
        <w:t>36</w:t>
      </w:r>
      <w:r w:rsidR="00601E45">
        <w:fldChar w:fldCharType="end"/>
      </w:r>
      <w:r w:rsidR="00A83849" w:rsidRPr="00D56257">
        <w:t>).</w:t>
      </w:r>
      <w:r w:rsidR="00A741E3" w:rsidRPr="00D56257">
        <w:t xml:space="preserve"> Figure A</w:t>
      </w:r>
      <w:r w:rsidR="00F14A7F" w:rsidRPr="00D56257">
        <w:t>3</w:t>
      </w:r>
      <w:r w:rsidR="00A741E3" w:rsidRPr="00D56257">
        <w:t>.</w:t>
      </w:r>
      <w:r w:rsidR="00350842" w:rsidRPr="00D56257">
        <w:t>5</w:t>
      </w:r>
      <w:r w:rsidR="00A83849" w:rsidRPr="00D56257">
        <w:t xml:space="preserve"> shows the results for 2000–01</w:t>
      </w:r>
      <w:r w:rsidRPr="00D56257">
        <w:t xml:space="preserve">. </w:t>
      </w:r>
      <w:r w:rsidR="00350842" w:rsidRPr="00D56257">
        <w:t>The analysis was also done using under</w:t>
      </w:r>
      <w:r w:rsidR="002D58D9" w:rsidRPr="00D56257">
        <w:t>-</w:t>
      </w:r>
      <w:r w:rsidR="00350842" w:rsidRPr="00D56257">
        <w:t>five child mortality and life expectancy</w:t>
      </w:r>
      <w:r w:rsidR="00C441AA" w:rsidRPr="00D56257">
        <w:t xml:space="preserve"> (not shown)</w:t>
      </w:r>
      <w:r w:rsidR="00350842" w:rsidRPr="00D56257">
        <w:t xml:space="preserve">. The </w:t>
      </w:r>
      <w:r w:rsidR="002D58D9" w:rsidRPr="00D56257">
        <w:t xml:space="preserve">child </w:t>
      </w:r>
      <w:r w:rsidR="00350842" w:rsidRPr="00D56257">
        <w:t xml:space="preserve">mortality result is similar to </w:t>
      </w:r>
      <w:r w:rsidR="002D58D9" w:rsidRPr="00D56257">
        <w:t xml:space="preserve">that for </w:t>
      </w:r>
      <w:r w:rsidR="00350842" w:rsidRPr="00D56257">
        <w:t xml:space="preserve">infant mortality with a reduction in relative efficiency. For </w:t>
      </w:r>
      <w:r w:rsidR="002D58D9" w:rsidRPr="00D56257">
        <w:t xml:space="preserve">life </w:t>
      </w:r>
      <w:r w:rsidR="00350842" w:rsidRPr="00D56257">
        <w:t>expectancy, Zimbabwe has a strong disadvantage in 2000</w:t>
      </w:r>
      <w:r w:rsidR="000E76A3" w:rsidRPr="00D56257">
        <w:t>–</w:t>
      </w:r>
      <w:r w:rsidR="00350842" w:rsidRPr="00D56257">
        <w:t xml:space="preserve">01 but was placed as an underachiever because of lower than expected </w:t>
      </w:r>
      <w:r w:rsidR="002D58D9" w:rsidRPr="00D56257">
        <w:t>spending</w:t>
      </w:r>
      <w:r w:rsidR="00350842" w:rsidRPr="00D56257">
        <w:t>. In 2010</w:t>
      </w:r>
      <w:r w:rsidR="0058724F" w:rsidRPr="00D56257">
        <w:t>–1</w:t>
      </w:r>
      <w:r w:rsidR="00350842" w:rsidRPr="00D56257">
        <w:t xml:space="preserve">2, </w:t>
      </w:r>
      <w:r w:rsidR="002D58D9" w:rsidRPr="00D56257">
        <w:t xml:space="preserve">life </w:t>
      </w:r>
      <w:r w:rsidR="00350842" w:rsidRPr="00D56257">
        <w:t>expectancy improved to levels close to expectations</w:t>
      </w:r>
      <w:r w:rsidR="002D58D9" w:rsidRPr="00D56257">
        <w:t>,</w:t>
      </w:r>
      <w:r w:rsidR="00350842" w:rsidRPr="00D56257">
        <w:t xml:space="preserve"> but </w:t>
      </w:r>
      <w:r w:rsidR="002D58D9" w:rsidRPr="00D56257">
        <w:t xml:space="preserve">as </w:t>
      </w:r>
      <w:r w:rsidR="00350842" w:rsidRPr="00D56257">
        <w:t>expenditures are now higher than predicted</w:t>
      </w:r>
      <w:r w:rsidR="002D58D9" w:rsidRPr="00D56257">
        <w:t>,</w:t>
      </w:r>
      <w:r w:rsidR="00350842" w:rsidRPr="00D56257">
        <w:t xml:space="preserve"> Zimbabwe places in the least efficient region. </w:t>
      </w:r>
      <w:r w:rsidR="00350842" w:rsidRPr="00C917E2">
        <w:t>One need</w:t>
      </w:r>
      <w:r w:rsidR="00A45098" w:rsidRPr="00C917E2">
        <w:t>s</w:t>
      </w:r>
      <w:r w:rsidR="00350842" w:rsidRPr="00C917E2">
        <w:t xml:space="preserve"> to interpret these two results </w:t>
      </w:r>
      <w:r w:rsidR="00C441AA">
        <w:t xml:space="preserve">(on </w:t>
      </w:r>
      <w:r w:rsidR="00C441AA" w:rsidRPr="00C441AA">
        <w:t>child mortality and life expectancy</w:t>
      </w:r>
      <w:r w:rsidR="00C441AA">
        <w:t xml:space="preserve">) </w:t>
      </w:r>
      <w:r w:rsidR="00350842" w:rsidRPr="00C917E2">
        <w:t>with caution, however, as both outcomes are determined over longer time periods and are therefore less appropriate to evaluate current efficiency than infant and maternal mortality indicators</w:t>
      </w:r>
      <w:r w:rsidR="002D58D9" w:rsidRPr="00C917E2">
        <w:t>,</w:t>
      </w:r>
      <w:r w:rsidR="00350842" w:rsidRPr="00C917E2">
        <w:t xml:space="preserve"> </w:t>
      </w:r>
      <w:r w:rsidR="002D58D9" w:rsidRPr="00C917E2">
        <w:t xml:space="preserve">which </w:t>
      </w:r>
      <w:r w:rsidR="00350842" w:rsidRPr="00C917E2">
        <w:t xml:space="preserve">are strongly associated with the contemporaneous situation in the health sector. This is especially true for </w:t>
      </w:r>
      <w:r w:rsidR="00F14A7F" w:rsidRPr="00C917E2">
        <w:t xml:space="preserve">life </w:t>
      </w:r>
      <w:r w:rsidR="00350842" w:rsidRPr="00C917E2">
        <w:t>expectancy.</w:t>
      </w:r>
    </w:p>
    <w:p w14:paraId="3ED2E7B7" w14:textId="77777777" w:rsidR="000961C0" w:rsidRPr="00C917E2" w:rsidRDefault="0066484E" w:rsidP="0066484E">
      <w:pPr>
        <w:pStyle w:val="Figureannex0"/>
      </w:pPr>
      <w:r w:rsidRPr="00C917E2">
        <w:t xml:space="preserve">Figure A3.5 </w:t>
      </w:r>
      <w:bookmarkStart w:id="284" w:name="_Toc405817333"/>
      <w:r w:rsidR="000961C0" w:rsidRPr="00C917E2">
        <w:t>Public Health Ex</w:t>
      </w:r>
      <w:r w:rsidR="00350842" w:rsidRPr="00C917E2">
        <w:t>penditure Performance for Infant and Maternal Mortality, 2000</w:t>
      </w:r>
      <w:r w:rsidR="000E76A3" w:rsidRPr="00C917E2">
        <w:t>–</w:t>
      </w:r>
      <w:r w:rsidR="00350842" w:rsidRPr="00C917E2">
        <w:t>01</w:t>
      </w:r>
      <w:bookmarkEnd w:id="284"/>
    </w:p>
    <w:p w14:paraId="3C101D50" w14:textId="77777777" w:rsidR="000961C0" w:rsidRPr="00C917E2" w:rsidRDefault="00350842" w:rsidP="00E73060">
      <w:r w:rsidRPr="00C917E2">
        <w:rPr>
          <w:noProof/>
        </w:rPr>
        <w:drawing>
          <wp:inline distT="0" distB="0" distL="0" distR="0" wp14:anchorId="34B09ADD" wp14:editId="7631EE8B">
            <wp:extent cx="5133975" cy="3681924"/>
            <wp:effectExtent l="19050" t="0" r="9525" b="0"/>
            <wp:docPr id="38"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5141576" cy="3687375"/>
                    </a:xfrm>
                    <a:prstGeom prst="rect">
                      <a:avLst/>
                    </a:prstGeom>
                    <a:noFill/>
                    <a:ln w="9525">
                      <a:noFill/>
                      <a:miter lim="800000"/>
                      <a:headEnd/>
                      <a:tailEnd/>
                    </a:ln>
                  </pic:spPr>
                </pic:pic>
              </a:graphicData>
            </a:graphic>
          </wp:inline>
        </w:drawing>
      </w:r>
    </w:p>
    <w:p w14:paraId="51416AFD" w14:textId="77777777" w:rsidR="00350842" w:rsidRPr="00C917E2" w:rsidRDefault="00350842" w:rsidP="00E73060">
      <w:r w:rsidRPr="00C917E2">
        <w:rPr>
          <w:noProof/>
        </w:rPr>
        <w:lastRenderedPageBreak/>
        <w:drawing>
          <wp:inline distT="0" distB="0" distL="0" distR="0" wp14:anchorId="749937AA" wp14:editId="34F967A0">
            <wp:extent cx="5133975" cy="3659311"/>
            <wp:effectExtent l="19050" t="0" r="9525"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6" cstate="print"/>
                    <a:srcRect/>
                    <a:stretch>
                      <a:fillRect/>
                    </a:stretch>
                  </pic:blipFill>
                  <pic:spPr bwMode="auto">
                    <a:xfrm>
                      <a:off x="0" y="0"/>
                      <a:ext cx="5135824" cy="3660629"/>
                    </a:xfrm>
                    <a:prstGeom prst="rect">
                      <a:avLst/>
                    </a:prstGeom>
                    <a:noFill/>
                    <a:ln w="9525">
                      <a:noFill/>
                      <a:miter lim="800000"/>
                      <a:headEnd/>
                      <a:tailEnd/>
                    </a:ln>
                  </pic:spPr>
                </pic:pic>
              </a:graphicData>
            </a:graphic>
          </wp:inline>
        </w:drawing>
      </w:r>
    </w:p>
    <w:p w14:paraId="55B25F73" w14:textId="77777777" w:rsidR="000961C0" w:rsidRPr="00C917E2" w:rsidRDefault="000961C0" w:rsidP="00E73060"/>
    <w:p w14:paraId="37049C10" w14:textId="77777777" w:rsidR="004933C1" w:rsidRPr="00C917E2" w:rsidRDefault="004933C1" w:rsidP="00BE6BE5">
      <w:pPr>
        <w:pStyle w:val="Heading3nottoc"/>
      </w:pPr>
      <w:bookmarkStart w:id="285" w:name="_Toc419004049"/>
      <w:r w:rsidRPr="00C917E2">
        <w:t xml:space="preserve">Sample </w:t>
      </w:r>
      <w:r w:rsidR="00C73D08" w:rsidRPr="00C917E2">
        <w:t>Regression Results</w:t>
      </w:r>
      <w:bookmarkEnd w:id="285"/>
      <w:r w:rsidR="00C73D08" w:rsidRPr="00C917E2">
        <w:t xml:space="preserve"> </w:t>
      </w:r>
    </w:p>
    <w:p w14:paraId="46E3F11F" w14:textId="77777777" w:rsidR="000510E1" w:rsidRPr="00C917E2" w:rsidRDefault="002B6715" w:rsidP="00462FBA">
      <w:pPr>
        <w:pStyle w:val="Heading4notintoc"/>
      </w:pPr>
      <w:r w:rsidRPr="00C917E2">
        <w:t xml:space="preserve">Infant </w:t>
      </w:r>
      <w:r w:rsidR="00C73D08" w:rsidRPr="00C917E2">
        <w:t>Mortality, Structural Regression Results</w:t>
      </w:r>
    </w:p>
    <w:p w14:paraId="31A60DE6" w14:textId="77777777" w:rsidR="002B6715" w:rsidRPr="00C917E2" w:rsidRDefault="002B6715" w:rsidP="00D56257">
      <w:pPr>
        <w:pStyle w:val="Numberparaannex"/>
      </w:pPr>
      <w:r w:rsidRPr="00C917E2">
        <w:t>The variables in the model (GDP/</w:t>
      </w:r>
      <w:r w:rsidR="00B50261">
        <w:t>p.</w:t>
      </w:r>
      <w:r w:rsidRPr="00C917E2">
        <w:t>c</w:t>
      </w:r>
      <w:r w:rsidR="00B50261">
        <w:t>.</w:t>
      </w:r>
      <w:r w:rsidR="000D028E" w:rsidRPr="00C917E2">
        <w:t>,</w:t>
      </w:r>
      <w:r w:rsidRPr="00C917E2">
        <w:t xml:space="preserve"> year, pop, size, income groups and </w:t>
      </w:r>
      <w:r w:rsidR="00417F50" w:rsidRPr="00C917E2">
        <w:t>least-developed country</w:t>
      </w:r>
      <w:r w:rsidRPr="00C917E2">
        <w:t xml:space="preserve"> regions) explain</w:t>
      </w:r>
      <w:r w:rsidR="00FB5859" w:rsidRPr="00C917E2">
        <w:t xml:space="preserve"> </w:t>
      </w:r>
      <w:r w:rsidRPr="00C917E2">
        <w:t>58 percent of the within variance and</w:t>
      </w:r>
      <w:r w:rsidR="00FB5859" w:rsidRPr="00C917E2">
        <w:t xml:space="preserve"> </w:t>
      </w:r>
      <w:r w:rsidRPr="00C917E2">
        <w:t xml:space="preserve">67 percent of the between variance. </w:t>
      </w:r>
    </w:p>
    <w:p w14:paraId="4A701003"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lastRenderedPageBreak/>
        <w:t>. xtreg infant ppppc ppppc2 year pop size SSA ECA SA EAP MENA LAC LIC LMI</w:t>
      </w:r>
    </w:p>
    <w:p w14:paraId="48232CAA" w14:textId="77777777" w:rsidR="002B6715" w:rsidRPr="00C917E2" w:rsidRDefault="002B6715" w:rsidP="00A45098">
      <w:pPr>
        <w:pStyle w:val="PlainText"/>
        <w:keepNext/>
        <w:ind w:left="720"/>
        <w:rPr>
          <w:rFonts w:ascii="Courier New" w:hAnsi="Courier New" w:cs="Courier New"/>
          <w:sz w:val="16"/>
          <w:szCs w:val="16"/>
        </w:rPr>
      </w:pPr>
    </w:p>
    <w:p w14:paraId="08754CFA"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Random-effects GLS regression                   Number of obs      =      2294</w:t>
      </w:r>
    </w:p>
    <w:p w14:paraId="1716D6C8"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Group variable: cid                             Number of groups   =       177</w:t>
      </w:r>
    </w:p>
    <w:p w14:paraId="623A86D4" w14:textId="77777777" w:rsidR="002B6715" w:rsidRPr="00C917E2" w:rsidRDefault="002B6715" w:rsidP="00A45098">
      <w:pPr>
        <w:pStyle w:val="PlainText"/>
        <w:keepNext/>
        <w:ind w:left="720"/>
        <w:rPr>
          <w:rFonts w:ascii="Courier New" w:hAnsi="Courier New" w:cs="Courier New"/>
          <w:sz w:val="16"/>
          <w:szCs w:val="16"/>
        </w:rPr>
      </w:pPr>
    </w:p>
    <w:p w14:paraId="7A535A7D"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R-sq:  within  = 0.5848                         Obs per group: min =        10</w:t>
      </w:r>
    </w:p>
    <w:p w14:paraId="6AC367B1"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between = 0.6677                                        avg =      13.0</w:t>
      </w:r>
    </w:p>
    <w:p w14:paraId="656DDBEC"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overall = 0.6647                                        max =        13</w:t>
      </w:r>
    </w:p>
    <w:p w14:paraId="429AD8C8" w14:textId="77777777" w:rsidR="002B6715" w:rsidRPr="00C917E2" w:rsidRDefault="002B6715" w:rsidP="00A45098">
      <w:pPr>
        <w:pStyle w:val="PlainText"/>
        <w:keepNext/>
        <w:ind w:left="720"/>
        <w:rPr>
          <w:rFonts w:ascii="Courier New" w:hAnsi="Courier New" w:cs="Courier New"/>
          <w:sz w:val="16"/>
          <w:szCs w:val="16"/>
        </w:rPr>
      </w:pPr>
    </w:p>
    <w:p w14:paraId="497B47A6"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Random effects u_i ~ Gaussian                   Wald chi2(13)      =   3336.18</w:t>
      </w:r>
    </w:p>
    <w:p w14:paraId="197880BA" w14:textId="77777777" w:rsidR="002B6715" w:rsidRPr="00C917E2" w:rsidRDefault="00AA21BC" w:rsidP="00A45098">
      <w:pPr>
        <w:pStyle w:val="PlainText"/>
        <w:keepNext/>
        <w:ind w:left="720"/>
        <w:rPr>
          <w:rFonts w:ascii="Courier New" w:hAnsi="Courier New"/>
          <w:sz w:val="16"/>
        </w:rPr>
      </w:pPr>
      <w:r w:rsidRPr="00C917E2">
        <w:rPr>
          <w:rFonts w:ascii="Courier New" w:hAnsi="Courier New"/>
          <w:sz w:val="16"/>
        </w:rPr>
        <w:t>corr(u_i, X)       = 0 (assumed)                Prob &gt; chi2        =    0.0000</w:t>
      </w:r>
    </w:p>
    <w:p w14:paraId="3EEF15BE" w14:textId="77777777" w:rsidR="002B6715" w:rsidRPr="00C917E2" w:rsidRDefault="002B6715" w:rsidP="00A45098">
      <w:pPr>
        <w:pStyle w:val="PlainText"/>
        <w:keepNext/>
        <w:ind w:left="720"/>
        <w:rPr>
          <w:rFonts w:ascii="Courier New" w:hAnsi="Courier New"/>
          <w:sz w:val="16"/>
        </w:rPr>
      </w:pPr>
    </w:p>
    <w:p w14:paraId="7522005F"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w:t>
      </w:r>
    </w:p>
    <w:p w14:paraId="3475415C"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infant |      Coef.   Std. Err.      z    P&gt;|z|     [95% Conf. Interval]</w:t>
      </w:r>
    </w:p>
    <w:p w14:paraId="11594236"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w:t>
      </w:r>
    </w:p>
    <w:p w14:paraId="284DD8A7"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ppppc |   .0010675   .0000731    14.60   0.000     .0009242    .0012107</w:t>
      </w:r>
    </w:p>
    <w:p w14:paraId="4D7D39A3"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ppppc2 |  -4.46e-09   6.86e-10    -6.50   0.000    -5.80e-09   -3.11e-09</w:t>
      </w:r>
    </w:p>
    <w:p w14:paraId="5818FA2E"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year |  -1.471921   .0318489   -46.22   0.000    -1.534343   -1.409498</w:t>
      </w:r>
    </w:p>
    <w:p w14:paraId="514299FD"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pop |  -2.48e-08   8.43e-09    -2.94   0.003    -4.13e-08   -8.30e-09</w:t>
      </w:r>
    </w:p>
    <w:p w14:paraId="031A729A"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size |   1.17e-06   6.52e-07     1.79   0.074    -1.11e-07    2.45e-06</w:t>
      </w:r>
    </w:p>
    <w:p w14:paraId="28AB42CE"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SSA |   55.36577   4.463318    12.40   0.000     46.61783    64.11372</w:t>
      </w:r>
    </w:p>
    <w:p w14:paraId="4D2EAFE8"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ECA |   22.95411   4.188611     5.48   0.000     14.74459    31.16364</w:t>
      </w:r>
    </w:p>
    <w:p w14:paraId="131F2450"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SA |   41.05187   6.644402     6.18   0.000     28.02908    54.07466</w:t>
      </w:r>
    </w:p>
    <w:p w14:paraId="2CC0BA0D"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EAP |   24.71399   5.163322     4.79   0.000     14.59406    34.83391</w:t>
      </w:r>
    </w:p>
    <w:p w14:paraId="78AE45E8"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MENA |   30.33363    5.23089     5.80   0.000     20.08127    40.58598</w:t>
      </w:r>
    </w:p>
    <w:p w14:paraId="50BCD688"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LAC |   23.76334   3.812832     6.23   0.000     16.29033    31.23635</w:t>
      </w:r>
    </w:p>
    <w:p w14:paraId="777F05FB"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LIC |   41.63284   4.254163     9.79   0.000     33.29484    49.97085</w:t>
      </w:r>
    </w:p>
    <w:p w14:paraId="5F156192"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LMI |   25.88016   3.336779     7.76   0.000     19.34019    32.42013</w:t>
      </w:r>
    </w:p>
    <w:p w14:paraId="524D13C0"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_cons |   2932.163   62.76018    46.72   0.000     2809.155    3055.171</w:t>
      </w:r>
    </w:p>
    <w:p w14:paraId="71FB944C"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w:t>
      </w:r>
    </w:p>
    <w:p w14:paraId="5B7528DC"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sigma_u |  14.592659</w:t>
      </w:r>
    </w:p>
    <w:p w14:paraId="38AD6680"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sigma_e |  3.7980861</w:t>
      </w:r>
    </w:p>
    <w:p w14:paraId="6F420986" w14:textId="77777777" w:rsidR="002B6715" w:rsidRPr="00C917E2" w:rsidRDefault="002B6715" w:rsidP="00A45098">
      <w:pPr>
        <w:pStyle w:val="PlainText"/>
        <w:keepNext/>
        <w:ind w:left="720"/>
        <w:rPr>
          <w:rFonts w:ascii="Courier New" w:hAnsi="Courier New" w:cs="Courier New"/>
          <w:sz w:val="16"/>
          <w:szCs w:val="16"/>
        </w:rPr>
      </w:pPr>
      <w:r w:rsidRPr="00C917E2">
        <w:rPr>
          <w:rFonts w:ascii="Courier New" w:hAnsi="Courier New" w:cs="Courier New"/>
          <w:sz w:val="16"/>
          <w:szCs w:val="16"/>
        </w:rPr>
        <w:t xml:space="preserve">         rho |  .93655546   (fraction of variance due to u_i)</w:t>
      </w:r>
    </w:p>
    <w:p w14:paraId="53744F64" w14:textId="77777777" w:rsidR="002B6715" w:rsidRPr="00C917E2" w:rsidRDefault="002B6715" w:rsidP="002B6715">
      <w:pPr>
        <w:pStyle w:val="PlainText"/>
        <w:ind w:left="720"/>
        <w:rPr>
          <w:rFonts w:ascii="Courier New" w:hAnsi="Courier New" w:cs="Courier New"/>
          <w:sz w:val="16"/>
          <w:szCs w:val="16"/>
        </w:rPr>
      </w:pPr>
      <w:r w:rsidRPr="00C917E2">
        <w:rPr>
          <w:rFonts w:ascii="Courier New" w:hAnsi="Courier New" w:cs="Courier New"/>
          <w:sz w:val="16"/>
          <w:szCs w:val="16"/>
        </w:rPr>
        <w:t>------------------------------------------------------------------------------</w:t>
      </w:r>
    </w:p>
    <w:p w14:paraId="301696F5" w14:textId="77777777" w:rsidR="002B6715" w:rsidRPr="00C917E2" w:rsidRDefault="002B6715" w:rsidP="002B6715">
      <w:pPr>
        <w:spacing w:after="0"/>
        <w:ind w:left="720"/>
        <w:rPr>
          <w:sz w:val="16"/>
          <w:szCs w:val="16"/>
        </w:rPr>
      </w:pPr>
    </w:p>
    <w:p w14:paraId="6DA9F07F" w14:textId="77777777" w:rsidR="002B6715" w:rsidRPr="00C917E2" w:rsidRDefault="002B6715" w:rsidP="00D56257">
      <w:pPr>
        <w:pStyle w:val="Numberparaannex"/>
      </w:pPr>
      <w:r w:rsidRPr="00C917E2">
        <w:t>RE_infant1 (Single value per country) is the value of the country</w:t>
      </w:r>
      <w:r w:rsidR="00B50261">
        <w:t>-</w:t>
      </w:r>
      <w:r w:rsidRPr="00C917E2">
        <w:t xml:space="preserve">specific random effect  responsible for explaining 94 percent of the unexplained variance in infant mortality. </w:t>
      </w:r>
      <w:r w:rsidR="00484F9B" w:rsidRPr="00C917E2">
        <w:t>It is -18.77 for Zimbabwe.</w:t>
      </w:r>
    </w:p>
    <w:p w14:paraId="2B7C1A85" w14:textId="77777777" w:rsidR="002B6715" w:rsidRPr="00C917E2" w:rsidRDefault="002B6715" w:rsidP="002B6715">
      <w:pPr>
        <w:spacing w:after="0"/>
        <w:ind w:left="720"/>
        <w:rPr>
          <w:sz w:val="16"/>
          <w:szCs w:val="16"/>
        </w:rPr>
      </w:pPr>
      <w:r w:rsidRPr="00C917E2">
        <w:rPr>
          <w:sz w:val="16"/>
          <w:szCs w:val="16"/>
        </w:rPr>
        <w:t xml:space="preserve">    Variable |       Obs        Mean    Std. Dev.       Min        Max</w:t>
      </w:r>
    </w:p>
    <w:p w14:paraId="531226D3" w14:textId="77777777" w:rsidR="002B6715" w:rsidRPr="00C917E2" w:rsidRDefault="002B6715" w:rsidP="002B6715">
      <w:pPr>
        <w:spacing w:after="0"/>
        <w:ind w:left="720"/>
        <w:rPr>
          <w:sz w:val="16"/>
          <w:szCs w:val="16"/>
        </w:rPr>
      </w:pPr>
      <w:r w:rsidRPr="00C917E2">
        <w:rPr>
          <w:sz w:val="16"/>
          <w:szCs w:val="16"/>
        </w:rPr>
        <w:t>-------------+--------------------------------------------------------</w:t>
      </w:r>
    </w:p>
    <w:p w14:paraId="7A684391" w14:textId="77777777" w:rsidR="002B6715" w:rsidRPr="00C917E2" w:rsidRDefault="002B6715" w:rsidP="002B6715">
      <w:pPr>
        <w:spacing w:after="0"/>
        <w:ind w:left="720"/>
        <w:rPr>
          <w:sz w:val="16"/>
          <w:szCs w:val="16"/>
        </w:rPr>
      </w:pPr>
      <w:r w:rsidRPr="00C917E2">
        <w:rPr>
          <w:sz w:val="16"/>
          <w:szCs w:val="16"/>
        </w:rPr>
        <w:t xml:space="preserve">  RE_infant1 |       177   -2.49e-08    16.74867  -41.50978   86.72588</w:t>
      </w:r>
    </w:p>
    <w:p w14:paraId="0CF5067E" w14:textId="77777777" w:rsidR="002B6715" w:rsidRPr="00C917E2" w:rsidRDefault="002B6715"/>
    <w:p w14:paraId="2F06CA25" w14:textId="77777777" w:rsidR="000510E1" w:rsidRPr="00C917E2" w:rsidRDefault="000510E1" w:rsidP="00462FBA">
      <w:pPr>
        <w:pStyle w:val="Heading4notintoc"/>
      </w:pPr>
      <w:r w:rsidRPr="00C917E2">
        <w:t>Infant Mortality</w:t>
      </w:r>
      <w:r w:rsidR="00C73D08" w:rsidRPr="00C917E2">
        <w:t>,</w:t>
      </w:r>
      <w:r w:rsidRPr="00C917E2">
        <w:t xml:space="preserve"> </w:t>
      </w:r>
      <w:r w:rsidR="00C73D08" w:rsidRPr="00C917E2">
        <w:t xml:space="preserve">Cross-Country Regression Using </w:t>
      </w:r>
      <w:r w:rsidRPr="00C917E2">
        <w:t>2010</w:t>
      </w:r>
      <w:r w:rsidR="000E76A3" w:rsidRPr="00C917E2">
        <w:t>–</w:t>
      </w:r>
      <w:r w:rsidRPr="00C917E2">
        <w:t xml:space="preserve">12 </w:t>
      </w:r>
      <w:r w:rsidR="00C73D08" w:rsidRPr="00C917E2">
        <w:t>Averages</w:t>
      </w:r>
    </w:p>
    <w:p w14:paraId="3285B406" w14:textId="77777777" w:rsidR="000351D9" w:rsidRPr="00C917E2" w:rsidRDefault="00F14A7F" w:rsidP="00D56257">
      <w:pPr>
        <w:pStyle w:val="Numberparaannex"/>
      </w:pPr>
      <w:r w:rsidRPr="00C917E2">
        <w:t xml:space="preserve">We </w:t>
      </w:r>
      <w:r w:rsidR="000351D9" w:rsidRPr="00C917E2">
        <w:t>have data for 2010</w:t>
      </w:r>
      <w:r w:rsidR="000E76A3" w:rsidRPr="00C917E2">
        <w:t>–</w:t>
      </w:r>
      <w:r w:rsidR="000351D9" w:rsidRPr="00C917E2">
        <w:t>13 for Zimbabwe but none of the other countries ha</w:t>
      </w:r>
      <w:r w:rsidRPr="00C917E2">
        <w:t>s</w:t>
      </w:r>
      <w:r w:rsidR="000351D9" w:rsidRPr="00C917E2">
        <w:t xml:space="preserve"> 2013 data. We could have taken 2009</w:t>
      </w:r>
      <w:r w:rsidR="000E76A3" w:rsidRPr="00C917E2">
        <w:t>–</w:t>
      </w:r>
      <w:r w:rsidR="000351D9" w:rsidRPr="00C917E2">
        <w:t>12 averages for the other countries and 2010</w:t>
      </w:r>
      <w:r w:rsidR="000E76A3" w:rsidRPr="00C917E2">
        <w:t>–</w:t>
      </w:r>
      <w:r w:rsidR="000351D9" w:rsidRPr="00C917E2">
        <w:t>13 for Zimbabwe</w:t>
      </w:r>
      <w:r w:rsidRPr="00C917E2">
        <w:t>,</w:t>
      </w:r>
      <w:r w:rsidR="000351D9" w:rsidRPr="00C917E2">
        <w:t xml:space="preserve"> but since this is an average without control for year, it may have placed Zimbabwe at higher spending levels only because of the time trend.  Consequently, the average is taken over 2010</w:t>
      </w:r>
      <w:r w:rsidR="000E76A3" w:rsidRPr="00C917E2">
        <w:t>–</w:t>
      </w:r>
      <w:r w:rsidR="000351D9" w:rsidRPr="00C917E2">
        <w:t>12 for all countries.</w:t>
      </w:r>
    </w:p>
    <w:p w14:paraId="4E582810"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lastRenderedPageBreak/>
        <w:t>. reg infant ppppc ppppc2 pop size SSA ECA SA EAP MENA LAC LIC LMI</w:t>
      </w:r>
    </w:p>
    <w:p w14:paraId="2705DE82" w14:textId="77777777" w:rsidR="000351D9" w:rsidRPr="00C917E2" w:rsidRDefault="000351D9" w:rsidP="00A45098">
      <w:pPr>
        <w:pStyle w:val="PlainText"/>
        <w:keepNext/>
        <w:ind w:left="709"/>
        <w:rPr>
          <w:rFonts w:ascii="Courier New" w:hAnsi="Courier New" w:cs="Courier New"/>
          <w:sz w:val="16"/>
          <w:szCs w:val="16"/>
        </w:rPr>
      </w:pPr>
    </w:p>
    <w:p w14:paraId="2735DBE6"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Source |       SS       df       MS              Number of obs =     177</w:t>
      </w:r>
    </w:p>
    <w:p w14:paraId="5841C2A5"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F( 12,   164) =   35.03</w:t>
      </w:r>
    </w:p>
    <w:p w14:paraId="6DD527B4"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Model |  81795.2064    12   6816.2672           Prob &gt; F      =  0.0000</w:t>
      </w:r>
    </w:p>
    <w:p w14:paraId="25611695"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Residual |  31911.2258   164  194.580645           R-squared     =  0.7194</w:t>
      </w:r>
    </w:p>
    <w:p w14:paraId="18AC2514"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Adj R-squared =  0.6988</w:t>
      </w:r>
    </w:p>
    <w:p w14:paraId="1F1726AA"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Total |  113706.432   176  646.059274           Root MSE      =  13.949</w:t>
      </w:r>
    </w:p>
    <w:p w14:paraId="56331CA7" w14:textId="77777777" w:rsidR="000351D9" w:rsidRPr="00C917E2" w:rsidRDefault="000351D9" w:rsidP="00A45098">
      <w:pPr>
        <w:pStyle w:val="PlainText"/>
        <w:keepNext/>
        <w:ind w:left="709"/>
        <w:rPr>
          <w:rFonts w:ascii="Courier New" w:hAnsi="Courier New" w:cs="Courier New"/>
          <w:sz w:val="16"/>
          <w:szCs w:val="16"/>
        </w:rPr>
      </w:pPr>
    </w:p>
    <w:p w14:paraId="01DF04CB" w14:textId="77777777" w:rsidR="000351D9" w:rsidRPr="00E058A7" w:rsidRDefault="000351D9" w:rsidP="00A45098">
      <w:pPr>
        <w:pStyle w:val="PlainText"/>
        <w:keepNext/>
        <w:ind w:left="709"/>
        <w:rPr>
          <w:rFonts w:ascii="Courier New" w:hAnsi="Courier New" w:cs="Courier New"/>
          <w:sz w:val="16"/>
          <w:szCs w:val="16"/>
          <w:lang w:val="fr-FR"/>
        </w:rPr>
      </w:pPr>
      <w:r w:rsidRPr="00E058A7">
        <w:rPr>
          <w:rFonts w:ascii="Courier New" w:hAnsi="Courier New" w:cs="Courier New"/>
          <w:sz w:val="16"/>
          <w:szCs w:val="16"/>
          <w:lang w:val="fr-FR"/>
        </w:rPr>
        <w:t>------------------------------------------------------------------------------</w:t>
      </w:r>
    </w:p>
    <w:p w14:paraId="63C79638" w14:textId="77777777" w:rsidR="000351D9" w:rsidRPr="00E058A7" w:rsidRDefault="000351D9" w:rsidP="00A45098">
      <w:pPr>
        <w:pStyle w:val="PlainText"/>
        <w:keepNext/>
        <w:ind w:left="709"/>
        <w:rPr>
          <w:rFonts w:ascii="Courier New" w:hAnsi="Courier New" w:cs="Courier New"/>
          <w:sz w:val="16"/>
          <w:szCs w:val="16"/>
          <w:lang w:val="fr-FR"/>
        </w:rPr>
      </w:pPr>
      <w:r w:rsidRPr="00E058A7">
        <w:rPr>
          <w:rFonts w:ascii="Courier New" w:hAnsi="Courier New" w:cs="Courier New"/>
          <w:sz w:val="16"/>
          <w:szCs w:val="16"/>
          <w:lang w:val="fr-FR"/>
        </w:rPr>
        <w:t xml:space="preserve">      infant |      Coef.   Std. Err.      t    P&gt;|t|     [95% Conf. Interval]</w:t>
      </w:r>
    </w:p>
    <w:p w14:paraId="7ADABE34" w14:textId="77777777" w:rsidR="000351D9" w:rsidRPr="00E058A7" w:rsidRDefault="000351D9" w:rsidP="00A45098">
      <w:pPr>
        <w:pStyle w:val="PlainText"/>
        <w:keepNext/>
        <w:ind w:left="709"/>
        <w:rPr>
          <w:rFonts w:ascii="Courier New" w:hAnsi="Courier New" w:cs="Courier New"/>
          <w:sz w:val="16"/>
          <w:szCs w:val="16"/>
          <w:lang w:val="fr-FR"/>
        </w:rPr>
      </w:pPr>
      <w:r w:rsidRPr="00E058A7">
        <w:rPr>
          <w:rFonts w:ascii="Courier New" w:hAnsi="Courier New" w:cs="Courier New"/>
          <w:sz w:val="16"/>
          <w:szCs w:val="16"/>
          <w:lang w:val="fr-FR"/>
        </w:rPr>
        <w:t>-------------+----------------------------------------------------------------</w:t>
      </w:r>
    </w:p>
    <w:p w14:paraId="34BFDC42" w14:textId="77777777" w:rsidR="000351D9" w:rsidRPr="00E058A7" w:rsidRDefault="000351D9" w:rsidP="00A45098">
      <w:pPr>
        <w:pStyle w:val="PlainText"/>
        <w:keepNext/>
        <w:ind w:left="709"/>
        <w:rPr>
          <w:rFonts w:ascii="Courier New" w:hAnsi="Courier New" w:cs="Courier New"/>
          <w:sz w:val="16"/>
          <w:szCs w:val="16"/>
          <w:lang w:val="fr-FR"/>
        </w:rPr>
      </w:pPr>
      <w:r w:rsidRPr="00E058A7">
        <w:rPr>
          <w:rFonts w:ascii="Courier New" w:hAnsi="Courier New" w:cs="Courier New"/>
          <w:sz w:val="16"/>
          <w:szCs w:val="16"/>
          <w:lang w:val="fr-FR"/>
        </w:rPr>
        <w:t xml:space="preserve">       ppppc |  -.0012196   .0004286    -2.85   0.005    -.0020659   -.0003734</w:t>
      </w:r>
    </w:p>
    <w:p w14:paraId="3F71A41F" w14:textId="77777777" w:rsidR="000351D9" w:rsidRPr="00E058A7" w:rsidRDefault="000351D9" w:rsidP="00A45098">
      <w:pPr>
        <w:pStyle w:val="PlainText"/>
        <w:keepNext/>
        <w:ind w:left="709"/>
        <w:rPr>
          <w:rFonts w:ascii="Courier New" w:hAnsi="Courier New" w:cs="Courier New"/>
          <w:sz w:val="16"/>
          <w:szCs w:val="16"/>
          <w:lang w:val="fr-FR"/>
        </w:rPr>
      </w:pPr>
      <w:r w:rsidRPr="00E058A7">
        <w:rPr>
          <w:rFonts w:ascii="Courier New" w:hAnsi="Courier New" w:cs="Courier New"/>
          <w:sz w:val="16"/>
          <w:szCs w:val="16"/>
          <w:lang w:val="fr-FR"/>
        </w:rPr>
        <w:t xml:space="preserve">      ppppc2 |   1.03e-08   4.21e-09     2.44   0.016     1.95e-09    1.86e-08</w:t>
      </w:r>
    </w:p>
    <w:p w14:paraId="05B2126E" w14:textId="77777777" w:rsidR="000351D9" w:rsidRPr="00E058A7" w:rsidRDefault="000351D9" w:rsidP="00A45098">
      <w:pPr>
        <w:pStyle w:val="PlainText"/>
        <w:keepNext/>
        <w:ind w:left="709"/>
        <w:rPr>
          <w:rFonts w:ascii="Courier New" w:hAnsi="Courier New" w:cs="Courier New"/>
          <w:sz w:val="16"/>
          <w:szCs w:val="16"/>
          <w:lang w:val="fr-FR"/>
        </w:rPr>
      </w:pPr>
      <w:r w:rsidRPr="00E058A7">
        <w:rPr>
          <w:rFonts w:ascii="Courier New" w:hAnsi="Courier New" w:cs="Courier New"/>
          <w:sz w:val="16"/>
          <w:szCs w:val="16"/>
          <w:lang w:val="fr-FR"/>
        </w:rPr>
        <w:t xml:space="preserve">         pop |   7.16e-10   9.07e-09     0.08   0.937    -1.72e-08    1.86e-08</w:t>
      </w:r>
    </w:p>
    <w:p w14:paraId="1B79BF49" w14:textId="77777777" w:rsidR="000351D9" w:rsidRPr="00C917E2" w:rsidRDefault="000351D9" w:rsidP="00A45098">
      <w:pPr>
        <w:pStyle w:val="PlainText"/>
        <w:keepNext/>
        <w:ind w:left="709"/>
        <w:rPr>
          <w:rFonts w:ascii="Courier New" w:hAnsi="Courier New"/>
          <w:sz w:val="16"/>
        </w:rPr>
      </w:pPr>
      <w:r w:rsidRPr="00E058A7">
        <w:rPr>
          <w:rFonts w:ascii="Courier New" w:hAnsi="Courier New" w:cs="Courier New"/>
          <w:sz w:val="16"/>
          <w:szCs w:val="16"/>
          <w:lang w:val="fr-FR"/>
        </w:rPr>
        <w:t xml:space="preserve">        </w:t>
      </w:r>
      <w:r w:rsidR="00AA21BC" w:rsidRPr="00C917E2">
        <w:rPr>
          <w:rFonts w:ascii="Courier New" w:hAnsi="Courier New"/>
          <w:sz w:val="16"/>
        </w:rPr>
        <w:t>size |   6.24e-07   6.39e-07     0.98   0.330    -6.38e-07    1.89e-06</w:t>
      </w:r>
    </w:p>
    <w:p w14:paraId="28AC0546" w14:textId="77777777" w:rsidR="000351D9" w:rsidRPr="00C917E2" w:rsidRDefault="00AA21BC" w:rsidP="00A45098">
      <w:pPr>
        <w:pStyle w:val="PlainText"/>
        <w:keepNext/>
        <w:ind w:left="709"/>
        <w:rPr>
          <w:rFonts w:ascii="Courier New" w:hAnsi="Courier New"/>
          <w:sz w:val="16"/>
        </w:rPr>
      </w:pPr>
      <w:r w:rsidRPr="00C917E2">
        <w:rPr>
          <w:rFonts w:ascii="Courier New" w:hAnsi="Courier New"/>
          <w:sz w:val="16"/>
        </w:rPr>
        <w:t xml:space="preserve">         SSA |   14.90335   6.623473     2.25   0.026     1.825074    27.98163</w:t>
      </w:r>
    </w:p>
    <w:p w14:paraId="6A531948" w14:textId="77777777" w:rsidR="000351D9" w:rsidRPr="00C917E2" w:rsidRDefault="00AA21BC" w:rsidP="00A45098">
      <w:pPr>
        <w:pStyle w:val="PlainText"/>
        <w:keepNext/>
        <w:ind w:left="709"/>
        <w:rPr>
          <w:rFonts w:ascii="Courier New" w:hAnsi="Courier New"/>
          <w:sz w:val="16"/>
        </w:rPr>
      </w:pPr>
      <w:r w:rsidRPr="00C917E2">
        <w:rPr>
          <w:rFonts w:ascii="Courier New" w:hAnsi="Courier New"/>
          <w:sz w:val="16"/>
        </w:rPr>
        <w:t xml:space="preserve">         ECA |  -12.06091   6.184666    -1.95   0.053    -24.27275    .1509251</w:t>
      </w:r>
    </w:p>
    <w:p w14:paraId="10FDCA9B" w14:textId="77777777" w:rsidR="000351D9" w:rsidRPr="00C917E2" w:rsidRDefault="00AA21BC" w:rsidP="00A45098">
      <w:pPr>
        <w:pStyle w:val="PlainText"/>
        <w:keepNext/>
        <w:ind w:left="709"/>
        <w:rPr>
          <w:rFonts w:ascii="Courier New" w:hAnsi="Courier New"/>
          <w:sz w:val="16"/>
        </w:rPr>
      </w:pPr>
      <w:r w:rsidRPr="00C917E2">
        <w:rPr>
          <w:rFonts w:ascii="Courier New" w:hAnsi="Courier New"/>
          <w:sz w:val="16"/>
        </w:rPr>
        <w:t xml:space="preserve">          SA |  -3.008406   8.018452    -0.38   0.708    -18.84112    12.82431</w:t>
      </w:r>
    </w:p>
    <w:p w14:paraId="735261EA" w14:textId="77777777" w:rsidR="000351D9" w:rsidRPr="00C917E2" w:rsidRDefault="00AA21BC" w:rsidP="00A45098">
      <w:pPr>
        <w:pStyle w:val="PlainText"/>
        <w:keepNext/>
        <w:ind w:left="709"/>
        <w:rPr>
          <w:rFonts w:ascii="Courier New" w:hAnsi="Courier New"/>
          <w:sz w:val="16"/>
        </w:rPr>
      </w:pPr>
      <w:r w:rsidRPr="00C917E2">
        <w:rPr>
          <w:rFonts w:ascii="Courier New" w:hAnsi="Courier New"/>
          <w:sz w:val="16"/>
        </w:rPr>
        <w:t xml:space="preserve">         EAP |  -13.17385   6.932883    -1.90   0.059    -26.86307    .5153658</w:t>
      </w:r>
    </w:p>
    <w:p w14:paraId="3A834465" w14:textId="77777777" w:rsidR="000351D9" w:rsidRPr="00C917E2" w:rsidRDefault="00AA21BC" w:rsidP="00A45098">
      <w:pPr>
        <w:pStyle w:val="PlainText"/>
        <w:keepNext/>
        <w:ind w:left="709"/>
        <w:rPr>
          <w:rFonts w:ascii="Courier New" w:hAnsi="Courier New"/>
          <w:sz w:val="16"/>
        </w:rPr>
      </w:pPr>
      <w:r w:rsidRPr="00C917E2">
        <w:rPr>
          <w:rFonts w:ascii="Courier New" w:hAnsi="Courier New"/>
          <w:sz w:val="16"/>
        </w:rPr>
        <w:t xml:space="preserve">        MENA |   -7.62893   7.189641    -1.06   0.290    -21.82513    6.567265</w:t>
      </w:r>
    </w:p>
    <w:p w14:paraId="58E3B03B" w14:textId="77777777" w:rsidR="000351D9" w:rsidRPr="00C917E2" w:rsidRDefault="00AA21BC" w:rsidP="00A45098">
      <w:pPr>
        <w:pStyle w:val="PlainText"/>
        <w:keepNext/>
        <w:ind w:left="709"/>
        <w:rPr>
          <w:rFonts w:ascii="Courier New" w:hAnsi="Courier New"/>
          <w:sz w:val="16"/>
        </w:rPr>
      </w:pPr>
      <w:r w:rsidRPr="00C917E2">
        <w:rPr>
          <w:rFonts w:ascii="Courier New" w:hAnsi="Courier New"/>
          <w:sz w:val="16"/>
        </w:rPr>
        <w:t xml:space="preserve">         LAC |  -8.731827   5.867325    -1.49   0.139    -20.31706     2.85341</w:t>
      </w:r>
    </w:p>
    <w:p w14:paraId="31ECA399" w14:textId="77777777" w:rsidR="000351D9" w:rsidRPr="00C917E2" w:rsidRDefault="00AA21BC" w:rsidP="00A45098">
      <w:pPr>
        <w:pStyle w:val="PlainText"/>
        <w:keepNext/>
        <w:ind w:left="709"/>
        <w:rPr>
          <w:rFonts w:ascii="Courier New" w:hAnsi="Courier New"/>
          <w:sz w:val="16"/>
        </w:rPr>
      </w:pPr>
      <w:r w:rsidRPr="00C917E2">
        <w:rPr>
          <w:rFonts w:ascii="Courier New" w:hAnsi="Courier New"/>
          <w:sz w:val="16"/>
        </w:rPr>
        <w:t xml:space="preserve">         LIC |   17.65777   5.529409     3.19   0.002     6.739759    28.57578</w:t>
      </w:r>
    </w:p>
    <w:p w14:paraId="5E4CE817" w14:textId="77777777" w:rsidR="000351D9" w:rsidRPr="00C917E2" w:rsidRDefault="00AA21BC" w:rsidP="00A45098">
      <w:pPr>
        <w:pStyle w:val="PlainText"/>
        <w:keepNext/>
        <w:ind w:left="709"/>
        <w:rPr>
          <w:rFonts w:ascii="Courier New" w:hAnsi="Courier New"/>
          <w:sz w:val="16"/>
        </w:rPr>
      </w:pPr>
      <w:r w:rsidRPr="00C917E2">
        <w:rPr>
          <w:rFonts w:ascii="Courier New" w:hAnsi="Courier New"/>
          <w:sz w:val="16"/>
        </w:rPr>
        <w:t xml:space="preserve">         LMI |   10.63449    4.09725     2.60   0.010     2.544327    18.72465</w:t>
      </w:r>
    </w:p>
    <w:p w14:paraId="4770AD72" w14:textId="77777777" w:rsidR="000351D9" w:rsidRPr="00C917E2" w:rsidRDefault="00AA21BC" w:rsidP="00A45098">
      <w:pPr>
        <w:pStyle w:val="PlainText"/>
        <w:keepNext/>
        <w:ind w:left="709"/>
        <w:rPr>
          <w:rFonts w:ascii="Courier New" w:hAnsi="Courier New" w:cs="Courier New"/>
          <w:sz w:val="16"/>
          <w:szCs w:val="16"/>
        </w:rPr>
      </w:pPr>
      <w:r w:rsidRPr="00C917E2">
        <w:rPr>
          <w:rFonts w:ascii="Courier New" w:hAnsi="Courier New"/>
          <w:sz w:val="16"/>
        </w:rPr>
        <w:t xml:space="preserve">       </w:t>
      </w:r>
      <w:r w:rsidR="000351D9" w:rsidRPr="00C917E2">
        <w:rPr>
          <w:rFonts w:ascii="Courier New" w:hAnsi="Courier New" w:cs="Courier New"/>
          <w:sz w:val="16"/>
          <w:szCs w:val="16"/>
        </w:rPr>
        <w:t>_cons |   34.39519   9.694556     3.55   0.001     15.25295    53.53742</w:t>
      </w:r>
    </w:p>
    <w:p w14:paraId="48BAC841" w14:textId="77777777" w:rsidR="000351D9" w:rsidRPr="00C917E2" w:rsidRDefault="000351D9" w:rsidP="000351D9">
      <w:pPr>
        <w:pStyle w:val="PlainText"/>
        <w:ind w:left="709"/>
        <w:rPr>
          <w:rFonts w:ascii="Courier New" w:hAnsi="Courier New" w:cs="Courier New"/>
          <w:sz w:val="16"/>
          <w:szCs w:val="16"/>
        </w:rPr>
      </w:pPr>
      <w:r w:rsidRPr="00C917E2">
        <w:rPr>
          <w:rFonts w:ascii="Courier New" w:hAnsi="Courier New" w:cs="Courier New"/>
          <w:sz w:val="16"/>
          <w:szCs w:val="16"/>
        </w:rPr>
        <w:t>------------------------------------------------------------------------------</w:t>
      </w:r>
    </w:p>
    <w:p w14:paraId="40A13749" w14:textId="77777777" w:rsidR="0066484E" w:rsidRPr="00C917E2" w:rsidRDefault="0066484E" w:rsidP="0066484E"/>
    <w:p w14:paraId="03D2C4EA" w14:textId="77777777" w:rsidR="000351D9" w:rsidRPr="00C917E2" w:rsidRDefault="000351D9" w:rsidP="00D56257">
      <w:pPr>
        <w:pStyle w:val="Numberparaannex"/>
      </w:pPr>
      <w:r w:rsidRPr="00C917E2">
        <w:t>RES_Infant1 is deviation from expected outcome</w:t>
      </w:r>
      <w:r w:rsidR="00484F9B" w:rsidRPr="00C917E2">
        <w:t xml:space="preserve"> (actual minus predicted value). It is </w:t>
      </w:r>
      <w:r w:rsidR="00484F9B" w:rsidRPr="00C917E2">
        <w:noBreakHyphen/>
        <w:t xml:space="preserve">8.72 for Zimbabwe. </w:t>
      </w:r>
    </w:p>
    <w:p w14:paraId="47D8ECDF" w14:textId="77777777" w:rsidR="000351D9" w:rsidRPr="00C917E2" w:rsidRDefault="000351D9" w:rsidP="000351D9">
      <w:pPr>
        <w:spacing w:after="0"/>
        <w:ind w:firstLine="720"/>
        <w:rPr>
          <w:sz w:val="16"/>
          <w:szCs w:val="16"/>
        </w:rPr>
      </w:pPr>
      <w:r w:rsidRPr="00C917E2">
        <w:rPr>
          <w:sz w:val="16"/>
          <w:szCs w:val="16"/>
        </w:rPr>
        <w:t xml:space="preserve">   Variable |       Obs        Mean    Std. Dev.       Min        Max</w:t>
      </w:r>
    </w:p>
    <w:p w14:paraId="6803F2C3" w14:textId="77777777" w:rsidR="000351D9" w:rsidRPr="00C917E2" w:rsidRDefault="000351D9" w:rsidP="000351D9">
      <w:pPr>
        <w:spacing w:after="0"/>
        <w:ind w:firstLine="720"/>
        <w:rPr>
          <w:sz w:val="16"/>
          <w:szCs w:val="16"/>
        </w:rPr>
      </w:pPr>
      <w:r w:rsidRPr="00C917E2">
        <w:rPr>
          <w:sz w:val="16"/>
          <w:szCs w:val="16"/>
        </w:rPr>
        <w:t>-------------+--------------------------------------------------------</w:t>
      </w:r>
    </w:p>
    <w:p w14:paraId="7A85152D" w14:textId="77777777" w:rsidR="000351D9" w:rsidRPr="00C917E2" w:rsidRDefault="000351D9" w:rsidP="00484F9B">
      <w:pPr>
        <w:spacing w:after="0"/>
        <w:ind w:firstLine="720"/>
        <w:rPr>
          <w:sz w:val="16"/>
          <w:szCs w:val="16"/>
        </w:rPr>
      </w:pPr>
      <w:r w:rsidRPr="00C917E2">
        <w:rPr>
          <w:sz w:val="16"/>
          <w:szCs w:val="16"/>
        </w:rPr>
        <w:t xml:space="preserve"> RES_infant1 |       177   -7.14e-08    13.46528  -35.49681   64.29528</w:t>
      </w:r>
    </w:p>
    <w:p w14:paraId="5E8A6697" w14:textId="77777777" w:rsidR="00484F9B" w:rsidRPr="00C917E2" w:rsidRDefault="00484F9B" w:rsidP="00484F9B">
      <w:pPr>
        <w:spacing w:after="0"/>
        <w:ind w:firstLine="720"/>
        <w:rPr>
          <w:sz w:val="16"/>
          <w:szCs w:val="16"/>
        </w:rPr>
      </w:pPr>
    </w:p>
    <w:p w14:paraId="7E8EA9CF" w14:textId="77777777" w:rsidR="000351D9" w:rsidRPr="00C917E2" w:rsidRDefault="000510E1" w:rsidP="00A45098">
      <w:pPr>
        <w:pStyle w:val="Heading4notintoc"/>
        <w:rPr>
          <w:rFonts w:ascii="Courier New" w:hAnsi="Courier New" w:cs="Courier New"/>
          <w:sz w:val="16"/>
          <w:szCs w:val="16"/>
        </w:rPr>
      </w:pPr>
      <w:r w:rsidRPr="00C917E2">
        <w:t xml:space="preserve">Health </w:t>
      </w:r>
      <w:r w:rsidR="00C73D08" w:rsidRPr="00C917E2">
        <w:t xml:space="preserve">Expenditure </w:t>
      </w:r>
      <w:r w:rsidRPr="00C917E2">
        <w:t xml:space="preserve">xt </w:t>
      </w:r>
      <w:r w:rsidR="00C73D08" w:rsidRPr="00C917E2">
        <w:t xml:space="preserve">Regression </w:t>
      </w:r>
      <w:r w:rsidR="000351D9" w:rsidRPr="00C917E2">
        <w:t>(using PPP GDP)</w:t>
      </w:r>
      <w:r w:rsidR="00C73D08" w:rsidRPr="00C917E2">
        <w:t>,</w:t>
      </w:r>
      <w:r w:rsidR="000351D9" w:rsidRPr="00C917E2">
        <w:t xml:space="preserve"> 1995</w:t>
      </w:r>
      <w:r w:rsidR="0058724F" w:rsidRPr="00C917E2">
        <w:t>–2</w:t>
      </w:r>
      <w:r w:rsidR="000351D9" w:rsidRPr="00C917E2">
        <w:t xml:space="preserve">012 </w:t>
      </w:r>
      <w:r w:rsidR="000351D9" w:rsidRPr="00C917E2">
        <w:rPr>
          <w:rFonts w:ascii="Courier New" w:hAnsi="Courier New" w:cs="Courier New"/>
          <w:sz w:val="16"/>
          <w:szCs w:val="16"/>
        </w:rPr>
        <w:t xml:space="preserve"> </w:t>
      </w:r>
    </w:p>
    <w:p w14:paraId="42156D2D" w14:textId="77777777" w:rsidR="000351D9" w:rsidRPr="00C917E2" w:rsidRDefault="000351D9" w:rsidP="00A45098">
      <w:pPr>
        <w:pStyle w:val="PlainText"/>
        <w:keepNext/>
        <w:rPr>
          <w:rFonts w:ascii="Courier New" w:hAnsi="Courier New" w:cs="Courier New"/>
          <w:sz w:val="16"/>
          <w:szCs w:val="16"/>
        </w:rPr>
      </w:pPr>
      <w:r w:rsidRPr="00C917E2">
        <w:rPr>
          <w:rFonts w:ascii="Courier New" w:hAnsi="Courier New" w:cs="Courier New"/>
          <w:sz w:val="16"/>
          <w:szCs w:val="16"/>
        </w:rPr>
        <w:t>. xtreg mohexpgdp pppgdp pppgdp2 year pop size SSA ECA SA EAP MENA LAC LIC LMI</w:t>
      </w:r>
    </w:p>
    <w:p w14:paraId="4B0A1E4E" w14:textId="77777777" w:rsidR="000351D9" w:rsidRPr="00C917E2" w:rsidRDefault="000351D9" w:rsidP="00A45098">
      <w:pPr>
        <w:pStyle w:val="PlainText"/>
        <w:keepNext/>
        <w:ind w:left="709"/>
        <w:rPr>
          <w:rFonts w:ascii="Courier New" w:hAnsi="Courier New" w:cs="Courier New"/>
          <w:sz w:val="16"/>
          <w:szCs w:val="16"/>
        </w:rPr>
      </w:pPr>
    </w:p>
    <w:p w14:paraId="5E3970B3"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Random-effects GLS regression                   Number of obs      =      2087</w:t>
      </w:r>
    </w:p>
    <w:p w14:paraId="5CA55F1D"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Group variable: cid                             Number of groups   =       154</w:t>
      </w:r>
    </w:p>
    <w:p w14:paraId="4F3EBE71" w14:textId="77777777" w:rsidR="000351D9" w:rsidRPr="00C917E2" w:rsidRDefault="000351D9" w:rsidP="00A45098">
      <w:pPr>
        <w:pStyle w:val="PlainText"/>
        <w:keepNext/>
        <w:ind w:left="709"/>
        <w:rPr>
          <w:rFonts w:ascii="Courier New" w:hAnsi="Courier New" w:cs="Courier New"/>
          <w:sz w:val="16"/>
          <w:szCs w:val="16"/>
        </w:rPr>
      </w:pPr>
    </w:p>
    <w:p w14:paraId="351CC5E6"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R-sq:  within  = 0.0459                         Obs per group: min =         1</w:t>
      </w:r>
    </w:p>
    <w:p w14:paraId="2BE0E205"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between = 0.1356                                        avg =      13.6</w:t>
      </w:r>
    </w:p>
    <w:p w14:paraId="6D4BAF02"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overall = 0.1329                                        max =        18</w:t>
      </w:r>
    </w:p>
    <w:p w14:paraId="0B85CDBA" w14:textId="77777777" w:rsidR="000351D9" w:rsidRPr="00C917E2" w:rsidRDefault="000351D9" w:rsidP="00A45098">
      <w:pPr>
        <w:pStyle w:val="PlainText"/>
        <w:keepNext/>
        <w:ind w:left="709"/>
        <w:rPr>
          <w:rFonts w:ascii="Courier New" w:hAnsi="Courier New" w:cs="Courier New"/>
          <w:sz w:val="16"/>
          <w:szCs w:val="16"/>
        </w:rPr>
      </w:pPr>
    </w:p>
    <w:p w14:paraId="2731FE90"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Random effects u_i ~ Gaussian                   Wald chi2(13)      =    119.23</w:t>
      </w:r>
    </w:p>
    <w:p w14:paraId="43FF914F" w14:textId="77777777" w:rsidR="000351D9" w:rsidRPr="00C917E2" w:rsidRDefault="00AA21BC" w:rsidP="00A45098">
      <w:pPr>
        <w:pStyle w:val="PlainText"/>
        <w:keepNext/>
        <w:ind w:left="709"/>
        <w:rPr>
          <w:rFonts w:ascii="Courier New" w:hAnsi="Courier New"/>
          <w:sz w:val="16"/>
        </w:rPr>
      </w:pPr>
      <w:r w:rsidRPr="00C917E2">
        <w:rPr>
          <w:rFonts w:ascii="Courier New" w:hAnsi="Courier New"/>
          <w:sz w:val="16"/>
        </w:rPr>
        <w:t>corr(u_i, X)       = 0 (assumed)                Prob &gt; chi2        =    0.0000</w:t>
      </w:r>
    </w:p>
    <w:p w14:paraId="3E7669FA" w14:textId="77777777" w:rsidR="000351D9" w:rsidRPr="00C917E2" w:rsidRDefault="000351D9" w:rsidP="00A45098">
      <w:pPr>
        <w:pStyle w:val="PlainText"/>
        <w:keepNext/>
        <w:ind w:left="709"/>
        <w:rPr>
          <w:rFonts w:ascii="Courier New" w:hAnsi="Courier New"/>
          <w:sz w:val="16"/>
        </w:rPr>
      </w:pPr>
    </w:p>
    <w:p w14:paraId="5FCC7356"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w:t>
      </w:r>
    </w:p>
    <w:p w14:paraId="41718A13"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mohexpgdp |      Coef.   Std. Err.      z    P&gt;|z|     [95% Conf. Interval]</w:t>
      </w:r>
    </w:p>
    <w:p w14:paraId="3BCAE0F5"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w:t>
      </w:r>
    </w:p>
    <w:p w14:paraId="7124D99D"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pppgdp |  -.0003008   .0001711    -1.76   0.079    -.0006361    .0000345</w:t>
      </w:r>
    </w:p>
    <w:p w14:paraId="2DBD483C"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pppgdp2 |   9.13e-08   3.54e-08     2.58   0.010     2.18e-08    1.61e-07</w:t>
      </w:r>
    </w:p>
    <w:p w14:paraId="5188E45C"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year |   .0198932   .0022085     9.01   0.000     .0155647    .0242217</w:t>
      </w:r>
    </w:p>
    <w:p w14:paraId="0BAD90F7"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pop |  -2.14e-09   9.99e-10    -2.14   0.033    -4.09e-09   -1.77e-10</w:t>
      </w:r>
    </w:p>
    <w:p w14:paraId="1C9F0AA8"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size |  -6.64e-08   5.51e-08    -1.20   0.229    -1.74e-07    4.17e-08</w:t>
      </w:r>
    </w:p>
    <w:p w14:paraId="1C6887FB"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SSA |   .1953404   .3436424     0.57   0.570    -.4781863    .8688671</w:t>
      </w:r>
    </w:p>
    <w:p w14:paraId="71355D74"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ECA |  -.8765076   .3337577    -2.63   0.009    -1.530661   -.2223545</w:t>
      </w:r>
    </w:p>
    <w:p w14:paraId="274F30F7"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SA |   .0619223   .5048852     0.12   0.902    -.9276345    1.051479</w:t>
      </w:r>
    </w:p>
    <w:p w14:paraId="24163718"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EAP |   .1076644    .402788     0.27   0.789    -.6817856    .8971144</w:t>
      </w:r>
    </w:p>
    <w:p w14:paraId="034C5283"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MENA |   .1248887   .4063979     0.31   0.759    -.6716366     .921414</w:t>
      </w:r>
    </w:p>
    <w:p w14:paraId="2206274F"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LAC |   .0669424   .2938018     0.23   0.820    -.5088985    .6427833</w:t>
      </w:r>
    </w:p>
    <w:p w14:paraId="611ED29F"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LIC |   -.576673   .3167519    -1.82   0.069    -1.197495    .0441494</w:t>
      </w:r>
    </w:p>
    <w:p w14:paraId="76831532"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LMI |  -.1650281   .2510189    -0.66   0.511    -.6570161    .3269599</w:t>
      </w:r>
    </w:p>
    <w:p w14:paraId="1DD10D89"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_cons |  -38.04011   4.415392    -8.62   0.000    -46.69411    -29.3861</w:t>
      </w:r>
    </w:p>
    <w:p w14:paraId="780109AC"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w:t>
      </w:r>
    </w:p>
    <w:p w14:paraId="5ADD0192"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sigma_u |   1.067503</w:t>
      </w:r>
    </w:p>
    <w:p w14:paraId="6B922211"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sigma_e |  .40408047</w:t>
      </w:r>
    </w:p>
    <w:p w14:paraId="6031D2D2" w14:textId="77777777" w:rsidR="000351D9" w:rsidRPr="00C917E2" w:rsidRDefault="000351D9" w:rsidP="00A45098">
      <w:pPr>
        <w:pStyle w:val="PlainText"/>
        <w:keepNext/>
        <w:ind w:left="709"/>
        <w:rPr>
          <w:rFonts w:ascii="Courier New" w:hAnsi="Courier New" w:cs="Courier New"/>
          <w:sz w:val="16"/>
          <w:szCs w:val="16"/>
        </w:rPr>
      </w:pPr>
      <w:r w:rsidRPr="00C917E2">
        <w:rPr>
          <w:rFonts w:ascii="Courier New" w:hAnsi="Courier New" w:cs="Courier New"/>
          <w:sz w:val="16"/>
          <w:szCs w:val="16"/>
        </w:rPr>
        <w:t xml:space="preserve">         rho |  .87467336   (fraction of variance due to u_i)</w:t>
      </w:r>
    </w:p>
    <w:p w14:paraId="7271AAD0" w14:textId="77777777" w:rsidR="000351D9" w:rsidRPr="00C917E2" w:rsidRDefault="000351D9" w:rsidP="000351D9">
      <w:pPr>
        <w:pStyle w:val="PlainText"/>
        <w:ind w:left="709"/>
        <w:rPr>
          <w:rFonts w:ascii="Courier New" w:hAnsi="Courier New" w:cs="Courier New"/>
          <w:sz w:val="16"/>
          <w:szCs w:val="16"/>
        </w:rPr>
      </w:pPr>
      <w:r w:rsidRPr="00C917E2">
        <w:rPr>
          <w:rFonts w:ascii="Courier New" w:hAnsi="Courier New" w:cs="Courier New"/>
          <w:sz w:val="16"/>
          <w:szCs w:val="16"/>
        </w:rPr>
        <w:t>------------------------------------------------------------------------------</w:t>
      </w:r>
    </w:p>
    <w:p w14:paraId="0DB2D651" w14:textId="77777777" w:rsidR="00A45098" w:rsidRPr="00C917E2" w:rsidRDefault="00A45098" w:rsidP="00A45098"/>
    <w:p w14:paraId="20D49282" w14:textId="77777777" w:rsidR="000510E1" w:rsidRPr="00C917E2" w:rsidRDefault="000510E1" w:rsidP="00D56257">
      <w:pPr>
        <w:pStyle w:val="Numberparaannex"/>
      </w:pPr>
      <w:r w:rsidRPr="00C917E2">
        <w:lastRenderedPageBreak/>
        <w:t>RE_mohe2 is the value of the country</w:t>
      </w:r>
      <w:r w:rsidR="00B50261">
        <w:t>-</w:t>
      </w:r>
      <w:r w:rsidRPr="00C917E2">
        <w:t>specific random effect</w:t>
      </w:r>
      <w:r w:rsidR="00FB5859" w:rsidRPr="00C917E2">
        <w:t xml:space="preserve"> </w:t>
      </w:r>
      <w:r w:rsidRPr="00C917E2">
        <w:t xml:space="preserve">responsible for explaining 88 percent of the unexplained variance in </w:t>
      </w:r>
      <w:r w:rsidR="00F14A7F" w:rsidRPr="00C917E2">
        <w:t>MOH</w:t>
      </w:r>
      <w:r w:rsidRPr="00C917E2">
        <w:t xml:space="preserve"> expenditure.</w:t>
      </w:r>
      <w:r w:rsidR="00484F9B" w:rsidRPr="00C917E2">
        <w:t xml:space="preserve"> Its value for Zimbabwe is </w:t>
      </w:r>
      <w:r w:rsidR="00484F9B" w:rsidRPr="00C917E2">
        <w:noBreakHyphen/>
        <w:t>0.23.</w:t>
      </w:r>
    </w:p>
    <w:p w14:paraId="160537BB" w14:textId="77777777" w:rsidR="000510E1" w:rsidRPr="00E058A7" w:rsidRDefault="000510E1" w:rsidP="00484F9B">
      <w:pPr>
        <w:pStyle w:val="ListParagraph"/>
        <w:keepNext/>
        <w:rPr>
          <w:sz w:val="16"/>
          <w:szCs w:val="16"/>
          <w:lang w:val="fr-FR"/>
        </w:rPr>
      </w:pPr>
      <w:r w:rsidRPr="00C917E2">
        <w:rPr>
          <w:sz w:val="16"/>
          <w:szCs w:val="16"/>
        </w:rPr>
        <w:t xml:space="preserve">    Variable |       Obs        Mean    Std. Dev.       </w:t>
      </w:r>
      <w:r w:rsidRPr="00E058A7">
        <w:rPr>
          <w:sz w:val="16"/>
          <w:szCs w:val="16"/>
          <w:lang w:val="fr-FR"/>
        </w:rPr>
        <w:t>Min        Max</w:t>
      </w:r>
    </w:p>
    <w:p w14:paraId="6137C4BE" w14:textId="77777777" w:rsidR="000510E1" w:rsidRPr="00E058A7" w:rsidRDefault="000510E1" w:rsidP="00484F9B">
      <w:pPr>
        <w:pStyle w:val="ListParagraph"/>
        <w:keepNext/>
        <w:rPr>
          <w:sz w:val="16"/>
          <w:szCs w:val="16"/>
          <w:lang w:val="fr-FR"/>
        </w:rPr>
      </w:pPr>
      <w:r w:rsidRPr="00E058A7">
        <w:rPr>
          <w:sz w:val="16"/>
          <w:szCs w:val="16"/>
          <w:lang w:val="fr-FR"/>
        </w:rPr>
        <w:t>-------------+--------------------------------------------------------</w:t>
      </w:r>
    </w:p>
    <w:p w14:paraId="338395A0" w14:textId="77777777" w:rsidR="000351D9" w:rsidRPr="00E058A7" w:rsidRDefault="000510E1" w:rsidP="00484F9B">
      <w:pPr>
        <w:pStyle w:val="ListParagraph"/>
        <w:rPr>
          <w:sz w:val="16"/>
          <w:szCs w:val="16"/>
          <w:lang w:val="fr-FR"/>
        </w:rPr>
      </w:pPr>
      <w:r w:rsidRPr="00E058A7">
        <w:rPr>
          <w:sz w:val="16"/>
          <w:szCs w:val="16"/>
          <w:lang w:val="fr-FR"/>
        </w:rPr>
        <w:t xml:space="preserve">    RE_mohe2 |       154   -3.48e-09    1.169705  -1.685508   4.670011</w:t>
      </w:r>
    </w:p>
    <w:p w14:paraId="5A0FE47B" w14:textId="77777777" w:rsidR="000E76A3" w:rsidRPr="00E058A7" w:rsidRDefault="000E76A3" w:rsidP="00484F9B">
      <w:pPr>
        <w:pStyle w:val="ListParagraph"/>
        <w:spacing w:before="240"/>
        <w:rPr>
          <w:b/>
          <w:lang w:val="fr-FR"/>
        </w:rPr>
      </w:pPr>
    </w:p>
    <w:p w14:paraId="2EBD15DB" w14:textId="77777777" w:rsidR="000351D9" w:rsidRPr="00C917E2" w:rsidRDefault="000351D9" w:rsidP="00462FBA">
      <w:pPr>
        <w:pStyle w:val="Heading4notintoc"/>
      </w:pPr>
      <w:r w:rsidRPr="00C917E2">
        <w:t>M</w:t>
      </w:r>
      <w:r w:rsidR="00C73D08" w:rsidRPr="00C917E2">
        <w:t xml:space="preserve">inistry of </w:t>
      </w:r>
      <w:r w:rsidRPr="00C917E2">
        <w:t>H</w:t>
      </w:r>
      <w:r w:rsidR="00C73D08" w:rsidRPr="00C917E2">
        <w:t>ealth</w:t>
      </w:r>
      <w:r w:rsidRPr="00C917E2">
        <w:t xml:space="preserve"> </w:t>
      </w:r>
      <w:r w:rsidR="00C73D08" w:rsidRPr="00C917E2">
        <w:t xml:space="preserve">Expenditure as a Share of </w:t>
      </w:r>
      <w:r w:rsidRPr="00C917E2">
        <w:t>GDP</w:t>
      </w:r>
      <w:r w:rsidR="00C73D08" w:rsidRPr="00C917E2">
        <w:t>,</w:t>
      </w:r>
      <w:r w:rsidRPr="00C917E2">
        <w:t xml:space="preserve"> 2010</w:t>
      </w:r>
      <w:r w:rsidR="000E76A3" w:rsidRPr="00C917E2">
        <w:t>–</w:t>
      </w:r>
      <w:r w:rsidRPr="00C917E2">
        <w:t>12 (PPP GDP)</w:t>
      </w:r>
    </w:p>
    <w:p w14:paraId="26FC3DDD"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reg mohexpgdp pppgdp pppgdp2 pop size SSA ECA SA EAP MENA LAC LIC LMI UMI</w:t>
      </w:r>
    </w:p>
    <w:p w14:paraId="35DE0FD1" w14:textId="77777777" w:rsidR="000351D9" w:rsidRPr="00C917E2" w:rsidRDefault="000351D9" w:rsidP="000351D9">
      <w:pPr>
        <w:pStyle w:val="PlainText"/>
        <w:ind w:left="720"/>
        <w:rPr>
          <w:rFonts w:ascii="Courier New" w:hAnsi="Courier New" w:cs="Courier New"/>
          <w:sz w:val="16"/>
          <w:szCs w:val="16"/>
        </w:rPr>
      </w:pPr>
    </w:p>
    <w:p w14:paraId="2311982C"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Source |       SS       df       MS              Number of obs =     132</w:t>
      </w:r>
    </w:p>
    <w:p w14:paraId="7507A241"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F( 12,   119) =    3.93</w:t>
      </w:r>
    </w:p>
    <w:p w14:paraId="40E88263"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Model |  75.9046265    12  6.32538554           Prob &gt; F      =  0.0000</w:t>
      </w:r>
    </w:p>
    <w:p w14:paraId="32DEE3A9"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Residual |  191.410979   119  1.60849562           R-squared     =  0.2840</w:t>
      </w:r>
    </w:p>
    <w:p w14:paraId="2BD0A01D"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Adj R-squared =  0.2117</w:t>
      </w:r>
    </w:p>
    <w:p w14:paraId="7D9B4A94"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Total |  267.315605   131  2.04057714           Root MSE      =  1.2683</w:t>
      </w:r>
    </w:p>
    <w:p w14:paraId="49890BFF" w14:textId="77777777" w:rsidR="000351D9" w:rsidRPr="00C917E2" w:rsidRDefault="000351D9" w:rsidP="000351D9">
      <w:pPr>
        <w:pStyle w:val="PlainText"/>
        <w:ind w:left="720"/>
        <w:rPr>
          <w:rFonts w:ascii="Courier New" w:hAnsi="Courier New" w:cs="Courier New"/>
          <w:sz w:val="16"/>
          <w:szCs w:val="16"/>
        </w:rPr>
      </w:pPr>
    </w:p>
    <w:p w14:paraId="299E15C5"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w:t>
      </w:r>
    </w:p>
    <w:p w14:paraId="30B60221"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mohexpgdp |      Coef.   Std. Err.      t    P&gt;|t|     [95% Conf. Interval]</w:t>
      </w:r>
    </w:p>
    <w:p w14:paraId="517C847A"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w:t>
      </w:r>
    </w:p>
    <w:p w14:paraId="30F32A04"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pppgdp |  -.0012464   .0005501    -2.27   0.025    -.0023356   -.0001572</w:t>
      </w:r>
    </w:p>
    <w:p w14:paraId="7B9FB24B"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pppgdp2 |   1.16e-06   2.30e-07     5.05   0.000     7.06e-07    1.61e-06</w:t>
      </w:r>
    </w:p>
    <w:p w14:paraId="3887D517"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pop |  -1.50e-08   3.07e-09    -4.88   0.000    -2.10e-08   -8.90e-09</w:t>
      </w:r>
    </w:p>
    <w:p w14:paraId="4E06B849"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size |  -1.38e-07   8.23e-08    -1.68   0.096    -3.01e-07    2.49e-08</w:t>
      </w:r>
    </w:p>
    <w:p w14:paraId="72D895B1"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SSA |  -.1956665   .5170993    -0.38   0.706    -1.219575    .8282417</w:t>
      </w:r>
    </w:p>
    <w:p w14:paraId="79F3AAF2"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ECA |  -1.380028   .5288967    -2.61   0.010    -2.427297   -.3327601</w:t>
      </w:r>
    </w:p>
    <w:p w14:paraId="13F20BAA"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SA |  -.3908363   .6772387    -0.58   0.565    -1.731837     .950164</w:t>
      </w:r>
    </w:p>
    <w:p w14:paraId="47B63513"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EAP |   .0276269    .554686     0.05   0.960    -1.070707     1.12596</w:t>
      </w:r>
    </w:p>
    <w:p w14:paraId="341EFC36"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MENA |  (dropped)</w:t>
      </w:r>
    </w:p>
    <w:p w14:paraId="23BE6315"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LAC |  -.1807629   .4919682    -0.37   0.714    -1.154909    .7933832</w:t>
      </w:r>
    </w:p>
    <w:p w14:paraId="59EBF0B2"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LIC |   .2135432   .6348925     0.34   0.737    -1.043607    1.470694</w:t>
      </w:r>
    </w:p>
    <w:p w14:paraId="4B7DD539"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LMI |   .4182057    .540847     0.77   0.441    -.6527254    1.489137</w:t>
      </w:r>
    </w:p>
    <w:p w14:paraId="3569CF83"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UMI |   .4061045   .5180683     0.78   0.435    -.6197224    1.431931</w:t>
      </w:r>
    </w:p>
    <w:p w14:paraId="374AAC55"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 xml:space="preserve">       _cons |    2.07801   .2742229     7.58   0.000     1.535021    2.620998</w:t>
      </w:r>
    </w:p>
    <w:p w14:paraId="46C20741" w14:textId="77777777" w:rsidR="000351D9" w:rsidRPr="00C917E2" w:rsidRDefault="000351D9" w:rsidP="000351D9">
      <w:pPr>
        <w:pStyle w:val="PlainText"/>
        <w:ind w:left="720"/>
        <w:rPr>
          <w:rFonts w:ascii="Courier New" w:hAnsi="Courier New" w:cs="Courier New"/>
          <w:sz w:val="16"/>
          <w:szCs w:val="16"/>
        </w:rPr>
      </w:pPr>
      <w:r w:rsidRPr="00C917E2">
        <w:rPr>
          <w:rFonts w:ascii="Courier New" w:hAnsi="Courier New" w:cs="Courier New"/>
          <w:sz w:val="16"/>
          <w:szCs w:val="16"/>
        </w:rPr>
        <w:t>------------------------------------------------------------------------------</w:t>
      </w:r>
    </w:p>
    <w:p w14:paraId="1C9D224E" w14:textId="77777777" w:rsidR="000351D9" w:rsidRPr="00C917E2" w:rsidRDefault="000351D9" w:rsidP="000351D9">
      <w:pPr>
        <w:pStyle w:val="ListParagraph"/>
      </w:pPr>
    </w:p>
    <w:p w14:paraId="5339CE12" w14:textId="77777777" w:rsidR="000351D9" w:rsidRPr="00C917E2" w:rsidRDefault="000351D9" w:rsidP="00D56257">
      <w:pPr>
        <w:pStyle w:val="Numberparaannex"/>
      </w:pPr>
      <w:r w:rsidRPr="00C917E2">
        <w:t>RES_mohe2  is deviation from expected outcome</w:t>
      </w:r>
      <w:r w:rsidR="00484F9B" w:rsidRPr="00C917E2">
        <w:t>. It is</w:t>
      </w:r>
      <w:r w:rsidRPr="00C917E2">
        <w:t xml:space="preserve"> 0.14  for Zimbabwe. </w:t>
      </w:r>
    </w:p>
    <w:p w14:paraId="6BA36A2B" w14:textId="77777777" w:rsidR="000351D9" w:rsidRPr="00E058A7" w:rsidRDefault="000351D9" w:rsidP="000351D9">
      <w:pPr>
        <w:pStyle w:val="ListParagraph"/>
        <w:rPr>
          <w:sz w:val="16"/>
          <w:szCs w:val="16"/>
          <w:lang w:val="fr-FR"/>
        </w:rPr>
      </w:pPr>
      <w:r w:rsidRPr="00C917E2">
        <w:rPr>
          <w:sz w:val="16"/>
          <w:szCs w:val="16"/>
        </w:rPr>
        <w:t xml:space="preserve">    Variable |       Obs        Mean    Std. Dev.       </w:t>
      </w:r>
      <w:r w:rsidRPr="00E058A7">
        <w:rPr>
          <w:sz w:val="16"/>
          <w:szCs w:val="16"/>
          <w:lang w:val="fr-FR"/>
        </w:rPr>
        <w:t>Min        Max</w:t>
      </w:r>
    </w:p>
    <w:p w14:paraId="772CE775" w14:textId="77777777" w:rsidR="000351D9" w:rsidRPr="00E058A7" w:rsidRDefault="000351D9" w:rsidP="000351D9">
      <w:pPr>
        <w:pStyle w:val="ListParagraph"/>
        <w:rPr>
          <w:sz w:val="16"/>
          <w:szCs w:val="16"/>
          <w:lang w:val="fr-FR"/>
        </w:rPr>
      </w:pPr>
      <w:r w:rsidRPr="00E058A7">
        <w:rPr>
          <w:sz w:val="16"/>
          <w:szCs w:val="16"/>
          <w:lang w:val="fr-FR"/>
        </w:rPr>
        <w:t>-------------+--------------------------------------------------------</w:t>
      </w:r>
    </w:p>
    <w:p w14:paraId="10B86CD1" w14:textId="77777777" w:rsidR="000351D9" w:rsidRPr="00E058A7" w:rsidRDefault="000351D9" w:rsidP="000351D9">
      <w:pPr>
        <w:pStyle w:val="ListParagraph"/>
        <w:rPr>
          <w:sz w:val="16"/>
          <w:szCs w:val="16"/>
          <w:lang w:val="fr-FR"/>
        </w:rPr>
      </w:pPr>
      <w:r w:rsidRPr="00E058A7">
        <w:rPr>
          <w:sz w:val="16"/>
          <w:szCs w:val="16"/>
          <w:lang w:val="fr-FR"/>
        </w:rPr>
        <w:t xml:space="preserve">   RES_mohe2 |       132   -3.84e-09    1.208781  -1.892794   5.600727</w:t>
      </w:r>
    </w:p>
    <w:p w14:paraId="0E334467" w14:textId="77777777" w:rsidR="008B67F3" w:rsidRPr="00E058A7" w:rsidRDefault="008B67F3">
      <w:pPr>
        <w:spacing w:after="0"/>
        <w:rPr>
          <w:b/>
          <w:bCs/>
          <w:i/>
          <w:color w:val="17365D" w:themeColor="text2" w:themeShade="BF"/>
          <w:sz w:val="18"/>
          <w:szCs w:val="18"/>
          <w:lang w:val="fr-FR"/>
        </w:rPr>
      </w:pPr>
      <w:r w:rsidRPr="00E058A7">
        <w:rPr>
          <w:b/>
          <w:bCs/>
          <w:i/>
          <w:color w:val="17365D" w:themeColor="text2" w:themeShade="BF"/>
          <w:sz w:val="18"/>
          <w:szCs w:val="18"/>
          <w:lang w:val="fr-FR"/>
        </w:rPr>
        <w:br w:type="page"/>
      </w:r>
    </w:p>
    <w:p w14:paraId="5FD3D8EA" w14:textId="77777777" w:rsidR="00152C65" w:rsidRDefault="008B67F3" w:rsidP="006112BF">
      <w:pPr>
        <w:pStyle w:val="Heading1"/>
      </w:pPr>
      <w:bookmarkStart w:id="286" w:name="_Toc419004050"/>
      <w:r w:rsidRPr="00C917E2">
        <w:lastRenderedPageBreak/>
        <w:t>Endnotes</w:t>
      </w:r>
      <w:bookmarkEnd w:id="286"/>
    </w:p>
    <w:p w14:paraId="38BEE3FE" w14:textId="77777777" w:rsidR="00743BB5" w:rsidRPr="00743BB5" w:rsidRDefault="00743BB5" w:rsidP="00743BB5"/>
    <w:sectPr w:rsidR="00743BB5" w:rsidRPr="00743BB5" w:rsidSect="00B50A85">
      <w:headerReference w:type="default" r:id="rId87"/>
      <w:endnotePr>
        <w:numFmt w:val="decimal"/>
      </w:endnotePr>
      <w:pgSz w:w="11906" w:h="16838"/>
      <w:pgMar w:top="1440" w:right="1440" w:bottom="1440" w:left="1440" w:header="720" w:footer="720"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44E" wne:kcmSecondary="0050">
      <wne:acd wne:acdName="acd0"/>
    </wne:keymap>
  </wne:keymaps>
  <wne:toolbars>
    <wne:acdManifest>
      <wne:acdEntry wne:acdName="acd0"/>
    </wne:acdManifest>
  </wne:toolbars>
  <wne:acds>
    <wne:acd wne:argValue="AgBOAHUAbQBiAGUAcgAgAHAAYQByAGE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508BD0" w14:textId="77777777" w:rsidR="003732A2" w:rsidRPr="00513D6B" w:rsidRDefault="003732A2" w:rsidP="00513D6B">
      <w:pPr>
        <w:pStyle w:val="Footer"/>
      </w:pPr>
    </w:p>
  </w:endnote>
  <w:endnote w:type="continuationSeparator" w:id="0">
    <w:p w14:paraId="0E6FBABA" w14:textId="77777777" w:rsidR="003732A2" w:rsidRPr="00513D6B" w:rsidRDefault="003732A2" w:rsidP="00513D6B">
      <w:pPr>
        <w:pStyle w:val="Footer"/>
      </w:pPr>
    </w:p>
  </w:endnote>
  <w:endnote w:type="continuationNotice" w:id="1">
    <w:p w14:paraId="18161E9C" w14:textId="77777777" w:rsidR="003732A2" w:rsidRDefault="003732A2">
      <w:pPr>
        <w:spacing w:after="0"/>
      </w:pPr>
    </w:p>
  </w:endnote>
  <w:endnote w:id="2">
    <w:p w14:paraId="21F3CD14"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Starting on a pilot basis in two rural districts in July 2011, it was rolled out to 16 more rural districts in March 2012.</w:t>
      </w:r>
    </w:p>
  </w:endnote>
  <w:endnote w:id="3">
    <w:p w14:paraId="210F2F0A"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Zimbabwe National Statistics Agency (ZIMSTAT). 2014. Multiple Indicator Cluster Survey 2014, Key Findings. Harare.</w:t>
      </w:r>
    </w:p>
  </w:endnote>
  <w:endnote w:id="4">
    <w:p w14:paraId="5E8C6401"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Preparing PERs for Human Development - Specific Guidance for Health, World Bank, 2004</w:t>
      </w:r>
      <w:r>
        <w:rPr>
          <w:szCs w:val="20"/>
        </w:rPr>
        <w:t>.</w:t>
      </w:r>
    </w:p>
  </w:endnote>
  <w:endnote w:id="5">
    <w:p w14:paraId="4AE55E3E"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RBF program started on a pilot basis in two front-runner rural districts in July 2011, and was rolled out to 16 additional rural districts in March 2012.</w:t>
      </w:r>
    </w:p>
  </w:endnote>
  <w:endnote w:id="6">
    <w:p w14:paraId="5C5D4F3B" w14:textId="77777777" w:rsidR="003732A2" w:rsidRPr="00B72993" w:rsidRDefault="003732A2" w:rsidP="00B72993">
      <w:pPr>
        <w:pStyle w:val="EndnoteText"/>
        <w:spacing w:after="20"/>
        <w:rPr>
          <w:szCs w:val="20"/>
        </w:rPr>
      </w:pPr>
      <w:r w:rsidRPr="00B72993">
        <w:rPr>
          <w:rStyle w:val="EndnoteReference"/>
          <w:szCs w:val="20"/>
        </w:rPr>
        <w:endnoteRef/>
      </w:r>
      <w:r w:rsidRPr="00E058A7">
        <w:rPr>
          <w:szCs w:val="20"/>
          <w:lang w:val="fr-FR"/>
        </w:rPr>
        <w:t xml:space="preserve"> Zimbabwe Population Census 2012, National Report. </w:t>
      </w:r>
      <w:r w:rsidRPr="00B72993">
        <w:rPr>
          <w:szCs w:val="20"/>
        </w:rPr>
        <w:t>ZIMSTAT 2012</w:t>
      </w:r>
      <w:r>
        <w:rPr>
          <w:szCs w:val="20"/>
        </w:rPr>
        <w:t>.</w:t>
      </w:r>
    </w:p>
  </w:endnote>
  <w:endnote w:id="7">
    <w:p w14:paraId="02B57B0E"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Zimbabwe Population Census 2012, National Report. ZIMSTAT 2012.</w:t>
      </w:r>
    </w:p>
  </w:endnote>
  <w:endnote w:id="8">
    <w:p w14:paraId="073E7BCA"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Zimbabwe Demographic and Health Survey (ZDHS). ZIMSTAT 2012.</w:t>
      </w:r>
    </w:p>
  </w:endnote>
  <w:endnote w:id="9">
    <w:p w14:paraId="031FB49A"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WHO Country Profile: http://www.who.int/nmh/countries/zwe_en.pdf?ua=1</w:t>
      </w:r>
      <w:r>
        <w:rPr>
          <w:szCs w:val="20"/>
        </w:rPr>
        <w:t>.</w:t>
      </w:r>
    </w:p>
  </w:endnote>
  <w:endnote w:id="10">
    <w:p w14:paraId="72603599"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WDI. 2012.</w:t>
      </w:r>
    </w:p>
  </w:endnote>
  <w:endnote w:id="11">
    <w:p w14:paraId="6FF53255" w14:textId="6F7AD4AC"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ZIMSTAT. 2014. </w:t>
      </w:r>
      <w:r w:rsidRPr="00B72993">
        <w:rPr>
          <w:i/>
          <w:szCs w:val="20"/>
        </w:rPr>
        <w:t>Multiple Indicator Cluster Survey 2014, Key Findings.</w:t>
      </w:r>
      <w:r w:rsidRPr="00B72993">
        <w:rPr>
          <w:szCs w:val="20"/>
        </w:rPr>
        <w:t xml:space="preserve"> Harare.</w:t>
      </w:r>
    </w:p>
  </w:endnote>
  <w:endnote w:id="12">
    <w:p w14:paraId="2C98EB94"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Ministry of Economic Planning and Investment Promotion and United Nations Development Programme. 2013. </w:t>
      </w:r>
      <w:r w:rsidRPr="00B72993">
        <w:rPr>
          <w:i/>
          <w:szCs w:val="20"/>
        </w:rPr>
        <w:t>Zimbabwe Millennium Development Goals Progress Report 2012</w:t>
      </w:r>
      <w:r w:rsidRPr="00B72993">
        <w:rPr>
          <w:szCs w:val="20"/>
        </w:rPr>
        <w:t>. Harare.</w:t>
      </w:r>
    </w:p>
  </w:endnote>
  <w:endnote w:id="13">
    <w:p w14:paraId="01925A9F"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2011 Roll Back Malaria/WHO Malaria Program Review, 2012 President’s Malaria Initiative (PMI) Operational Plan—PEPFAR.</w:t>
      </w:r>
    </w:p>
  </w:endnote>
  <w:endnote w:id="14">
    <w:p w14:paraId="66AB2EAC" w14:textId="77777777" w:rsidR="003732A2" w:rsidRPr="00B72993" w:rsidRDefault="003732A2" w:rsidP="00B72993">
      <w:pPr>
        <w:pStyle w:val="EndnoteText"/>
        <w:spacing w:after="20"/>
        <w:rPr>
          <w:szCs w:val="20"/>
        </w:rPr>
      </w:pPr>
      <w:r w:rsidRPr="00B72993">
        <w:rPr>
          <w:szCs w:val="20"/>
          <w:vertAlign w:val="superscript"/>
        </w:rPr>
        <w:endnoteRef/>
      </w:r>
      <w:r w:rsidRPr="00B72993">
        <w:rPr>
          <w:szCs w:val="20"/>
        </w:rPr>
        <w:t xml:space="preserve"> UNOCHA. 2009. Zimbabwe Cholera Update, Situation Report No. 22, July.</w:t>
      </w:r>
    </w:p>
  </w:endnote>
  <w:endnote w:id="15">
    <w:p w14:paraId="502A5D11"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WHO/ICO HPV Information Centre. 2010. Human Papillomavirus and Related Cancers. Third Edition. Zimbabwe Summary Report Update. September </w:t>
      </w:r>
      <w:r>
        <w:rPr>
          <w:szCs w:val="20"/>
        </w:rPr>
        <w:t xml:space="preserve">15, </w:t>
      </w:r>
      <w:r w:rsidRPr="00B72993">
        <w:rPr>
          <w:szCs w:val="20"/>
        </w:rPr>
        <w:t>2010.</w:t>
      </w:r>
    </w:p>
  </w:endnote>
  <w:endnote w:id="16">
    <w:p w14:paraId="04413FA7"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WDI. 2012.</w:t>
      </w:r>
    </w:p>
  </w:endnote>
  <w:endnote w:id="17">
    <w:p w14:paraId="5633A16A" w14:textId="77777777" w:rsidR="003732A2" w:rsidRPr="00B72993" w:rsidRDefault="003732A2" w:rsidP="00913CFF">
      <w:pPr>
        <w:pStyle w:val="EndnoteText"/>
        <w:spacing w:after="20"/>
        <w:rPr>
          <w:szCs w:val="20"/>
        </w:rPr>
      </w:pPr>
      <w:r w:rsidRPr="00B72993">
        <w:rPr>
          <w:rStyle w:val="EndnoteReference"/>
          <w:szCs w:val="20"/>
        </w:rPr>
        <w:endnoteRef/>
      </w:r>
      <w:r w:rsidRPr="00B72993">
        <w:rPr>
          <w:szCs w:val="20"/>
        </w:rPr>
        <w:t xml:space="preserve"> The 2014 MICS Preliminary Results indicate that only 52 percent and 56 percent of men and women aged 15–24 years respectively correctly identified ways of preventing the sexual transmission of HIV.</w:t>
      </w:r>
    </w:p>
  </w:endnote>
  <w:endnote w:id="18">
    <w:p w14:paraId="15C43EBF" w14:textId="77777777" w:rsidR="003732A2" w:rsidRPr="00B72993" w:rsidRDefault="003732A2" w:rsidP="00913CFF">
      <w:pPr>
        <w:pStyle w:val="EndnoteText"/>
        <w:spacing w:after="20"/>
        <w:rPr>
          <w:szCs w:val="20"/>
        </w:rPr>
      </w:pPr>
      <w:r w:rsidRPr="003905E2">
        <w:rPr>
          <w:rStyle w:val="EndnoteReference"/>
          <w:szCs w:val="20"/>
        </w:rPr>
        <w:endnoteRef/>
      </w:r>
      <w:r w:rsidRPr="00B72993">
        <w:rPr>
          <w:szCs w:val="20"/>
        </w:rPr>
        <w:t xml:space="preserve"> Of females and males aged 15–24 years, 29 percent and 12 percent respectively reported having sex with a non-marital, non-cohabiting partner in the last 12 months before the 2014 MICS interview. Only 58 percent of the females and 75 percent of the males reported using a condom during the last sexual intercourse with such a partner. In addition, nearly 18 percent of women aged 15–24 years reported having had sex in the last 12 months with a partner who was 10 or more years older (one of the drivers of new HIV infections).</w:t>
      </w:r>
    </w:p>
  </w:endnote>
  <w:endnote w:id="19">
    <w:p w14:paraId="24A7D3B2" w14:textId="77777777" w:rsidR="003732A2" w:rsidRPr="00B72993" w:rsidRDefault="003732A2" w:rsidP="00913CFF">
      <w:pPr>
        <w:pStyle w:val="EndnoteText"/>
        <w:spacing w:after="20"/>
        <w:rPr>
          <w:szCs w:val="20"/>
        </w:rPr>
      </w:pPr>
      <w:r w:rsidRPr="00B72993">
        <w:rPr>
          <w:rStyle w:val="EndnoteReference"/>
          <w:szCs w:val="20"/>
        </w:rPr>
        <w:endnoteRef/>
      </w:r>
      <w:r w:rsidRPr="00B72993">
        <w:rPr>
          <w:szCs w:val="20"/>
        </w:rPr>
        <w:t xml:space="preserve"> T. Chinhengo. 2014. “Adolescent Sexual and reproductive Health Analysis of 2010-23 DHS.” UNFPA Harare.</w:t>
      </w:r>
    </w:p>
  </w:endnote>
  <w:endnote w:id="20">
    <w:p w14:paraId="557110E1"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ZDHS 2010-11</w:t>
      </w:r>
      <w:r>
        <w:rPr>
          <w:szCs w:val="20"/>
        </w:rPr>
        <w:t>.</w:t>
      </w:r>
    </w:p>
  </w:endnote>
  <w:endnote w:id="21">
    <w:p w14:paraId="6DA170EF"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ZDHS 2010-11</w:t>
      </w:r>
      <w:r>
        <w:rPr>
          <w:szCs w:val="20"/>
        </w:rPr>
        <w:t>.</w:t>
      </w:r>
    </w:p>
  </w:endnote>
  <w:endnote w:id="22">
    <w:p w14:paraId="657681EC"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Zimbabwe National Nutrition Survey 2010, MOHCC/FNC</w:t>
      </w:r>
      <w:r>
        <w:rPr>
          <w:szCs w:val="20"/>
        </w:rPr>
        <w:t>.</w:t>
      </w:r>
    </w:p>
  </w:endnote>
  <w:endnote w:id="23">
    <w:p w14:paraId="0E6339BE"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TARSC and MOHCC, 2011. “Assessing progress towards equity in health in Zimbabwe.” Equinet, Harare.</w:t>
      </w:r>
    </w:p>
  </w:endnote>
  <w:endnote w:id="24">
    <w:p w14:paraId="0FAADCEF"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National Health Profile Report, 2012. The data cover all health facilities except private for-profit facilities.</w:t>
      </w:r>
    </w:p>
  </w:endnote>
  <w:endnote w:id="25">
    <w:p w14:paraId="28EA6510" w14:textId="563DC238"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other three, from second poorest to second richest, were 42.9 percent, 48.8 percent, and 47.2 percent.</w:t>
      </w:r>
    </w:p>
  </w:endnote>
  <w:endnote w:id="26">
    <w:p w14:paraId="4333DF0B" w14:textId="1A50C260"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ZIMSTAT </w:t>
      </w:r>
      <w:r w:rsidRPr="00B72993">
        <w:rPr>
          <w:i/>
          <w:szCs w:val="20"/>
        </w:rPr>
        <w:t>2011 Labour Force Survey</w:t>
      </w:r>
      <w:r w:rsidRPr="00B72993">
        <w:rPr>
          <w:szCs w:val="20"/>
        </w:rPr>
        <w:t xml:space="preserve"> (May 2012). The report also reveals an increase in the proportion of people who did not seek care when ill since 1999 to levels roughly equal to those in 1994.</w:t>
      </w:r>
    </w:p>
  </w:endnote>
  <w:endnote w:id="27">
    <w:p w14:paraId="380086BB"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RBF benefit package includes 16 services in the rural health center, 21 in hybrid hospitals, and 6 in district hospitals. The services are largely maternal and child health, family planning, HIV/AIDS, with one indicator for the general population (new outpatient visits). Services related to NCDs, if not new outpatient visits, are not covered.</w:t>
      </w:r>
    </w:p>
  </w:endnote>
  <w:endnote w:id="28">
    <w:p w14:paraId="073D96B1"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MOHCC. 2012. NIHFA, MOHCC. October 2012</w:t>
      </w:r>
      <w:r>
        <w:rPr>
          <w:szCs w:val="20"/>
        </w:rPr>
        <w:t>.</w:t>
      </w:r>
    </w:p>
  </w:endnote>
  <w:endnote w:id="29">
    <w:p w14:paraId="60CAC736"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Poverty, Income, Consumption and Expenditure Survey (PICES), ZIMSTAT 2011/12</w:t>
      </w:r>
      <w:r>
        <w:rPr>
          <w:szCs w:val="20"/>
        </w:rPr>
        <w:t>.</w:t>
      </w:r>
    </w:p>
  </w:endnote>
  <w:endnote w:id="30">
    <w:p w14:paraId="5E494452" w14:textId="273DA329"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Authors’ calculation using National Health Profile 2012 - Total Inpatient Days (496,789), Available Beds (Excluding Central Hospitals - 22,639) Over One Year (365 Days)</w:t>
      </w:r>
    </w:p>
  </w:endnote>
  <w:endnote w:id="31">
    <w:p w14:paraId="3BCEF899"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2013 HTF Annual Report, March 2014, UNICEF</w:t>
      </w:r>
      <w:r>
        <w:rPr>
          <w:szCs w:val="20"/>
        </w:rPr>
        <w:t>.</w:t>
      </w:r>
    </w:p>
  </w:endnote>
  <w:endnote w:id="32">
    <w:p w14:paraId="0E23D443"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HTF has provision to support a maximum of three doctors per district</w:t>
      </w:r>
      <w:r>
        <w:rPr>
          <w:szCs w:val="20"/>
        </w:rPr>
        <w:t>.</w:t>
      </w:r>
    </w:p>
  </w:endnote>
  <w:endnote w:id="33">
    <w:p w14:paraId="0F92B72E"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MOHCC, HRH Directorate HTF Update, February 2015</w:t>
      </w:r>
      <w:r>
        <w:rPr>
          <w:szCs w:val="20"/>
        </w:rPr>
        <w:t>.</w:t>
      </w:r>
    </w:p>
  </w:endnote>
  <w:endnote w:id="34">
    <w:p w14:paraId="0A8A12F7"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MICS 2014 could likely be used to evaluate recent developments but, unfortunately, the authors could not get access to the data.</w:t>
      </w:r>
    </w:p>
  </w:endnote>
  <w:endnote w:id="35">
    <w:p w14:paraId="6E064A7F"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NIHFA 2012</w:t>
      </w:r>
      <w:r>
        <w:rPr>
          <w:szCs w:val="20"/>
        </w:rPr>
        <w:t>.</w:t>
      </w:r>
    </w:p>
  </w:endnote>
  <w:endnote w:id="36">
    <w:p w14:paraId="0264CFE5" w14:textId="77777777" w:rsidR="003732A2" w:rsidRPr="00B72993" w:rsidRDefault="003732A2" w:rsidP="00C31FF2">
      <w:pPr>
        <w:pStyle w:val="EndnoteText"/>
        <w:spacing w:after="20"/>
        <w:rPr>
          <w:szCs w:val="20"/>
        </w:rPr>
      </w:pPr>
      <w:r w:rsidRPr="00B72993">
        <w:rPr>
          <w:rStyle w:val="EndnoteReference"/>
          <w:szCs w:val="20"/>
        </w:rPr>
        <w:endnoteRef/>
      </w:r>
      <w:r w:rsidRPr="00B72993">
        <w:rPr>
          <w:szCs w:val="20"/>
        </w:rPr>
        <w:t xml:space="preserve"> NIHFA 2012</w:t>
      </w:r>
      <w:r>
        <w:rPr>
          <w:szCs w:val="20"/>
        </w:rPr>
        <w:t>.</w:t>
      </w:r>
    </w:p>
  </w:endnote>
  <w:endnote w:id="37">
    <w:p w14:paraId="70882B14"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Zimbabwe National Statistics Agency (ZIMSTAT). 2014. </w:t>
      </w:r>
      <w:r w:rsidRPr="00B72993">
        <w:rPr>
          <w:i/>
          <w:szCs w:val="20"/>
        </w:rPr>
        <w:t>Multiple Indicator Cluster Survey 2014, Key Findings.</w:t>
      </w:r>
      <w:r w:rsidRPr="00B72993">
        <w:rPr>
          <w:szCs w:val="20"/>
        </w:rPr>
        <w:t xml:space="preserve"> Harare, Zimbabwe: ZIMSTAT.</w:t>
      </w:r>
    </w:p>
  </w:endnote>
  <w:endnote w:id="38">
    <w:p w14:paraId="32E98286"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2010/11 ZDHS and MOHCC Reproductive Health Unit 2013 Annual Report. Figures reported in UNICEF, </w:t>
      </w:r>
      <w:r w:rsidRPr="00B72993">
        <w:rPr>
          <w:i/>
          <w:szCs w:val="20"/>
        </w:rPr>
        <w:t xml:space="preserve">Health Transition Fund, Annual Report 2013, </w:t>
      </w:r>
      <w:r w:rsidRPr="00B72993">
        <w:rPr>
          <w:szCs w:val="20"/>
        </w:rPr>
        <w:t>UNICEF, March 2014, Harare.</w:t>
      </w:r>
    </w:p>
  </w:endnote>
  <w:endnote w:id="39">
    <w:p w14:paraId="43411A95"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2009 and 2013 estimates from WDI. 2014 estimate from UNICEF, HTF</w:t>
      </w:r>
      <w:r w:rsidRPr="00283D74">
        <w:rPr>
          <w:szCs w:val="20"/>
        </w:rPr>
        <w:t>, ibid.;</w:t>
      </w:r>
      <w:r w:rsidRPr="00B72993">
        <w:rPr>
          <w:szCs w:val="20"/>
        </w:rPr>
        <w:t xml:space="preserve"> 2014 estimate from MICS 2014.</w:t>
      </w:r>
    </w:p>
  </w:endnote>
  <w:endnote w:id="40">
    <w:p w14:paraId="33A5A00B" w14:textId="02A91DE9"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WHO 2013 guidelines for eligibility (ART Initiation at CD4&lt;500) would translate into a decline in adult ART coverage to below 70 percent (Scaling Up Treatment in Zimbabwe: The Path to High Coverage, MOHCC AIDS and Tuberculosis Unit, http://apps.who.int/hiv/events/2013/2_apollo_scaling_up_zim_ias_v_3_2.pdf)</w:t>
      </w:r>
    </w:p>
  </w:endnote>
  <w:endnote w:id="41">
    <w:p w14:paraId="73F99EA2"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MICS 2014</w:t>
      </w:r>
      <w:r>
        <w:rPr>
          <w:szCs w:val="20"/>
        </w:rPr>
        <w:t>.</w:t>
      </w:r>
    </w:p>
  </w:endnote>
  <w:endnote w:id="42">
    <w:p w14:paraId="4A47A87C"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National AIDS Council Report, 2014.</w:t>
      </w:r>
    </w:p>
  </w:endnote>
  <w:endnote w:id="43">
    <w:p w14:paraId="3A176BCC" w14:textId="74EB7BA6" w:rsidR="003732A2" w:rsidRDefault="003732A2">
      <w:pPr>
        <w:pStyle w:val="EndnoteText"/>
      </w:pPr>
      <w:r>
        <w:rPr>
          <w:rStyle w:val="EndnoteReference"/>
        </w:rPr>
        <w:endnoteRef/>
      </w:r>
      <w:r>
        <w:t xml:space="preserve"> WHO. </w:t>
      </w:r>
      <w:r w:rsidRPr="00256B18">
        <w:t>Global Tuberculosis Report 2014</w:t>
      </w:r>
      <w:r>
        <w:t xml:space="preserve">. </w:t>
      </w:r>
    </w:p>
  </w:endnote>
  <w:endnote w:id="44">
    <w:p w14:paraId="2F8F4747"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Three Country Assessment of the Need for Palliative Care Amongst Children, UNICEF, 2013</w:t>
      </w:r>
      <w:r>
        <w:rPr>
          <w:szCs w:val="20"/>
        </w:rPr>
        <w:t>.</w:t>
      </w:r>
    </w:p>
  </w:endnote>
  <w:endnote w:id="45">
    <w:p w14:paraId="26AE444A"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This was conducted in 32 rural districts in all eight rural provinces. The midline survey round consisted of a survey of 224 facilities comprising of all hospitals and rural health centers in the 32 districts; and a sampling survey of 1,836 households that had at least one woman who was pregnant or who had a delivery within the last two years (2,295 women in total).</w:t>
      </w:r>
    </w:p>
  </w:endnote>
  <w:endnote w:id="46">
    <w:p w14:paraId="067E8807"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estimate includes all realized expenditures of the MOHCC, other ministries, and the NAC (data provided by MOFED)</w:t>
      </w:r>
      <w:r>
        <w:rPr>
          <w:szCs w:val="20"/>
        </w:rPr>
        <w:t>;</w:t>
      </w:r>
      <w:r w:rsidRPr="00B72993">
        <w:rPr>
          <w:szCs w:val="20"/>
        </w:rPr>
        <w:t xml:space="preserve"> and uses the 2013 estimated population, IMF.</w:t>
      </w:r>
    </w:p>
  </w:endnote>
  <w:endnote w:id="47">
    <w:p w14:paraId="3F353069"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Results from NHA 2010 were not incorporated in the WHO database. Future PERs or other expenditure analysis of health expenditure would greatly benefit from NHA exercises that could be made comparable to other countries and included in the WHO database.</w:t>
      </w:r>
    </w:p>
  </w:endnote>
  <w:endnote w:id="48">
    <w:p w14:paraId="768F0B00" w14:textId="2CED2819"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per capita GHE figures are based on MOHCC expenditures (MOFED data) and IMF (population). The per capita figure is then inflated to account for the fact that MOHCC makes up 70 percent of GHE (data just below).</w:t>
      </w:r>
    </w:p>
  </w:endnote>
  <w:endnote w:id="49">
    <w:p w14:paraId="68A5FD8D" w14:textId="21280042"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In the multi-currency system the US dollar, the British Pound, euro, South African Rand and the Botswana Pula became legal tender.</w:t>
      </w:r>
    </w:p>
  </w:endnote>
  <w:endnote w:id="50">
    <w:p w14:paraId="42FD027C"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Impact Research International Zimbabwe(2013): Review of the Assisted Medical Treatment Order (AMTO) in Zimbabwe: A Health Assistance Scheme for Poor and Vulnerable Members of Society</w:t>
      </w:r>
      <w:r>
        <w:rPr>
          <w:szCs w:val="20"/>
        </w:rPr>
        <w:t>.</w:t>
      </w:r>
    </w:p>
  </w:endnote>
  <w:endnote w:id="51">
    <w:p w14:paraId="7F5516F9"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NAC budget figures from MOFED do not include foreign aid. Foreign aid heavily funded NAC in previous years but this ceased to be the case in 2011.</w:t>
      </w:r>
    </w:p>
  </w:endnote>
  <w:endnote w:id="52">
    <w:p w14:paraId="7E5F5D0B"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underestimation </w:t>
      </w:r>
      <w:r>
        <w:rPr>
          <w:szCs w:val="20"/>
        </w:rPr>
        <w:t xml:space="preserve">is because </w:t>
      </w:r>
      <w:r w:rsidRPr="00B72993">
        <w:rPr>
          <w:szCs w:val="20"/>
        </w:rPr>
        <w:t>the data for MOF</w:t>
      </w:r>
      <w:r>
        <w:rPr>
          <w:szCs w:val="20"/>
        </w:rPr>
        <w:t>ED</w:t>
      </w:r>
      <w:r w:rsidRPr="00B72993">
        <w:rPr>
          <w:szCs w:val="20"/>
        </w:rPr>
        <w:t xml:space="preserve"> transfer</w:t>
      </w:r>
      <w:r>
        <w:rPr>
          <w:szCs w:val="20"/>
        </w:rPr>
        <w:t>s</w:t>
      </w:r>
      <w:r w:rsidRPr="00B72993">
        <w:rPr>
          <w:szCs w:val="20"/>
        </w:rPr>
        <w:t xml:space="preserve"> to other government entities for this report </w:t>
      </w:r>
      <w:r>
        <w:rPr>
          <w:szCs w:val="20"/>
        </w:rPr>
        <w:t xml:space="preserve">are </w:t>
      </w:r>
      <w:r w:rsidRPr="00B72993">
        <w:rPr>
          <w:szCs w:val="20"/>
        </w:rPr>
        <w:t>only up to end</w:t>
      </w:r>
      <w:r>
        <w:rPr>
          <w:szCs w:val="20"/>
        </w:rPr>
        <w:t>-</w:t>
      </w:r>
      <w:r w:rsidRPr="00B72993">
        <w:rPr>
          <w:szCs w:val="20"/>
        </w:rPr>
        <w:t>November 2013, hence the figure does not give the full picture of central government spending for the year. Percentages given in the text do consider this, however, albeit arbitrarily, by inflating the figure by 1/12.</w:t>
      </w:r>
    </w:p>
  </w:endnote>
  <w:endnote w:id="53">
    <w:p w14:paraId="2B816250"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Appropriation also appears to be assigned in round numbers at the disaggregated level (by functions and economic categories), indicating that the basis for allocation decisions within programs is weak.</w:t>
      </w:r>
    </w:p>
  </w:endnote>
  <w:endnote w:id="54">
    <w:p w14:paraId="1DA55F85"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DHIS2 was rolled out in </w:t>
      </w:r>
      <w:r w:rsidRPr="007D3348">
        <w:rPr>
          <w:szCs w:val="20"/>
        </w:rPr>
        <w:t>September 2013</w:t>
      </w:r>
      <w:r>
        <w:rPr>
          <w:szCs w:val="20"/>
        </w:rPr>
        <w:t xml:space="preserve"> </w:t>
      </w:r>
      <w:r w:rsidRPr="00B72993">
        <w:rPr>
          <w:szCs w:val="20"/>
        </w:rPr>
        <w:t>to all 63 districts countrywide, 4 cities and 8 provincial and national health information systems. It was funded by the US government through PEPFAR/</w:t>
      </w:r>
      <w:r>
        <w:rPr>
          <w:szCs w:val="20"/>
        </w:rPr>
        <w:t>Centers for Disease Control and Prevention</w:t>
      </w:r>
      <w:r w:rsidRPr="00B72993">
        <w:rPr>
          <w:szCs w:val="20"/>
        </w:rPr>
        <w:t>. The Global Fund and the Health Transition Fund collaborated on it. It should improve tracking of on-budget MOFED financing and off-budget development partner financing, and improve flows of funding directly to programs at district level.</w:t>
      </w:r>
    </w:p>
  </w:endnote>
  <w:endnote w:id="55">
    <w:p w14:paraId="6C4E3D97"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These expenditures exclude off-budget funds from donors and other partners.</w:t>
      </w:r>
    </w:p>
  </w:endnote>
  <w:endnote w:id="56">
    <w:p w14:paraId="109DC69D" w14:textId="5E3EC223"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Health expenditure outside the MOHCC that could be included in the total represent about 3 percent of the total executed budget (so MOHCC spending is about 7 percent of the general executed budget). The WHO definition of GHE includes all health expenditures of the government, including local governments funds, parastatals, and social security funds but these sources are small in Zimbabwe. As noted earlier, however, it is the fact that foreign aid is not channeled through the government budget that tends to understate Zimbabwe’s position relative to other countries.</w:t>
      </w:r>
    </w:p>
  </w:endnote>
  <w:endnote w:id="57">
    <w:p w14:paraId="0FD93926"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Data for 2009 could not be used for this exercise, as the bulk of salaries were included in “administrative and general”, effectively attributing 66 percent of expenditures to the administrative function.</w:t>
      </w:r>
    </w:p>
  </w:endnote>
  <w:endnote w:id="58">
    <w:p w14:paraId="1B721E8E"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Interestingly, the decrease in expenditure observed in 2013 is in most part driven by a reduction in expenses classified as “administrative and general</w:t>
      </w:r>
      <w:r>
        <w:rPr>
          <w:szCs w:val="20"/>
        </w:rPr>
        <w:t>,”</w:t>
      </w:r>
      <w:r w:rsidRPr="00B72993">
        <w:rPr>
          <w:szCs w:val="20"/>
        </w:rPr>
        <w:t xml:space="preserve"> although it is difficult to tell whether this could be due to the reclassification of administrative expenses into the curative function.</w:t>
      </w:r>
    </w:p>
  </w:endnote>
  <w:endnote w:id="59">
    <w:p w14:paraId="040AE676"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facility survey conducted by the World Bank in 32 rural districts documented that roughly 23 percent of surveyed facilities reported outstanding debts to suppliers (author</w:t>
      </w:r>
      <w:r>
        <w:rPr>
          <w:szCs w:val="20"/>
        </w:rPr>
        <w:t>s’</w:t>
      </w:r>
      <w:r w:rsidRPr="00B72993">
        <w:rPr>
          <w:szCs w:val="20"/>
        </w:rPr>
        <w:t xml:space="preserve"> analysis of survey data collected for the RBF program evaluation from all health facilities in 32 districts, i.e. 32 district hospitals and 192 rural health centers).</w:t>
      </w:r>
    </w:p>
  </w:endnote>
  <w:endnote w:id="60">
    <w:p w14:paraId="3137EB2D"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NAC expenditures are examined in the next section.</w:t>
      </w:r>
    </w:p>
  </w:endnote>
  <w:endnote w:id="61">
    <w:p w14:paraId="4945DA90" w14:textId="28AAA43D"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Ministry of Health and Social Welfare Tanzania 2012, Ministry of Health Uganda 2013, Ministry of Health Services and Ministry of Public Health and Sanitation Kenya 2010</w:t>
      </w:r>
      <w:r>
        <w:rPr>
          <w:szCs w:val="20"/>
        </w:rPr>
        <w:t>.</w:t>
      </w:r>
    </w:p>
  </w:endnote>
  <w:endnote w:id="62">
    <w:p w14:paraId="17DEAF84"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Figures for 2009 are excluded due to incomparability of classification in the MOFED data file: allocations for hospitals and health centers were included in programs and institutions in 2009 while from 2010 they were included in operation and maintenance.</w:t>
      </w:r>
    </w:p>
  </w:endnote>
  <w:endnote w:id="63">
    <w:p w14:paraId="55000F54"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There was already a large increase in the wage bill for health prior to 2002 (40 percentage points in four years) but it had subsequently slowed, as shown in </w:t>
      </w:r>
      <w:r>
        <w:fldChar w:fldCharType="begin"/>
      </w:r>
      <w:r>
        <w:instrText xml:space="preserve"> REF _Ref411949326 \h  \* MERGEFORMAT </w:instrText>
      </w:r>
      <w:r>
        <w:fldChar w:fldCharType="separate"/>
      </w:r>
      <w:r w:rsidRPr="003732A2">
        <w:rPr>
          <w:szCs w:val="20"/>
        </w:rPr>
        <w:t xml:space="preserve">Figure </w:t>
      </w:r>
      <w:r w:rsidRPr="003732A2">
        <w:rPr>
          <w:noProof/>
          <w:szCs w:val="20"/>
        </w:rPr>
        <w:t>24</w:t>
      </w:r>
      <w:r>
        <w:fldChar w:fldCharType="end"/>
      </w:r>
      <w:r w:rsidRPr="00B72993">
        <w:rPr>
          <w:szCs w:val="20"/>
        </w:rPr>
        <w:t>.</w:t>
      </w:r>
    </w:p>
  </w:endnote>
  <w:endnote w:id="64">
    <w:p w14:paraId="7E58E214"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increase in wage expenditures in Zimbabwe could be partially due to the increase in unfr</w:t>
      </w:r>
      <w:r>
        <w:rPr>
          <w:szCs w:val="20"/>
        </w:rPr>
        <w:t>ozen</w:t>
      </w:r>
      <w:r w:rsidRPr="00B72993">
        <w:rPr>
          <w:szCs w:val="20"/>
        </w:rPr>
        <w:t xml:space="preserve"> posts in the government system, effectively enlarging the size of personnel in the government payroll.</w:t>
      </w:r>
    </w:p>
  </w:endnote>
  <w:endnote w:id="65">
    <w:p w14:paraId="32E60DEE" w14:textId="356B84BD"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increase in wage expenditures is partially due to the hiring of approximately 2,000 health workers by the government following a decision by the MOFED</w:t>
      </w:r>
      <w:r>
        <w:rPr>
          <w:szCs w:val="20"/>
        </w:rPr>
        <w:t xml:space="preserve"> </w:t>
      </w:r>
      <w:r w:rsidRPr="00B72993">
        <w:rPr>
          <w:szCs w:val="20"/>
        </w:rPr>
        <w:t>to unfree</w:t>
      </w:r>
      <w:r>
        <w:rPr>
          <w:szCs w:val="20"/>
        </w:rPr>
        <w:t>ze</w:t>
      </w:r>
      <w:r w:rsidRPr="00B72993">
        <w:rPr>
          <w:szCs w:val="20"/>
        </w:rPr>
        <w:t xml:space="preserve"> hiring.</w:t>
      </w:r>
    </w:p>
  </w:endnote>
  <w:endnote w:id="66">
    <w:p w14:paraId="3EB13642"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Ghana was also cited as a case of labor costs crowding out other inputs in </w:t>
      </w:r>
      <w:r w:rsidRPr="00B72993">
        <w:rPr>
          <w:i/>
          <w:szCs w:val="20"/>
        </w:rPr>
        <w:t>Working in Health</w:t>
      </w:r>
      <w:r w:rsidRPr="00B72993">
        <w:rPr>
          <w:szCs w:val="20"/>
        </w:rPr>
        <w:t>, World Bank, 2009. Including additional duty hour allowance, it was calculated that the wage bill contributed 90 percent of expenditures as donor funding went solely to nonwage expenditure.</w:t>
      </w:r>
    </w:p>
  </w:endnote>
  <w:endnote w:id="67">
    <w:p w14:paraId="2F7B50CD"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figures for Zimbabwe include employment costs paid out of transfers, which is not always the case in other least-developed countries. The separation of transfers into employment and non-employment operational costs is very useful, and should serve as an example for other countries</w:t>
      </w:r>
      <w:r>
        <w:rPr>
          <w:szCs w:val="20"/>
        </w:rPr>
        <w:t>.</w:t>
      </w:r>
    </w:p>
  </w:endnote>
  <w:endnote w:id="68">
    <w:p w14:paraId="28D7A59C"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S. Gaudin and A. Yazbeck. 2013. “Health Sector Policy Challenges in Low and Middle Income Countries: Learning from Public Expenditure Reviews.” Background paper for the health and economy program.</w:t>
      </w:r>
    </w:p>
  </w:endnote>
  <w:endnote w:id="69">
    <w:p w14:paraId="73F9230B" w14:textId="77777777" w:rsidR="003732A2" w:rsidRPr="00B72993" w:rsidRDefault="003732A2" w:rsidP="00B754B7">
      <w:pPr>
        <w:pStyle w:val="EndnoteText"/>
        <w:spacing w:after="20"/>
        <w:rPr>
          <w:szCs w:val="20"/>
        </w:rPr>
      </w:pPr>
      <w:r w:rsidRPr="00B72993">
        <w:rPr>
          <w:rStyle w:val="EndnoteReference"/>
          <w:szCs w:val="20"/>
        </w:rPr>
        <w:endnoteRef/>
      </w:r>
      <w:r w:rsidRPr="00B72993">
        <w:rPr>
          <w:szCs w:val="20"/>
        </w:rPr>
        <w:t xml:space="preserve"> An evaluation by Royal Tropical Institute for DFID noted the positive effect of retention schemes on bringing health workers to work, but could not conclude whether that same retention improved their productivity.</w:t>
      </w:r>
    </w:p>
  </w:endnote>
  <w:endnote w:id="70">
    <w:p w14:paraId="37C240E0"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There is no systematic breakdown of MOHCC expenditures by province. Looking at transfers to hospitals and health centers is the only way to assess regional differences and concentration issues given current budget accounting procedures.</w:t>
      </w:r>
    </w:p>
  </w:endnote>
  <w:endnote w:id="71">
    <w:p w14:paraId="323FB029"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largest contributor to the NAC until 2010 was the Global Fund, which curtailed channeling its HIV/AIDS support through the NAC in 2011 (see table 12). Instead it used United Nations Development Fund as the principal recipient. NAC still received funds, however, including for its behavior change program.</w:t>
      </w:r>
    </w:p>
  </w:endnote>
  <w:endnote w:id="72">
    <w:p w14:paraId="5055E61E"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Employment costs may not include consultancies under expenditure on programs and interventions.</w:t>
      </w:r>
    </w:p>
  </w:endnote>
  <w:endnote w:id="73">
    <w:p w14:paraId="2409BDF5" w14:textId="77777777" w:rsidR="003732A2" w:rsidRPr="00B72993" w:rsidRDefault="003732A2" w:rsidP="000565E5">
      <w:pPr>
        <w:pStyle w:val="EndnoteText"/>
        <w:spacing w:after="20"/>
        <w:rPr>
          <w:szCs w:val="20"/>
        </w:rPr>
      </w:pPr>
      <w:r w:rsidRPr="00B72993">
        <w:rPr>
          <w:rStyle w:val="EndnoteReference"/>
          <w:szCs w:val="20"/>
        </w:rPr>
        <w:endnoteRef/>
      </w:r>
      <w:r w:rsidRPr="00B72993">
        <w:rPr>
          <w:szCs w:val="20"/>
        </w:rPr>
        <w:t xml:space="preserve"> The 2008 decrease might be an artifact because donors’ emergency response to the cholera outbreak was mainly channeled through NGOs.</w:t>
      </w:r>
    </w:p>
  </w:endnote>
  <w:endnote w:id="74">
    <w:p w14:paraId="24C91AC0" w14:textId="77777777" w:rsidR="003732A2" w:rsidRPr="00B72993" w:rsidRDefault="003732A2" w:rsidP="000565E5">
      <w:pPr>
        <w:pStyle w:val="EndnoteText"/>
        <w:spacing w:after="20"/>
        <w:rPr>
          <w:szCs w:val="20"/>
        </w:rPr>
      </w:pPr>
      <w:r w:rsidRPr="00B72993">
        <w:rPr>
          <w:rStyle w:val="EndnoteReference"/>
          <w:szCs w:val="20"/>
        </w:rPr>
        <w:endnoteRef/>
      </w:r>
      <w:r w:rsidRPr="00B72993">
        <w:rPr>
          <w:szCs w:val="20"/>
        </w:rPr>
        <w:t xml:space="preserve"> MOFED. 2014. Midterm Fiscal Policy Review Statement, September.</w:t>
      </w:r>
    </w:p>
  </w:endnote>
  <w:endnote w:id="75">
    <w:p w14:paraId="6389C6D7"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MOFED. 2014. Midterm Fiscal Policy Review Statement, September.</w:t>
      </w:r>
    </w:p>
  </w:endnote>
  <w:endnote w:id="76">
    <w:p w14:paraId="02466B61" w14:textId="6164F83A" w:rsidR="003732A2" w:rsidRDefault="003732A2">
      <w:pPr>
        <w:pStyle w:val="EndnoteText"/>
      </w:pPr>
      <w:r>
        <w:rPr>
          <w:rStyle w:val="EndnoteReference"/>
        </w:rPr>
        <w:endnoteRef/>
      </w:r>
      <w:r>
        <w:t xml:space="preserve"> Dieleman, M., M. Watson, and C. Sisimayi. 2012. “Impact Assessment of the Zimbabwe Health Worker Retention Scheme. Final Report.” February. Harare.</w:t>
      </w:r>
    </w:p>
  </w:endnote>
  <w:endnote w:id="77">
    <w:p w14:paraId="35E043DF" w14:textId="0F511C49" w:rsidR="003732A2" w:rsidRDefault="003732A2" w:rsidP="00702CBA">
      <w:pPr>
        <w:pStyle w:val="EndnoteText"/>
      </w:pPr>
      <w:r>
        <w:rPr>
          <w:rStyle w:val="EndnoteReference"/>
        </w:rPr>
        <w:endnoteRef/>
      </w:r>
      <w:r>
        <w:t xml:space="preserve"> Dieleman, M., M. Watson, and C. Sisimayi. 2012. “Impact Assessment of the Zimbabwe Health Worker Retention Scheme. Final Report.” February. Harare.</w:t>
      </w:r>
    </w:p>
  </w:endnote>
  <w:endnote w:id="78">
    <w:p w14:paraId="47254DE9"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choice was limited by the scope of the study conducted; there are indeed many other development partners on the ground making important contributions to Zimbabwe’s health sector.</w:t>
      </w:r>
    </w:p>
  </w:endnote>
  <w:endnote w:id="79">
    <w:p w14:paraId="7D2AABCC"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RBF is funded by the governments of Norway and the United Kingdom through a multidonor trust fund administered by the World Bank.</w:t>
      </w:r>
    </w:p>
  </w:endnote>
  <w:endnote w:id="80">
    <w:p w14:paraId="690DAE3D"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This might entail development partners (i) jointly assigning one of the technical or funding agencies to provide technical support and supervision oversight of the national RBF program reporting to development partners in the funding pool and (ii) providing technical assistance to the MOHCC and MOFED to execute relevant RBF functions.</w:t>
      </w:r>
    </w:p>
  </w:endnote>
  <w:endnote w:id="81">
    <w:p w14:paraId="4CE24130"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Defined as </w:t>
      </w:r>
      <w:r>
        <w:rPr>
          <w:szCs w:val="20"/>
        </w:rPr>
        <w:t xml:space="preserve">accounting for </w:t>
      </w:r>
      <w:r w:rsidRPr="00B72993">
        <w:rPr>
          <w:szCs w:val="20"/>
        </w:rPr>
        <w:t>at least 40 percent of the household’s nonfood consumption expenditure.</w:t>
      </w:r>
    </w:p>
  </w:endnote>
  <w:endnote w:id="82">
    <w:p w14:paraId="1EEB9EEA"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definition and application of user</w:t>
      </w:r>
      <w:r>
        <w:rPr>
          <w:szCs w:val="20"/>
        </w:rPr>
        <w:t xml:space="preserve"> </w:t>
      </w:r>
      <w:r w:rsidRPr="00B72993">
        <w:rPr>
          <w:szCs w:val="20"/>
        </w:rPr>
        <w:t>fees is not consistently applied on the ground. For example, while facilities do not charge consultation fees for maternity, they may charge for X-rays.</w:t>
      </w:r>
    </w:p>
  </w:endnote>
  <w:endnote w:id="83">
    <w:p w14:paraId="503C2DA1"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“A total of 978</w:t>
      </w:r>
      <w:r>
        <w:rPr>
          <w:szCs w:val="20"/>
        </w:rPr>
        <w:t>,000</w:t>
      </w:r>
      <w:r w:rsidRPr="00B72993">
        <w:rPr>
          <w:szCs w:val="20"/>
        </w:rPr>
        <w:t xml:space="preserve"> persons, representing about 8 percent of the population, indicated that they were members of a medical aid scheme. Thirty-nine percent of paid employees were benefiting from medical insurance</w:t>
      </w:r>
      <w:r>
        <w:rPr>
          <w:szCs w:val="20"/>
        </w:rPr>
        <w:t>.”</w:t>
      </w:r>
      <w:r w:rsidRPr="00B72993">
        <w:rPr>
          <w:szCs w:val="20"/>
        </w:rPr>
        <w:t xml:space="preserve"> ZIMSTAT </w:t>
      </w:r>
      <w:r w:rsidRPr="00B72993">
        <w:rPr>
          <w:i/>
          <w:szCs w:val="20"/>
        </w:rPr>
        <w:t>2011 Labour Force Survey</w:t>
      </w:r>
      <w:r w:rsidRPr="00B72993">
        <w:rPr>
          <w:szCs w:val="20"/>
        </w:rPr>
        <w:t>, pp. xxi, May 2012.</w:t>
      </w:r>
    </w:p>
  </w:endnote>
  <w:endnote w:id="84">
    <w:p w14:paraId="2FAF634A"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Most private prepaid schemes are not funded entirely by individuals, at least directly, as a portion of the premiums is borne by the employer.</w:t>
      </w:r>
    </w:p>
  </w:endnote>
  <w:endnote w:id="85">
    <w:p w14:paraId="7680D3A3"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position of Zimbabwe relative to expenditures is limited to data for 2000-2001 and 2010-2013 due to data constraints (Annex 3).</w:t>
      </w:r>
    </w:p>
  </w:endnote>
  <w:endnote w:id="86">
    <w:p w14:paraId="4744188A"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Results for child mortality are very similar to those for infant mortality.</w:t>
      </w:r>
    </w:p>
  </w:endnote>
  <w:endnote w:id="87">
    <w:p w14:paraId="1A6E3795"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Graphical results for the structural analysis and the 2000-2001 current analysis are in Annex 3.</w:t>
      </w:r>
    </w:p>
  </w:endnote>
  <w:endnote w:id="88">
    <w:p w14:paraId="1157139E"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Fiscal space for health is the capacity of the government to provide additional budgetary resources for health without prejudicing the sustainability of its financial position.</w:t>
      </w:r>
    </w:p>
  </w:endnote>
  <w:endnote w:id="89">
    <w:p w14:paraId="7126ECC0" w14:textId="7993A1B5" w:rsidR="003732A2" w:rsidRDefault="003732A2">
      <w:pPr>
        <w:pStyle w:val="EndnoteText"/>
      </w:pPr>
      <w:r>
        <w:rPr>
          <w:rStyle w:val="EndnoteReference"/>
        </w:rPr>
        <w:endnoteRef/>
      </w:r>
      <w:r>
        <w:t xml:space="preserve"> For example: </w:t>
      </w:r>
      <w:r w:rsidRPr="00E161F2">
        <w:t>IMF</w:t>
      </w:r>
      <w:r>
        <w:t>.</w:t>
      </w:r>
      <w:r w:rsidRPr="00E161F2">
        <w:t xml:space="preserve"> 2011</w:t>
      </w:r>
      <w:r>
        <w:t xml:space="preserve">. </w:t>
      </w:r>
      <w:r w:rsidRPr="00E161F2">
        <w:rPr>
          <w:i/>
        </w:rPr>
        <w:t>Revenue Mobilization in Developing Countries</w:t>
      </w:r>
      <w:r>
        <w:t>.</w:t>
      </w:r>
    </w:p>
  </w:endnote>
  <w:endnote w:id="90">
    <w:p w14:paraId="7D557EA7"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H. Ross and F. Chaloupka. 2000. </w:t>
      </w:r>
      <w:r w:rsidRPr="00B72993">
        <w:rPr>
          <w:i/>
          <w:szCs w:val="20"/>
        </w:rPr>
        <w:t>The Effect of Cigarette Prices on Youth Smoking.</w:t>
      </w:r>
    </w:p>
  </w:endnote>
  <w:endnote w:id="91">
    <w:p w14:paraId="68847A1F" w14:textId="35831EB3" w:rsidR="003732A2" w:rsidRDefault="003732A2">
      <w:pPr>
        <w:pStyle w:val="EndnoteText"/>
      </w:pPr>
      <w:r>
        <w:rPr>
          <w:rStyle w:val="EndnoteReference"/>
        </w:rPr>
        <w:endnoteRef/>
      </w:r>
      <w:r>
        <w:t xml:space="preserve"> For example, Ross and Chaloupka (2011) found that higher cigarette prices reduced smoking among youth.</w:t>
      </w:r>
    </w:p>
  </w:endnote>
  <w:endnote w:id="92">
    <w:p w14:paraId="53E8C514" w14:textId="77777777" w:rsidR="003732A2" w:rsidRPr="00B72993" w:rsidRDefault="003732A2" w:rsidP="00B72993">
      <w:pPr>
        <w:spacing w:after="20"/>
        <w:rPr>
          <w:rFonts w:asciiTheme="minorHAnsi" w:hAnsiTheme="minorHAnsi"/>
          <w:sz w:val="20"/>
          <w:szCs w:val="20"/>
        </w:rPr>
      </w:pPr>
      <w:r w:rsidRPr="00B72993">
        <w:rPr>
          <w:rStyle w:val="EndnoteReference"/>
          <w:rFonts w:asciiTheme="minorHAnsi" w:hAnsiTheme="minorHAnsi"/>
          <w:sz w:val="20"/>
          <w:szCs w:val="20"/>
        </w:rPr>
        <w:endnoteRef/>
      </w:r>
      <w:r w:rsidRPr="00B72993">
        <w:rPr>
          <w:rFonts w:asciiTheme="minorHAnsi" w:hAnsiTheme="minorHAnsi"/>
          <w:sz w:val="20"/>
          <w:szCs w:val="20"/>
        </w:rPr>
        <w:t xml:space="preserve"> </w:t>
      </w:r>
      <w:r w:rsidRPr="00B72993">
        <w:rPr>
          <w:rStyle w:val="EndnoteTextChar"/>
          <w:sz w:val="20"/>
          <w:szCs w:val="20"/>
        </w:rPr>
        <w:t>Jointly funded by the International Finance Corporation, World Bank, and government of Lesotho.</w:t>
      </w:r>
    </w:p>
  </w:endnote>
  <w:endnote w:id="93">
    <w:p w14:paraId="09E6BB46" w14:textId="2FAF9863" w:rsidR="003732A2" w:rsidRDefault="003732A2" w:rsidP="00736AB7">
      <w:pPr>
        <w:pStyle w:val="EndnoteText"/>
      </w:pPr>
      <w:r>
        <w:rPr>
          <w:rStyle w:val="EndnoteReference"/>
        </w:rPr>
        <w:endnoteRef/>
      </w:r>
      <w:r>
        <w:t xml:space="preserve"> IFC (International Finance Corporation). 2009. “Breaking New Ground: Lesotho Hospital Public-Private Partnership – A Model for Integrated Health Services Delivery.” </w:t>
      </w:r>
      <w:r w:rsidRPr="00D70F9E">
        <w:rPr>
          <w:i/>
        </w:rPr>
        <w:t>IFC Smart Lessons</w:t>
      </w:r>
      <w:r>
        <w:t>. July. Washington, DC.</w:t>
      </w:r>
    </w:p>
  </w:endnote>
  <w:endnote w:id="94">
    <w:p w14:paraId="23DD6636"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Institute for Health Metrics and Evaluation. </w:t>
      </w:r>
      <w:r w:rsidRPr="00B72993">
        <w:rPr>
          <w:i/>
          <w:szCs w:val="20"/>
        </w:rPr>
        <w:t>Financial Global Health 2013: Transition in Age of Austerity.</w:t>
      </w:r>
    </w:p>
  </w:endnote>
  <w:endnote w:id="95">
    <w:p w14:paraId="7FA6E634" w14:textId="77777777" w:rsidR="003732A2" w:rsidRPr="00B72993" w:rsidRDefault="003732A2" w:rsidP="00B72993">
      <w:pPr>
        <w:pStyle w:val="EndnoteText"/>
        <w:tabs>
          <w:tab w:val="left" w:pos="3142"/>
        </w:tabs>
        <w:spacing w:after="20"/>
        <w:rPr>
          <w:szCs w:val="20"/>
        </w:rPr>
      </w:pPr>
      <w:r w:rsidRPr="00B72993">
        <w:rPr>
          <w:rStyle w:val="EndnoteReference"/>
          <w:szCs w:val="20"/>
        </w:rPr>
        <w:endnoteRef/>
      </w:r>
      <w:r>
        <w:rPr>
          <w:szCs w:val="20"/>
        </w:rPr>
        <w:t xml:space="preserve"> Ibid.</w:t>
      </w:r>
    </w:p>
  </w:endnote>
  <w:endnote w:id="96">
    <w:p w14:paraId="40DA48C2"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The World Bank-funded TA for public financial management systems strengthening is one possible option that the MOFED could explore.</w:t>
      </w:r>
    </w:p>
  </w:endnote>
  <w:endnote w:id="97">
    <w:p w14:paraId="11261BA9"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EQUINET. 2002. Resource Allocation and Deprivation Issues for Health Equity; Report of a Research Meeting, Johannesburg 2002.</w:t>
      </w:r>
    </w:p>
  </w:endnote>
  <w:endnote w:id="98">
    <w:p w14:paraId="7DFFEC6C" w14:textId="7E75DCB6"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Unfortunately, due to the lack of disaggregated data, it is not possible to show what percentage of total funding is allocated to the different administrative levels shown in the diagram.</w:t>
      </w:r>
    </w:p>
  </w:endnote>
  <w:endnote w:id="99">
    <w:p w14:paraId="5E1DD6C1"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Due to lack of disaggregated data at the sub-national level, authors could not calculate exact amounts flowing to each level of the health system.</w:t>
      </w:r>
    </w:p>
  </w:endnote>
  <w:endnote w:id="100">
    <w:p w14:paraId="39C49D21"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It extends on work presented in the World Bank’s Djibouti 2006 PER, report 34624.</w:t>
      </w:r>
    </w:p>
  </w:endnote>
  <w:endnote w:id="101">
    <w:p w14:paraId="46CCCDDC"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Income is measured in purchasing power parity. High</w:t>
      </w:r>
      <w:r>
        <w:rPr>
          <w:szCs w:val="20"/>
        </w:rPr>
        <w:t>-</w:t>
      </w:r>
      <w:r w:rsidRPr="00B72993">
        <w:rPr>
          <w:szCs w:val="20"/>
        </w:rPr>
        <w:t>income countries are not separated into regional groupings</w:t>
      </w:r>
      <w:r>
        <w:rPr>
          <w:szCs w:val="20"/>
        </w:rPr>
        <w:t>.</w:t>
      </w:r>
    </w:p>
  </w:endnote>
  <w:endnote w:id="102">
    <w:p w14:paraId="3A0246B7" w14:textId="77777777" w:rsidR="003732A2" w:rsidRDefault="003732A2">
      <w:pPr>
        <w:pStyle w:val="EndnoteText"/>
      </w:pPr>
      <w:r>
        <w:rPr>
          <w:rStyle w:val="EndnoteReference"/>
        </w:rPr>
        <w:endnoteRef/>
      </w:r>
      <w:r>
        <w:t xml:space="preserve"> </w:t>
      </w:r>
      <w:r w:rsidRPr="00411D30">
        <w:t>S. Gaudin and A. Yazbeck. 2013. “Health Sector Policy Challenges in Low and Middle Income Countries: Learning from Public Expenditure Reviews.” Background paper for the health and economy program.</w:t>
      </w:r>
    </w:p>
  </w:endnote>
  <w:endnote w:id="103">
    <w:p w14:paraId="045FB380" w14:textId="77777777"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E. Baldacci, S. Gupta, B. Clements, and Q. Cui. 2008. “Social Spending, Human Capital and Growth in Developing Countries,” </w:t>
      </w:r>
      <w:r w:rsidRPr="00B72993">
        <w:rPr>
          <w:i/>
          <w:szCs w:val="20"/>
        </w:rPr>
        <w:t>World Development</w:t>
      </w:r>
      <w:r w:rsidRPr="00B72993">
        <w:rPr>
          <w:szCs w:val="20"/>
        </w:rPr>
        <w:t>. Vol. 36(8), pp. 1317–1341.</w:t>
      </w:r>
    </w:p>
  </w:endnote>
  <w:endnote w:id="104">
    <w:p w14:paraId="6675E0E2" w14:textId="140449D6" w:rsidR="003732A2" w:rsidRPr="00B72993" w:rsidRDefault="003732A2" w:rsidP="00B72993">
      <w:pPr>
        <w:pStyle w:val="EndnoteText"/>
        <w:spacing w:after="20"/>
        <w:rPr>
          <w:szCs w:val="20"/>
        </w:rPr>
      </w:pPr>
      <w:r w:rsidRPr="00B72993">
        <w:rPr>
          <w:rStyle w:val="EndnoteReference"/>
          <w:szCs w:val="20"/>
        </w:rPr>
        <w:endnoteRef/>
      </w:r>
      <w:r w:rsidRPr="00B72993">
        <w:rPr>
          <w:szCs w:val="20"/>
        </w:rPr>
        <w:t xml:space="preserve"> </w:t>
      </w:r>
      <w:r>
        <w:rPr>
          <w:szCs w:val="20"/>
        </w:rPr>
        <w:t xml:space="preserve">As in </w:t>
      </w:r>
      <w:r w:rsidRPr="00B72993">
        <w:rPr>
          <w:szCs w:val="20"/>
        </w:rPr>
        <w:t xml:space="preserve">Santiago Herrera and Gaobo Pang. 2005. </w:t>
      </w:r>
      <w:r>
        <w:rPr>
          <w:szCs w:val="20"/>
        </w:rPr>
        <w:t>“</w:t>
      </w:r>
      <w:r w:rsidRPr="00B72993">
        <w:rPr>
          <w:szCs w:val="20"/>
        </w:rPr>
        <w:t>Efficiency of Public Spending in Developing Countries: An Efficiency Frontier Approach.</w:t>
      </w:r>
      <w:r>
        <w:rPr>
          <w:szCs w:val="20"/>
        </w:rPr>
        <w:t>”</w:t>
      </w:r>
      <w:r w:rsidRPr="00B72993">
        <w:rPr>
          <w:szCs w:val="20"/>
        </w:rPr>
        <w:t xml:space="preserve"> </w:t>
      </w:r>
      <w:r w:rsidRPr="00B72993">
        <w:rPr>
          <w:i/>
          <w:szCs w:val="20"/>
        </w:rPr>
        <w:t>Policy Research Working Paper</w:t>
      </w:r>
      <w:r w:rsidRPr="00B72993">
        <w:rPr>
          <w:szCs w:val="20"/>
        </w:rPr>
        <w:t xml:space="preserve"> Series 3645, World Bank.</w:t>
      </w:r>
      <w:r>
        <w:rPr>
          <w:szCs w:val="20"/>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Lucida Grande">
    <w:altName w:val="Lucida Sans"/>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Frutiger LT 55 Roman">
    <w:altName w:val="Frutiger LT 55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haroni">
    <w:panose1 w:val="02010803020104030203"/>
    <w:charset w:val="B1"/>
    <w:family w:val="auto"/>
    <w:pitch w:val="variable"/>
    <w:sig w:usb0="00000801" w:usb1="00000000" w:usb2="00000000" w:usb3="00000000" w:csb0="0000002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3E6565" w14:textId="77777777" w:rsidR="003732A2" w:rsidRDefault="003732A2" w:rsidP="00E73060">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57C4B240" w14:textId="77777777" w:rsidR="003732A2" w:rsidRDefault="003732A2" w:rsidP="00E7306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93006320"/>
      <w:docPartObj>
        <w:docPartGallery w:val="Page Numbers (Bottom of Page)"/>
        <w:docPartUnique/>
      </w:docPartObj>
    </w:sdtPr>
    <w:sdtEndPr/>
    <w:sdtContent>
      <w:p w14:paraId="372A43C5" w14:textId="77777777" w:rsidR="003732A2" w:rsidRDefault="003732A2">
        <w:pPr>
          <w:pStyle w:val="Footer"/>
          <w:jc w:val="right"/>
        </w:pPr>
        <w:r>
          <w:fldChar w:fldCharType="begin"/>
        </w:r>
        <w:r>
          <w:instrText xml:space="preserve"> PAGE   \* MERGEFORMAT </w:instrText>
        </w:r>
        <w:r>
          <w:fldChar w:fldCharType="separate"/>
        </w:r>
        <w:r w:rsidR="00113462">
          <w:rPr>
            <w:noProof/>
          </w:rPr>
          <w:t>xii</w:t>
        </w:r>
        <w:r>
          <w:rPr>
            <w:noProof/>
          </w:rPr>
          <w:fldChar w:fldCharType="end"/>
        </w:r>
      </w:p>
    </w:sdtContent>
  </w:sdt>
  <w:p w14:paraId="6B769C07" w14:textId="77777777" w:rsidR="003732A2" w:rsidRDefault="003732A2" w:rsidP="00E7306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30DEA" w14:textId="77777777" w:rsidR="003732A2" w:rsidRDefault="003732A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C157F6" w14:textId="77777777" w:rsidR="003732A2" w:rsidRDefault="003732A2" w:rsidP="00E73060">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0F583CEE" w14:textId="77777777" w:rsidR="003732A2" w:rsidRDefault="003732A2" w:rsidP="00E73060">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4612462"/>
      <w:docPartObj>
        <w:docPartGallery w:val="Page Numbers (Bottom of Page)"/>
        <w:docPartUnique/>
      </w:docPartObj>
    </w:sdtPr>
    <w:sdtEndPr/>
    <w:sdtContent>
      <w:p w14:paraId="1F4BC08B" w14:textId="77777777" w:rsidR="003732A2" w:rsidRDefault="003732A2">
        <w:pPr>
          <w:pStyle w:val="Footer"/>
          <w:jc w:val="right"/>
        </w:pPr>
        <w:r>
          <w:fldChar w:fldCharType="begin"/>
        </w:r>
        <w:r>
          <w:instrText xml:space="preserve"> PAGE   \* MERGEFORMAT </w:instrText>
        </w:r>
        <w:r>
          <w:fldChar w:fldCharType="separate"/>
        </w:r>
        <w:r w:rsidR="00113462">
          <w:rPr>
            <w:noProof/>
          </w:rPr>
          <w:t>9</w:t>
        </w:r>
        <w:r>
          <w:rPr>
            <w:noProof/>
          </w:rPr>
          <w:fldChar w:fldCharType="end"/>
        </w:r>
      </w:p>
    </w:sdtContent>
  </w:sdt>
  <w:p w14:paraId="3826450D" w14:textId="77777777" w:rsidR="003732A2" w:rsidRDefault="003732A2" w:rsidP="00E7306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8A390F" w14:textId="77777777" w:rsidR="003732A2" w:rsidRDefault="003732A2" w:rsidP="00E73060">
      <w:r>
        <w:separator/>
      </w:r>
    </w:p>
  </w:footnote>
  <w:footnote w:type="continuationSeparator" w:id="0">
    <w:p w14:paraId="59BF2FBD" w14:textId="77777777" w:rsidR="003732A2" w:rsidRDefault="003732A2" w:rsidP="00E73060">
      <w:r>
        <w:continuationSeparator/>
      </w:r>
    </w:p>
  </w:footnote>
  <w:footnote w:type="continuationNotice" w:id="1">
    <w:p w14:paraId="471D98A0" w14:textId="77777777" w:rsidR="003732A2" w:rsidRDefault="003732A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EA698D" w14:textId="33EA7C52" w:rsidR="003732A2" w:rsidRDefault="003732A2" w:rsidP="008D6CAE">
    <w:pPr>
      <w:pStyle w:val="Header"/>
      <w:pBdr>
        <w:bottom w:val="single" w:sz="4" w:space="1" w:color="365F91" w:themeColor="accent1" w:themeShade="BF"/>
      </w:pBdr>
      <w:jc w:val="right"/>
    </w:pPr>
    <w:r w:rsidRPr="007145F5">
      <w:rPr>
        <w:color w:val="365F91" w:themeColor="accent1" w:themeShade="BF"/>
      </w:rPr>
      <w:t xml:space="preserve">Zimbabwe PER </w:t>
    </w:r>
    <w:r>
      <w:rPr>
        <w:color w:val="365F91" w:themeColor="accent1" w:themeShade="BF"/>
      </w:rPr>
      <w:t>-</w:t>
    </w:r>
    <w:r w:rsidRPr="007145F5">
      <w:rPr>
        <w:color w:val="365F91" w:themeColor="accent1" w:themeShade="BF"/>
      </w:rPr>
      <w:t xml:space="preserve"> Health |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9688DF" w14:textId="77777777" w:rsidR="003732A2" w:rsidRPr="00B319BE" w:rsidRDefault="003732A2" w:rsidP="00B319BE">
    <w:pPr>
      <w:pStyle w:val="Header"/>
      <w:pBdr>
        <w:bottom w:val="single" w:sz="4" w:space="1" w:color="365F91" w:themeColor="accent1" w:themeShade="BF"/>
      </w:pBdr>
      <w:jc w:val="right"/>
      <w:rPr>
        <w:color w:val="365F91" w:themeColor="accent1" w:themeShade="BF"/>
      </w:rPr>
    </w:pPr>
    <w:r w:rsidRPr="00B319BE">
      <w:rPr>
        <w:color w:val="365F91" w:themeColor="accent1" w:themeShade="BF"/>
      </w:rPr>
      <w:t xml:space="preserve">Zimbabwe PER – Health | </w:t>
    </w:r>
    <w:r>
      <w:rPr>
        <w:color w:val="365F91" w:themeColor="accent1" w:themeShade="BF"/>
      </w:rPr>
      <w:t>Annexes</w:t>
    </w:r>
    <w:r w:rsidRPr="00B319BE">
      <w:rPr>
        <w:color w:val="365F91" w:themeColor="accent1" w:themeShade="BF"/>
      </w:rPr>
      <w:t xml:space="preserve"> </w:t>
    </w:r>
  </w:p>
  <w:p w14:paraId="450DAD4D" w14:textId="77777777" w:rsidR="003732A2" w:rsidRPr="002346CD" w:rsidRDefault="003732A2" w:rsidP="00E7306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D72AC0" w14:textId="77777777" w:rsidR="003732A2" w:rsidRDefault="003732A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7AF32A" w14:textId="77777777" w:rsidR="003732A2" w:rsidRDefault="003732A2" w:rsidP="008D6CAE">
    <w:pPr>
      <w:pStyle w:val="Header"/>
      <w:pBdr>
        <w:bottom w:val="single" w:sz="4" w:space="1" w:color="365F91" w:themeColor="accent1" w:themeShade="BF"/>
      </w:pBdr>
      <w:jc w:val="right"/>
    </w:pPr>
    <w:r w:rsidRPr="007145F5">
      <w:rPr>
        <w:color w:val="365F91" w:themeColor="accent1" w:themeShade="BF"/>
      </w:rPr>
      <w:t xml:space="preserve">Zimbabwe PER – Health | </w:t>
    </w:r>
    <w:r>
      <w:rPr>
        <w:color w:val="365F91" w:themeColor="accent1" w:themeShade="BF"/>
      </w:rPr>
      <w:t>Executive Summary</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07C380" w14:textId="77777777" w:rsidR="003732A2" w:rsidRPr="007145F5" w:rsidRDefault="003732A2" w:rsidP="000F65D4">
    <w:pPr>
      <w:pStyle w:val="Header"/>
      <w:pBdr>
        <w:bottom w:val="single" w:sz="4" w:space="1" w:color="365F91" w:themeColor="accent1" w:themeShade="BF"/>
      </w:pBdr>
      <w:jc w:val="right"/>
      <w:rPr>
        <w:color w:val="365F91" w:themeColor="accent1" w:themeShade="BF"/>
      </w:rPr>
    </w:pPr>
    <w:r w:rsidRPr="007145F5">
      <w:rPr>
        <w:color w:val="365F91" w:themeColor="accent1" w:themeShade="BF"/>
      </w:rPr>
      <w:t xml:space="preserve">Zimbabwe PER – Health | </w:t>
    </w:r>
    <w:r>
      <w:rPr>
        <w:color w:val="365F91" w:themeColor="accent1" w:themeShade="BF"/>
      </w:rPr>
      <w:t>Executive Summary</w:t>
    </w:r>
  </w:p>
  <w:p w14:paraId="64E3D49F" w14:textId="77777777" w:rsidR="003732A2" w:rsidRDefault="003732A2">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35FCD2" w14:textId="77777777" w:rsidR="003732A2" w:rsidRPr="007145F5" w:rsidRDefault="003732A2" w:rsidP="007145F5">
    <w:pPr>
      <w:pStyle w:val="Header"/>
      <w:pBdr>
        <w:bottom w:val="single" w:sz="4" w:space="1" w:color="365F91" w:themeColor="accent1" w:themeShade="BF"/>
      </w:pBdr>
      <w:jc w:val="right"/>
      <w:rPr>
        <w:color w:val="365F91" w:themeColor="accent1" w:themeShade="BF"/>
      </w:rPr>
    </w:pPr>
    <w:r w:rsidRPr="007145F5">
      <w:rPr>
        <w:color w:val="365F91" w:themeColor="accent1" w:themeShade="BF"/>
      </w:rPr>
      <w:t xml:space="preserve">Zimbabwe PER – Health | </w:t>
    </w:r>
    <w:r w:rsidRPr="008D6CAE">
      <w:rPr>
        <w:color w:val="365F91" w:themeColor="accent1" w:themeShade="BF"/>
      </w:rPr>
      <w:t>Background and Scope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12C2A4" w14:textId="77777777" w:rsidR="003732A2" w:rsidRPr="00B319BE" w:rsidRDefault="003732A2" w:rsidP="00B319BE">
    <w:pPr>
      <w:pStyle w:val="Header"/>
      <w:pBdr>
        <w:bottom w:val="single" w:sz="4" w:space="1" w:color="365F91" w:themeColor="accent1" w:themeShade="BF"/>
      </w:pBdr>
      <w:jc w:val="right"/>
      <w:rPr>
        <w:color w:val="365F91" w:themeColor="accent1" w:themeShade="BF"/>
      </w:rPr>
    </w:pPr>
    <w:r w:rsidRPr="00B319BE">
      <w:rPr>
        <w:color w:val="365F91" w:themeColor="accent1" w:themeShade="BF"/>
      </w:rPr>
      <w:t xml:space="preserve">Zimbabwe PER – Health | </w:t>
    </w:r>
    <w:r w:rsidRPr="008D6CAE">
      <w:rPr>
        <w:color w:val="365F91" w:themeColor="accent1" w:themeShade="BF"/>
      </w:rPr>
      <w:t xml:space="preserve">Overview of </w:t>
    </w:r>
    <w:r>
      <w:rPr>
        <w:color w:val="365F91" w:themeColor="accent1" w:themeShade="BF"/>
      </w:rPr>
      <w:t>Health Outcomes and Needs</w:t>
    </w:r>
    <w:r w:rsidRPr="00B319BE">
      <w:rPr>
        <w:color w:val="365F91" w:themeColor="accent1" w:themeShade="BF"/>
      </w:rPr>
      <w:t xml:space="preserve"> </w:t>
    </w:r>
  </w:p>
  <w:p w14:paraId="54C1F38E" w14:textId="77777777" w:rsidR="003732A2" w:rsidRPr="002346CD" w:rsidRDefault="003732A2" w:rsidP="00E73060">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54210C" w14:textId="77777777" w:rsidR="003732A2" w:rsidRPr="00B319BE" w:rsidRDefault="003732A2" w:rsidP="00B319BE">
    <w:pPr>
      <w:pStyle w:val="Header"/>
      <w:pBdr>
        <w:bottom w:val="single" w:sz="4" w:space="1" w:color="365F91" w:themeColor="accent1" w:themeShade="BF"/>
      </w:pBdr>
      <w:jc w:val="right"/>
      <w:rPr>
        <w:color w:val="365F91" w:themeColor="accent1" w:themeShade="BF"/>
      </w:rPr>
    </w:pPr>
    <w:r w:rsidRPr="00B319BE">
      <w:rPr>
        <w:color w:val="365F91" w:themeColor="accent1" w:themeShade="BF"/>
      </w:rPr>
      <w:t xml:space="preserve">Zimbabwe PER – Health | </w:t>
    </w:r>
    <w:r>
      <w:rPr>
        <w:color w:val="365F91" w:themeColor="accent1" w:themeShade="BF"/>
      </w:rPr>
      <w:t>Health Expenditures</w:t>
    </w:r>
    <w:r w:rsidRPr="00B319BE">
      <w:rPr>
        <w:color w:val="365F91" w:themeColor="accent1" w:themeShade="BF"/>
      </w:rPr>
      <w:t xml:space="preserve"> </w:t>
    </w:r>
  </w:p>
  <w:p w14:paraId="4084836E" w14:textId="77777777" w:rsidR="003732A2" w:rsidRPr="002346CD" w:rsidRDefault="003732A2" w:rsidP="00E73060">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E2F548" w14:textId="77777777" w:rsidR="003732A2" w:rsidRPr="00B319BE" w:rsidRDefault="003732A2" w:rsidP="00B319BE">
    <w:pPr>
      <w:pStyle w:val="Header"/>
      <w:pBdr>
        <w:bottom w:val="single" w:sz="4" w:space="1" w:color="365F91" w:themeColor="accent1" w:themeShade="BF"/>
      </w:pBdr>
      <w:jc w:val="right"/>
      <w:rPr>
        <w:color w:val="365F91" w:themeColor="accent1" w:themeShade="BF"/>
      </w:rPr>
    </w:pPr>
    <w:r w:rsidRPr="00B319BE">
      <w:rPr>
        <w:color w:val="365F91" w:themeColor="accent1" w:themeShade="BF"/>
      </w:rPr>
      <w:t xml:space="preserve">Zimbabwe PER – Health | </w:t>
    </w:r>
    <w:r w:rsidRPr="001D07D7">
      <w:rPr>
        <w:color w:val="365F91" w:themeColor="accent1" w:themeShade="BF"/>
      </w:rPr>
      <w:t>Prospects for Additional Financing for Health</w:t>
    </w:r>
  </w:p>
  <w:p w14:paraId="28E86DA0" w14:textId="77777777" w:rsidR="003732A2" w:rsidRPr="002346CD" w:rsidRDefault="003732A2" w:rsidP="00E73060">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4BAEE3" w14:textId="77777777" w:rsidR="003732A2" w:rsidRPr="00B319BE" w:rsidRDefault="003732A2" w:rsidP="00B319BE">
    <w:pPr>
      <w:pStyle w:val="Header"/>
      <w:pBdr>
        <w:bottom w:val="single" w:sz="4" w:space="1" w:color="365F91" w:themeColor="accent1" w:themeShade="BF"/>
      </w:pBdr>
      <w:jc w:val="right"/>
      <w:rPr>
        <w:color w:val="365F91" w:themeColor="accent1" w:themeShade="BF"/>
      </w:rPr>
    </w:pPr>
    <w:r w:rsidRPr="00B319BE">
      <w:rPr>
        <w:color w:val="365F91" w:themeColor="accent1" w:themeShade="BF"/>
      </w:rPr>
      <w:t xml:space="preserve">Zimbabwe PER – Health | </w:t>
    </w:r>
    <w:r>
      <w:rPr>
        <w:color w:val="365F91" w:themeColor="accent1" w:themeShade="BF"/>
      </w:rPr>
      <w:t>Conclusions</w:t>
    </w:r>
    <w:r w:rsidRPr="00B319BE">
      <w:rPr>
        <w:color w:val="365F91" w:themeColor="accent1" w:themeShade="BF"/>
      </w:rPr>
      <w:t xml:space="preserve"> </w:t>
    </w:r>
  </w:p>
  <w:p w14:paraId="508126E3" w14:textId="77777777" w:rsidR="003732A2" w:rsidRPr="002346CD" w:rsidRDefault="003732A2" w:rsidP="00E7306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DB3E7282"/>
    <w:lvl w:ilvl="0">
      <w:start w:val="1"/>
      <w:numFmt w:val="decimal"/>
      <w:lvlText w:val="%1."/>
      <w:lvlJc w:val="left"/>
      <w:pPr>
        <w:tabs>
          <w:tab w:val="num" w:pos="1800"/>
        </w:tabs>
        <w:ind w:left="1800" w:hanging="360"/>
      </w:pPr>
    </w:lvl>
  </w:abstractNum>
  <w:abstractNum w:abstractNumId="1">
    <w:nsid w:val="FFFFFF7D"/>
    <w:multiLevelType w:val="singleLevel"/>
    <w:tmpl w:val="37CC202E"/>
    <w:lvl w:ilvl="0">
      <w:start w:val="1"/>
      <w:numFmt w:val="decimal"/>
      <w:lvlText w:val="%1."/>
      <w:lvlJc w:val="left"/>
      <w:pPr>
        <w:tabs>
          <w:tab w:val="num" w:pos="1440"/>
        </w:tabs>
        <w:ind w:left="1440" w:hanging="360"/>
      </w:pPr>
    </w:lvl>
  </w:abstractNum>
  <w:abstractNum w:abstractNumId="2">
    <w:nsid w:val="FFFFFF7E"/>
    <w:multiLevelType w:val="singleLevel"/>
    <w:tmpl w:val="BA527224"/>
    <w:lvl w:ilvl="0">
      <w:start w:val="1"/>
      <w:numFmt w:val="decimal"/>
      <w:lvlText w:val="%1."/>
      <w:lvlJc w:val="left"/>
      <w:pPr>
        <w:tabs>
          <w:tab w:val="num" w:pos="1080"/>
        </w:tabs>
        <w:ind w:left="1080" w:hanging="360"/>
      </w:pPr>
    </w:lvl>
  </w:abstractNum>
  <w:abstractNum w:abstractNumId="3">
    <w:nsid w:val="FFFFFF7F"/>
    <w:multiLevelType w:val="singleLevel"/>
    <w:tmpl w:val="C01ED988"/>
    <w:lvl w:ilvl="0">
      <w:start w:val="1"/>
      <w:numFmt w:val="decimal"/>
      <w:lvlText w:val="%1."/>
      <w:lvlJc w:val="left"/>
      <w:pPr>
        <w:tabs>
          <w:tab w:val="num" w:pos="720"/>
        </w:tabs>
        <w:ind w:left="720" w:hanging="360"/>
      </w:pPr>
    </w:lvl>
  </w:abstractNum>
  <w:abstractNum w:abstractNumId="4">
    <w:nsid w:val="FFFFFF80"/>
    <w:multiLevelType w:val="singleLevel"/>
    <w:tmpl w:val="ABCACFFC"/>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58B6C37A"/>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C723AA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7012EF1C"/>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988261D0"/>
    <w:lvl w:ilvl="0">
      <w:start w:val="1"/>
      <w:numFmt w:val="decimal"/>
      <w:lvlText w:val="%1."/>
      <w:lvlJc w:val="left"/>
      <w:pPr>
        <w:tabs>
          <w:tab w:val="num" w:pos="360"/>
        </w:tabs>
        <w:ind w:left="360" w:hanging="360"/>
      </w:pPr>
    </w:lvl>
  </w:abstractNum>
  <w:abstractNum w:abstractNumId="9">
    <w:nsid w:val="FFFFFF89"/>
    <w:multiLevelType w:val="singleLevel"/>
    <w:tmpl w:val="21BC845E"/>
    <w:lvl w:ilvl="0">
      <w:start w:val="1"/>
      <w:numFmt w:val="bullet"/>
      <w:lvlText w:val=""/>
      <w:lvlJc w:val="left"/>
      <w:pPr>
        <w:tabs>
          <w:tab w:val="num" w:pos="360"/>
        </w:tabs>
        <w:ind w:left="360" w:hanging="360"/>
      </w:pPr>
      <w:rPr>
        <w:rFonts w:ascii="Symbol" w:hAnsi="Symbol" w:hint="default"/>
      </w:rPr>
    </w:lvl>
  </w:abstractNum>
  <w:abstractNum w:abstractNumId="10">
    <w:nsid w:val="0A271C8A"/>
    <w:multiLevelType w:val="hybridMultilevel"/>
    <w:tmpl w:val="ACD28FF4"/>
    <w:lvl w:ilvl="0" w:tplc="040C000B">
      <w:start w:val="1"/>
      <w:numFmt w:val="bullet"/>
      <w:lvlText w:val=""/>
      <w:lvlJc w:val="left"/>
      <w:pPr>
        <w:ind w:left="1080" w:hanging="72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715860"/>
    <w:multiLevelType w:val="hybridMultilevel"/>
    <w:tmpl w:val="B520108E"/>
    <w:lvl w:ilvl="0" w:tplc="63705FE6">
      <w:start w:val="1"/>
      <w:numFmt w:val="decimal"/>
      <w:pStyle w:val="FigureJS"/>
      <w:lvlText w:val="Figure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2">
    <w:nsid w:val="1E392A9A"/>
    <w:multiLevelType w:val="hybridMultilevel"/>
    <w:tmpl w:val="DD96853C"/>
    <w:lvl w:ilvl="0" w:tplc="E72E92B4">
      <w:start w:val="1"/>
      <w:numFmt w:val="decimal"/>
      <w:pStyle w:val="Numberpara"/>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A1472F6"/>
    <w:multiLevelType w:val="hybridMultilevel"/>
    <w:tmpl w:val="12744A4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E6761F1"/>
    <w:multiLevelType w:val="hybridMultilevel"/>
    <w:tmpl w:val="98BCFA3E"/>
    <w:lvl w:ilvl="0" w:tplc="E5463EEE">
      <w:start w:val="1"/>
      <w:numFmt w:val="bullet"/>
      <w:pStyle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nsid w:val="30B669AD"/>
    <w:multiLevelType w:val="hybridMultilevel"/>
    <w:tmpl w:val="DCF09CBA"/>
    <w:lvl w:ilvl="0" w:tplc="1914877C">
      <w:start w:val="1"/>
      <w:numFmt w:val="decimal"/>
      <w:pStyle w:val="FigureAnnex"/>
      <w:lvlText w:val="Figure A.%1."/>
      <w:lvlJc w:val="left"/>
      <w:pPr>
        <w:ind w:left="21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nsid w:val="3F5430DD"/>
    <w:multiLevelType w:val="hybridMultilevel"/>
    <w:tmpl w:val="5456EB6E"/>
    <w:lvl w:ilvl="0" w:tplc="9B98AFEA">
      <w:start w:val="1"/>
      <w:numFmt w:val="lowerLetter"/>
      <w:pStyle w:val="titre4a"/>
      <w:lvlText w:val="%1)"/>
      <w:lvlJc w:val="left"/>
      <w:pPr>
        <w:ind w:left="144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569C5F38"/>
    <w:multiLevelType w:val="hybridMultilevel"/>
    <w:tmpl w:val="99BC4028"/>
    <w:lvl w:ilvl="0" w:tplc="CD30279A">
      <w:start w:val="1"/>
      <w:numFmt w:val="lowerRoman"/>
      <w:pStyle w:val="Numberparaes"/>
      <w:lvlText w:val="%1."/>
      <w:lvlJc w:val="left"/>
      <w:pPr>
        <w:ind w:left="360" w:hanging="360"/>
      </w:pPr>
      <w:rPr>
        <w:rFonts w:asciiTheme="minorHAnsi" w:hAnsiTheme="minorHAnsi"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B7E6770"/>
    <w:multiLevelType w:val="hybridMultilevel"/>
    <w:tmpl w:val="A9B4DEBA"/>
    <w:lvl w:ilvl="0" w:tplc="209E9B3E">
      <w:start w:val="1"/>
      <w:numFmt w:val="decimal"/>
      <w:pStyle w:val="TableAnnex"/>
      <w:lvlText w:val="Table 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11"/>
  </w:num>
  <w:num w:numId="3">
    <w:abstractNumId w:val="15"/>
  </w:num>
  <w:num w:numId="4">
    <w:abstractNumId w:val="18"/>
  </w:num>
  <w:num w:numId="5">
    <w:abstractNumId w:val="16"/>
  </w:num>
  <w:num w:numId="6">
    <w:abstractNumId w:val="10"/>
  </w:num>
  <w:num w:numId="7">
    <w:abstractNumId w:val="13"/>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12"/>
  </w:num>
  <w:num w:numId="19">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stylePaneSortMethod w:val="0000"/>
  <w:revisionView w:inkAnnotations="0"/>
  <w:doNotTrackFormatting/>
  <w:defaultTabStop w:val="432"/>
  <w:drawingGridHorizontalSpacing w:val="120"/>
  <w:displayHorizontalDrawingGridEvery w:val="2"/>
  <w:characterSpacingControl w:val="doNotCompress"/>
  <w:hdrShapeDefaults>
    <o:shapedefaults v:ext="edit" spidmax="14337">
      <o:colormru v:ext="edit" colors="green"/>
      <o:colormenu v:ext="edit" fillcolor="green"/>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W_DocType" w:val="NORMAL"/>
  </w:docVars>
  <w:rsids>
    <w:rsidRoot w:val="003A6164"/>
    <w:rsid w:val="000012A3"/>
    <w:rsid w:val="00001837"/>
    <w:rsid w:val="00001F09"/>
    <w:rsid w:val="00002352"/>
    <w:rsid w:val="00002451"/>
    <w:rsid w:val="000029BA"/>
    <w:rsid w:val="0000369F"/>
    <w:rsid w:val="00003D08"/>
    <w:rsid w:val="000045CA"/>
    <w:rsid w:val="00004C4D"/>
    <w:rsid w:val="00004CE7"/>
    <w:rsid w:val="00005129"/>
    <w:rsid w:val="00005B42"/>
    <w:rsid w:val="000072D5"/>
    <w:rsid w:val="00007617"/>
    <w:rsid w:val="00007835"/>
    <w:rsid w:val="00007911"/>
    <w:rsid w:val="00007E78"/>
    <w:rsid w:val="00010A23"/>
    <w:rsid w:val="00011734"/>
    <w:rsid w:val="00012115"/>
    <w:rsid w:val="00012186"/>
    <w:rsid w:val="000126BE"/>
    <w:rsid w:val="00013713"/>
    <w:rsid w:val="00014345"/>
    <w:rsid w:val="00014842"/>
    <w:rsid w:val="000154E9"/>
    <w:rsid w:val="00015766"/>
    <w:rsid w:val="00015789"/>
    <w:rsid w:val="000157CD"/>
    <w:rsid w:val="000157F3"/>
    <w:rsid w:val="00015D6F"/>
    <w:rsid w:val="0001671F"/>
    <w:rsid w:val="000168DF"/>
    <w:rsid w:val="00016FE0"/>
    <w:rsid w:val="00017984"/>
    <w:rsid w:val="00017C8D"/>
    <w:rsid w:val="00017E61"/>
    <w:rsid w:val="00017F02"/>
    <w:rsid w:val="0002032C"/>
    <w:rsid w:val="000205B6"/>
    <w:rsid w:val="00020760"/>
    <w:rsid w:val="000208E3"/>
    <w:rsid w:val="000209E8"/>
    <w:rsid w:val="00020A1C"/>
    <w:rsid w:val="000219B5"/>
    <w:rsid w:val="00023065"/>
    <w:rsid w:val="00023146"/>
    <w:rsid w:val="0002358D"/>
    <w:rsid w:val="000239AA"/>
    <w:rsid w:val="00024F03"/>
    <w:rsid w:val="000257B1"/>
    <w:rsid w:val="00025AB4"/>
    <w:rsid w:val="00025B57"/>
    <w:rsid w:val="00025D44"/>
    <w:rsid w:val="00025DB3"/>
    <w:rsid w:val="000260DD"/>
    <w:rsid w:val="00026496"/>
    <w:rsid w:val="00026B3E"/>
    <w:rsid w:val="00026F08"/>
    <w:rsid w:val="0002724C"/>
    <w:rsid w:val="00027618"/>
    <w:rsid w:val="00027F4C"/>
    <w:rsid w:val="00030585"/>
    <w:rsid w:val="00030992"/>
    <w:rsid w:val="00030C33"/>
    <w:rsid w:val="00030ED1"/>
    <w:rsid w:val="000311DE"/>
    <w:rsid w:val="00032748"/>
    <w:rsid w:val="000328E7"/>
    <w:rsid w:val="00033A20"/>
    <w:rsid w:val="000349C8"/>
    <w:rsid w:val="00034F7F"/>
    <w:rsid w:val="000351D9"/>
    <w:rsid w:val="000353EB"/>
    <w:rsid w:val="000356BD"/>
    <w:rsid w:val="00037514"/>
    <w:rsid w:val="0004010F"/>
    <w:rsid w:val="00040632"/>
    <w:rsid w:val="0004238C"/>
    <w:rsid w:val="000438EF"/>
    <w:rsid w:val="00043C1E"/>
    <w:rsid w:val="00043F2C"/>
    <w:rsid w:val="0004574A"/>
    <w:rsid w:val="00045B46"/>
    <w:rsid w:val="00045FCE"/>
    <w:rsid w:val="0004626C"/>
    <w:rsid w:val="0004680F"/>
    <w:rsid w:val="00046BA4"/>
    <w:rsid w:val="000472A0"/>
    <w:rsid w:val="0004768A"/>
    <w:rsid w:val="00047BDB"/>
    <w:rsid w:val="00047CD8"/>
    <w:rsid w:val="00047E7A"/>
    <w:rsid w:val="00047FAA"/>
    <w:rsid w:val="00050F4A"/>
    <w:rsid w:val="000510E1"/>
    <w:rsid w:val="0005121F"/>
    <w:rsid w:val="00051B46"/>
    <w:rsid w:val="00051D80"/>
    <w:rsid w:val="00051DA4"/>
    <w:rsid w:val="000525A5"/>
    <w:rsid w:val="0005319F"/>
    <w:rsid w:val="00054C13"/>
    <w:rsid w:val="000551B1"/>
    <w:rsid w:val="00055B9A"/>
    <w:rsid w:val="000565E5"/>
    <w:rsid w:val="000578C9"/>
    <w:rsid w:val="00057DB4"/>
    <w:rsid w:val="00060B3E"/>
    <w:rsid w:val="00060DE4"/>
    <w:rsid w:val="00060E83"/>
    <w:rsid w:val="000620FF"/>
    <w:rsid w:val="0006264F"/>
    <w:rsid w:val="0006288A"/>
    <w:rsid w:val="00062DDD"/>
    <w:rsid w:val="000633A3"/>
    <w:rsid w:val="00063405"/>
    <w:rsid w:val="0006361F"/>
    <w:rsid w:val="00063639"/>
    <w:rsid w:val="000653CA"/>
    <w:rsid w:val="000664AB"/>
    <w:rsid w:val="00067313"/>
    <w:rsid w:val="00067386"/>
    <w:rsid w:val="0006762A"/>
    <w:rsid w:val="00067774"/>
    <w:rsid w:val="0006798B"/>
    <w:rsid w:val="00067D0D"/>
    <w:rsid w:val="00070760"/>
    <w:rsid w:val="00070989"/>
    <w:rsid w:val="00071267"/>
    <w:rsid w:val="00071D6E"/>
    <w:rsid w:val="00071F5D"/>
    <w:rsid w:val="000730DD"/>
    <w:rsid w:val="00073498"/>
    <w:rsid w:val="00075481"/>
    <w:rsid w:val="00075810"/>
    <w:rsid w:val="00077402"/>
    <w:rsid w:val="0008155D"/>
    <w:rsid w:val="00081740"/>
    <w:rsid w:val="0008216E"/>
    <w:rsid w:val="0008230C"/>
    <w:rsid w:val="00082BA1"/>
    <w:rsid w:val="00083548"/>
    <w:rsid w:val="00083736"/>
    <w:rsid w:val="000847EA"/>
    <w:rsid w:val="000850CA"/>
    <w:rsid w:val="000851BA"/>
    <w:rsid w:val="00086E09"/>
    <w:rsid w:val="00087438"/>
    <w:rsid w:val="00087B06"/>
    <w:rsid w:val="00087F34"/>
    <w:rsid w:val="00090409"/>
    <w:rsid w:val="00091E8C"/>
    <w:rsid w:val="000923F9"/>
    <w:rsid w:val="0009282E"/>
    <w:rsid w:val="000928FD"/>
    <w:rsid w:val="000933EA"/>
    <w:rsid w:val="00094370"/>
    <w:rsid w:val="00094E22"/>
    <w:rsid w:val="00095341"/>
    <w:rsid w:val="000956B6"/>
    <w:rsid w:val="00095BD7"/>
    <w:rsid w:val="0009616C"/>
    <w:rsid w:val="000961C0"/>
    <w:rsid w:val="00096445"/>
    <w:rsid w:val="00096742"/>
    <w:rsid w:val="00096760"/>
    <w:rsid w:val="00096BFE"/>
    <w:rsid w:val="000970D1"/>
    <w:rsid w:val="00097D18"/>
    <w:rsid w:val="000A0260"/>
    <w:rsid w:val="000A0AE9"/>
    <w:rsid w:val="000A0E12"/>
    <w:rsid w:val="000A17E8"/>
    <w:rsid w:val="000A212B"/>
    <w:rsid w:val="000A2162"/>
    <w:rsid w:val="000A24AF"/>
    <w:rsid w:val="000A2DB1"/>
    <w:rsid w:val="000A4373"/>
    <w:rsid w:val="000A4CF4"/>
    <w:rsid w:val="000A4D16"/>
    <w:rsid w:val="000A5CBB"/>
    <w:rsid w:val="000A5EC2"/>
    <w:rsid w:val="000A5FFD"/>
    <w:rsid w:val="000A62D1"/>
    <w:rsid w:val="000A640A"/>
    <w:rsid w:val="000A64BF"/>
    <w:rsid w:val="000A65F2"/>
    <w:rsid w:val="000B0638"/>
    <w:rsid w:val="000B08C5"/>
    <w:rsid w:val="000B0F62"/>
    <w:rsid w:val="000B17F6"/>
    <w:rsid w:val="000B18E5"/>
    <w:rsid w:val="000B48BE"/>
    <w:rsid w:val="000B4C21"/>
    <w:rsid w:val="000B5CF4"/>
    <w:rsid w:val="000B68FF"/>
    <w:rsid w:val="000B6BE1"/>
    <w:rsid w:val="000B6D15"/>
    <w:rsid w:val="000B741E"/>
    <w:rsid w:val="000B7597"/>
    <w:rsid w:val="000B76BC"/>
    <w:rsid w:val="000B7998"/>
    <w:rsid w:val="000B7ADC"/>
    <w:rsid w:val="000C020D"/>
    <w:rsid w:val="000C0601"/>
    <w:rsid w:val="000C10D9"/>
    <w:rsid w:val="000C2782"/>
    <w:rsid w:val="000C466F"/>
    <w:rsid w:val="000C57C7"/>
    <w:rsid w:val="000C68DD"/>
    <w:rsid w:val="000C6B9B"/>
    <w:rsid w:val="000C6C8B"/>
    <w:rsid w:val="000C78E3"/>
    <w:rsid w:val="000D00BE"/>
    <w:rsid w:val="000D028E"/>
    <w:rsid w:val="000D073A"/>
    <w:rsid w:val="000D077F"/>
    <w:rsid w:val="000D1D39"/>
    <w:rsid w:val="000D2499"/>
    <w:rsid w:val="000D2518"/>
    <w:rsid w:val="000D2CD8"/>
    <w:rsid w:val="000D38A8"/>
    <w:rsid w:val="000D3992"/>
    <w:rsid w:val="000D4629"/>
    <w:rsid w:val="000D4736"/>
    <w:rsid w:val="000D49BE"/>
    <w:rsid w:val="000D4D59"/>
    <w:rsid w:val="000D57E3"/>
    <w:rsid w:val="000D673D"/>
    <w:rsid w:val="000D77E8"/>
    <w:rsid w:val="000D7BE4"/>
    <w:rsid w:val="000E1046"/>
    <w:rsid w:val="000E1225"/>
    <w:rsid w:val="000E2AC2"/>
    <w:rsid w:val="000E3BF2"/>
    <w:rsid w:val="000E3DAD"/>
    <w:rsid w:val="000E3E06"/>
    <w:rsid w:val="000E42E6"/>
    <w:rsid w:val="000E454C"/>
    <w:rsid w:val="000E489C"/>
    <w:rsid w:val="000E4D57"/>
    <w:rsid w:val="000E5681"/>
    <w:rsid w:val="000E5BA9"/>
    <w:rsid w:val="000E6207"/>
    <w:rsid w:val="000E6FB0"/>
    <w:rsid w:val="000E7398"/>
    <w:rsid w:val="000E760F"/>
    <w:rsid w:val="000E76A3"/>
    <w:rsid w:val="000E7982"/>
    <w:rsid w:val="000E7AB3"/>
    <w:rsid w:val="000F036F"/>
    <w:rsid w:val="000F1388"/>
    <w:rsid w:val="000F1410"/>
    <w:rsid w:val="000F16D0"/>
    <w:rsid w:val="000F1CEA"/>
    <w:rsid w:val="000F1EBA"/>
    <w:rsid w:val="000F3C80"/>
    <w:rsid w:val="000F54D1"/>
    <w:rsid w:val="000F56EE"/>
    <w:rsid w:val="000F5A0C"/>
    <w:rsid w:val="000F65D4"/>
    <w:rsid w:val="000F6B24"/>
    <w:rsid w:val="000F6FED"/>
    <w:rsid w:val="000F7559"/>
    <w:rsid w:val="000F7E95"/>
    <w:rsid w:val="00100373"/>
    <w:rsid w:val="0010049E"/>
    <w:rsid w:val="0010087A"/>
    <w:rsid w:val="00100A40"/>
    <w:rsid w:val="001017D6"/>
    <w:rsid w:val="00101D9D"/>
    <w:rsid w:val="00102628"/>
    <w:rsid w:val="00103A59"/>
    <w:rsid w:val="001049A7"/>
    <w:rsid w:val="00105C33"/>
    <w:rsid w:val="001060B0"/>
    <w:rsid w:val="0010687D"/>
    <w:rsid w:val="001068D6"/>
    <w:rsid w:val="00106BF4"/>
    <w:rsid w:val="0010755A"/>
    <w:rsid w:val="001076D3"/>
    <w:rsid w:val="00107827"/>
    <w:rsid w:val="00107DB2"/>
    <w:rsid w:val="00110823"/>
    <w:rsid w:val="00111BEB"/>
    <w:rsid w:val="00112253"/>
    <w:rsid w:val="0011226C"/>
    <w:rsid w:val="00112547"/>
    <w:rsid w:val="00112743"/>
    <w:rsid w:val="0011283B"/>
    <w:rsid w:val="001128FA"/>
    <w:rsid w:val="00112D82"/>
    <w:rsid w:val="00113462"/>
    <w:rsid w:val="001137BA"/>
    <w:rsid w:val="00113BB7"/>
    <w:rsid w:val="00113BE7"/>
    <w:rsid w:val="00113EAD"/>
    <w:rsid w:val="001141C1"/>
    <w:rsid w:val="0011473C"/>
    <w:rsid w:val="00114884"/>
    <w:rsid w:val="00115238"/>
    <w:rsid w:val="0011549C"/>
    <w:rsid w:val="0011587F"/>
    <w:rsid w:val="0011594F"/>
    <w:rsid w:val="00115A61"/>
    <w:rsid w:val="001160D9"/>
    <w:rsid w:val="001160EE"/>
    <w:rsid w:val="0011653B"/>
    <w:rsid w:val="0011673A"/>
    <w:rsid w:val="00116E11"/>
    <w:rsid w:val="0011735D"/>
    <w:rsid w:val="00120690"/>
    <w:rsid w:val="00120F02"/>
    <w:rsid w:val="0012126E"/>
    <w:rsid w:val="00121358"/>
    <w:rsid w:val="00121394"/>
    <w:rsid w:val="001218CE"/>
    <w:rsid w:val="00123497"/>
    <w:rsid w:val="001234B2"/>
    <w:rsid w:val="00123A1B"/>
    <w:rsid w:val="00123DB8"/>
    <w:rsid w:val="00123FB0"/>
    <w:rsid w:val="0012405E"/>
    <w:rsid w:val="001240B4"/>
    <w:rsid w:val="0012499A"/>
    <w:rsid w:val="00124F0D"/>
    <w:rsid w:val="0012509B"/>
    <w:rsid w:val="0012511D"/>
    <w:rsid w:val="00125676"/>
    <w:rsid w:val="001257B3"/>
    <w:rsid w:val="00126141"/>
    <w:rsid w:val="001267A9"/>
    <w:rsid w:val="00126912"/>
    <w:rsid w:val="0012759D"/>
    <w:rsid w:val="00127864"/>
    <w:rsid w:val="00130853"/>
    <w:rsid w:val="00130E54"/>
    <w:rsid w:val="001318D9"/>
    <w:rsid w:val="0013257D"/>
    <w:rsid w:val="001325F8"/>
    <w:rsid w:val="0013268D"/>
    <w:rsid w:val="001327F3"/>
    <w:rsid w:val="00132E9B"/>
    <w:rsid w:val="001338F0"/>
    <w:rsid w:val="00133DCD"/>
    <w:rsid w:val="00134148"/>
    <w:rsid w:val="00134723"/>
    <w:rsid w:val="00134C07"/>
    <w:rsid w:val="00135A7A"/>
    <w:rsid w:val="00135D8B"/>
    <w:rsid w:val="001361A4"/>
    <w:rsid w:val="001368EF"/>
    <w:rsid w:val="00136B6E"/>
    <w:rsid w:val="00136CB2"/>
    <w:rsid w:val="001373FF"/>
    <w:rsid w:val="0013758C"/>
    <w:rsid w:val="00140919"/>
    <w:rsid w:val="00140935"/>
    <w:rsid w:val="00140A77"/>
    <w:rsid w:val="0014184A"/>
    <w:rsid w:val="00141B96"/>
    <w:rsid w:val="00142745"/>
    <w:rsid w:val="00142EDF"/>
    <w:rsid w:val="001430BC"/>
    <w:rsid w:val="00143589"/>
    <w:rsid w:val="00143D62"/>
    <w:rsid w:val="00143E8E"/>
    <w:rsid w:val="00144837"/>
    <w:rsid w:val="00144E3D"/>
    <w:rsid w:val="00145B2B"/>
    <w:rsid w:val="00146061"/>
    <w:rsid w:val="001464FF"/>
    <w:rsid w:val="00146758"/>
    <w:rsid w:val="001470A1"/>
    <w:rsid w:val="00147211"/>
    <w:rsid w:val="001473FB"/>
    <w:rsid w:val="0014759F"/>
    <w:rsid w:val="00147AD8"/>
    <w:rsid w:val="00147F35"/>
    <w:rsid w:val="00147FBC"/>
    <w:rsid w:val="00150EC4"/>
    <w:rsid w:val="00150F6E"/>
    <w:rsid w:val="00151ED7"/>
    <w:rsid w:val="00152C65"/>
    <w:rsid w:val="00152D2B"/>
    <w:rsid w:val="00152DBE"/>
    <w:rsid w:val="0015370E"/>
    <w:rsid w:val="0015439C"/>
    <w:rsid w:val="00157CFD"/>
    <w:rsid w:val="001601B1"/>
    <w:rsid w:val="001607B3"/>
    <w:rsid w:val="00162A6A"/>
    <w:rsid w:val="0016303E"/>
    <w:rsid w:val="00163154"/>
    <w:rsid w:val="00163A23"/>
    <w:rsid w:val="00163FDC"/>
    <w:rsid w:val="001645F1"/>
    <w:rsid w:val="00164BC7"/>
    <w:rsid w:val="0016545E"/>
    <w:rsid w:val="00165555"/>
    <w:rsid w:val="00165E90"/>
    <w:rsid w:val="0016620B"/>
    <w:rsid w:val="0016633C"/>
    <w:rsid w:val="00166BBF"/>
    <w:rsid w:val="00166D48"/>
    <w:rsid w:val="001673E8"/>
    <w:rsid w:val="001677D4"/>
    <w:rsid w:val="00170D82"/>
    <w:rsid w:val="0017247D"/>
    <w:rsid w:val="001724BB"/>
    <w:rsid w:val="00172D6D"/>
    <w:rsid w:val="001739C1"/>
    <w:rsid w:val="00173F72"/>
    <w:rsid w:val="001740A0"/>
    <w:rsid w:val="001743BA"/>
    <w:rsid w:val="00174999"/>
    <w:rsid w:val="00174AB8"/>
    <w:rsid w:val="001750A8"/>
    <w:rsid w:val="001751AD"/>
    <w:rsid w:val="00175289"/>
    <w:rsid w:val="00175CB9"/>
    <w:rsid w:val="0017615E"/>
    <w:rsid w:val="00176263"/>
    <w:rsid w:val="0017627F"/>
    <w:rsid w:val="00176819"/>
    <w:rsid w:val="00176C4E"/>
    <w:rsid w:val="00176E3A"/>
    <w:rsid w:val="00177B1C"/>
    <w:rsid w:val="00177F2B"/>
    <w:rsid w:val="0018021C"/>
    <w:rsid w:val="00180415"/>
    <w:rsid w:val="00180743"/>
    <w:rsid w:val="00180A2B"/>
    <w:rsid w:val="00180E8A"/>
    <w:rsid w:val="0018240D"/>
    <w:rsid w:val="00182A09"/>
    <w:rsid w:val="00182BDB"/>
    <w:rsid w:val="00183334"/>
    <w:rsid w:val="001835E8"/>
    <w:rsid w:val="00183B6D"/>
    <w:rsid w:val="00184B05"/>
    <w:rsid w:val="00184E23"/>
    <w:rsid w:val="001852E6"/>
    <w:rsid w:val="00185375"/>
    <w:rsid w:val="00185D55"/>
    <w:rsid w:val="0018662B"/>
    <w:rsid w:val="00186C08"/>
    <w:rsid w:val="00186FE2"/>
    <w:rsid w:val="00187051"/>
    <w:rsid w:val="00187382"/>
    <w:rsid w:val="001873D4"/>
    <w:rsid w:val="001876A7"/>
    <w:rsid w:val="0018771A"/>
    <w:rsid w:val="0019059F"/>
    <w:rsid w:val="00190F35"/>
    <w:rsid w:val="0019147B"/>
    <w:rsid w:val="00191B59"/>
    <w:rsid w:val="00191FA4"/>
    <w:rsid w:val="001925E4"/>
    <w:rsid w:val="001925E9"/>
    <w:rsid w:val="00192A43"/>
    <w:rsid w:val="0019307B"/>
    <w:rsid w:val="00193BC7"/>
    <w:rsid w:val="0019450D"/>
    <w:rsid w:val="0019462A"/>
    <w:rsid w:val="0019475A"/>
    <w:rsid w:val="00194AB0"/>
    <w:rsid w:val="001955C9"/>
    <w:rsid w:val="001955E4"/>
    <w:rsid w:val="00195602"/>
    <w:rsid w:val="00195A1D"/>
    <w:rsid w:val="00195F06"/>
    <w:rsid w:val="00196C8D"/>
    <w:rsid w:val="00196DF2"/>
    <w:rsid w:val="001972F0"/>
    <w:rsid w:val="00197A43"/>
    <w:rsid w:val="00197E0D"/>
    <w:rsid w:val="001A00A8"/>
    <w:rsid w:val="001A0CBC"/>
    <w:rsid w:val="001A169F"/>
    <w:rsid w:val="001A1A78"/>
    <w:rsid w:val="001A1E5C"/>
    <w:rsid w:val="001A2429"/>
    <w:rsid w:val="001A272C"/>
    <w:rsid w:val="001A29AC"/>
    <w:rsid w:val="001A2A19"/>
    <w:rsid w:val="001A3D87"/>
    <w:rsid w:val="001A42E9"/>
    <w:rsid w:val="001A459D"/>
    <w:rsid w:val="001A4A36"/>
    <w:rsid w:val="001A4E59"/>
    <w:rsid w:val="001A5580"/>
    <w:rsid w:val="001A61F7"/>
    <w:rsid w:val="001A6472"/>
    <w:rsid w:val="001A6512"/>
    <w:rsid w:val="001A68DF"/>
    <w:rsid w:val="001A729D"/>
    <w:rsid w:val="001A7463"/>
    <w:rsid w:val="001B0247"/>
    <w:rsid w:val="001B0E6D"/>
    <w:rsid w:val="001B0FFC"/>
    <w:rsid w:val="001B2010"/>
    <w:rsid w:val="001B251A"/>
    <w:rsid w:val="001B254E"/>
    <w:rsid w:val="001B2625"/>
    <w:rsid w:val="001B26B9"/>
    <w:rsid w:val="001B34F5"/>
    <w:rsid w:val="001B39F7"/>
    <w:rsid w:val="001B4420"/>
    <w:rsid w:val="001B4873"/>
    <w:rsid w:val="001B5162"/>
    <w:rsid w:val="001B5220"/>
    <w:rsid w:val="001B65D0"/>
    <w:rsid w:val="001B6D5C"/>
    <w:rsid w:val="001B7A84"/>
    <w:rsid w:val="001C02D0"/>
    <w:rsid w:val="001C12A8"/>
    <w:rsid w:val="001C1BB8"/>
    <w:rsid w:val="001C1F5C"/>
    <w:rsid w:val="001C2557"/>
    <w:rsid w:val="001C3279"/>
    <w:rsid w:val="001C4870"/>
    <w:rsid w:val="001C4A41"/>
    <w:rsid w:val="001C4C52"/>
    <w:rsid w:val="001C5622"/>
    <w:rsid w:val="001C566C"/>
    <w:rsid w:val="001C5803"/>
    <w:rsid w:val="001C5D5B"/>
    <w:rsid w:val="001C5DBD"/>
    <w:rsid w:val="001C64E9"/>
    <w:rsid w:val="001C6754"/>
    <w:rsid w:val="001C6B1D"/>
    <w:rsid w:val="001C7181"/>
    <w:rsid w:val="001C7C0E"/>
    <w:rsid w:val="001D0759"/>
    <w:rsid w:val="001D07D7"/>
    <w:rsid w:val="001D0E87"/>
    <w:rsid w:val="001D1491"/>
    <w:rsid w:val="001D182F"/>
    <w:rsid w:val="001D199A"/>
    <w:rsid w:val="001D2974"/>
    <w:rsid w:val="001D3369"/>
    <w:rsid w:val="001D3CC2"/>
    <w:rsid w:val="001D49B5"/>
    <w:rsid w:val="001D4A5E"/>
    <w:rsid w:val="001D4F15"/>
    <w:rsid w:val="001D524A"/>
    <w:rsid w:val="001D5260"/>
    <w:rsid w:val="001D5D47"/>
    <w:rsid w:val="001D6047"/>
    <w:rsid w:val="001D6A6A"/>
    <w:rsid w:val="001D7A04"/>
    <w:rsid w:val="001D7AA3"/>
    <w:rsid w:val="001D7DFE"/>
    <w:rsid w:val="001E095F"/>
    <w:rsid w:val="001E0CF0"/>
    <w:rsid w:val="001E1F46"/>
    <w:rsid w:val="001E20A6"/>
    <w:rsid w:val="001E27AC"/>
    <w:rsid w:val="001E31FE"/>
    <w:rsid w:val="001E3283"/>
    <w:rsid w:val="001E3675"/>
    <w:rsid w:val="001E3CC4"/>
    <w:rsid w:val="001E41AF"/>
    <w:rsid w:val="001E4309"/>
    <w:rsid w:val="001E433E"/>
    <w:rsid w:val="001E4953"/>
    <w:rsid w:val="001E4DC6"/>
    <w:rsid w:val="001E5063"/>
    <w:rsid w:val="001E54E6"/>
    <w:rsid w:val="001E57D2"/>
    <w:rsid w:val="001E642F"/>
    <w:rsid w:val="001E6583"/>
    <w:rsid w:val="001E6E65"/>
    <w:rsid w:val="001E7CB7"/>
    <w:rsid w:val="001F128C"/>
    <w:rsid w:val="001F145A"/>
    <w:rsid w:val="001F2102"/>
    <w:rsid w:val="001F2147"/>
    <w:rsid w:val="001F2F19"/>
    <w:rsid w:val="001F2F9F"/>
    <w:rsid w:val="001F2FB1"/>
    <w:rsid w:val="001F4671"/>
    <w:rsid w:val="001F4902"/>
    <w:rsid w:val="001F52EF"/>
    <w:rsid w:val="001F5721"/>
    <w:rsid w:val="001F57BC"/>
    <w:rsid w:val="001F5C9A"/>
    <w:rsid w:val="001F5F2E"/>
    <w:rsid w:val="001F73E2"/>
    <w:rsid w:val="00200427"/>
    <w:rsid w:val="002004AF"/>
    <w:rsid w:val="0020055B"/>
    <w:rsid w:val="00200C26"/>
    <w:rsid w:val="0020107D"/>
    <w:rsid w:val="00201B62"/>
    <w:rsid w:val="00201B66"/>
    <w:rsid w:val="00202A57"/>
    <w:rsid w:val="00202BEE"/>
    <w:rsid w:val="0020301F"/>
    <w:rsid w:val="0020398C"/>
    <w:rsid w:val="00203C69"/>
    <w:rsid w:val="00203E9F"/>
    <w:rsid w:val="0020414C"/>
    <w:rsid w:val="00206062"/>
    <w:rsid w:val="002060C7"/>
    <w:rsid w:val="00206C5B"/>
    <w:rsid w:val="002073F1"/>
    <w:rsid w:val="002076EC"/>
    <w:rsid w:val="00207BD0"/>
    <w:rsid w:val="00210C77"/>
    <w:rsid w:val="00210FE0"/>
    <w:rsid w:val="00211AA4"/>
    <w:rsid w:val="002127C7"/>
    <w:rsid w:val="00212C81"/>
    <w:rsid w:val="0021324B"/>
    <w:rsid w:val="002146B0"/>
    <w:rsid w:val="002148B4"/>
    <w:rsid w:val="00214EB5"/>
    <w:rsid w:val="002152E3"/>
    <w:rsid w:val="00215439"/>
    <w:rsid w:val="00215549"/>
    <w:rsid w:val="0021568E"/>
    <w:rsid w:val="0021584F"/>
    <w:rsid w:val="002158CA"/>
    <w:rsid w:val="002162C8"/>
    <w:rsid w:val="002167E7"/>
    <w:rsid w:val="00216D3C"/>
    <w:rsid w:val="002174FC"/>
    <w:rsid w:val="00217559"/>
    <w:rsid w:val="00217A6C"/>
    <w:rsid w:val="00217D9A"/>
    <w:rsid w:val="002200C6"/>
    <w:rsid w:val="0022081C"/>
    <w:rsid w:val="0022138F"/>
    <w:rsid w:val="002215E8"/>
    <w:rsid w:val="0022163E"/>
    <w:rsid w:val="00222012"/>
    <w:rsid w:val="00222E6C"/>
    <w:rsid w:val="00223109"/>
    <w:rsid w:val="002234FF"/>
    <w:rsid w:val="00223DBD"/>
    <w:rsid w:val="002245EB"/>
    <w:rsid w:val="00224AB0"/>
    <w:rsid w:val="0022526B"/>
    <w:rsid w:val="00225523"/>
    <w:rsid w:val="002255F8"/>
    <w:rsid w:val="002260B2"/>
    <w:rsid w:val="0022665B"/>
    <w:rsid w:val="00226BC2"/>
    <w:rsid w:val="00226FA8"/>
    <w:rsid w:val="00227613"/>
    <w:rsid w:val="002278FB"/>
    <w:rsid w:val="00227D66"/>
    <w:rsid w:val="00230079"/>
    <w:rsid w:val="00230427"/>
    <w:rsid w:val="00230CA6"/>
    <w:rsid w:val="00231DA0"/>
    <w:rsid w:val="0023200F"/>
    <w:rsid w:val="0023266A"/>
    <w:rsid w:val="00232F51"/>
    <w:rsid w:val="00233865"/>
    <w:rsid w:val="00233BC5"/>
    <w:rsid w:val="0023416F"/>
    <w:rsid w:val="002346CD"/>
    <w:rsid w:val="00234BAE"/>
    <w:rsid w:val="00234CCE"/>
    <w:rsid w:val="002350E9"/>
    <w:rsid w:val="00235162"/>
    <w:rsid w:val="00235856"/>
    <w:rsid w:val="00235F49"/>
    <w:rsid w:val="00235F7C"/>
    <w:rsid w:val="00235FF2"/>
    <w:rsid w:val="00236A4C"/>
    <w:rsid w:val="0023709A"/>
    <w:rsid w:val="002371AF"/>
    <w:rsid w:val="002377CF"/>
    <w:rsid w:val="00237C70"/>
    <w:rsid w:val="00237D76"/>
    <w:rsid w:val="00237FB5"/>
    <w:rsid w:val="002400AF"/>
    <w:rsid w:val="002415D2"/>
    <w:rsid w:val="00242034"/>
    <w:rsid w:val="002437E8"/>
    <w:rsid w:val="00244B72"/>
    <w:rsid w:val="00244CA8"/>
    <w:rsid w:val="00244CF3"/>
    <w:rsid w:val="00245E73"/>
    <w:rsid w:val="0024630F"/>
    <w:rsid w:val="002471E6"/>
    <w:rsid w:val="00247879"/>
    <w:rsid w:val="00247D74"/>
    <w:rsid w:val="00250728"/>
    <w:rsid w:val="00250CBE"/>
    <w:rsid w:val="00251E84"/>
    <w:rsid w:val="00252081"/>
    <w:rsid w:val="0025209E"/>
    <w:rsid w:val="002522D9"/>
    <w:rsid w:val="0025287B"/>
    <w:rsid w:val="00252BFE"/>
    <w:rsid w:val="00252C6E"/>
    <w:rsid w:val="00253765"/>
    <w:rsid w:val="002537F1"/>
    <w:rsid w:val="00253CCE"/>
    <w:rsid w:val="00253CDF"/>
    <w:rsid w:val="002542D8"/>
    <w:rsid w:val="0025476C"/>
    <w:rsid w:val="00254A0C"/>
    <w:rsid w:val="0025511A"/>
    <w:rsid w:val="00255303"/>
    <w:rsid w:val="00256395"/>
    <w:rsid w:val="002568C1"/>
    <w:rsid w:val="00256B18"/>
    <w:rsid w:val="00256EC0"/>
    <w:rsid w:val="002570CE"/>
    <w:rsid w:val="002575DF"/>
    <w:rsid w:val="00257969"/>
    <w:rsid w:val="00260B26"/>
    <w:rsid w:val="00260F49"/>
    <w:rsid w:val="00261398"/>
    <w:rsid w:val="002621D5"/>
    <w:rsid w:val="002624BF"/>
    <w:rsid w:val="00262B14"/>
    <w:rsid w:val="00262B7D"/>
    <w:rsid w:val="00262FED"/>
    <w:rsid w:val="00263007"/>
    <w:rsid w:val="0026305A"/>
    <w:rsid w:val="00263475"/>
    <w:rsid w:val="0026392D"/>
    <w:rsid w:val="002642B3"/>
    <w:rsid w:val="0026466F"/>
    <w:rsid w:val="00264823"/>
    <w:rsid w:val="00264B68"/>
    <w:rsid w:val="00264B89"/>
    <w:rsid w:val="00265573"/>
    <w:rsid w:val="0026596B"/>
    <w:rsid w:val="002659CB"/>
    <w:rsid w:val="002671AB"/>
    <w:rsid w:val="002671BF"/>
    <w:rsid w:val="0026727F"/>
    <w:rsid w:val="00267387"/>
    <w:rsid w:val="00267ACF"/>
    <w:rsid w:val="00267B5A"/>
    <w:rsid w:val="00270156"/>
    <w:rsid w:val="00270205"/>
    <w:rsid w:val="00270929"/>
    <w:rsid w:val="00270A20"/>
    <w:rsid w:val="002714D2"/>
    <w:rsid w:val="00272053"/>
    <w:rsid w:val="002726B9"/>
    <w:rsid w:val="00274042"/>
    <w:rsid w:val="00274BFF"/>
    <w:rsid w:val="00274E81"/>
    <w:rsid w:val="00275FFF"/>
    <w:rsid w:val="00276455"/>
    <w:rsid w:val="00276852"/>
    <w:rsid w:val="00276EF9"/>
    <w:rsid w:val="00277C6F"/>
    <w:rsid w:val="00280ECB"/>
    <w:rsid w:val="00280F86"/>
    <w:rsid w:val="002812C4"/>
    <w:rsid w:val="002813AB"/>
    <w:rsid w:val="00281BB8"/>
    <w:rsid w:val="00282620"/>
    <w:rsid w:val="00282B5D"/>
    <w:rsid w:val="0028396C"/>
    <w:rsid w:val="00283971"/>
    <w:rsid w:val="00283D74"/>
    <w:rsid w:val="002840C1"/>
    <w:rsid w:val="0028414F"/>
    <w:rsid w:val="002847AF"/>
    <w:rsid w:val="00286029"/>
    <w:rsid w:val="002871AE"/>
    <w:rsid w:val="0028730E"/>
    <w:rsid w:val="002875C7"/>
    <w:rsid w:val="0028771D"/>
    <w:rsid w:val="00290456"/>
    <w:rsid w:val="00290A48"/>
    <w:rsid w:val="00290C33"/>
    <w:rsid w:val="002915DA"/>
    <w:rsid w:val="00291EBD"/>
    <w:rsid w:val="002923E5"/>
    <w:rsid w:val="00292501"/>
    <w:rsid w:val="002925E1"/>
    <w:rsid w:val="00292858"/>
    <w:rsid w:val="0029382A"/>
    <w:rsid w:val="0029451A"/>
    <w:rsid w:val="00295CBF"/>
    <w:rsid w:val="002965C9"/>
    <w:rsid w:val="00296CD5"/>
    <w:rsid w:val="00296ECF"/>
    <w:rsid w:val="002A01CE"/>
    <w:rsid w:val="002A0CE6"/>
    <w:rsid w:val="002A11D9"/>
    <w:rsid w:val="002A1A1D"/>
    <w:rsid w:val="002A1C13"/>
    <w:rsid w:val="002A1F47"/>
    <w:rsid w:val="002A336D"/>
    <w:rsid w:val="002A3A9C"/>
    <w:rsid w:val="002A3C49"/>
    <w:rsid w:val="002A3CE9"/>
    <w:rsid w:val="002A3DDB"/>
    <w:rsid w:val="002A3FA6"/>
    <w:rsid w:val="002A4D86"/>
    <w:rsid w:val="002A4DA6"/>
    <w:rsid w:val="002A4EA0"/>
    <w:rsid w:val="002A5882"/>
    <w:rsid w:val="002A5C9D"/>
    <w:rsid w:val="002A5D47"/>
    <w:rsid w:val="002A6347"/>
    <w:rsid w:val="002A641A"/>
    <w:rsid w:val="002A6FAF"/>
    <w:rsid w:val="002A7135"/>
    <w:rsid w:val="002A71DB"/>
    <w:rsid w:val="002A74CB"/>
    <w:rsid w:val="002A7B84"/>
    <w:rsid w:val="002A7BA2"/>
    <w:rsid w:val="002B0477"/>
    <w:rsid w:val="002B0815"/>
    <w:rsid w:val="002B0EAB"/>
    <w:rsid w:val="002B1695"/>
    <w:rsid w:val="002B1C12"/>
    <w:rsid w:val="002B27EC"/>
    <w:rsid w:val="002B2CF4"/>
    <w:rsid w:val="002B2E0F"/>
    <w:rsid w:val="002B2E37"/>
    <w:rsid w:val="002B326A"/>
    <w:rsid w:val="002B39E8"/>
    <w:rsid w:val="002B42A5"/>
    <w:rsid w:val="002B4420"/>
    <w:rsid w:val="002B46C1"/>
    <w:rsid w:val="002B46D8"/>
    <w:rsid w:val="002B58BB"/>
    <w:rsid w:val="002B5C0D"/>
    <w:rsid w:val="002B6715"/>
    <w:rsid w:val="002B6F58"/>
    <w:rsid w:val="002C00B5"/>
    <w:rsid w:val="002C16B5"/>
    <w:rsid w:val="002C2367"/>
    <w:rsid w:val="002C2AD2"/>
    <w:rsid w:val="002C3BC9"/>
    <w:rsid w:val="002C4AD0"/>
    <w:rsid w:val="002C5C08"/>
    <w:rsid w:val="002C6387"/>
    <w:rsid w:val="002C6A9C"/>
    <w:rsid w:val="002C72A3"/>
    <w:rsid w:val="002C7C2F"/>
    <w:rsid w:val="002D0401"/>
    <w:rsid w:val="002D0651"/>
    <w:rsid w:val="002D0D2B"/>
    <w:rsid w:val="002D1309"/>
    <w:rsid w:val="002D3264"/>
    <w:rsid w:val="002D340E"/>
    <w:rsid w:val="002D34F2"/>
    <w:rsid w:val="002D44B1"/>
    <w:rsid w:val="002D580A"/>
    <w:rsid w:val="002D58D9"/>
    <w:rsid w:val="002D5A3E"/>
    <w:rsid w:val="002D63F4"/>
    <w:rsid w:val="002D74D9"/>
    <w:rsid w:val="002D7892"/>
    <w:rsid w:val="002D795E"/>
    <w:rsid w:val="002D7D4F"/>
    <w:rsid w:val="002E010D"/>
    <w:rsid w:val="002E02C4"/>
    <w:rsid w:val="002E0CF2"/>
    <w:rsid w:val="002E197B"/>
    <w:rsid w:val="002E1FA9"/>
    <w:rsid w:val="002E2DC1"/>
    <w:rsid w:val="002E3055"/>
    <w:rsid w:val="002E3687"/>
    <w:rsid w:val="002E3691"/>
    <w:rsid w:val="002E3B93"/>
    <w:rsid w:val="002E474A"/>
    <w:rsid w:val="002E5080"/>
    <w:rsid w:val="002E522D"/>
    <w:rsid w:val="002E5E22"/>
    <w:rsid w:val="002E63AA"/>
    <w:rsid w:val="002E6922"/>
    <w:rsid w:val="002E796F"/>
    <w:rsid w:val="002E7EAE"/>
    <w:rsid w:val="002F0217"/>
    <w:rsid w:val="002F0411"/>
    <w:rsid w:val="002F04AA"/>
    <w:rsid w:val="002F0D32"/>
    <w:rsid w:val="002F1207"/>
    <w:rsid w:val="002F13BC"/>
    <w:rsid w:val="002F2CDB"/>
    <w:rsid w:val="002F2FC3"/>
    <w:rsid w:val="002F3259"/>
    <w:rsid w:val="002F3AB3"/>
    <w:rsid w:val="002F4AC4"/>
    <w:rsid w:val="002F59BE"/>
    <w:rsid w:val="002F6197"/>
    <w:rsid w:val="002F650A"/>
    <w:rsid w:val="002F66FA"/>
    <w:rsid w:val="002F68CA"/>
    <w:rsid w:val="00300545"/>
    <w:rsid w:val="00300CB4"/>
    <w:rsid w:val="00300E67"/>
    <w:rsid w:val="0030172B"/>
    <w:rsid w:val="00301C2D"/>
    <w:rsid w:val="0030268F"/>
    <w:rsid w:val="00303163"/>
    <w:rsid w:val="003034A9"/>
    <w:rsid w:val="003034B7"/>
    <w:rsid w:val="00303881"/>
    <w:rsid w:val="00303D80"/>
    <w:rsid w:val="003043C8"/>
    <w:rsid w:val="00305084"/>
    <w:rsid w:val="003067AC"/>
    <w:rsid w:val="00306B5D"/>
    <w:rsid w:val="00306BB2"/>
    <w:rsid w:val="00307299"/>
    <w:rsid w:val="00307904"/>
    <w:rsid w:val="00307AD9"/>
    <w:rsid w:val="00310452"/>
    <w:rsid w:val="0031066A"/>
    <w:rsid w:val="003108C6"/>
    <w:rsid w:val="00310A39"/>
    <w:rsid w:val="00310CD7"/>
    <w:rsid w:val="00310E51"/>
    <w:rsid w:val="003113AA"/>
    <w:rsid w:val="0031152D"/>
    <w:rsid w:val="0031174E"/>
    <w:rsid w:val="00311B8F"/>
    <w:rsid w:val="00311F77"/>
    <w:rsid w:val="00312254"/>
    <w:rsid w:val="00312C69"/>
    <w:rsid w:val="00312FEB"/>
    <w:rsid w:val="00313966"/>
    <w:rsid w:val="00314F84"/>
    <w:rsid w:val="00315577"/>
    <w:rsid w:val="003160B4"/>
    <w:rsid w:val="0031651B"/>
    <w:rsid w:val="00316681"/>
    <w:rsid w:val="00316D0D"/>
    <w:rsid w:val="0031793C"/>
    <w:rsid w:val="00317C4F"/>
    <w:rsid w:val="003200F8"/>
    <w:rsid w:val="00320F82"/>
    <w:rsid w:val="00321053"/>
    <w:rsid w:val="00321756"/>
    <w:rsid w:val="00321767"/>
    <w:rsid w:val="00321B04"/>
    <w:rsid w:val="00323AEE"/>
    <w:rsid w:val="0032460A"/>
    <w:rsid w:val="003249F9"/>
    <w:rsid w:val="00324BB0"/>
    <w:rsid w:val="003256A1"/>
    <w:rsid w:val="00325D49"/>
    <w:rsid w:val="00325F2D"/>
    <w:rsid w:val="00326487"/>
    <w:rsid w:val="00326B9D"/>
    <w:rsid w:val="003272F3"/>
    <w:rsid w:val="00327479"/>
    <w:rsid w:val="003275DB"/>
    <w:rsid w:val="003276F9"/>
    <w:rsid w:val="00327D87"/>
    <w:rsid w:val="00327DB8"/>
    <w:rsid w:val="00330258"/>
    <w:rsid w:val="00330FAD"/>
    <w:rsid w:val="003314B4"/>
    <w:rsid w:val="003314CA"/>
    <w:rsid w:val="0033270A"/>
    <w:rsid w:val="0033278D"/>
    <w:rsid w:val="00332C37"/>
    <w:rsid w:val="00333C7A"/>
    <w:rsid w:val="00334541"/>
    <w:rsid w:val="00334EBE"/>
    <w:rsid w:val="003354B8"/>
    <w:rsid w:val="003354FB"/>
    <w:rsid w:val="0033621B"/>
    <w:rsid w:val="0033716F"/>
    <w:rsid w:val="00337AB7"/>
    <w:rsid w:val="00337B44"/>
    <w:rsid w:val="00337F74"/>
    <w:rsid w:val="00337FA8"/>
    <w:rsid w:val="00340652"/>
    <w:rsid w:val="00341072"/>
    <w:rsid w:val="003410D2"/>
    <w:rsid w:val="0034236B"/>
    <w:rsid w:val="00342884"/>
    <w:rsid w:val="00342943"/>
    <w:rsid w:val="00343CAA"/>
    <w:rsid w:val="00343D15"/>
    <w:rsid w:val="0034428F"/>
    <w:rsid w:val="003449B4"/>
    <w:rsid w:val="00344B36"/>
    <w:rsid w:val="003452FC"/>
    <w:rsid w:val="0034585D"/>
    <w:rsid w:val="00345D16"/>
    <w:rsid w:val="00345EB3"/>
    <w:rsid w:val="003467D4"/>
    <w:rsid w:val="00347107"/>
    <w:rsid w:val="00347328"/>
    <w:rsid w:val="00347DCE"/>
    <w:rsid w:val="0035017F"/>
    <w:rsid w:val="00350842"/>
    <w:rsid w:val="003511BD"/>
    <w:rsid w:val="003511C2"/>
    <w:rsid w:val="003517CD"/>
    <w:rsid w:val="00352A6E"/>
    <w:rsid w:val="00352E8B"/>
    <w:rsid w:val="0035340A"/>
    <w:rsid w:val="00353A0B"/>
    <w:rsid w:val="00354692"/>
    <w:rsid w:val="00355F47"/>
    <w:rsid w:val="00356AA1"/>
    <w:rsid w:val="00356E2A"/>
    <w:rsid w:val="003600B4"/>
    <w:rsid w:val="00361450"/>
    <w:rsid w:val="003625D8"/>
    <w:rsid w:val="00362721"/>
    <w:rsid w:val="00362745"/>
    <w:rsid w:val="00362E04"/>
    <w:rsid w:val="00363FBB"/>
    <w:rsid w:val="00364DA9"/>
    <w:rsid w:val="00365697"/>
    <w:rsid w:val="0036696C"/>
    <w:rsid w:val="00366B1C"/>
    <w:rsid w:val="0036725D"/>
    <w:rsid w:val="00367F48"/>
    <w:rsid w:val="00367F9C"/>
    <w:rsid w:val="00370594"/>
    <w:rsid w:val="003705A2"/>
    <w:rsid w:val="003708BE"/>
    <w:rsid w:val="00370C33"/>
    <w:rsid w:val="00370CFD"/>
    <w:rsid w:val="00370F0C"/>
    <w:rsid w:val="003714CD"/>
    <w:rsid w:val="00371F1E"/>
    <w:rsid w:val="00372C36"/>
    <w:rsid w:val="003732A2"/>
    <w:rsid w:val="0037347D"/>
    <w:rsid w:val="00373C38"/>
    <w:rsid w:val="00373DD2"/>
    <w:rsid w:val="0037440C"/>
    <w:rsid w:val="00374B5C"/>
    <w:rsid w:val="003754FD"/>
    <w:rsid w:val="00376304"/>
    <w:rsid w:val="00376420"/>
    <w:rsid w:val="00376789"/>
    <w:rsid w:val="00376B94"/>
    <w:rsid w:val="00376BDA"/>
    <w:rsid w:val="00376DEA"/>
    <w:rsid w:val="00376DF1"/>
    <w:rsid w:val="00377116"/>
    <w:rsid w:val="00380C5C"/>
    <w:rsid w:val="00380FC9"/>
    <w:rsid w:val="00381135"/>
    <w:rsid w:val="00381531"/>
    <w:rsid w:val="0038219E"/>
    <w:rsid w:val="003821D6"/>
    <w:rsid w:val="0038242D"/>
    <w:rsid w:val="0038367F"/>
    <w:rsid w:val="00383817"/>
    <w:rsid w:val="00383C25"/>
    <w:rsid w:val="00383CCC"/>
    <w:rsid w:val="003858EE"/>
    <w:rsid w:val="00385A9E"/>
    <w:rsid w:val="00385CA7"/>
    <w:rsid w:val="00385D41"/>
    <w:rsid w:val="0038656B"/>
    <w:rsid w:val="00386E5A"/>
    <w:rsid w:val="00387498"/>
    <w:rsid w:val="00387887"/>
    <w:rsid w:val="003905E2"/>
    <w:rsid w:val="003912AC"/>
    <w:rsid w:val="00391507"/>
    <w:rsid w:val="00391943"/>
    <w:rsid w:val="00392524"/>
    <w:rsid w:val="00392568"/>
    <w:rsid w:val="00392663"/>
    <w:rsid w:val="00392927"/>
    <w:rsid w:val="00393F3E"/>
    <w:rsid w:val="003946DF"/>
    <w:rsid w:val="0039475E"/>
    <w:rsid w:val="00394E58"/>
    <w:rsid w:val="0039562E"/>
    <w:rsid w:val="0039606B"/>
    <w:rsid w:val="003968D1"/>
    <w:rsid w:val="00396916"/>
    <w:rsid w:val="00396AB0"/>
    <w:rsid w:val="00397BD4"/>
    <w:rsid w:val="00397F69"/>
    <w:rsid w:val="00397FE6"/>
    <w:rsid w:val="003A022A"/>
    <w:rsid w:val="003A04FD"/>
    <w:rsid w:val="003A094F"/>
    <w:rsid w:val="003A0AD8"/>
    <w:rsid w:val="003A183A"/>
    <w:rsid w:val="003A2CA7"/>
    <w:rsid w:val="003A306E"/>
    <w:rsid w:val="003A35E7"/>
    <w:rsid w:val="003A36B2"/>
    <w:rsid w:val="003A3A4F"/>
    <w:rsid w:val="003A5510"/>
    <w:rsid w:val="003A55AF"/>
    <w:rsid w:val="003A5CB2"/>
    <w:rsid w:val="003A6164"/>
    <w:rsid w:val="003A672A"/>
    <w:rsid w:val="003A698C"/>
    <w:rsid w:val="003A7025"/>
    <w:rsid w:val="003A7048"/>
    <w:rsid w:val="003A750B"/>
    <w:rsid w:val="003A78C5"/>
    <w:rsid w:val="003A7A78"/>
    <w:rsid w:val="003B026C"/>
    <w:rsid w:val="003B058D"/>
    <w:rsid w:val="003B077B"/>
    <w:rsid w:val="003B07D8"/>
    <w:rsid w:val="003B09B2"/>
    <w:rsid w:val="003B0A45"/>
    <w:rsid w:val="003B1700"/>
    <w:rsid w:val="003B18FE"/>
    <w:rsid w:val="003B1D7B"/>
    <w:rsid w:val="003B1E32"/>
    <w:rsid w:val="003B3483"/>
    <w:rsid w:val="003B45CD"/>
    <w:rsid w:val="003B4821"/>
    <w:rsid w:val="003B48A9"/>
    <w:rsid w:val="003B514B"/>
    <w:rsid w:val="003B5585"/>
    <w:rsid w:val="003B637E"/>
    <w:rsid w:val="003B655F"/>
    <w:rsid w:val="003B6CF6"/>
    <w:rsid w:val="003B7A99"/>
    <w:rsid w:val="003B7B4F"/>
    <w:rsid w:val="003B7FD7"/>
    <w:rsid w:val="003C049A"/>
    <w:rsid w:val="003C0719"/>
    <w:rsid w:val="003C0F52"/>
    <w:rsid w:val="003C12B4"/>
    <w:rsid w:val="003C144C"/>
    <w:rsid w:val="003C1588"/>
    <w:rsid w:val="003C1E57"/>
    <w:rsid w:val="003C237C"/>
    <w:rsid w:val="003C2537"/>
    <w:rsid w:val="003C278B"/>
    <w:rsid w:val="003C2AD7"/>
    <w:rsid w:val="003C329F"/>
    <w:rsid w:val="003C4266"/>
    <w:rsid w:val="003C4AF2"/>
    <w:rsid w:val="003C4C73"/>
    <w:rsid w:val="003C4E65"/>
    <w:rsid w:val="003C5278"/>
    <w:rsid w:val="003C55EA"/>
    <w:rsid w:val="003C5656"/>
    <w:rsid w:val="003C591D"/>
    <w:rsid w:val="003C59AC"/>
    <w:rsid w:val="003C5A13"/>
    <w:rsid w:val="003C5BB0"/>
    <w:rsid w:val="003C67D5"/>
    <w:rsid w:val="003C7ADD"/>
    <w:rsid w:val="003C7FC2"/>
    <w:rsid w:val="003D0857"/>
    <w:rsid w:val="003D113A"/>
    <w:rsid w:val="003D1693"/>
    <w:rsid w:val="003D1F03"/>
    <w:rsid w:val="003D2889"/>
    <w:rsid w:val="003D2BEA"/>
    <w:rsid w:val="003D2F87"/>
    <w:rsid w:val="003D3291"/>
    <w:rsid w:val="003D35AF"/>
    <w:rsid w:val="003D3899"/>
    <w:rsid w:val="003D44A7"/>
    <w:rsid w:val="003D44BF"/>
    <w:rsid w:val="003D4579"/>
    <w:rsid w:val="003D465D"/>
    <w:rsid w:val="003D4B36"/>
    <w:rsid w:val="003D4EB8"/>
    <w:rsid w:val="003D4F20"/>
    <w:rsid w:val="003D5170"/>
    <w:rsid w:val="003D617F"/>
    <w:rsid w:val="003D67FD"/>
    <w:rsid w:val="003D6FB2"/>
    <w:rsid w:val="003D7027"/>
    <w:rsid w:val="003D70F6"/>
    <w:rsid w:val="003D7600"/>
    <w:rsid w:val="003E0C61"/>
    <w:rsid w:val="003E0C64"/>
    <w:rsid w:val="003E129E"/>
    <w:rsid w:val="003E15F7"/>
    <w:rsid w:val="003E1D97"/>
    <w:rsid w:val="003E1E49"/>
    <w:rsid w:val="003E1FE2"/>
    <w:rsid w:val="003E2960"/>
    <w:rsid w:val="003E2CAD"/>
    <w:rsid w:val="003E2D60"/>
    <w:rsid w:val="003E33E6"/>
    <w:rsid w:val="003E3400"/>
    <w:rsid w:val="003E471B"/>
    <w:rsid w:val="003E5C2C"/>
    <w:rsid w:val="003E5D4B"/>
    <w:rsid w:val="003E5ECC"/>
    <w:rsid w:val="003E5F41"/>
    <w:rsid w:val="003E6B39"/>
    <w:rsid w:val="003F0C5E"/>
    <w:rsid w:val="003F103D"/>
    <w:rsid w:val="003F11AA"/>
    <w:rsid w:val="003F14DD"/>
    <w:rsid w:val="003F14EF"/>
    <w:rsid w:val="003F16E2"/>
    <w:rsid w:val="003F1A28"/>
    <w:rsid w:val="003F1CCD"/>
    <w:rsid w:val="003F2032"/>
    <w:rsid w:val="003F2AF6"/>
    <w:rsid w:val="003F2E91"/>
    <w:rsid w:val="003F377B"/>
    <w:rsid w:val="003F42FD"/>
    <w:rsid w:val="003F4999"/>
    <w:rsid w:val="003F4A0D"/>
    <w:rsid w:val="003F4A9D"/>
    <w:rsid w:val="003F5E48"/>
    <w:rsid w:val="003F69A1"/>
    <w:rsid w:val="003F6CE8"/>
    <w:rsid w:val="00400062"/>
    <w:rsid w:val="004001D4"/>
    <w:rsid w:val="004007AB"/>
    <w:rsid w:val="004019E3"/>
    <w:rsid w:val="004033C7"/>
    <w:rsid w:val="004035CB"/>
    <w:rsid w:val="004035F2"/>
    <w:rsid w:val="004046D9"/>
    <w:rsid w:val="004048AC"/>
    <w:rsid w:val="00404D98"/>
    <w:rsid w:val="00405735"/>
    <w:rsid w:val="00407ADD"/>
    <w:rsid w:val="004104A7"/>
    <w:rsid w:val="00410539"/>
    <w:rsid w:val="004108BA"/>
    <w:rsid w:val="00410F1D"/>
    <w:rsid w:val="00411D30"/>
    <w:rsid w:val="00412220"/>
    <w:rsid w:val="00414CE3"/>
    <w:rsid w:val="00415142"/>
    <w:rsid w:val="00415190"/>
    <w:rsid w:val="00415567"/>
    <w:rsid w:val="004156CE"/>
    <w:rsid w:val="00415746"/>
    <w:rsid w:val="00416272"/>
    <w:rsid w:val="004167DA"/>
    <w:rsid w:val="00416A23"/>
    <w:rsid w:val="00416B11"/>
    <w:rsid w:val="00416F93"/>
    <w:rsid w:val="004171F3"/>
    <w:rsid w:val="00417B78"/>
    <w:rsid w:val="00417E01"/>
    <w:rsid w:val="00417F50"/>
    <w:rsid w:val="00417FEC"/>
    <w:rsid w:val="0042027E"/>
    <w:rsid w:val="00420A42"/>
    <w:rsid w:val="00420D22"/>
    <w:rsid w:val="004212F8"/>
    <w:rsid w:val="004212FB"/>
    <w:rsid w:val="00421726"/>
    <w:rsid w:val="00421CAD"/>
    <w:rsid w:val="00423517"/>
    <w:rsid w:val="00423AF0"/>
    <w:rsid w:val="00423F8A"/>
    <w:rsid w:val="004241DE"/>
    <w:rsid w:val="0042479A"/>
    <w:rsid w:val="00424A16"/>
    <w:rsid w:val="00424A2D"/>
    <w:rsid w:val="004254F5"/>
    <w:rsid w:val="00426574"/>
    <w:rsid w:val="00426589"/>
    <w:rsid w:val="004265BB"/>
    <w:rsid w:val="00426614"/>
    <w:rsid w:val="0042662A"/>
    <w:rsid w:val="004268EB"/>
    <w:rsid w:val="00426A3D"/>
    <w:rsid w:val="004271DA"/>
    <w:rsid w:val="00427396"/>
    <w:rsid w:val="0042773A"/>
    <w:rsid w:val="00427A34"/>
    <w:rsid w:val="00427B53"/>
    <w:rsid w:val="0043062A"/>
    <w:rsid w:val="00430DCE"/>
    <w:rsid w:val="004318F1"/>
    <w:rsid w:val="00431B83"/>
    <w:rsid w:val="00431D23"/>
    <w:rsid w:val="004321FE"/>
    <w:rsid w:val="0043343C"/>
    <w:rsid w:val="00433A3C"/>
    <w:rsid w:val="00433FCF"/>
    <w:rsid w:val="0043475B"/>
    <w:rsid w:val="00435942"/>
    <w:rsid w:val="00435B1A"/>
    <w:rsid w:val="00435F39"/>
    <w:rsid w:val="004375EB"/>
    <w:rsid w:val="0044004B"/>
    <w:rsid w:val="004403E5"/>
    <w:rsid w:val="00440B4F"/>
    <w:rsid w:val="004411B9"/>
    <w:rsid w:val="00441734"/>
    <w:rsid w:val="00441CC7"/>
    <w:rsid w:val="00441D11"/>
    <w:rsid w:val="00442CAD"/>
    <w:rsid w:val="0044339A"/>
    <w:rsid w:val="00443400"/>
    <w:rsid w:val="00443442"/>
    <w:rsid w:val="004443B3"/>
    <w:rsid w:val="00444F19"/>
    <w:rsid w:val="00444FA9"/>
    <w:rsid w:val="004453CA"/>
    <w:rsid w:val="004458C9"/>
    <w:rsid w:val="0044690E"/>
    <w:rsid w:val="0044695C"/>
    <w:rsid w:val="00447B12"/>
    <w:rsid w:val="004503AB"/>
    <w:rsid w:val="00450D5F"/>
    <w:rsid w:val="0045132D"/>
    <w:rsid w:val="00452220"/>
    <w:rsid w:val="00453017"/>
    <w:rsid w:val="0045302C"/>
    <w:rsid w:val="0045394A"/>
    <w:rsid w:val="004546D2"/>
    <w:rsid w:val="00454963"/>
    <w:rsid w:val="00454A64"/>
    <w:rsid w:val="00454ADB"/>
    <w:rsid w:val="00455066"/>
    <w:rsid w:val="004552F8"/>
    <w:rsid w:val="004567E3"/>
    <w:rsid w:val="00456DA6"/>
    <w:rsid w:val="00460511"/>
    <w:rsid w:val="004608BB"/>
    <w:rsid w:val="00460986"/>
    <w:rsid w:val="0046100E"/>
    <w:rsid w:val="0046103B"/>
    <w:rsid w:val="0046151C"/>
    <w:rsid w:val="00461597"/>
    <w:rsid w:val="004619E3"/>
    <w:rsid w:val="00461B49"/>
    <w:rsid w:val="00462FBA"/>
    <w:rsid w:val="00463554"/>
    <w:rsid w:val="00463E7C"/>
    <w:rsid w:val="00464899"/>
    <w:rsid w:val="00464E0F"/>
    <w:rsid w:val="00465081"/>
    <w:rsid w:val="00465ACC"/>
    <w:rsid w:val="00466674"/>
    <w:rsid w:val="0046716C"/>
    <w:rsid w:val="0046733C"/>
    <w:rsid w:val="00467410"/>
    <w:rsid w:val="00467835"/>
    <w:rsid w:val="004679B7"/>
    <w:rsid w:val="00471054"/>
    <w:rsid w:val="004725EB"/>
    <w:rsid w:val="00472824"/>
    <w:rsid w:val="00472A1D"/>
    <w:rsid w:val="004734DE"/>
    <w:rsid w:val="00473601"/>
    <w:rsid w:val="00473981"/>
    <w:rsid w:val="0047404C"/>
    <w:rsid w:val="00474B29"/>
    <w:rsid w:val="00474E6A"/>
    <w:rsid w:val="00475304"/>
    <w:rsid w:val="00475A40"/>
    <w:rsid w:val="004765E0"/>
    <w:rsid w:val="00476F02"/>
    <w:rsid w:val="00476F84"/>
    <w:rsid w:val="004779A8"/>
    <w:rsid w:val="00477C9B"/>
    <w:rsid w:val="004806B5"/>
    <w:rsid w:val="00480774"/>
    <w:rsid w:val="00480DE9"/>
    <w:rsid w:val="0048170D"/>
    <w:rsid w:val="0048180E"/>
    <w:rsid w:val="00481C22"/>
    <w:rsid w:val="00481C84"/>
    <w:rsid w:val="0048222C"/>
    <w:rsid w:val="00482764"/>
    <w:rsid w:val="004828F5"/>
    <w:rsid w:val="00482B66"/>
    <w:rsid w:val="00482FBB"/>
    <w:rsid w:val="00483284"/>
    <w:rsid w:val="00483370"/>
    <w:rsid w:val="00483492"/>
    <w:rsid w:val="00484DFB"/>
    <w:rsid w:val="00484F9B"/>
    <w:rsid w:val="0048533D"/>
    <w:rsid w:val="00486261"/>
    <w:rsid w:val="00486403"/>
    <w:rsid w:val="00486A2C"/>
    <w:rsid w:val="00487FC2"/>
    <w:rsid w:val="0049053F"/>
    <w:rsid w:val="004914F2"/>
    <w:rsid w:val="004917C0"/>
    <w:rsid w:val="004917DE"/>
    <w:rsid w:val="004924DB"/>
    <w:rsid w:val="004925C0"/>
    <w:rsid w:val="004933C1"/>
    <w:rsid w:val="004934B0"/>
    <w:rsid w:val="004946C5"/>
    <w:rsid w:val="00494D3B"/>
    <w:rsid w:val="0049521E"/>
    <w:rsid w:val="00495C05"/>
    <w:rsid w:val="00495E52"/>
    <w:rsid w:val="004960B3"/>
    <w:rsid w:val="00496214"/>
    <w:rsid w:val="00496AA2"/>
    <w:rsid w:val="004974A0"/>
    <w:rsid w:val="00497566"/>
    <w:rsid w:val="004A0741"/>
    <w:rsid w:val="004A0DBB"/>
    <w:rsid w:val="004A1209"/>
    <w:rsid w:val="004A1414"/>
    <w:rsid w:val="004A16D6"/>
    <w:rsid w:val="004A207B"/>
    <w:rsid w:val="004A2952"/>
    <w:rsid w:val="004A2CC8"/>
    <w:rsid w:val="004A2EBA"/>
    <w:rsid w:val="004A35F7"/>
    <w:rsid w:val="004A39F1"/>
    <w:rsid w:val="004A4284"/>
    <w:rsid w:val="004A4BAF"/>
    <w:rsid w:val="004A4DCF"/>
    <w:rsid w:val="004A522F"/>
    <w:rsid w:val="004A54ED"/>
    <w:rsid w:val="004A582D"/>
    <w:rsid w:val="004A6265"/>
    <w:rsid w:val="004A629C"/>
    <w:rsid w:val="004A6804"/>
    <w:rsid w:val="004A6D92"/>
    <w:rsid w:val="004A7315"/>
    <w:rsid w:val="004A75C8"/>
    <w:rsid w:val="004A7897"/>
    <w:rsid w:val="004A79E6"/>
    <w:rsid w:val="004A7C9E"/>
    <w:rsid w:val="004B0805"/>
    <w:rsid w:val="004B14A2"/>
    <w:rsid w:val="004B1D9B"/>
    <w:rsid w:val="004B2B6C"/>
    <w:rsid w:val="004B341D"/>
    <w:rsid w:val="004B3967"/>
    <w:rsid w:val="004B3FA9"/>
    <w:rsid w:val="004B3FAF"/>
    <w:rsid w:val="004B5892"/>
    <w:rsid w:val="004B5F69"/>
    <w:rsid w:val="004B60FA"/>
    <w:rsid w:val="004B6415"/>
    <w:rsid w:val="004B674F"/>
    <w:rsid w:val="004B7144"/>
    <w:rsid w:val="004B71B0"/>
    <w:rsid w:val="004B7414"/>
    <w:rsid w:val="004B7920"/>
    <w:rsid w:val="004B7C30"/>
    <w:rsid w:val="004C101E"/>
    <w:rsid w:val="004C216C"/>
    <w:rsid w:val="004C26F0"/>
    <w:rsid w:val="004C26F1"/>
    <w:rsid w:val="004C30B0"/>
    <w:rsid w:val="004C3540"/>
    <w:rsid w:val="004C3BEC"/>
    <w:rsid w:val="004C4269"/>
    <w:rsid w:val="004C4809"/>
    <w:rsid w:val="004C48A6"/>
    <w:rsid w:val="004C5BAA"/>
    <w:rsid w:val="004C5EB5"/>
    <w:rsid w:val="004C6D35"/>
    <w:rsid w:val="004C7200"/>
    <w:rsid w:val="004C7995"/>
    <w:rsid w:val="004D099D"/>
    <w:rsid w:val="004D0A20"/>
    <w:rsid w:val="004D2277"/>
    <w:rsid w:val="004D269B"/>
    <w:rsid w:val="004D319C"/>
    <w:rsid w:val="004D340A"/>
    <w:rsid w:val="004D3E25"/>
    <w:rsid w:val="004D4694"/>
    <w:rsid w:val="004D4F68"/>
    <w:rsid w:val="004D56D1"/>
    <w:rsid w:val="004D5732"/>
    <w:rsid w:val="004D5796"/>
    <w:rsid w:val="004D66C2"/>
    <w:rsid w:val="004D6837"/>
    <w:rsid w:val="004D6912"/>
    <w:rsid w:val="004D73FD"/>
    <w:rsid w:val="004D7B4D"/>
    <w:rsid w:val="004E01DF"/>
    <w:rsid w:val="004E0488"/>
    <w:rsid w:val="004E0994"/>
    <w:rsid w:val="004E09D6"/>
    <w:rsid w:val="004E1479"/>
    <w:rsid w:val="004E14F5"/>
    <w:rsid w:val="004E1574"/>
    <w:rsid w:val="004E1CC1"/>
    <w:rsid w:val="004E28D0"/>
    <w:rsid w:val="004E309A"/>
    <w:rsid w:val="004E326B"/>
    <w:rsid w:val="004E3433"/>
    <w:rsid w:val="004E3B40"/>
    <w:rsid w:val="004E4541"/>
    <w:rsid w:val="004E49C9"/>
    <w:rsid w:val="004E4D9B"/>
    <w:rsid w:val="004E5616"/>
    <w:rsid w:val="004E5E68"/>
    <w:rsid w:val="004E6401"/>
    <w:rsid w:val="004E6599"/>
    <w:rsid w:val="004E667A"/>
    <w:rsid w:val="004E6C32"/>
    <w:rsid w:val="004E6FB2"/>
    <w:rsid w:val="004E763D"/>
    <w:rsid w:val="004F00E2"/>
    <w:rsid w:val="004F0162"/>
    <w:rsid w:val="004F0F0E"/>
    <w:rsid w:val="004F0F9A"/>
    <w:rsid w:val="004F1105"/>
    <w:rsid w:val="004F1251"/>
    <w:rsid w:val="004F175C"/>
    <w:rsid w:val="004F28FA"/>
    <w:rsid w:val="004F30C1"/>
    <w:rsid w:val="004F3894"/>
    <w:rsid w:val="004F4CB9"/>
    <w:rsid w:val="004F5198"/>
    <w:rsid w:val="004F53C8"/>
    <w:rsid w:val="004F5CCD"/>
    <w:rsid w:val="004F703F"/>
    <w:rsid w:val="004F719B"/>
    <w:rsid w:val="004F7357"/>
    <w:rsid w:val="004F7B2C"/>
    <w:rsid w:val="005001A9"/>
    <w:rsid w:val="00500B65"/>
    <w:rsid w:val="00501654"/>
    <w:rsid w:val="00501C27"/>
    <w:rsid w:val="00501F45"/>
    <w:rsid w:val="005020A0"/>
    <w:rsid w:val="00502861"/>
    <w:rsid w:val="005028DB"/>
    <w:rsid w:val="00502962"/>
    <w:rsid w:val="00502E08"/>
    <w:rsid w:val="005032FC"/>
    <w:rsid w:val="00503B26"/>
    <w:rsid w:val="00503B67"/>
    <w:rsid w:val="00503C8D"/>
    <w:rsid w:val="005055E6"/>
    <w:rsid w:val="0050591C"/>
    <w:rsid w:val="00507D66"/>
    <w:rsid w:val="00511201"/>
    <w:rsid w:val="00511E8A"/>
    <w:rsid w:val="00512162"/>
    <w:rsid w:val="005126F8"/>
    <w:rsid w:val="005131AA"/>
    <w:rsid w:val="00513571"/>
    <w:rsid w:val="00513A68"/>
    <w:rsid w:val="00513D6B"/>
    <w:rsid w:val="00515283"/>
    <w:rsid w:val="00515904"/>
    <w:rsid w:val="00515D11"/>
    <w:rsid w:val="00515FFB"/>
    <w:rsid w:val="0051625F"/>
    <w:rsid w:val="005170D9"/>
    <w:rsid w:val="00517929"/>
    <w:rsid w:val="00517D04"/>
    <w:rsid w:val="00522A51"/>
    <w:rsid w:val="005239F5"/>
    <w:rsid w:val="00523D47"/>
    <w:rsid w:val="00523EDB"/>
    <w:rsid w:val="00525354"/>
    <w:rsid w:val="0052551B"/>
    <w:rsid w:val="00525724"/>
    <w:rsid w:val="00525C28"/>
    <w:rsid w:val="00525D34"/>
    <w:rsid w:val="00525F34"/>
    <w:rsid w:val="005272F8"/>
    <w:rsid w:val="00527AE2"/>
    <w:rsid w:val="00527D9D"/>
    <w:rsid w:val="00531A76"/>
    <w:rsid w:val="005323CE"/>
    <w:rsid w:val="00533231"/>
    <w:rsid w:val="00533316"/>
    <w:rsid w:val="0053339C"/>
    <w:rsid w:val="005336FA"/>
    <w:rsid w:val="0053406F"/>
    <w:rsid w:val="00534784"/>
    <w:rsid w:val="00535377"/>
    <w:rsid w:val="0053566D"/>
    <w:rsid w:val="005359F9"/>
    <w:rsid w:val="00535FB1"/>
    <w:rsid w:val="00536A4D"/>
    <w:rsid w:val="00536BFF"/>
    <w:rsid w:val="0053714E"/>
    <w:rsid w:val="00537396"/>
    <w:rsid w:val="0053767A"/>
    <w:rsid w:val="00537B07"/>
    <w:rsid w:val="00537CFB"/>
    <w:rsid w:val="005403FB"/>
    <w:rsid w:val="00540478"/>
    <w:rsid w:val="0054076F"/>
    <w:rsid w:val="00541954"/>
    <w:rsid w:val="00541AD3"/>
    <w:rsid w:val="0054272B"/>
    <w:rsid w:val="00542734"/>
    <w:rsid w:val="0054302C"/>
    <w:rsid w:val="00543C2C"/>
    <w:rsid w:val="00544253"/>
    <w:rsid w:val="005443D8"/>
    <w:rsid w:val="00544532"/>
    <w:rsid w:val="00545246"/>
    <w:rsid w:val="005453D8"/>
    <w:rsid w:val="0054607E"/>
    <w:rsid w:val="00547AD6"/>
    <w:rsid w:val="005501C1"/>
    <w:rsid w:val="0055029C"/>
    <w:rsid w:val="00550B7C"/>
    <w:rsid w:val="00550EF3"/>
    <w:rsid w:val="00550FA0"/>
    <w:rsid w:val="0055117C"/>
    <w:rsid w:val="00551D51"/>
    <w:rsid w:val="005524A7"/>
    <w:rsid w:val="0055282A"/>
    <w:rsid w:val="00552A5E"/>
    <w:rsid w:val="005530A2"/>
    <w:rsid w:val="005532C7"/>
    <w:rsid w:val="00553445"/>
    <w:rsid w:val="00553D08"/>
    <w:rsid w:val="00554343"/>
    <w:rsid w:val="00554477"/>
    <w:rsid w:val="005544EA"/>
    <w:rsid w:val="005555FC"/>
    <w:rsid w:val="00555C41"/>
    <w:rsid w:val="0055607C"/>
    <w:rsid w:val="005562D1"/>
    <w:rsid w:val="00556BBF"/>
    <w:rsid w:val="005573CD"/>
    <w:rsid w:val="005603B0"/>
    <w:rsid w:val="00560B0D"/>
    <w:rsid w:val="005621AC"/>
    <w:rsid w:val="005624F8"/>
    <w:rsid w:val="00562B9D"/>
    <w:rsid w:val="00563A44"/>
    <w:rsid w:val="00563B2E"/>
    <w:rsid w:val="00563B9D"/>
    <w:rsid w:val="00563FA1"/>
    <w:rsid w:val="005646FB"/>
    <w:rsid w:val="0056524A"/>
    <w:rsid w:val="00565477"/>
    <w:rsid w:val="0056550A"/>
    <w:rsid w:val="00565693"/>
    <w:rsid w:val="00565EFF"/>
    <w:rsid w:val="00566ADE"/>
    <w:rsid w:val="00566C87"/>
    <w:rsid w:val="00566E82"/>
    <w:rsid w:val="00566FDA"/>
    <w:rsid w:val="0056744A"/>
    <w:rsid w:val="005675BC"/>
    <w:rsid w:val="00567952"/>
    <w:rsid w:val="00567BA2"/>
    <w:rsid w:val="00567BE0"/>
    <w:rsid w:val="00567EE5"/>
    <w:rsid w:val="005700A1"/>
    <w:rsid w:val="00571002"/>
    <w:rsid w:val="005710CE"/>
    <w:rsid w:val="0057126A"/>
    <w:rsid w:val="005714FC"/>
    <w:rsid w:val="0057227C"/>
    <w:rsid w:val="00572425"/>
    <w:rsid w:val="0057248A"/>
    <w:rsid w:val="005724CC"/>
    <w:rsid w:val="00572670"/>
    <w:rsid w:val="0057276E"/>
    <w:rsid w:val="005728B7"/>
    <w:rsid w:val="0057298A"/>
    <w:rsid w:val="00572AD9"/>
    <w:rsid w:val="005733F0"/>
    <w:rsid w:val="00573971"/>
    <w:rsid w:val="00574175"/>
    <w:rsid w:val="00574274"/>
    <w:rsid w:val="00574691"/>
    <w:rsid w:val="00575308"/>
    <w:rsid w:val="00575AA6"/>
    <w:rsid w:val="0057662E"/>
    <w:rsid w:val="00577B19"/>
    <w:rsid w:val="00577D88"/>
    <w:rsid w:val="00580775"/>
    <w:rsid w:val="00581169"/>
    <w:rsid w:val="005815AD"/>
    <w:rsid w:val="00581790"/>
    <w:rsid w:val="00581FE1"/>
    <w:rsid w:val="005821FB"/>
    <w:rsid w:val="005824C1"/>
    <w:rsid w:val="00582693"/>
    <w:rsid w:val="00582A78"/>
    <w:rsid w:val="005830BB"/>
    <w:rsid w:val="005835A1"/>
    <w:rsid w:val="00583F84"/>
    <w:rsid w:val="0058413C"/>
    <w:rsid w:val="005842F2"/>
    <w:rsid w:val="005843F0"/>
    <w:rsid w:val="005855AE"/>
    <w:rsid w:val="005857AF"/>
    <w:rsid w:val="00586474"/>
    <w:rsid w:val="0058724F"/>
    <w:rsid w:val="005872C4"/>
    <w:rsid w:val="0058757A"/>
    <w:rsid w:val="00590163"/>
    <w:rsid w:val="005903B4"/>
    <w:rsid w:val="005909A8"/>
    <w:rsid w:val="005912D6"/>
    <w:rsid w:val="00591482"/>
    <w:rsid w:val="00591758"/>
    <w:rsid w:val="00592941"/>
    <w:rsid w:val="00592D37"/>
    <w:rsid w:val="00594972"/>
    <w:rsid w:val="00594F7D"/>
    <w:rsid w:val="005955C0"/>
    <w:rsid w:val="005956AD"/>
    <w:rsid w:val="00595ACF"/>
    <w:rsid w:val="00595EEA"/>
    <w:rsid w:val="00596249"/>
    <w:rsid w:val="005962D2"/>
    <w:rsid w:val="005968C1"/>
    <w:rsid w:val="00596F0F"/>
    <w:rsid w:val="005A034E"/>
    <w:rsid w:val="005A04D4"/>
    <w:rsid w:val="005A0829"/>
    <w:rsid w:val="005A0927"/>
    <w:rsid w:val="005A1464"/>
    <w:rsid w:val="005A1C92"/>
    <w:rsid w:val="005A1E0B"/>
    <w:rsid w:val="005A1E0E"/>
    <w:rsid w:val="005A2FEA"/>
    <w:rsid w:val="005A355B"/>
    <w:rsid w:val="005A3A0F"/>
    <w:rsid w:val="005A3EE0"/>
    <w:rsid w:val="005A3FB0"/>
    <w:rsid w:val="005A4686"/>
    <w:rsid w:val="005A5879"/>
    <w:rsid w:val="005A5ABA"/>
    <w:rsid w:val="005A6561"/>
    <w:rsid w:val="005A6E87"/>
    <w:rsid w:val="005A7B19"/>
    <w:rsid w:val="005B05C5"/>
    <w:rsid w:val="005B07AE"/>
    <w:rsid w:val="005B07BA"/>
    <w:rsid w:val="005B13C0"/>
    <w:rsid w:val="005B147D"/>
    <w:rsid w:val="005B151C"/>
    <w:rsid w:val="005B18AB"/>
    <w:rsid w:val="005B213F"/>
    <w:rsid w:val="005B218A"/>
    <w:rsid w:val="005B3C21"/>
    <w:rsid w:val="005B4552"/>
    <w:rsid w:val="005B4826"/>
    <w:rsid w:val="005B4C56"/>
    <w:rsid w:val="005B51FC"/>
    <w:rsid w:val="005B6CF5"/>
    <w:rsid w:val="005B735B"/>
    <w:rsid w:val="005B73B3"/>
    <w:rsid w:val="005B7439"/>
    <w:rsid w:val="005B79F6"/>
    <w:rsid w:val="005B7D3B"/>
    <w:rsid w:val="005C0260"/>
    <w:rsid w:val="005C0439"/>
    <w:rsid w:val="005C058D"/>
    <w:rsid w:val="005C06FD"/>
    <w:rsid w:val="005C0B89"/>
    <w:rsid w:val="005C2C15"/>
    <w:rsid w:val="005C36E9"/>
    <w:rsid w:val="005C409B"/>
    <w:rsid w:val="005C44BA"/>
    <w:rsid w:val="005C4F4B"/>
    <w:rsid w:val="005C4FCA"/>
    <w:rsid w:val="005C526E"/>
    <w:rsid w:val="005C54B4"/>
    <w:rsid w:val="005C74E6"/>
    <w:rsid w:val="005C75E3"/>
    <w:rsid w:val="005C771C"/>
    <w:rsid w:val="005D0057"/>
    <w:rsid w:val="005D04A4"/>
    <w:rsid w:val="005D0D82"/>
    <w:rsid w:val="005D0EF7"/>
    <w:rsid w:val="005D1356"/>
    <w:rsid w:val="005D1561"/>
    <w:rsid w:val="005D2A22"/>
    <w:rsid w:val="005D322D"/>
    <w:rsid w:val="005D33C2"/>
    <w:rsid w:val="005D48C4"/>
    <w:rsid w:val="005D4A34"/>
    <w:rsid w:val="005D5EC1"/>
    <w:rsid w:val="005D6747"/>
    <w:rsid w:val="005D7318"/>
    <w:rsid w:val="005D7658"/>
    <w:rsid w:val="005D78FF"/>
    <w:rsid w:val="005E0137"/>
    <w:rsid w:val="005E03F3"/>
    <w:rsid w:val="005E0758"/>
    <w:rsid w:val="005E0777"/>
    <w:rsid w:val="005E0EA4"/>
    <w:rsid w:val="005E1C8C"/>
    <w:rsid w:val="005E221F"/>
    <w:rsid w:val="005E23E1"/>
    <w:rsid w:val="005E25FD"/>
    <w:rsid w:val="005E29C1"/>
    <w:rsid w:val="005E2A10"/>
    <w:rsid w:val="005E2CA0"/>
    <w:rsid w:val="005E374D"/>
    <w:rsid w:val="005E50B2"/>
    <w:rsid w:val="005E673F"/>
    <w:rsid w:val="005E68E4"/>
    <w:rsid w:val="005E6993"/>
    <w:rsid w:val="005E6EF1"/>
    <w:rsid w:val="005E7A1F"/>
    <w:rsid w:val="005F0A48"/>
    <w:rsid w:val="005F1784"/>
    <w:rsid w:val="005F1921"/>
    <w:rsid w:val="005F2008"/>
    <w:rsid w:val="005F2A68"/>
    <w:rsid w:val="005F2D34"/>
    <w:rsid w:val="005F346A"/>
    <w:rsid w:val="005F4936"/>
    <w:rsid w:val="005F4E36"/>
    <w:rsid w:val="005F5E09"/>
    <w:rsid w:val="005F6306"/>
    <w:rsid w:val="005F73DD"/>
    <w:rsid w:val="005F77A4"/>
    <w:rsid w:val="005F79E0"/>
    <w:rsid w:val="005F7E6A"/>
    <w:rsid w:val="006002BC"/>
    <w:rsid w:val="0060044D"/>
    <w:rsid w:val="00600858"/>
    <w:rsid w:val="00600FC4"/>
    <w:rsid w:val="0060107F"/>
    <w:rsid w:val="00601248"/>
    <w:rsid w:val="00601DC9"/>
    <w:rsid w:val="00601E45"/>
    <w:rsid w:val="0060248C"/>
    <w:rsid w:val="0060250B"/>
    <w:rsid w:val="00602B82"/>
    <w:rsid w:val="006035BD"/>
    <w:rsid w:val="0060383A"/>
    <w:rsid w:val="006042A4"/>
    <w:rsid w:val="00604352"/>
    <w:rsid w:val="0060459D"/>
    <w:rsid w:val="00604771"/>
    <w:rsid w:val="00604987"/>
    <w:rsid w:val="00605115"/>
    <w:rsid w:val="00605DAC"/>
    <w:rsid w:val="00606302"/>
    <w:rsid w:val="0060631F"/>
    <w:rsid w:val="0060677F"/>
    <w:rsid w:val="00606921"/>
    <w:rsid w:val="00606BE5"/>
    <w:rsid w:val="00606D22"/>
    <w:rsid w:val="00606F6C"/>
    <w:rsid w:val="006072E4"/>
    <w:rsid w:val="00607649"/>
    <w:rsid w:val="00607CC5"/>
    <w:rsid w:val="0061014F"/>
    <w:rsid w:val="006102AE"/>
    <w:rsid w:val="006107FA"/>
    <w:rsid w:val="00610C32"/>
    <w:rsid w:val="00610FF5"/>
    <w:rsid w:val="00610FFF"/>
    <w:rsid w:val="00611268"/>
    <w:rsid w:val="006112BF"/>
    <w:rsid w:val="00611821"/>
    <w:rsid w:val="00611976"/>
    <w:rsid w:val="00611F2D"/>
    <w:rsid w:val="006129CB"/>
    <w:rsid w:val="00612B1F"/>
    <w:rsid w:val="00612B77"/>
    <w:rsid w:val="00612CF8"/>
    <w:rsid w:val="00613282"/>
    <w:rsid w:val="006135FA"/>
    <w:rsid w:val="00613B2B"/>
    <w:rsid w:val="00613C65"/>
    <w:rsid w:val="00613E53"/>
    <w:rsid w:val="006144A9"/>
    <w:rsid w:val="00615118"/>
    <w:rsid w:val="00615179"/>
    <w:rsid w:val="0061541D"/>
    <w:rsid w:val="0061574D"/>
    <w:rsid w:val="00615D69"/>
    <w:rsid w:val="00616181"/>
    <w:rsid w:val="006168AD"/>
    <w:rsid w:val="006171E8"/>
    <w:rsid w:val="006175F0"/>
    <w:rsid w:val="006200F7"/>
    <w:rsid w:val="00620284"/>
    <w:rsid w:val="006202C4"/>
    <w:rsid w:val="00620B83"/>
    <w:rsid w:val="00620D5A"/>
    <w:rsid w:val="0062106B"/>
    <w:rsid w:val="00621229"/>
    <w:rsid w:val="006212C9"/>
    <w:rsid w:val="006218B7"/>
    <w:rsid w:val="00621BB5"/>
    <w:rsid w:val="00621F03"/>
    <w:rsid w:val="00622064"/>
    <w:rsid w:val="00622550"/>
    <w:rsid w:val="00622570"/>
    <w:rsid w:val="00623474"/>
    <w:rsid w:val="006235B0"/>
    <w:rsid w:val="00623717"/>
    <w:rsid w:val="0062374B"/>
    <w:rsid w:val="00623B90"/>
    <w:rsid w:val="00623FC8"/>
    <w:rsid w:val="006242EE"/>
    <w:rsid w:val="0062464C"/>
    <w:rsid w:val="00624A3B"/>
    <w:rsid w:val="00624E9E"/>
    <w:rsid w:val="00624F2E"/>
    <w:rsid w:val="006250F6"/>
    <w:rsid w:val="00625722"/>
    <w:rsid w:val="00626089"/>
    <w:rsid w:val="006263C0"/>
    <w:rsid w:val="00627291"/>
    <w:rsid w:val="00627FFA"/>
    <w:rsid w:val="00630925"/>
    <w:rsid w:val="00630EE3"/>
    <w:rsid w:val="00632EAC"/>
    <w:rsid w:val="0063371A"/>
    <w:rsid w:val="00633BE1"/>
    <w:rsid w:val="00634FB9"/>
    <w:rsid w:val="00635128"/>
    <w:rsid w:val="00635B0E"/>
    <w:rsid w:val="00635B9B"/>
    <w:rsid w:val="00635CE9"/>
    <w:rsid w:val="00635EF4"/>
    <w:rsid w:val="006362EF"/>
    <w:rsid w:val="0063650E"/>
    <w:rsid w:val="006367E2"/>
    <w:rsid w:val="006370C8"/>
    <w:rsid w:val="006401D4"/>
    <w:rsid w:val="006407C6"/>
    <w:rsid w:val="006407EC"/>
    <w:rsid w:val="006408B5"/>
    <w:rsid w:val="0064117D"/>
    <w:rsid w:val="00642C12"/>
    <w:rsid w:val="0064310C"/>
    <w:rsid w:val="0064325E"/>
    <w:rsid w:val="0064414C"/>
    <w:rsid w:val="00644397"/>
    <w:rsid w:val="0064462F"/>
    <w:rsid w:val="006446A7"/>
    <w:rsid w:val="00644995"/>
    <w:rsid w:val="006459D4"/>
    <w:rsid w:val="00645B74"/>
    <w:rsid w:val="00645C14"/>
    <w:rsid w:val="00645FBE"/>
    <w:rsid w:val="006469D9"/>
    <w:rsid w:val="00646E24"/>
    <w:rsid w:val="006470B7"/>
    <w:rsid w:val="006509AE"/>
    <w:rsid w:val="006509E8"/>
    <w:rsid w:val="00651AC2"/>
    <w:rsid w:val="00651EDE"/>
    <w:rsid w:val="00652B1A"/>
    <w:rsid w:val="00652F47"/>
    <w:rsid w:val="00653087"/>
    <w:rsid w:val="006532C8"/>
    <w:rsid w:val="006532DE"/>
    <w:rsid w:val="00653310"/>
    <w:rsid w:val="006544A1"/>
    <w:rsid w:val="00654677"/>
    <w:rsid w:val="006549CD"/>
    <w:rsid w:val="00654DAE"/>
    <w:rsid w:val="006550E3"/>
    <w:rsid w:val="006551AE"/>
    <w:rsid w:val="0065596C"/>
    <w:rsid w:val="00655FCA"/>
    <w:rsid w:val="006561AD"/>
    <w:rsid w:val="006569B8"/>
    <w:rsid w:val="006575DD"/>
    <w:rsid w:val="0065787D"/>
    <w:rsid w:val="00657A3C"/>
    <w:rsid w:val="00660BD3"/>
    <w:rsid w:val="00660C60"/>
    <w:rsid w:val="006614F3"/>
    <w:rsid w:val="006625EA"/>
    <w:rsid w:val="00662A08"/>
    <w:rsid w:val="00662AC8"/>
    <w:rsid w:val="00662DAC"/>
    <w:rsid w:val="006637C9"/>
    <w:rsid w:val="00663AF2"/>
    <w:rsid w:val="00664018"/>
    <w:rsid w:val="0066484E"/>
    <w:rsid w:val="00664B3B"/>
    <w:rsid w:val="00664E02"/>
    <w:rsid w:val="00665D70"/>
    <w:rsid w:val="0066672F"/>
    <w:rsid w:val="00666A4D"/>
    <w:rsid w:val="00666CA3"/>
    <w:rsid w:val="00666D46"/>
    <w:rsid w:val="00666D4C"/>
    <w:rsid w:val="00667388"/>
    <w:rsid w:val="00667574"/>
    <w:rsid w:val="006701F3"/>
    <w:rsid w:val="0067073D"/>
    <w:rsid w:val="00670ABD"/>
    <w:rsid w:val="00670AE5"/>
    <w:rsid w:val="00670E19"/>
    <w:rsid w:val="00671345"/>
    <w:rsid w:val="006713D3"/>
    <w:rsid w:val="00671852"/>
    <w:rsid w:val="00671893"/>
    <w:rsid w:val="00671A73"/>
    <w:rsid w:val="00671DE4"/>
    <w:rsid w:val="00671DEA"/>
    <w:rsid w:val="00671FB3"/>
    <w:rsid w:val="00672296"/>
    <w:rsid w:val="0067275F"/>
    <w:rsid w:val="00672924"/>
    <w:rsid w:val="00673019"/>
    <w:rsid w:val="00673336"/>
    <w:rsid w:val="0067356D"/>
    <w:rsid w:val="0067390A"/>
    <w:rsid w:val="00673DA9"/>
    <w:rsid w:val="00674318"/>
    <w:rsid w:val="00674861"/>
    <w:rsid w:val="00675193"/>
    <w:rsid w:val="006756E9"/>
    <w:rsid w:val="00675AE2"/>
    <w:rsid w:val="006766C4"/>
    <w:rsid w:val="006770DD"/>
    <w:rsid w:val="00677870"/>
    <w:rsid w:val="00677EEC"/>
    <w:rsid w:val="00677F49"/>
    <w:rsid w:val="0068245E"/>
    <w:rsid w:val="00682940"/>
    <w:rsid w:val="00682D01"/>
    <w:rsid w:val="006830F3"/>
    <w:rsid w:val="00683724"/>
    <w:rsid w:val="00683733"/>
    <w:rsid w:val="00683838"/>
    <w:rsid w:val="006838F7"/>
    <w:rsid w:val="00684C7A"/>
    <w:rsid w:val="00686117"/>
    <w:rsid w:val="00686164"/>
    <w:rsid w:val="00686460"/>
    <w:rsid w:val="00686658"/>
    <w:rsid w:val="00686861"/>
    <w:rsid w:val="006869C9"/>
    <w:rsid w:val="00686CD3"/>
    <w:rsid w:val="00690252"/>
    <w:rsid w:val="00690973"/>
    <w:rsid w:val="00690F35"/>
    <w:rsid w:val="00691783"/>
    <w:rsid w:val="00691CB0"/>
    <w:rsid w:val="00691E0F"/>
    <w:rsid w:val="00691F83"/>
    <w:rsid w:val="00692178"/>
    <w:rsid w:val="00692996"/>
    <w:rsid w:val="00692D33"/>
    <w:rsid w:val="006931A4"/>
    <w:rsid w:val="006933D1"/>
    <w:rsid w:val="0069382E"/>
    <w:rsid w:val="00693BEE"/>
    <w:rsid w:val="006941BA"/>
    <w:rsid w:val="006946EC"/>
    <w:rsid w:val="006949D3"/>
    <w:rsid w:val="00694ADD"/>
    <w:rsid w:val="00695293"/>
    <w:rsid w:val="0069593A"/>
    <w:rsid w:val="006959D0"/>
    <w:rsid w:val="00696C86"/>
    <w:rsid w:val="00697456"/>
    <w:rsid w:val="00697E37"/>
    <w:rsid w:val="006A0595"/>
    <w:rsid w:val="006A063B"/>
    <w:rsid w:val="006A0A7D"/>
    <w:rsid w:val="006A10EB"/>
    <w:rsid w:val="006A1949"/>
    <w:rsid w:val="006A1FAA"/>
    <w:rsid w:val="006A2071"/>
    <w:rsid w:val="006A243A"/>
    <w:rsid w:val="006A2A2D"/>
    <w:rsid w:val="006A30F9"/>
    <w:rsid w:val="006A36ED"/>
    <w:rsid w:val="006A3AE8"/>
    <w:rsid w:val="006A41D4"/>
    <w:rsid w:val="006A4E6D"/>
    <w:rsid w:val="006A54F4"/>
    <w:rsid w:val="006A5966"/>
    <w:rsid w:val="006A5C29"/>
    <w:rsid w:val="006A6759"/>
    <w:rsid w:val="006A73F5"/>
    <w:rsid w:val="006A7E4D"/>
    <w:rsid w:val="006A7E77"/>
    <w:rsid w:val="006B04CA"/>
    <w:rsid w:val="006B1240"/>
    <w:rsid w:val="006B1A66"/>
    <w:rsid w:val="006B219C"/>
    <w:rsid w:val="006B2871"/>
    <w:rsid w:val="006B2909"/>
    <w:rsid w:val="006B2A06"/>
    <w:rsid w:val="006B2AA0"/>
    <w:rsid w:val="006B2BC8"/>
    <w:rsid w:val="006B2D3D"/>
    <w:rsid w:val="006B2D5F"/>
    <w:rsid w:val="006B2DC8"/>
    <w:rsid w:val="006B3526"/>
    <w:rsid w:val="006B3DBF"/>
    <w:rsid w:val="006B5321"/>
    <w:rsid w:val="006B57B0"/>
    <w:rsid w:val="006B6A1D"/>
    <w:rsid w:val="006B6FC1"/>
    <w:rsid w:val="006B7212"/>
    <w:rsid w:val="006B7978"/>
    <w:rsid w:val="006B7CD7"/>
    <w:rsid w:val="006C05FB"/>
    <w:rsid w:val="006C0672"/>
    <w:rsid w:val="006C099D"/>
    <w:rsid w:val="006C09BC"/>
    <w:rsid w:val="006C0AB5"/>
    <w:rsid w:val="006C21CC"/>
    <w:rsid w:val="006C226B"/>
    <w:rsid w:val="006C4445"/>
    <w:rsid w:val="006C4D98"/>
    <w:rsid w:val="006C5062"/>
    <w:rsid w:val="006C52D1"/>
    <w:rsid w:val="006C5F57"/>
    <w:rsid w:val="006C6050"/>
    <w:rsid w:val="006C640B"/>
    <w:rsid w:val="006C66ED"/>
    <w:rsid w:val="006C6DB2"/>
    <w:rsid w:val="006C7740"/>
    <w:rsid w:val="006C790C"/>
    <w:rsid w:val="006C7D0A"/>
    <w:rsid w:val="006C7F01"/>
    <w:rsid w:val="006D3578"/>
    <w:rsid w:val="006D4253"/>
    <w:rsid w:val="006D4385"/>
    <w:rsid w:val="006D4F6F"/>
    <w:rsid w:val="006D5091"/>
    <w:rsid w:val="006D5641"/>
    <w:rsid w:val="006D61E5"/>
    <w:rsid w:val="006D69B0"/>
    <w:rsid w:val="006D6E94"/>
    <w:rsid w:val="006D78E8"/>
    <w:rsid w:val="006D7AF3"/>
    <w:rsid w:val="006D7CBD"/>
    <w:rsid w:val="006D7F8F"/>
    <w:rsid w:val="006E001D"/>
    <w:rsid w:val="006E02BC"/>
    <w:rsid w:val="006E15AB"/>
    <w:rsid w:val="006E1DFB"/>
    <w:rsid w:val="006E213E"/>
    <w:rsid w:val="006E2AE1"/>
    <w:rsid w:val="006E4DEC"/>
    <w:rsid w:val="006E56AC"/>
    <w:rsid w:val="006E6A19"/>
    <w:rsid w:val="006E6D02"/>
    <w:rsid w:val="006F07F7"/>
    <w:rsid w:val="006F1042"/>
    <w:rsid w:val="006F19BB"/>
    <w:rsid w:val="006F20CF"/>
    <w:rsid w:val="006F26E4"/>
    <w:rsid w:val="006F2B5F"/>
    <w:rsid w:val="006F2C10"/>
    <w:rsid w:val="006F3033"/>
    <w:rsid w:val="006F3A07"/>
    <w:rsid w:val="006F4A08"/>
    <w:rsid w:val="006F4FA4"/>
    <w:rsid w:val="006F5046"/>
    <w:rsid w:val="006F5A21"/>
    <w:rsid w:val="006F5BD5"/>
    <w:rsid w:val="006F67A9"/>
    <w:rsid w:val="006F6C3B"/>
    <w:rsid w:val="006F6DB2"/>
    <w:rsid w:val="006F71FF"/>
    <w:rsid w:val="006F75AC"/>
    <w:rsid w:val="006F7764"/>
    <w:rsid w:val="006F7B38"/>
    <w:rsid w:val="00700CD7"/>
    <w:rsid w:val="00701159"/>
    <w:rsid w:val="00701375"/>
    <w:rsid w:val="00702170"/>
    <w:rsid w:val="00702256"/>
    <w:rsid w:val="00702AD4"/>
    <w:rsid w:val="00702CBA"/>
    <w:rsid w:val="00703072"/>
    <w:rsid w:val="007047F7"/>
    <w:rsid w:val="00704D8B"/>
    <w:rsid w:val="00704E65"/>
    <w:rsid w:val="00705171"/>
    <w:rsid w:val="0070521A"/>
    <w:rsid w:val="00705842"/>
    <w:rsid w:val="00706094"/>
    <w:rsid w:val="007062B0"/>
    <w:rsid w:val="0070630F"/>
    <w:rsid w:val="007076B4"/>
    <w:rsid w:val="00710089"/>
    <w:rsid w:val="00710D45"/>
    <w:rsid w:val="0071156D"/>
    <w:rsid w:val="00711DF8"/>
    <w:rsid w:val="007128BD"/>
    <w:rsid w:val="00713EC6"/>
    <w:rsid w:val="007145F5"/>
    <w:rsid w:val="00715E2F"/>
    <w:rsid w:val="0071620E"/>
    <w:rsid w:val="007166D3"/>
    <w:rsid w:val="00716756"/>
    <w:rsid w:val="00716B3B"/>
    <w:rsid w:val="007176E6"/>
    <w:rsid w:val="00717ED8"/>
    <w:rsid w:val="0072009E"/>
    <w:rsid w:val="00720C5A"/>
    <w:rsid w:val="007212A1"/>
    <w:rsid w:val="00721543"/>
    <w:rsid w:val="0072186F"/>
    <w:rsid w:val="00721DC8"/>
    <w:rsid w:val="0072332C"/>
    <w:rsid w:val="00723449"/>
    <w:rsid w:val="00723EC4"/>
    <w:rsid w:val="00725BAD"/>
    <w:rsid w:val="007262C2"/>
    <w:rsid w:val="007263AF"/>
    <w:rsid w:val="00726571"/>
    <w:rsid w:val="00727018"/>
    <w:rsid w:val="00727A3F"/>
    <w:rsid w:val="00727C8D"/>
    <w:rsid w:val="007304C2"/>
    <w:rsid w:val="00730617"/>
    <w:rsid w:val="00730F97"/>
    <w:rsid w:val="00731538"/>
    <w:rsid w:val="0073158B"/>
    <w:rsid w:val="00732191"/>
    <w:rsid w:val="00733687"/>
    <w:rsid w:val="007337B0"/>
    <w:rsid w:val="007342F7"/>
    <w:rsid w:val="007356AA"/>
    <w:rsid w:val="00735BDA"/>
    <w:rsid w:val="00736277"/>
    <w:rsid w:val="007366FE"/>
    <w:rsid w:val="00736AB7"/>
    <w:rsid w:val="00736DBC"/>
    <w:rsid w:val="007378D1"/>
    <w:rsid w:val="00737F8F"/>
    <w:rsid w:val="00740455"/>
    <w:rsid w:val="00740895"/>
    <w:rsid w:val="00740C1A"/>
    <w:rsid w:val="0074178D"/>
    <w:rsid w:val="00741ACA"/>
    <w:rsid w:val="00741BAF"/>
    <w:rsid w:val="00742E4D"/>
    <w:rsid w:val="00743157"/>
    <w:rsid w:val="007433AF"/>
    <w:rsid w:val="00743BB5"/>
    <w:rsid w:val="00743F0B"/>
    <w:rsid w:val="00744F61"/>
    <w:rsid w:val="0074548E"/>
    <w:rsid w:val="007456BE"/>
    <w:rsid w:val="00745F86"/>
    <w:rsid w:val="0074637F"/>
    <w:rsid w:val="00746471"/>
    <w:rsid w:val="0074667F"/>
    <w:rsid w:val="007474C6"/>
    <w:rsid w:val="00747B52"/>
    <w:rsid w:val="00747DB9"/>
    <w:rsid w:val="007503A6"/>
    <w:rsid w:val="0075077C"/>
    <w:rsid w:val="0075137A"/>
    <w:rsid w:val="00751A70"/>
    <w:rsid w:val="00751B41"/>
    <w:rsid w:val="007524F6"/>
    <w:rsid w:val="00752A8D"/>
    <w:rsid w:val="00753162"/>
    <w:rsid w:val="00753740"/>
    <w:rsid w:val="00754166"/>
    <w:rsid w:val="00754252"/>
    <w:rsid w:val="00754C26"/>
    <w:rsid w:val="007551B1"/>
    <w:rsid w:val="007558B0"/>
    <w:rsid w:val="00755EAF"/>
    <w:rsid w:val="00755F56"/>
    <w:rsid w:val="00756609"/>
    <w:rsid w:val="00756718"/>
    <w:rsid w:val="00757234"/>
    <w:rsid w:val="00757306"/>
    <w:rsid w:val="007607AB"/>
    <w:rsid w:val="00760946"/>
    <w:rsid w:val="007613A5"/>
    <w:rsid w:val="007618F5"/>
    <w:rsid w:val="00761B31"/>
    <w:rsid w:val="00761D1F"/>
    <w:rsid w:val="00761D9F"/>
    <w:rsid w:val="00761F99"/>
    <w:rsid w:val="00761FA5"/>
    <w:rsid w:val="007626E6"/>
    <w:rsid w:val="00762BAA"/>
    <w:rsid w:val="00762D24"/>
    <w:rsid w:val="007631CF"/>
    <w:rsid w:val="0076330F"/>
    <w:rsid w:val="007642C8"/>
    <w:rsid w:val="00764EF8"/>
    <w:rsid w:val="00765477"/>
    <w:rsid w:val="007658DB"/>
    <w:rsid w:val="0076590E"/>
    <w:rsid w:val="007667B5"/>
    <w:rsid w:val="007668CB"/>
    <w:rsid w:val="007669F3"/>
    <w:rsid w:val="00766AB3"/>
    <w:rsid w:val="007679A4"/>
    <w:rsid w:val="00770A67"/>
    <w:rsid w:val="007710D9"/>
    <w:rsid w:val="00771160"/>
    <w:rsid w:val="00771C0D"/>
    <w:rsid w:val="00772471"/>
    <w:rsid w:val="00772485"/>
    <w:rsid w:val="007727CD"/>
    <w:rsid w:val="00772E43"/>
    <w:rsid w:val="00773026"/>
    <w:rsid w:val="007739BF"/>
    <w:rsid w:val="007739E7"/>
    <w:rsid w:val="00773C46"/>
    <w:rsid w:val="007740E7"/>
    <w:rsid w:val="00774E0D"/>
    <w:rsid w:val="007752A5"/>
    <w:rsid w:val="00775678"/>
    <w:rsid w:val="007756F9"/>
    <w:rsid w:val="00775936"/>
    <w:rsid w:val="00775965"/>
    <w:rsid w:val="00775EBF"/>
    <w:rsid w:val="0077690F"/>
    <w:rsid w:val="00776A44"/>
    <w:rsid w:val="00777082"/>
    <w:rsid w:val="00777853"/>
    <w:rsid w:val="00777878"/>
    <w:rsid w:val="00777AD0"/>
    <w:rsid w:val="007802C1"/>
    <w:rsid w:val="00781032"/>
    <w:rsid w:val="00781353"/>
    <w:rsid w:val="00781535"/>
    <w:rsid w:val="0078223C"/>
    <w:rsid w:val="00782ABD"/>
    <w:rsid w:val="0078328E"/>
    <w:rsid w:val="00784019"/>
    <w:rsid w:val="00784556"/>
    <w:rsid w:val="007847E7"/>
    <w:rsid w:val="007851B1"/>
    <w:rsid w:val="007858BB"/>
    <w:rsid w:val="007858FC"/>
    <w:rsid w:val="00786B03"/>
    <w:rsid w:val="00787937"/>
    <w:rsid w:val="00787B88"/>
    <w:rsid w:val="00787CD9"/>
    <w:rsid w:val="00787D22"/>
    <w:rsid w:val="00787F74"/>
    <w:rsid w:val="00791331"/>
    <w:rsid w:val="007917BC"/>
    <w:rsid w:val="007926E6"/>
    <w:rsid w:val="00793066"/>
    <w:rsid w:val="00793585"/>
    <w:rsid w:val="00794407"/>
    <w:rsid w:val="0079454B"/>
    <w:rsid w:val="007949EA"/>
    <w:rsid w:val="00794DD8"/>
    <w:rsid w:val="007953E4"/>
    <w:rsid w:val="0079589B"/>
    <w:rsid w:val="0079597F"/>
    <w:rsid w:val="00795A48"/>
    <w:rsid w:val="00795BBC"/>
    <w:rsid w:val="0079640E"/>
    <w:rsid w:val="00796CD2"/>
    <w:rsid w:val="00796DAD"/>
    <w:rsid w:val="00797329"/>
    <w:rsid w:val="0079764E"/>
    <w:rsid w:val="00797754"/>
    <w:rsid w:val="00797889"/>
    <w:rsid w:val="007A009C"/>
    <w:rsid w:val="007A05F2"/>
    <w:rsid w:val="007A072B"/>
    <w:rsid w:val="007A0E94"/>
    <w:rsid w:val="007A1EB9"/>
    <w:rsid w:val="007A27BF"/>
    <w:rsid w:val="007A3266"/>
    <w:rsid w:val="007A33A7"/>
    <w:rsid w:val="007A33B6"/>
    <w:rsid w:val="007A34EB"/>
    <w:rsid w:val="007A360E"/>
    <w:rsid w:val="007A3E9B"/>
    <w:rsid w:val="007A4D91"/>
    <w:rsid w:val="007A5D39"/>
    <w:rsid w:val="007A6B9D"/>
    <w:rsid w:val="007A6FA8"/>
    <w:rsid w:val="007A7BD8"/>
    <w:rsid w:val="007B00C5"/>
    <w:rsid w:val="007B0956"/>
    <w:rsid w:val="007B09E2"/>
    <w:rsid w:val="007B0CAA"/>
    <w:rsid w:val="007B0F67"/>
    <w:rsid w:val="007B11C3"/>
    <w:rsid w:val="007B14D5"/>
    <w:rsid w:val="007B1530"/>
    <w:rsid w:val="007B2A1B"/>
    <w:rsid w:val="007B2BFB"/>
    <w:rsid w:val="007B3668"/>
    <w:rsid w:val="007B3903"/>
    <w:rsid w:val="007B4245"/>
    <w:rsid w:val="007B4B72"/>
    <w:rsid w:val="007B4FB4"/>
    <w:rsid w:val="007B556E"/>
    <w:rsid w:val="007B5626"/>
    <w:rsid w:val="007B5CEE"/>
    <w:rsid w:val="007B6374"/>
    <w:rsid w:val="007B6ACF"/>
    <w:rsid w:val="007B6BC5"/>
    <w:rsid w:val="007B717C"/>
    <w:rsid w:val="007C0675"/>
    <w:rsid w:val="007C081B"/>
    <w:rsid w:val="007C1872"/>
    <w:rsid w:val="007C1FF5"/>
    <w:rsid w:val="007C24CF"/>
    <w:rsid w:val="007C2870"/>
    <w:rsid w:val="007C303B"/>
    <w:rsid w:val="007C382F"/>
    <w:rsid w:val="007C4DA4"/>
    <w:rsid w:val="007C575D"/>
    <w:rsid w:val="007C6A97"/>
    <w:rsid w:val="007C6C60"/>
    <w:rsid w:val="007C70B8"/>
    <w:rsid w:val="007C78D8"/>
    <w:rsid w:val="007D0257"/>
    <w:rsid w:val="007D0846"/>
    <w:rsid w:val="007D0A7C"/>
    <w:rsid w:val="007D0B1B"/>
    <w:rsid w:val="007D177D"/>
    <w:rsid w:val="007D1A5D"/>
    <w:rsid w:val="007D1AEA"/>
    <w:rsid w:val="007D2C82"/>
    <w:rsid w:val="007D3348"/>
    <w:rsid w:val="007D3A23"/>
    <w:rsid w:val="007D3E66"/>
    <w:rsid w:val="007D432F"/>
    <w:rsid w:val="007D47B5"/>
    <w:rsid w:val="007D4D07"/>
    <w:rsid w:val="007D4DF1"/>
    <w:rsid w:val="007D5306"/>
    <w:rsid w:val="007D635B"/>
    <w:rsid w:val="007D6838"/>
    <w:rsid w:val="007D7017"/>
    <w:rsid w:val="007E01CF"/>
    <w:rsid w:val="007E0943"/>
    <w:rsid w:val="007E14F2"/>
    <w:rsid w:val="007E1D25"/>
    <w:rsid w:val="007E24E2"/>
    <w:rsid w:val="007E2857"/>
    <w:rsid w:val="007E2E36"/>
    <w:rsid w:val="007E2E6E"/>
    <w:rsid w:val="007E378A"/>
    <w:rsid w:val="007E38C2"/>
    <w:rsid w:val="007E3CDB"/>
    <w:rsid w:val="007E3F8E"/>
    <w:rsid w:val="007E3FA4"/>
    <w:rsid w:val="007E470C"/>
    <w:rsid w:val="007E4725"/>
    <w:rsid w:val="007E4C3C"/>
    <w:rsid w:val="007E500B"/>
    <w:rsid w:val="007E5BC2"/>
    <w:rsid w:val="007E5D3A"/>
    <w:rsid w:val="007E7938"/>
    <w:rsid w:val="007F0043"/>
    <w:rsid w:val="007F02D4"/>
    <w:rsid w:val="007F0693"/>
    <w:rsid w:val="007F0748"/>
    <w:rsid w:val="007F133F"/>
    <w:rsid w:val="007F14FB"/>
    <w:rsid w:val="007F3077"/>
    <w:rsid w:val="007F3245"/>
    <w:rsid w:val="007F361A"/>
    <w:rsid w:val="007F375B"/>
    <w:rsid w:val="007F37B7"/>
    <w:rsid w:val="007F3DAF"/>
    <w:rsid w:val="007F43C5"/>
    <w:rsid w:val="007F47C9"/>
    <w:rsid w:val="007F47E9"/>
    <w:rsid w:val="007F4BAE"/>
    <w:rsid w:val="007F4DFA"/>
    <w:rsid w:val="007F4F20"/>
    <w:rsid w:val="007F53FF"/>
    <w:rsid w:val="007F5715"/>
    <w:rsid w:val="007F5846"/>
    <w:rsid w:val="007F612F"/>
    <w:rsid w:val="007F67AF"/>
    <w:rsid w:val="007F7450"/>
    <w:rsid w:val="007F7952"/>
    <w:rsid w:val="007F7DFA"/>
    <w:rsid w:val="0080003C"/>
    <w:rsid w:val="00800269"/>
    <w:rsid w:val="00800467"/>
    <w:rsid w:val="008008B4"/>
    <w:rsid w:val="00800DA6"/>
    <w:rsid w:val="00801354"/>
    <w:rsid w:val="0080148D"/>
    <w:rsid w:val="00801CC0"/>
    <w:rsid w:val="00801DEB"/>
    <w:rsid w:val="00802530"/>
    <w:rsid w:val="0080253D"/>
    <w:rsid w:val="00802792"/>
    <w:rsid w:val="00802931"/>
    <w:rsid w:val="00803837"/>
    <w:rsid w:val="00803CB2"/>
    <w:rsid w:val="00804041"/>
    <w:rsid w:val="008042D6"/>
    <w:rsid w:val="00804E6F"/>
    <w:rsid w:val="00804F96"/>
    <w:rsid w:val="0080550E"/>
    <w:rsid w:val="00805643"/>
    <w:rsid w:val="00805886"/>
    <w:rsid w:val="00805D90"/>
    <w:rsid w:val="00806443"/>
    <w:rsid w:val="008067A6"/>
    <w:rsid w:val="00806A0D"/>
    <w:rsid w:val="00806D4A"/>
    <w:rsid w:val="00810117"/>
    <w:rsid w:val="0081028C"/>
    <w:rsid w:val="008104CF"/>
    <w:rsid w:val="00810CF4"/>
    <w:rsid w:val="0081168A"/>
    <w:rsid w:val="008126D1"/>
    <w:rsid w:val="00812883"/>
    <w:rsid w:val="00813137"/>
    <w:rsid w:val="00814F35"/>
    <w:rsid w:val="00815481"/>
    <w:rsid w:val="008160C5"/>
    <w:rsid w:val="00816779"/>
    <w:rsid w:val="00816CD7"/>
    <w:rsid w:val="00817318"/>
    <w:rsid w:val="0081741D"/>
    <w:rsid w:val="00817786"/>
    <w:rsid w:val="00817898"/>
    <w:rsid w:val="00817ABC"/>
    <w:rsid w:val="00817C6D"/>
    <w:rsid w:val="00820638"/>
    <w:rsid w:val="0082150F"/>
    <w:rsid w:val="00821B9E"/>
    <w:rsid w:val="00821F7C"/>
    <w:rsid w:val="008223A2"/>
    <w:rsid w:val="008231EF"/>
    <w:rsid w:val="00823859"/>
    <w:rsid w:val="00823A5E"/>
    <w:rsid w:val="00823C5E"/>
    <w:rsid w:val="00823DC3"/>
    <w:rsid w:val="008243BC"/>
    <w:rsid w:val="0082468A"/>
    <w:rsid w:val="0082491C"/>
    <w:rsid w:val="00824945"/>
    <w:rsid w:val="00824E32"/>
    <w:rsid w:val="00824EDF"/>
    <w:rsid w:val="00825C47"/>
    <w:rsid w:val="00826555"/>
    <w:rsid w:val="00826BFD"/>
    <w:rsid w:val="00826DAB"/>
    <w:rsid w:val="00826FF2"/>
    <w:rsid w:val="00830000"/>
    <w:rsid w:val="008301FC"/>
    <w:rsid w:val="00831C03"/>
    <w:rsid w:val="00831CD8"/>
    <w:rsid w:val="0083255C"/>
    <w:rsid w:val="00833572"/>
    <w:rsid w:val="008335E9"/>
    <w:rsid w:val="00833836"/>
    <w:rsid w:val="00834279"/>
    <w:rsid w:val="008345A7"/>
    <w:rsid w:val="00834D59"/>
    <w:rsid w:val="008354DB"/>
    <w:rsid w:val="0083562D"/>
    <w:rsid w:val="0083574C"/>
    <w:rsid w:val="0083694F"/>
    <w:rsid w:val="00836AB0"/>
    <w:rsid w:val="008372DE"/>
    <w:rsid w:val="00837D10"/>
    <w:rsid w:val="00840064"/>
    <w:rsid w:val="0084061D"/>
    <w:rsid w:val="0084131E"/>
    <w:rsid w:val="008422F7"/>
    <w:rsid w:val="008428CA"/>
    <w:rsid w:val="00842C84"/>
    <w:rsid w:val="008433C4"/>
    <w:rsid w:val="008437DB"/>
    <w:rsid w:val="00845084"/>
    <w:rsid w:val="00845332"/>
    <w:rsid w:val="00845DB6"/>
    <w:rsid w:val="0084601E"/>
    <w:rsid w:val="008473C8"/>
    <w:rsid w:val="00847603"/>
    <w:rsid w:val="00847FFC"/>
    <w:rsid w:val="008501F7"/>
    <w:rsid w:val="00850510"/>
    <w:rsid w:val="008509E4"/>
    <w:rsid w:val="00850D98"/>
    <w:rsid w:val="008516DD"/>
    <w:rsid w:val="0085185E"/>
    <w:rsid w:val="00851CFD"/>
    <w:rsid w:val="00852085"/>
    <w:rsid w:val="00853289"/>
    <w:rsid w:val="008536E6"/>
    <w:rsid w:val="00853D7E"/>
    <w:rsid w:val="008544EE"/>
    <w:rsid w:val="00854616"/>
    <w:rsid w:val="0085547F"/>
    <w:rsid w:val="00855538"/>
    <w:rsid w:val="00855C32"/>
    <w:rsid w:val="00855DF0"/>
    <w:rsid w:val="00856AE7"/>
    <w:rsid w:val="00856EB7"/>
    <w:rsid w:val="00856F39"/>
    <w:rsid w:val="008574E7"/>
    <w:rsid w:val="00857CF6"/>
    <w:rsid w:val="00857FB0"/>
    <w:rsid w:val="0086021E"/>
    <w:rsid w:val="0086050D"/>
    <w:rsid w:val="00860625"/>
    <w:rsid w:val="00862108"/>
    <w:rsid w:val="008628E2"/>
    <w:rsid w:val="00862AB0"/>
    <w:rsid w:val="0086301E"/>
    <w:rsid w:val="008637D2"/>
    <w:rsid w:val="0086391E"/>
    <w:rsid w:val="00864174"/>
    <w:rsid w:val="00864415"/>
    <w:rsid w:val="00864776"/>
    <w:rsid w:val="008649DA"/>
    <w:rsid w:val="008653AD"/>
    <w:rsid w:val="0086542C"/>
    <w:rsid w:val="0086570D"/>
    <w:rsid w:val="00865997"/>
    <w:rsid w:val="00865C5B"/>
    <w:rsid w:val="00866524"/>
    <w:rsid w:val="00866E51"/>
    <w:rsid w:val="00867452"/>
    <w:rsid w:val="008701DE"/>
    <w:rsid w:val="00870616"/>
    <w:rsid w:val="00871B23"/>
    <w:rsid w:val="0087340F"/>
    <w:rsid w:val="008735DF"/>
    <w:rsid w:val="0087413B"/>
    <w:rsid w:val="0087473D"/>
    <w:rsid w:val="00874DCE"/>
    <w:rsid w:val="00875DAC"/>
    <w:rsid w:val="008763BE"/>
    <w:rsid w:val="00877F15"/>
    <w:rsid w:val="0088012D"/>
    <w:rsid w:val="00880771"/>
    <w:rsid w:val="0088077D"/>
    <w:rsid w:val="00880E38"/>
    <w:rsid w:val="0088198D"/>
    <w:rsid w:val="0088208B"/>
    <w:rsid w:val="008828C6"/>
    <w:rsid w:val="00882A11"/>
    <w:rsid w:val="0088355A"/>
    <w:rsid w:val="008845BA"/>
    <w:rsid w:val="00884A1C"/>
    <w:rsid w:val="008850DA"/>
    <w:rsid w:val="00885BA1"/>
    <w:rsid w:val="00886BDE"/>
    <w:rsid w:val="00887044"/>
    <w:rsid w:val="00887090"/>
    <w:rsid w:val="0088795F"/>
    <w:rsid w:val="0089118A"/>
    <w:rsid w:val="00891224"/>
    <w:rsid w:val="00891D89"/>
    <w:rsid w:val="00892321"/>
    <w:rsid w:val="00892C6E"/>
    <w:rsid w:val="008937B1"/>
    <w:rsid w:val="00893B83"/>
    <w:rsid w:val="00893CB6"/>
    <w:rsid w:val="00894030"/>
    <w:rsid w:val="00894ADB"/>
    <w:rsid w:val="00894D28"/>
    <w:rsid w:val="00894D84"/>
    <w:rsid w:val="008956D1"/>
    <w:rsid w:val="00895F3C"/>
    <w:rsid w:val="008962FD"/>
    <w:rsid w:val="00896DB2"/>
    <w:rsid w:val="00896FFA"/>
    <w:rsid w:val="008978C6"/>
    <w:rsid w:val="0089796F"/>
    <w:rsid w:val="008A01AF"/>
    <w:rsid w:val="008A06FB"/>
    <w:rsid w:val="008A0873"/>
    <w:rsid w:val="008A1735"/>
    <w:rsid w:val="008A2245"/>
    <w:rsid w:val="008A2508"/>
    <w:rsid w:val="008A38A1"/>
    <w:rsid w:val="008A3CFD"/>
    <w:rsid w:val="008A3F54"/>
    <w:rsid w:val="008A4240"/>
    <w:rsid w:val="008A6D22"/>
    <w:rsid w:val="008A7095"/>
    <w:rsid w:val="008A7608"/>
    <w:rsid w:val="008B04B4"/>
    <w:rsid w:val="008B0AE9"/>
    <w:rsid w:val="008B0EF4"/>
    <w:rsid w:val="008B16A3"/>
    <w:rsid w:val="008B23CB"/>
    <w:rsid w:val="008B2638"/>
    <w:rsid w:val="008B2D2A"/>
    <w:rsid w:val="008B3D42"/>
    <w:rsid w:val="008B3E88"/>
    <w:rsid w:val="008B4078"/>
    <w:rsid w:val="008B416F"/>
    <w:rsid w:val="008B41C6"/>
    <w:rsid w:val="008B49D1"/>
    <w:rsid w:val="008B4F66"/>
    <w:rsid w:val="008B5866"/>
    <w:rsid w:val="008B604A"/>
    <w:rsid w:val="008B63D9"/>
    <w:rsid w:val="008B67F3"/>
    <w:rsid w:val="008B7A7D"/>
    <w:rsid w:val="008C025A"/>
    <w:rsid w:val="008C0377"/>
    <w:rsid w:val="008C08EA"/>
    <w:rsid w:val="008C08EB"/>
    <w:rsid w:val="008C0A23"/>
    <w:rsid w:val="008C0B29"/>
    <w:rsid w:val="008C0B80"/>
    <w:rsid w:val="008C0C38"/>
    <w:rsid w:val="008C0DFF"/>
    <w:rsid w:val="008C13F5"/>
    <w:rsid w:val="008C164C"/>
    <w:rsid w:val="008C18A7"/>
    <w:rsid w:val="008C214A"/>
    <w:rsid w:val="008C2A57"/>
    <w:rsid w:val="008C336D"/>
    <w:rsid w:val="008C35B0"/>
    <w:rsid w:val="008C36AC"/>
    <w:rsid w:val="008C3C00"/>
    <w:rsid w:val="008C3E6F"/>
    <w:rsid w:val="008C3FFC"/>
    <w:rsid w:val="008C440B"/>
    <w:rsid w:val="008C494A"/>
    <w:rsid w:val="008C5084"/>
    <w:rsid w:val="008C51DA"/>
    <w:rsid w:val="008C541B"/>
    <w:rsid w:val="008C5C3B"/>
    <w:rsid w:val="008C7048"/>
    <w:rsid w:val="008C75E3"/>
    <w:rsid w:val="008D00C2"/>
    <w:rsid w:val="008D0949"/>
    <w:rsid w:val="008D0C87"/>
    <w:rsid w:val="008D0ED3"/>
    <w:rsid w:val="008D0F41"/>
    <w:rsid w:val="008D2BE7"/>
    <w:rsid w:val="008D3119"/>
    <w:rsid w:val="008D3247"/>
    <w:rsid w:val="008D4238"/>
    <w:rsid w:val="008D54E3"/>
    <w:rsid w:val="008D55ED"/>
    <w:rsid w:val="008D58A9"/>
    <w:rsid w:val="008D626C"/>
    <w:rsid w:val="008D696E"/>
    <w:rsid w:val="008D6CAE"/>
    <w:rsid w:val="008E0097"/>
    <w:rsid w:val="008E075C"/>
    <w:rsid w:val="008E0B5D"/>
    <w:rsid w:val="008E1188"/>
    <w:rsid w:val="008E1698"/>
    <w:rsid w:val="008E1C30"/>
    <w:rsid w:val="008E1FCF"/>
    <w:rsid w:val="008E2948"/>
    <w:rsid w:val="008E2C50"/>
    <w:rsid w:val="008E2D53"/>
    <w:rsid w:val="008E2DA4"/>
    <w:rsid w:val="008E30A4"/>
    <w:rsid w:val="008E30C8"/>
    <w:rsid w:val="008E30EE"/>
    <w:rsid w:val="008E3581"/>
    <w:rsid w:val="008E4303"/>
    <w:rsid w:val="008E4EA0"/>
    <w:rsid w:val="008E508E"/>
    <w:rsid w:val="008E50FB"/>
    <w:rsid w:val="008E5196"/>
    <w:rsid w:val="008E664C"/>
    <w:rsid w:val="008E72E6"/>
    <w:rsid w:val="008E787D"/>
    <w:rsid w:val="008F05C1"/>
    <w:rsid w:val="008F0681"/>
    <w:rsid w:val="008F2413"/>
    <w:rsid w:val="008F2BAC"/>
    <w:rsid w:val="008F315D"/>
    <w:rsid w:val="008F3B75"/>
    <w:rsid w:val="008F4278"/>
    <w:rsid w:val="008F4736"/>
    <w:rsid w:val="008F492D"/>
    <w:rsid w:val="008F4945"/>
    <w:rsid w:val="008F4DDC"/>
    <w:rsid w:val="008F4F86"/>
    <w:rsid w:val="008F50C8"/>
    <w:rsid w:val="008F565D"/>
    <w:rsid w:val="008F575E"/>
    <w:rsid w:val="008F5A1C"/>
    <w:rsid w:val="008F5E7D"/>
    <w:rsid w:val="008F6774"/>
    <w:rsid w:val="008F6D72"/>
    <w:rsid w:val="008F772C"/>
    <w:rsid w:val="009009DE"/>
    <w:rsid w:val="00900AA0"/>
    <w:rsid w:val="00901CA8"/>
    <w:rsid w:val="00901F69"/>
    <w:rsid w:val="00902376"/>
    <w:rsid w:val="00902BE2"/>
    <w:rsid w:val="00902CAD"/>
    <w:rsid w:val="009030C7"/>
    <w:rsid w:val="00903229"/>
    <w:rsid w:val="0090536B"/>
    <w:rsid w:val="00905A60"/>
    <w:rsid w:val="00906AD9"/>
    <w:rsid w:val="00907159"/>
    <w:rsid w:val="009079AD"/>
    <w:rsid w:val="00907E3D"/>
    <w:rsid w:val="00907FF7"/>
    <w:rsid w:val="00910055"/>
    <w:rsid w:val="009102CA"/>
    <w:rsid w:val="009113D9"/>
    <w:rsid w:val="009116CA"/>
    <w:rsid w:val="00911A60"/>
    <w:rsid w:val="00911C26"/>
    <w:rsid w:val="00911EA7"/>
    <w:rsid w:val="0091205E"/>
    <w:rsid w:val="00913CA0"/>
    <w:rsid w:val="00913CFF"/>
    <w:rsid w:val="00914324"/>
    <w:rsid w:val="009144A5"/>
    <w:rsid w:val="009145FC"/>
    <w:rsid w:val="0091474D"/>
    <w:rsid w:val="009148CB"/>
    <w:rsid w:val="0091567B"/>
    <w:rsid w:val="009166E8"/>
    <w:rsid w:val="00916EF1"/>
    <w:rsid w:val="0091713F"/>
    <w:rsid w:val="00920131"/>
    <w:rsid w:val="00921F58"/>
    <w:rsid w:val="00922458"/>
    <w:rsid w:val="00923233"/>
    <w:rsid w:val="00923509"/>
    <w:rsid w:val="00923699"/>
    <w:rsid w:val="00923E1C"/>
    <w:rsid w:val="00924093"/>
    <w:rsid w:val="00924BFC"/>
    <w:rsid w:val="00925B30"/>
    <w:rsid w:val="00925C94"/>
    <w:rsid w:val="00926189"/>
    <w:rsid w:val="009268AE"/>
    <w:rsid w:val="009272CC"/>
    <w:rsid w:val="009273FE"/>
    <w:rsid w:val="009275DE"/>
    <w:rsid w:val="00927A92"/>
    <w:rsid w:val="00927FB8"/>
    <w:rsid w:val="009307CC"/>
    <w:rsid w:val="00930A0C"/>
    <w:rsid w:val="00930B04"/>
    <w:rsid w:val="00930EEB"/>
    <w:rsid w:val="009310F4"/>
    <w:rsid w:val="00931133"/>
    <w:rsid w:val="009314D4"/>
    <w:rsid w:val="00931604"/>
    <w:rsid w:val="00931BA1"/>
    <w:rsid w:val="0093244E"/>
    <w:rsid w:val="00932930"/>
    <w:rsid w:val="00932EE4"/>
    <w:rsid w:val="00933A72"/>
    <w:rsid w:val="00933F25"/>
    <w:rsid w:val="009346B2"/>
    <w:rsid w:val="0093567F"/>
    <w:rsid w:val="00935D22"/>
    <w:rsid w:val="0093604A"/>
    <w:rsid w:val="0093629C"/>
    <w:rsid w:val="0094053A"/>
    <w:rsid w:val="00940898"/>
    <w:rsid w:val="0094092F"/>
    <w:rsid w:val="00940D3F"/>
    <w:rsid w:val="00940D83"/>
    <w:rsid w:val="0094107A"/>
    <w:rsid w:val="009417DA"/>
    <w:rsid w:val="00941D33"/>
    <w:rsid w:val="00942394"/>
    <w:rsid w:val="00943841"/>
    <w:rsid w:val="00943861"/>
    <w:rsid w:val="009439B3"/>
    <w:rsid w:val="009439E5"/>
    <w:rsid w:val="00943E5B"/>
    <w:rsid w:val="009446C1"/>
    <w:rsid w:val="0094714C"/>
    <w:rsid w:val="009473CB"/>
    <w:rsid w:val="0094749C"/>
    <w:rsid w:val="00947CCB"/>
    <w:rsid w:val="0095062E"/>
    <w:rsid w:val="00951BF4"/>
    <w:rsid w:val="00952415"/>
    <w:rsid w:val="00952510"/>
    <w:rsid w:val="009537FA"/>
    <w:rsid w:val="009538BF"/>
    <w:rsid w:val="00954484"/>
    <w:rsid w:val="0095464B"/>
    <w:rsid w:val="009555D0"/>
    <w:rsid w:val="0095571E"/>
    <w:rsid w:val="00955937"/>
    <w:rsid w:val="009559E2"/>
    <w:rsid w:val="00955F66"/>
    <w:rsid w:val="00955FF9"/>
    <w:rsid w:val="009568D4"/>
    <w:rsid w:val="0095799A"/>
    <w:rsid w:val="00957AE8"/>
    <w:rsid w:val="00957B6D"/>
    <w:rsid w:val="00960D13"/>
    <w:rsid w:val="00960E89"/>
    <w:rsid w:val="0096156F"/>
    <w:rsid w:val="00962EED"/>
    <w:rsid w:val="00962FA9"/>
    <w:rsid w:val="0096498F"/>
    <w:rsid w:val="00965417"/>
    <w:rsid w:val="009657B2"/>
    <w:rsid w:val="00965951"/>
    <w:rsid w:val="00965C47"/>
    <w:rsid w:val="00966181"/>
    <w:rsid w:val="00966495"/>
    <w:rsid w:val="009665EF"/>
    <w:rsid w:val="0096672D"/>
    <w:rsid w:val="00966FEC"/>
    <w:rsid w:val="009673CE"/>
    <w:rsid w:val="0096762C"/>
    <w:rsid w:val="009700ED"/>
    <w:rsid w:val="00970A0F"/>
    <w:rsid w:val="009737A3"/>
    <w:rsid w:val="00973B09"/>
    <w:rsid w:val="00973C3E"/>
    <w:rsid w:val="00973D85"/>
    <w:rsid w:val="00974146"/>
    <w:rsid w:val="009741CF"/>
    <w:rsid w:val="009745CC"/>
    <w:rsid w:val="00974A7C"/>
    <w:rsid w:val="009758A0"/>
    <w:rsid w:val="00976227"/>
    <w:rsid w:val="009779DB"/>
    <w:rsid w:val="00977F87"/>
    <w:rsid w:val="009800D7"/>
    <w:rsid w:val="009809AD"/>
    <w:rsid w:val="00980D78"/>
    <w:rsid w:val="00980FF4"/>
    <w:rsid w:val="009817FA"/>
    <w:rsid w:val="00981C93"/>
    <w:rsid w:val="00982215"/>
    <w:rsid w:val="00982AD9"/>
    <w:rsid w:val="0098314C"/>
    <w:rsid w:val="00983938"/>
    <w:rsid w:val="009841CD"/>
    <w:rsid w:val="009846F3"/>
    <w:rsid w:val="009847A1"/>
    <w:rsid w:val="00986D7A"/>
    <w:rsid w:val="00987708"/>
    <w:rsid w:val="00987960"/>
    <w:rsid w:val="0099034D"/>
    <w:rsid w:val="009907DA"/>
    <w:rsid w:val="00990E39"/>
    <w:rsid w:val="00990FD0"/>
    <w:rsid w:val="00991CA5"/>
    <w:rsid w:val="009926F3"/>
    <w:rsid w:val="009933BB"/>
    <w:rsid w:val="009936EA"/>
    <w:rsid w:val="00993ADA"/>
    <w:rsid w:val="00993E96"/>
    <w:rsid w:val="00993FFC"/>
    <w:rsid w:val="0099456E"/>
    <w:rsid w:val="0099458B"/>
    <w:rsid w:val="009954BA"/>
    <w:rsid w:val="00995789"/>
    <w:rsid w:val="00996E96"/>
    <w:rsid w:val="009971BB"/>
    <w:rsid w:val="009976E9"/>
    <w:rsid w:val="00997863"/>
    <w:rsid w:val="00997A3C"/>
    <w:rsid w:val="009A0DAF"/>
    <w:rsid w:val="009A13AF"/>
    <w:rsid w:val="009A17B8"/>
    <w:rsid w:val="009A1F48"/>
    <w:rsid w:val="009A2758"/>
    <w:rsid w:val="009A2911"/>
    <w:rsid w:val="009A3934"/>
    <w:rsid w:val="009A3B68"/>
    <w:rsid w:val="009A3B96"/>
    <w:rsid w:val="009A3CF9"/>
    <w:rsid w:val="009A4D0A"/>
    <w:rsid w:val="009A4F08"/>
    <w:rsid w:val="009A54B0"/>
    <w:rsid w:val="009A5888"/>
    <w:rsid w:val="009A610A"/>
    <w:rsid w:val="009A623C"/>
    <w:rsid w:val="009A6A0C"/>
    <w:rsid w:val="009A6F0D"/>
    <w:rsid w:val="009A7BDB"/>
    <w:rsid w:val="009B00D5"/>
    <w:rsid w:val="009B0488"/>
    <w:rsid w:val="009B05A9"/>
    <w:rsid w:val="009B05CA"/>
    <w:rsid w:val="009B2631"/>
    <w:rsid w:val="009B26A2"/>
    <w:rsid w:val="009B37FF"/>
    <w:rsid w:val="009B38D5"/>
    <w:rsid w:val="009B3A9C"/>
    <w:rsid w:val="009B3DAC"/>
    <w:rsid w:val="009B49F7"/>
    <w:rsid w:val="009B4F08"/>
    <w:rsid w:val="009B4FAD"/>
    <w:rsid w:val="009B6321"/>
    <w:rsid w:val="009B687B"/>
    <w:rsid w:val="009B68B4"/>
    <w:rsid w:val="009B76E0"/>
    <w:rsid w:val="009C001C"/>
    <w:rsid w:val="009C0256"/>
    <w:rsid w:val="009C0BA5"/>
    <w:rsid w:val="009C1472"/>
    <w:rsid w:val="009C186E"/>
    <w:rsid w:val="009C2342"/>
    <w:rsid w:val="009C2725"/>
    <w:rsid w:val="009C2F24"/>
    <w:rsid w:val="009C307B"/>
    <w:rsid w:val="009C33B0"/>
    <w:rsid w:val="009C35EB"/>
    <w:rsid w:val="009C3A9E"/>
    <w:rsid w:val="009C3D2D"/>
    <w:rsid w:val="009C3E0A"/>
    <w:rsid w:val="009C3EA0"/>
    <w:rsid w:val="009C45F2"/>
    <w:rsid w:val="009C46BD"/>
    <w:rsid w:val="009C6056"/>
    <w:rsid w:val="009C649E"/>
    <w:rsid w:val="009C6A2A"/>
    <w:rsid w:val="009C72B3"/>
    <w:rsid w:val="009C7409"/>
    <w:rsid w:val="009C7B0C"/>
    <w:rsid w:val="009C7DFA"/>
    <w:rsid w:val="009D0511"/>
    <w:rsid w:val="009D0B21"/>
    <w:rsid w:val="009D189F"/>
    <w:rsid w:val="009D1A00"/>
    <w:rsid w:val="009D2798"/>
    <w:rsid w:val="009D2B39"/>
    <w:rsid w:val="009D3506"/>
    <w:rsid w:val="009D3F87"/>
    <w:rsid w:val="009D4683"/>
    <w:rsid w:val="009D501B"/>
    <w:rsid w:val="009D548B"/>
    <w:rsid w:val="009D5594"/>
    <w:rsid w:val="009D5845"/>
    <w:rsid w:val="009D596F"/>
    <w:rsid w:val="009D59F3"/>
    <w:rsid w:val="009D5AB3"/>
    <w:rsid w:val="009D7BE2"/>
    <w:rsid w:val="009D7C72"/>
    <w:rsid w:val="009E043E"/>
    <w:rsid w:val="009E07CB"/>
    <w:rsid w:val="009E0DCB"/>
    <w:rsid w:val="009E13B3"/>
    <w:rsid w:val="009E1F72"/>
    <w:rsid w:val="009E22B5"/>
    <w:rsid w:val="009E2590"/>
    <w:rsid w:val="009E2AF5"/>
    <w:rsid w:val="009E3842"/>
    <w:rsid w:val="009E39EF"/>
    <w:rsid w:val="009E3D84"/>
    <w:rsid w:val="009E43F9"/>
    <w:rsid w:val="009E463B"/>
    <w:rsid w:val="009E4F2C"/>
    <w:rsid w:val="009E50DB"/>
    <w:rsid w:val="009E5248"/>
    <w:rsid w:val="009E529E"/>
    <w:rsid w:val="009E5F45"/>
    <w:rsid w:val="009E61E8"/>
    <w:rsid w:val="009E6AFE"/>
    <w:rsid w:val="009E7054"/>
    <w:rsid w:val="009E73BE"/>
    <w:rsid w:val="009E7D95"/>
    <w:rsid w:val="009F03C0"/>
    <w:rsid w:val="009F0420"/>
    <w:rsid w:val="009F0910"/>
    <w:rsid w:val="009F0D75"/>
    <w:rsid w:val="009F1CCC"/>
    <w:rsid w:val="009F29F0"/>
    <w:rsid w:val="009F2E6B"/>
    <w:rsid w:val="009F37D7"/>
    <w:rsid w:val="009F3FF1"/>
    <w:rsid w:val="009F43D7"/>
    <w:rsid w:val="009F5C7E"/>
    <w:rsid w:val="009F5F01"/>
    <w:rsid w:val="009F601D"/>
    <w:rsid w:val="009F6024"/>
    <w:rsid w:val="009F665F"/>
    <w:rsid w:val="009F6719"/>
    <w:rsid w:val="009F6AAA"/>
    <w:rsid w:val="009F6D2E"/>
    <w:rsid w:val="009F7191"/>
    <w:rsid w:val="009F75E7"/>
    <w:rsid w:val="00A002DE"/>
    <w:rsid w:val="00A008DC"/>
    <w:rsid w:val="00A01111"/>
    <w:rsid w:val="00A01533"/>
    <w:rsid w:val="00A01AF1"/>
    <w:rsid w:val="00A01BB4"/>
    <w:rsid w:val="00A02107"/>
    <w:rsid w:val="00A026FC"/>
    <w:rsid w:val="00A028B4"/>
    <w:rsid w:val="00A031AB"/>
    <w:rsid w:val="00A036B1"/>
    <w:rsid w:val="00A03828"/>
    <w:rsid w:val="00A03AA7"/>
    <w:rsid w:val="00A03C0F"/>
    <w:rsid w:val="00A0409C"/>
    <w:rsid w:val="00A04A98"/>
    <w:rsid w:val="00A05BC3"/>
    <w:rsid w:val="00A05BE7"/>
    <w:rsid w:val="00A06295"/>
    <w:rsid w:val="00A06A0C"/>
    <w:rsid w:val="00A06A58"/>
    <w:rsid w:val="00A102D1"/>
    <w:rsid w:val="00A10BEA"/>
    <w:rsid w:val="00A11E41"/>
    <w:rsid w:val="00A13179"/>
    <w:rsid w:val="00A133F8"/>
    <w:rsid w:val="00A138DB"/>
    <w:rsid w:val="00A13B13"/>
    <w:rsid w:val="00A15113"/>
    <w:rsid w:val="00A155FD"/>
    <w:rsid w:val="00A156E2"/>
    <w:rsid w:val="00A15878"/>
    <w:rsid w:val="00A159BE"/>
    <w:rsid w:val="00A159DA"/>
    <w:rsid w:val="00A15C99"/>
    <w:rsid w:val="00A15E99"/>
    <w:rsid w:val="00A16486"/>
    <w:rsid w:val="00A16561"/>
    <w:rsid w:val="00A16709"/>
    <w:rsid w:val="00A1791F"/>
    <w:rsid w:val="00A17F87"/>
    <w:rsid w:val="00A2004C"/>
    <w:rsid w:val="00A20B47"/>
    <w:rsid w:val="00A20E1B"/>
    <w:rsid w:val="00A2158B"/>
    <w:rsid w:val="00A216A4"/>
    <w:rsid w:val="00A21EFF"/>
    <w:rsid w:val="00A22C96"/>
    <w:rsid w:val="00A23093"/>
    <w:rsid w:val="00A23E22"/>
    <w:rsid w:val="00A2487E"/>
    <w:rsid w:val="00A24F60"/>
    <w:rsid w:val="00A25631"/>
    <w:rsid w:val="00A259BC"/>
    <w:rsid w:val="00A2623C"/>
    <w:rsid w:val="00A263D6"/>
    <w:rsid w:val="00A26FD6"/>
    <w:rsid w:val="00A275F4"/>
    <w:rsid w:val="00A27D4D"/>
    <w:rsid w:val="00A27D77"/>
    <w:rsid w:val="00A30429"/>
    <w:rsid w:val="00A305EC"/>
    <w:rsid w:val="00A32C1C"/>
    <w:rsid w:val="00A3303B"/>
    <w:rsid w:val="00A33854"/>
    <w:rsid w:val="00A3411F"/>
    <w:rsid w:val="00A3424E"/>
    <w:rsid w:val="00A34EF9"/>
    <w:rsid w:val="00A35444"/>
    <w:rsid w:val="00A3571D"/>
    <w:rsid w:val="00A35748"/>
    <w:rsid w:val="00A359EF"/>
    <w:rsid w:val="00A35D0E"/>
    <w:rsid w:val="00A37352"/>
    <w:rsid w:val="00A37863"/>
    <w:rsid w:val="00A379A4"/>
    <w:rsid w:val="00A40913"/>
    <w:rsid w:val="00A4103C"/>
    <w:rsid w:val="00A411D2"/>
    <w:rsid w:val="00A4121F"/>
    <w:rsid w:val="00A415FE"/>
    <w:rsid w:val="00A418C3"/>
    <w:rsid w:val="00A41BCC"/>
    <w:rsid w:val="00A41C8E"/>
    <w:rsid w:val="00A41D3F"/>
    <w:rsid w:val="00A42256"/>
    <w:rsid w:val="00A4269A"/>
    <w:rsid w:val="00A426EE"/>
    <w:rsid w:val="00A431B1"/>
    <w:rsid w:val="00A437AA"/>
    <w:rsid w:val="00A43C70"/>
    <w:rsid w:val="00A4469C"/>
    <w:rsid w:val="00A44732"/>
    <w:rsid w:val="00A44746"/>
    <w:rsid w:val="00A44852"/>
    <w:rsid w:val="00A45098"/>
    <w:rsid w:val="00A4509C"/>
    <w:rsid w:val="00A45988"/>
    <w:rsid w:val="00A469CE"/>
    <w:rsid w:val="00A46C2C"/>
    <w:rsid w:val="00A473A4"/>
    <w:rsid w:val="00A473AF"/>
    <w:rsid w:val="00A47BC5"/>
    <w:rsid w:val="00A5066E"/>
    <w:rsid w:val="00A50BE9"/>
    <w:rsid w:val="00A51FE5"/>
    <w:rsid w:val="00A524C0"/>
    <w:rsid w:val="00A52A18"/>
    <w:rsid w:val="00A53727"/>
    <w:rsid w:val="00A541F6"/>
    <w:rsid w:val="00A54448"/>
    <w:rsid w:val="00A546B3"/>
    <w:rsid w:val="00A546FE"/>
    <w:rsid w:val="00A548F6"/>
    <w:rsid w:val="00A5495B"/>
    <w:rsid w:val="00A54BB8"/>
    <w:rsid w:val="00A54CA4"/>
    <w:rsid w:val="00A54ECB"/>
    <w:rsid w:val="00A574D8"/>
    <w:rsid w:val="00A577BB"/>
    <w:rsid w:val="00A5789A"/>
    <w:rsid w:val="00A57AE1"/>
    <w:rsid w:val="00A60BF7"/>
    <w:rsid w:val="00A61653"/>
    <w:rsid w:val="00A6191E"/>
    <w:rsid w:val="00A619E5"/>
    <w:rsid w:val="00A62025"/>
    <w:rsid w:val="00A621BC"/>
    <w:rsid w:val="00A62B9D"/>
    <w:rsid w:val="00A633DC"/>
    <w:rsid w:val="00A64854"/>
    <w:rsid w:val="00A64B1D"/>
    <w:rsid w:val="00A64EC4"/>
    <w:rsid w:val="00A64EEB"/>
    <w:rsid w:val="00A653EB"/>
    <w:rsid w:val="00A65572"/>
    <w:rsid w:val="00A656B7"/>
    <w:rsid w:val="00A661F8"/>
    <w:rsid w:val="00A66415"/>
    <w:rsid w:val="00A6644C"/>
    <w:rsid w:val="00A6670B"/>
    <w:rsid w:val="00A67315"/>
    <w:rsid w:val="00A6753F"/>
    <w:rsid w:val="00A67EB8"/>
    <w:rsid w:val="00A705E4"/>
    <w:rsid w:val="00A70A1B"/>
    <w:rsid w:val="00A70B3E"/>
    <w:rsid w:val="00A713A2"/>
    <w:rsid w:val="00A71471"/>
    <w:rsid w:val="00A7213D"/>
    <w:rsid w:val="00A72329"/>
    <w:rsid w:val="00A724F2"/>
    <w:rsid w:val="00A725A6"/>
    <w:rsid w:val="00A728AA"/>
    <w:rsid w:val="00A7329D"/>
    <w:rsid w:val="00A741E3"/>
    <w:rsid w:val="00A743F7"/>
    <w:rsid w:val="00A7483A"/>
    <w:rsid w:val="00A74BC4"/>
    <w:rsid w:val="00A74E50"/>
    <w:rsid w:val="00A74FDB"/>
    <w:rsid w:val="00A755E0"/>
    <w:rsid w:val="00A764A3"/>
    <w:rsid w:val="00A764FB"/>
    <w:rsid w:val="00A76710"/>
    <w:rsid w:val="00A77CA9"/>
    <w:rsid w:val="00A8038A"/>
    <w:rsid w:val="00A809D8"/>
    <w:rsid w:val="00A80AC8"/>
    <w:rsid w:val="00A80C2C"/>
    <w:rsid w:val="00A80C7F"/>
    <w:rsid w:val="00A81745"/>
    <w:rsid w:val="00A81E56"/>
    <w:rsid w:val="00A81E86"/>
    <w:rsid w:val="00A81F10"/>
    <w:rsid w:val="00A8252F"/>
    <w:rsid w:val="00A827EC"/>
    <w:rsid w:val="00A82846"/>
    <w:rsid w:val="00A83410"/>
    <w:rsid w:val="00A83849"/>
    <w:rsid w:val="00A83857"/>
    <w:rsid w:val="00A84678"/>
    <w:rsid w:val="00A85543"/>
    <w:rsid w:val="00A86061"/>
    <w:rsid w:val="00A8607E"/>
    <w:rsid w:val="00A862EC"/>
    <w:rsid w:val="00A8770E"/>
    <w:rsid w:val="00A90901"/>
    <w:rsid w:val="00A91701"/>
    <w:rsid w:val="00A9283B"/>
    <w:rsid w:val="00A93109"/>
    <w:rsid w:val="00A934BC"/>
    <w:rsid w:val="00A9371E"/>
    <w:rsid w:val="00A955BB"/>
    <w:rsid w:val="00A95E23"/>
    <w:rsid w:val="00A96531"/>
    <w:rsid w:val="00A96772"/>
    <w:rsid w:val="00A968BC"/>
    <w:rsid w:val="00A97D48"/>
    <w:rsid w:val="00AA0512"/>
    <w:rsid w:val="00AA119C"/>
    <w:rsid w:val="00AA21BC"/>
    <w:rsid w:val="00AA2200"/>
    <w:rsid w:val="00AA24A0"/>
    <w:rsid w:val="00AA3648"/>
    <w:rsid w:val="00AA4833"/>
    <w:rsid w:val="00AA496D"/>
    <w:rsid w:val="00AA4DB4"/>
    <w:rsid w:val="00AA5259"/>
    <w:rsid w:val="00AA5519"/>
    <w:rsid w:val="00AA6345"/>
    <w:rsid w:val="00AA688E"/>
    <w:rsid w:val="00AA68CD"/>
    <w:rsid w:val="00AA695D"/>
    <w:rsid w:val="00AA70C6"/>
    <w:rsid w:val="00AA7231"/>
    <w:rsid w:val="00AA7835"/>
    <w:rsid w:val="00AB004D"/>
    <w:rsid w:val="00AB0978"/>
    <w:rsid w:val="00AB18CA"/>
    <w:rsid w:val="00AB19C6"/>
    <w:rsid w:val="00AB1D7A"/>
    <w:rsid w:val="00AB3789"/>
    <w:rsid w:val="00AB3DDB"/>
    <w:rsid w:val="00AB3E26"/>
    <w:rsid w:val="00AB44F3"/>
    <w:rsid w:val="00AB472B"/>
    <w:rsid w:val="00AB4E54"/>
    <w:rsid w:val="00AB5024"/>
    <w:rsid w:val="00AB53BD"/>
    <w:rsid w:val="00AB6801"/>
    <w:rsid w:val="00AB6DF4"/>
    <w:rsid w:val="00AB6F41"/>
    <w:rsid w:val="00AB7124"/>
    <w:rsid w:val="00AB7274"/>
    <w:rsid w:val="00AB7947"/>
    <w:rsid w:val="00AB7C35"/>
    <w:rsid w:val="00AC0686"/>
    <w:rsid w:val="00AC1A29"/>
    <w:rsid w:val="00AC1BC5"/>
    <w:rsid w:val="00AC1E42"/>
    <w:rsid w:val="00AC2D2E"/>
    <w:rsid w:val="00AC3697"/>
    <w:rsid w:val="00AC3ECD"/>
    <w:rsid w:val="00AC417E"/>
    <w:rsid w:val="00AC455F"/>
    <w:rsid w:val="00AC47E0"/>
    <w:rsid w:val="00AC4BFA"/>
    <w:rsid w:val="00AC55C5"/>
    <w:rsid w:val="00AC5627"/>
    <w:rsid w:val="00AC57E4"/>
    <w:rsid w:val="00AC5D75"/>
    <w:rsid w:val="00AC610F"/>
    <w:rsid w:val="00AC644B"/>
    <w:rsid w:val="00AC6673"/>
    <w:rsid w:val="00AC6D0F"/>
    <w:rsid w:val="00AC6E7A"/>
    <w:rsid w:val="00AC731F"/>
    <w:rsid w:val="00AC7C50"/>
    <w:rsid w:val="00AC7D05"/>
    <w:rsid w:val="00AC7F4F"/>
    <w:rsid w:val="00AD07E6"/>
    <w:rsid w:val="00AD07E9"/>
    <w:rsid w:val="00AD1800"/>
    <w:rsid w:val="00AD1D1F"/>
    <w:rsid w:val="00AD2390"/>
    <w:rsid w:val="00AD281D"/>
    <w:rsid w:val="00AD28BC"/>
    <w:rsid w:val="00AD33D0"/>
    <w:rsid w:val="00AD37F3"/>
    <w:rsid w:val="00AD49E1"/>
    <w:rsid w:val="00AD4E7D"/>
    <w:rsid w:val="00AD4FDE"/>
    <w:rsid w:val="00AD5329"/>
    <w:rsid w:val="00AD5C13"/>
    <w:rsid w:val="00AD6235"/>
    <w:rsid w:val="00AD63CB"/>
    <w:rsid w:val="00AD65EB"/>
    <w:rsid w:val="00AD6786"/>
    <w:rsid w:val="00AD6952"/>
    <w:rsid w:val="00AD7350"/>
    <w:rsid w:val="00AD7765"/>
    <w:rsid w:val="00AD7EB2"/>
    <w:rsid w:val="00AE17D0"/>
    <w:rsid w:val="00AE1807"/>
    <w:rsid w:val="00AE1F73"/>
    <w:rsid w:val="00AE21BC"/>
    <w:rsid w:val="00AE21D0"/>
    <w:rsid w:val="00AE262F"/>
    <w:rsid w:val="00AE31DA"/>
    <w:rsid w:val="00AE3881"/>
    <w:rsid w:val="00AE3CBB"/>
    <w:rsid w:val="00AE4043"/>
    <w:rsid w:val="00AE4276"/>
    <w:rsid w:val="00AE48C1"/>
    <w:rsid w:val="00AE5D48"/>
    <w:rsid w:val="00AE601C"/>
    <w:rsid w:val="00AE66F1"/>
    <w:rsid w:val="00AE67FA"/>
    <w:rsid w:val="00AE70BC"/>
    <w:rsid w:val="00AE7C64"/>
    <w:rsid w:val="00AE7D8B"/>
    <w:rsid w:val="00AF0298"/>
    <w:rsid w:val="00AF115C"/>
    <w:rsid w:val="00AF1314"/>
    <w:rsid w:val="00AF2757"/>
    <w:rsid w:val="00AF2D6D"/>
    <w:rsid w:val="00AF3064"/>
    <w:rsid w:val="00AF433A"/>
    <w:rsid w:val="00AF47B5"/>
    <w:rsid w:val="00AF4D32"/>
    <w:rsid w:val="00AF4D75"/>
    <w:rsid w:val="00AF55DB"/>
    <w:rsid w:val="00AF5822"/>
    <w:rsid w:val="00AF5883"/>
    <w:rsid w:val="00AF5E98"/>
    <w:rsid w:val="00AF6175"/>
    <w:rsid w:val="00AF6273"/>
    <w:rsid w:val="00AF6D3F"/>
    <w:rsid w:val="00AF6FF6"/>
    <w:rsid w:val="00AF71B1"/>
    <w:rsid w:val="00AF7329"/>
    <w:rsid w:val="00AF7A70"/>
    <w:rsid w:val="00B000EE"/>
    <w:rsid w:val="00B003D6"/>
    <w:rsid w:val="00B00E5A"/>
    <w:rsid w:val="00B012D6"/>
    <w:rsid w:val="00B01E82"/>
    <w:rsid w:val="00B02BFF"/>
    <w:rsid w:val="00B02C9D"/>
    <w:rsid w:val="00B033E1"/>
    <w:rsid w:val="00B03AB5"/>
    <w:rsid w:val="00B03EAA"/>
    <w:rsid w:val="00B045BD"/>
    <w:rsid w:val="00B04FA5"/>
    <w:rsid w:val="00B0514E"/>
    <w:rsid w:val="00B05928"/>
    <w:rsid w:val="00B064A5"/>
    <w:rsid w:val="00B069F9"/>
    <w:rsid w:val="00B06C8B"/>
    <w:rsid w:val="00B071CA"/>
    <w:rsid w:val="00B10057"/>
    <w:rsid w:val="00B10CFA"/>
    <w:rsid w:val="00B10D29"/>
    <w:rsid w:val="00B115EC"/>
    <w:rsid w:val="00B12B86"/>
    <w:rsid w:val="00B130EB"/>
    <w:rsid w:val="00B1327F"/>
    <w:rsid w:val="00B133B0"/>
    <w:rsid w:val="00B1348A"/>
    <w:rsid w:val="00B1362F"/>
    <w:rsid w:val="00B13EF5"/>
    <w:rsid w:val="00B1438D"/>
    <w:rsid w:val="00B151EA"/>
    <w:rsid w:val="00B1555D"/>
    <w:rsid w:val="00B1587E"/>
    <w:rsid w:val="00B15DDF"/>
    <w:rsid w:val="00B1618D"/>
    <w:rsid w:val="00B1695C"/>
    <w:rsid w:val="00B17291"/>
    <w:rsid w:val="00B17ED0"/>
    <w:rsid w:val="00B2043B"/>
    <w:rsid w:val="00B21243"/>
    <w:rsid w:val="00B21355"/>
    <w:rsid w:val="00B2251D"/>
    <w:rsid w:val="00B22976"/>
    <w:rsid w:val="00B22D54"/>
    <w:rsid w:val="00B23105"/>
    <w:rsid w:val="00B23289"/>
    <w:rsid w:val="00B23731"/>
    <w:rsid w:val="00B23C80"/>
    <w:rsid w:val="00B23CDF"/>
    <w:rsid w:val="00B23D77"/>
    <w:rsid w:val="00B2408F"/>
    <w:rsid w:val="00B242C2"/>
    <w:rsid w:val="00B24E46"/>
    <w:rsid w:val="00B24F7A"/>
    <w:rsid w:val="00B2510E"/>
    <w:rsid w:val="00B255A1"/>
    <w:rsid w:val="00B2636B"/>
    <w:rsid w:val="00B26934"/>
    <w:rsid w:val="00B27320"/>
    <w:rsid w:val="00B274BF"/>
    <w:rsid w:val="00B27F37"/>
    <w:rsid w:val="00B27F5C"/>
    <w:rsid w:val="00B308ED"/>
    <w:rsid w:val="00B30DB1"/>
    <w:rsid w:val="00B30EE2"/>
    <w:rsid w:val="00B311F0"/>
    <w:rsid w:val="00B312CC"/>
    <w:rsid w:val="00B31361"/>
    <w:rsid w:val="00B319BE"/>
    <w:rsid w:val="00B31EEB"/>
    <w:rsid w:val="00B320DB"/>
    <w:rsid w:val="00B32EF4"/>
    <w:rsid w:val="00B33968"/>
    <w:rsid w:val="00B340F9"/>
    <w:rsid w:val="00B34363"/>
    <w:rsid w:val="00B3475D"/>
    <w:rsid w:val="00B34840"/>
    <w:rsid w:val="00B3494C"/>
    <w:rsid w:val="00B3597D"/>
    <w:rsid w:val="00B35C05"/>
    <w:rsid w:val="00B36247"/>
    <w:rsid w:val="00B3763F"/>
    <w:rsid w:val="00B37767"/>
    <w:rsid w:val="00B379E1"/>
    <w:rsid w:val="00B37B6C"/>
    <w:rsid w:val="00B40E9D"/>
    <w:rsid w:val="00B41486"/>
    <w:rsid w:val="00B414C9"/>
    <w:rsid w:val="00B41750"/>
    <w:rsid w:val="00B41DDA"/>
    <w:rsid w:val="00B4233F"/>
    <w:rsid w:val="00B4284B"/>
    <w:rsid w:val="00B429AF"/>
    <w:rsid w:val="00B42F4E"/>
    <w:rsid w:val="00B43B18"/>
    <w:rsid w:val="00B44084"/>
    <w:rsid w:val="00B446B2"/>
    <w:rsid w:val="00B4484A"/>
    <w:rsid w:val="00B44AD3"/>
    <w:rsid w:val="00B45300"/>
    <w:rsid w:val="00B4631C"/>
    <w:rsid w:val="00B46E1C"/>
    <w:rsid w:val="00B471B9"/>
    <w:rsid w:val="00B47E06"/>
    <w:rsid w:val="00B500D8"/>
    <w:rsid w:val="00B50261"/>
    <w:rsid w:val="00B50A3D"/>
    <w:rsid w:val="00B50A85"/>
    <w:rsid w:val="00B50CD1"/>
    <w:rsid w:val="00B51077"/>
    <w:rsid w:val="00B5138C"/>
    <w:rsid w:val="00B514B3"/>
    <w:rsid w:val="00B51797"/>
    <w:rsid w:val="00B51CFF"/>
    <w:rsid w:val="00B51F06"/>
    <w:rsid w:val="00B52DC5"/>
    <w:rsid w:val="00B53D2C"/>
    <w:rsid w:val="00B54138"/>
    <w:rsid w:val="00B54E97"/>
    <w:rsid w:val="00B550CD"/>
    <w:rsid w:val="00B55249"/>
    <w:rsid w:val="00B554CF"/>
    <w:rsid w:val="00B55AB0"/>
    <w:rsid w:val="00B56FD2"/>
    <w:rsid w:val="00B577BA"/>
    <w:rsid w:val="00B5782D"/>
    <w:rsid w:val="00B57A63"/>
    <w:rsid w:val="00B60B19"/>
    <w:rsid w:val="00B60C3A"/>
    <w:rsid w:val="00B6118B"/>
    <w:rsid w:val="00B615D7"/>
    <w:rsid w:val="00B61D46"/>
    <w:rsid w:val="00B623DA"/>
    <w:rsid w:val="00B624DD"/>
    <w:rsid w:val="00B627BC"/>
    <w:rsid w:val="00B628A1"/>
    <w:rsid w:val="00B62B82"/>
    <w:rsid w:val="00B63167"/>
    <w:rsid w:val="00B647D0"/>
    <w:rsid w:val="00B64F9F"/>
    <w:rsid w:val="00B65007"/>
    <w:rsid w:val="00B652E1"/>
    <w:rsid w:val="00B662F9"/>
    <w:rsid w:val="00B67417"/>
    <w:rsid w:val="00B67C4B"/>
    <w:rsid w:val="00B70486"/>
    <w:rsid w:val="00B70688"/>
    <w:rsid w:val="00B70CDB"/>
    <w:rsid w:val="00B71E2E"/>
    <w:rsid w:val="00B71FF9"/>
    <w:rsid w:val="00B72643"/>
    <w:rsid w:val="00B72993"/>
    <w:rsid w:val="00B7364B"/>
    <w:rsid w:val="00B74397"/>
    <w:rsid w:val="00B74425"/>
    <w:rsid w:val="00B744D3"/>
    <w:rsid w:val="00B74635"/>
    <w:rsid w:val="00B747C8"/>
    <w:rsid w:val="00B748AE"/>
    <w:rsid w:val="00B754B7"/>
    <w:rsid w:val="00B76335"/>
    <w:rsid w:val="00B765BF"/>
    <w:rsid w:val="00B77B00"/>
    <w:rsid w:val="00B77BFA"/>
    <w:rsid w:val="00B77EFE"/>
    <w:rsid w:val="00B80373"/>
    <w:rsid w:val="00B803FA"/>
    <w:rsid w:val="00B8181D"/>
    <w:rsid w:val="00B81976"/>
    <w:rsid w:val="00B8207B"/>
    <w:rsid w:val="00B8251A"/>
    <w:rsid w:val="00B82B62"/>
    <w:rsid w:val="00B82E51"/>
    <w:rsid w:val="00B83AF3"/>
    <w:rsid w:val="00B83E46"/>
    <w:rsid w:val="00B84062"/>
    <w:rsid w:val="00B84492"/>
    <w:rsid w:val="00B847C9"/>
    <w:rsid w:val="00B851AA"/>
    <w:rsid w:val="00B85B76"/>
    <w:rsid w:val="00B85BD0"/>
    <w:rsid w:val="00B85D24"/>
    <w:rsid w:val="00B860FD"/>
    <w:rsid w:val="00B86515"/>
    <w:rsid w:val="00B86831"/>
    <w:rsid w:val="00B86F92"/>
    <w:rsid w:val="00B872C3"/>
    <w:rsid w:val="00B87377"/>
    <w:rsid w:val="00B90070"/>
    <w:rsid w:val="00B90A4F"/>
    <w:rsid w:val="00B90CAE"/>
    <w:rsid w:val="00B90E95"/>
    <w:rsid w:val="00B9123B"/>
    <w:rsid w:val="00B913A0"/>
    <w:rsid w:val="00B924DF"/>
    <w:rsid w:val="00B928E0"/>
    <w:rsid w:val="00B92943"/>
    <w:rsid w:val="00B938BB"/>
    <w:rsid w:val="00B93E80"/>
    <w:rsid w:val="00B93F1D"/>
    <w:rsid w:val="00B944BF"/>
    <w:rsid w:val="00B95233"/>
    <w:rsid w:val="00B95413"/>
    <w:rsid w:val="00B95879"/>
    <w:rsid w:val="00B95F54"/>
    <w:rsid w:val="00B961A5"/>
    <w:rsid w:val="00B962BB"/>
    <w:rsid w:val="00B962C0"/>
    <w:rsid w:val="00B96E9A"/>
    <w:rsid w:val="00B97206"/>
    <w:rsid w:val="00B97666"/>
    <w:rsid w:val="00B97C07"/>
    <w:rsid w:val="00B97CB3"/>
    <w:rsid w:val="00BA006A"/>
    <w:rsid w:val="00BA0A0B"/>
    <w:rsid w:val="00BA0D5B"/>
    <w:rsid w:val="00BA0DA6"/>
    <w:rsid w:val="00BA13B8"/>
    <w:rsid w:val="00BA187D"/>
    <w:rsid w:val="00BA1DD8"/>
    <w:rsid w:val="00BA230E"/>
    <w:rsid w:val="00BA2720"/>
    <w:rsid w:val="00BA2E7A"/>
    <w:rsid w:val="00BA3A0A"/>
    <w:rsid w:val="00BA3B46"/>
    <w:rsid w:val="00BA4039"/>
    <w:rsid w:val="00BA42B3"/>
    <w:rsid w:val="00BA4B33"/>
    <w:rsid w:val="00BA4B87"/>
    <w:rsid w:val="00BA5A6C"/>
    <w:rsid w:val="00BA5ED1"/>
    <w:rsid w:val="00BA661B"/>
    <w:rsid w:val="00BA7999"/>
    <w:rsid w:val="00BA7A44"/>
    <w:rsid w:val="00BA7DB1"/>
    <w:rsid w:val="00BB0915"/>
    <w:rsid w:val="00BB1501"/>
    <w:rsid w:val="00BB166B"/>
    <w:rsid w:val="00BB17DD"/>
    <w:rsid w:val="00BB1E24"/>
    <w:rsid w:val="00BB3435"/>
    <w:rsid w:val="00BB355D"/>
    <w:rsid w:val="00BB3A2E"/>
    <w:rsid w:val="00BB4385"/>
    <w:rsid w:val="00BB4459"/>
    <w:rsid w:val="00BB5947"/>
    <w:rsid w:val="00BB5C18"/>
    <w:rsid w:val="00BB6C65"/>
    <w:rsid w:val="00BB72A5"/>
    <w:rsid w:val="00BB79F0"/>
    <w:rsid w:val="00BB79F3"/>
    <w:rsid w:val="00BC0321"/>
    <w:rsid w:val="00BC0F4F"/>
    <w:rsid w:val="00BC10AF"/>
    <w:rsid w:val="00BC1307"/>
    <w:rsid w:val="00BC1F8B"/>
    <w:rsid w:val="00BC2093"/>
    <w:rsid w:val="00BC21D3"/>
    <w:rsid w:val="00BC2613"/>
    <w:rsid w:val="00BC36BB"/>
    <w:rsid w:val="00BC38D9"/>
    <w:rsid w:val="00BC3915"/>
    <w:rsid w:val="00BC47D1"/>
    <w:rsid w:val="00BC4DAE"/>
    <w:rsid w:val="00BC5418"/>
    <w:rsid w:val="00BC5469"/>
    <w:rsid w:val="00BC5A2E"/>
    <w:rsid w:val="00BC5F86"/>
    <w:rsid w:val="00BC6009"/>
    <w:rsid w:val="00BC6014"/>
    <w:rsid w:val="00BC66D7"/>
    <w:rsid w:val="00BC6770"/>
    <w:rsid w:val="00BC7235"/>
    <w:rsid w:val="00BD0057"/>
    <w:rsid w:val="00BD02F7"/>
    <w:rsid w:val="00BD0473"/>
    <w:rsid w:val="00BD0604"/>
    <w:rsid w:val="00BD082C"/>
    <w:rsid w:val="00BD0A64"/>
    <w:rsid w:val="00BD190E"/>
    <w:rsid w:val="00BD1BCA"/>
    <w:rsid w:val="00BD1F45"/>
    <w:rsid w:val="00BD20B9"/>
    <w:rsid w:val="00BD21C3"/>
    <w:rsid w:val="00BD30B2"/>
    <w:rsid w:val="00BD36C6"/>
    <w:rsid w:val="00BD568A"/>
    <w:rsid w:val="00BD6050"/>
    <w:rsid w:val="00BD64A3"/>
    <w:rsid w:val="00BD6580"/>
    <w:rsid w:val="00BD675D"/>
    <w:rsid w:val="00BD6870"/>
    <w:rsid w:val="00BD726E"/>
    <w:rsid w:val="00BD7EC4"/>
    <w:rsid w:val="00BE0437"/>
    <w:rsid w:val="00BE07E0"/>
    <w:rsid w:val="00BE0993"/>
    <w:rsid w:val="00BE101F"/>
    <w:rsid w:val="00BE12A6"/>
    <w:rsid w:val="00BE1BEF"/>
    <w:rsid w:val="00BE1C73"/>
    <w:rsid w:val="00BE1F80"/>
    <w:rsid w:val="00BE26A2"/>
    <w:rsid w:val="00BE2B1A"/>
    <w:rsid w:val="00BE31A4"/>
    <w:rsid w:val="00BE31C2"/>
    <w:rsid w:val="00BE32ED"/>
    <w:rsid w:val="00BE4704"/>
    <w:rsid w:val="00BE4966"/>
    <w:rsid w:val="00BE5271"/>
    <w:rsid w:val="00BE585E"/>
    <w:rsid w:val="00BE5EA1"/>
    <w:rsid w:val="00BE607E"/>
    <w:rsid w:val="00BE655F"/>
    <w:rsid w:val="00BE6885"/>
    <w:rsid w:val="00BE6BC8"/>
    <w:rsid w:val="00BE6BE5"/>
    <w:rsid w:val="00BE7116"/>
    <w:rsid w:val="00BE7337"/>
    <w:rsid w:val="00BF0479"/>
    <w:rsid w:val="00BF0523"/>
    <w:rsid w:val="00BF0666"/>
    <w:rsid w:val="00BF0CEF"/>
    <w:rsid w:val="00BF0E10"/>
    <w:rsid w:val="00BF1573"/>
    <w:rsid w:val="00BF1E38"/>
    <w:rsid w:val="00BF1FE5"/>
    <w:rsid w:val="00BF200D"/>
    <w:rsid w:val="00BF233F"/>
    <w:rsid w:val="00BF2ADC"/>
    <w:rsid w:val="00BF3013"/>
    <w:rsid w:val="00BF338F"/>
    <w:rsid w:val="00BF33FC"/>
    <w:rsid w:val="00BF34C7"/>
    <w:rsid w:val="00BF3665"/>
    <w:rsid w:val="00BF36A8"/>
    <w:rsid w:val="00BF3D5B"/>
    <w:rsid w:val="00BF4A5A"/>
    <w:rsid w:val="00BF4C0A"/>
    <w:rsid w:val="00BF4CD0"/>
    <w:rsid w:val="00BF519C"/>
    <w:rsid w:val="00BF5AB7"/>
    <w:rsid w:val="00BF5C7F"/>
    <w:rsid w:val="00BF66A3"/>
    <w:rsid w:val="00BF6880"/>
    <w:rsid w:val="00BF792F"/>
    <w:rsid w:val="00BF7C35"/>
    <w:rsid w:val="00BF7DFF"/>
    <w:rsid w:val="00BF7F19"/>
    <w:rsid w:val="00C0003C"/>
    <w:rsid w:val="00C002E0"/>
    <w:rsid w:val="00C0033A"/>
    <w:rsid w:val="00C0147B"/>
    <w:rsid w:val="00C022DC"/>
    <w:rsid w:val="00C02305"/>
    <w:rsid w:val="00C02530"/>
    <w:rsid w:val="00C026C2"/>
    <w:rsid w:val="00C0292D"/>
    <w:rsid w:val="00C0296E"/>
    <w:rsid w:val="00C02B97"/>
    <w:rsid w:val="00C02BE0"/>
    <w:rsid w:val="00C0328F"/>
    <w:rsid w:val="00C03371"/>
    <w:rsid w:val="00C03617"/>
    <w:rsid w:val="00C03FF7"/>
    <w:rsid w:val="00C044EC"/>
    <w:rsid w:val="00C0477E"/>
    <w:rsid w:val="00C05302"/>
    <w:rsid w:val="00C059D4"/>
    <w:rsid w:val="00C05CBD"/>
    <w:rsid w:val="00C05D70"/>
    <w:rsid w:val="00C0678B"/>
    <w:rsid w:val="00C068A0"/>
    <w:rsid w:val="00C068B1"/>
    <w:rsid w:val="00C06AE8"/>
    <w:rsid w:val="00C07472"/>
    <w:rsid w:val="00C0760E"/>
    <w:rsid w:val="00C077C6"/>
    <w:rsid w:val="00C07AD3"/>
    <w:rsid w:val="00C07D88"/>
    <w:rsid w:val="00C10161"/>
    <w:rsid w:val="00C105E7"/>
    <w:rsid w:val="00C108D7"/>
    <w:rsid w:val="00C10C11"/>
    <w:rsid w:val="00C11272"/>
    <w:rsid w:val="00C1178A"/>
    <w:rsid w:val="00C11B84"/>
    <w:rsid w:val="00C13474"/>
    <w:rsid w:val="00C13B35"/>
    <w:rsid w:val="00C14098"/>
    <w:rsid w:val="00C141B6"/>
    <w:rsid w:val="00C14762"/>
    <w:rsid w:val="00C155F1"/>
    <w:rsid w:val="00C1564A"/>
    <w:rsid w:val="00C15D26"/>
    <w:rsid w:val="00C15F9C"/>
    <w:rsid w:val="00C17993"/>
    <w:rsid w:val="00C2044F"/>
    <w:rsid w:val="00C20A85"/>
    <w:rsid w:val="00C230DF"/>
    <w:rsid w:val="00C238E4"/>
    <w:rsid w:val="00C23F8D"/>
    <w:rsid w:val="00C24527"/>
    <w:rsid w:val="00C2498A"/>
    <w:rsid w:val="00C24DBC"/>
    <w:rsid w:val="00C269C2"/>
    <w:rsid w:val="00C26AFF"/>
    <w:rsid w:val="00C26B80"/>
    <w:rsid w:val="00C27042"/>
    <w:rsid w:val="00C3006F"/>
    <w:rsid w:val="00C30BD1"/>
    <w:rsid w:val="00C30C86"/>
    <w:rsid w:val="00C30D4B"/>
    <w:rsid w:val="00C3173C"/>
    <w:rsid w:val="00C31A80"/>
    <w:rsid w:val="00C31A92"/>
    <w:rsid w:val="00C31DEF"/>
    <w:rsid w:val="00C31FF2"/>
    <w:rsid w:val="00C32B6E"/>
    <w:rsid w:val="00C32B81"/>
    <w:rsid w:val="00C32B9A"/>
    <w:rsid w:val="00C32CBE"/>
    <w:rsid w:val="00C3318D"/>
    <w:rsid w:val="00C33389"/>
    <w:rsid w:val="00C3431E"/>
    <w:rsid w:val="00C35C32"/>
    <w:rsid w:val="00C35E90"/>
    <w:rsid w:val="00C36655"/>
    <w:rsid w:val="00C37A8D"/>
    <w:rsid w:val="00C407BE"/>
    <w:rsid w:val="00C407CE"/>
    <w:rsid w:val="00C415EA"/>
    <w:rsid w:val="00C41CE1"/>
    <w:rsid w:val="00C422A8"/>
    <w:rsid w:val="00C42499"/>
    <w:rsid w:val="00C42ABD"/>
    <w:rsid w:val="00C4316B"/>
    <w:rsid w:val="00C432E6"/>
    <w:rsid w:val="00C43F55"/>
    <w:rsid w:val="00C441AA"/>
    <w:rsid w:val="00C444F3"/>
    <w:rsid w:val="00C4471D"/>
    <w:rsid w:val="00C448D1"/>
    <w:rsid w:val="00C448D3"/>
    <w:rsid w:val="00C44916"/>
    <w:rsid w:val="00C44E02"/>
    <w:rsid w:val="00C455F0"/>
    <w:rsid w:val="00C45797"/>
    <w:rsid w:val="00C47804"/>
    <w:rsid w:val="00C47F3B"/>
    <w:rsid w:val="00C50053"/>
    <w:rsid w:val="00C5061A"/>
    <w:rsid w:val="00C5071E"/>
    <w:rsid w:val="00C5098B"/>
    <w:rsid w:val="00C50CF9"/>
    <w:rsid w:val="00C51085"/>
    <w:rsid w:val="00C518F1"/>
    <w:rsid w:val="00C51F5A"/>
    <w:rsid w:val="00C521F9"/>
    <w:rsid w:val="00C52908"/>
    <w:rsid w:val="00C52FF9"/>
    <w:rsid w:val="00C53C71"/>
    <w:rsid w:val="00C53C89"/>
    <w:rsid w:val="00C53CD2"/>
    <w:rsid w:val="00C546B4"/>
    <w:rsid w:val="00C5484A"/>
    <w:rsid w:val="00C554E9"/>
    <w:rsid w:val="00C56AD6"/>
    <w:rsid w:val="00C600B1"/>
    <w:rsid w:val="00C60B29"/>
    <w:rsid w:val="00C60BF8"/>
    <w:rsid w:val="00C61DA9"/>
    <w:rsid w:val="00C62B69"/>
    <w:rsid w:val="00C62C96"/>
    <w:rsid w:val="00C62FF0"/>
    <w:rsid w:val="00C6313A"/>
    <w:rsid w:val="00C63B9D"/>
    <w:rsid w:val="00C65720"/>
    <w:rsid w:val="00C65EF2"/>
    <w:rsid w:val="00C66356"/>
    <w:rsid w:val="00C6685A"/>
    <w:rsid w:val="00C671BD"/>
    <w:rsid w:val="00C671DC"/>
    <w:rsid w:val="00C671ED"/>
    <w:rsid w:val="00C674E2"/>
    <w:rsid w:val="00C679A6"/>
    <w:rsid w:val="00C702AA"/>
    <w:rsid w:val="00C705A4"/>
    <w:rsid w:val="00C70B87"/>
    <w:rsid w:val="00C713A9"/>
    <w:rsid w:val="00C71410"/>
    <w:rsid w:val="00C728E5"/>
    <w:rsid w:val="00C7292E"/>
    <w:rsid w:val="00C73282"/>
    <w:rsid w:val="00C7390D"/>
    <w:rsid w:val="00C73D08"/>
    <w:rsid w:val="00C74F5A"/>
    <w:rsid w:val="00C751C8"/>
    <w:rsid w:val="00C75401"/>
    <w:rsid w:val="00C7682B"/>
    <w:rsid w:val="00C7688A"/>
    <w:rsid w:val="00C7689C"/>
    <w:rsid w:val="00C76E87"/>
    <w:rsid w:val="00C7721E"/>
    <w:rsid w:val="00C774B2"/>
    <w:rsid w:val="00C80C56"/>
    <w:rsid w:val="00C80F3A"/>
    <w:rsid w:val="00C81217"/>
    <w:rsid w:val="00C81253"/>
    <w:rsid w:val="00C81377"/>
    <w:rsid w:val="00C81616"/>
    <w:rsid w:val="00C81ED5"/>
    <w:rsid w:val="00C821EA"/>
    <w:rsid w:val="00C82C72"/>
    <w:rsid w:val="00C834D8"/>
    <w:rsid w:val="00C83584"/>
    <w:rsid w:val="00C837DD"/>
    <w:rsid w:val="00C83BB8"/>
    <w:rsid w:val="00C84BD2"/>
    <w:rsid w:val="00C84EB9"/>
    <w:rsid w:val="00C859B7"/>
    <w:rsid w:val="00C85CAA"/>
    <w:rsid w:val="00C86460"/>
    <w:rsid w:val="00C869D5"/>
    <w:rsid w:val="00C86A28"/>
    <w:rsid w:val="00C86D85"/>
    <w:rsid w:val="00C874BE"/>
    <w:rsid w:val="00C87502"/>
    <w:rsid w:val="00C87958"/>
    <w:rsid w:val="00C87ABF"/>
    <w:rsid w:val="00C87BCE"/>
    <w:rsid w:val="00C90363"/>
    <w:rsid w:val="00C904EC"/>
    <w:rsid w:val="00C90F96"/>
    <w:rsid w:val="00C9109B"/>
    <w:rsid w:val="00C9126C"/>
    <w:rsid w:val="00C917E2"/>
    <w:rsid w:val="00C91868"/>
    <w:rsid w:val="00C91BED"/>
    <w:rsid w:val="00C91E43"/>
    <w:rsid w:val="00C91FA1"/>
    <w:rsid w:val="00C92129"/>
    <w:rsid w:val="00C9266C"/>
    <w:rsid w:val="00C92844"/>
    <w:rsid w:val="00C93294"/>
    <w:rsid w:val="00C93C07"/>
    <w:rsid w:val="00C93E2A"/>
    <w:rsid w:val="00C94031"/>
    <w:rsid w:val="00C94040"/>
    <w:rsid w:val="00C94A08"/>
    <w:rsid w:val="00C94CAD"/>
    <w:rsid w:val="00C95A5C"/>
    <w:rsid w:val="00C96828"/>
    <w:rsid w:val="00C96B00"/>
    <w:rsid w:val="00C976DA"/>
    <w:rsid w:val="00C97805"/>
    <w:rsid w:val="00C97B47"/>
    <w:rsid w:val="00CA0948"/>
    <w:rsid w:val="00CA1580"/>
    <w:rsid w:val="00CA2196"/>
    <w:rsid w:val="00CA270F"/>
    <w:rsid w:val="00CA3362"/>
    <w:rsid w:val="00CA3953"/>
    <w:rsid w:val="00CA3C5D"/>
    <w:rsid w:val="00CA4001"/>
    <w:rsid w:val="00CA4192"/>
    <w:rsid w:val="00CA4278"/>
    <w:rsid w:val="00CA447A"/>
    <w:rsid w:val="00CA44B9"/>
    <w:rsid w:val="00CA459F"/>
    <w:rsid w:val="00CA5021"/>
    <w:rsid w:val="00CA561D"/>
    <w:rsid w:val="00CA6C64"/>
    <w:rsid w:val="00CA77FD"/>
    <w:rsid w:val="00CB0482"/>
    <w:rsid w:val="00CB1495"/>
    <w:rsid w:val="00CB159A"/>
    <w:rsid w:val="00CB1632"/>
    <w:rsid w:val="00CB232C"/>
    <w:rsid w:val="00CB2442"/>
    <w:rsid w:val="00CB2583"/>
    <w:rsid w:val="00CB30E0"/>
    <w:rsid w:val="00CB36F4"/>
    <w:rsid w:val="00CB3778"/>
    <w:rsid w:val="00CB4BE8"/>
    <w:rsid w:val="00CB57AC"/>
    <w:rsid w:val="00CB5A3B"/>
    <w:rsid w:val="00CB6F78"/>
    <w:rsid w:val="00CB7249"/>
    <w:rsid w:val="00CB7757"/>
    <w:rsid w:val="00CB7BBB"/>
    <w:rsid w:val="00CC0810"/>
    <w:rsid w:val="00CC0E0A"/>
    <w:rsid w:val="00CC0E24"/>
    <w:rsid w:val="00CC10E5"/>
    <w:rsid w:val="00CC1540"/>
    <w:rsid w:val="00CC1774"/>
    <w:rsid w:val="00CC200C"/>
    <w:rsid w:val="00CC2133"/>
    <w:rsid w:val="00CC2471"/>
    <w:rsid w:val="00CC2D5F"/>
    <w:rsid w:val="00CC35C7"/>
    <w:rsid w:val="00CC3722"/>
    <w:rsid w:val="00CC42C7"/>
    <w:rsid w:val="00CC441A"/>
    <w:rsid w:val="00CC4C91"/>
    <w:rsid w:val="00CC54CD"/>
    <w:rsid w:val="00CC5D9D"/>
    <w:rsid w:val="00CC6416"/>
    <w:rsid w:val="00CC7544"/>
    <w:rsid w:val="00CC7CD8"/>
    <w:rsid w:val="00CD1510"/>
    <w:rsid w:val="00CD1604"/>
    <w:rsid w:val="00CD16B3"/>
    <w:rsid w:val="00CD1A37"/>
    <w:rsid w:val="00CD2146"/>
    <w:rsid w:val="00CD215A"/>
    <w:rsid w:val="00CD236A"/>
    <w:rsid w:val="00CD2861"/>
    <w:rsid w:val="00CD2B6B"/>
    <w:rsid w:val="00CD3712"/>
    <w:rsid w:val="00CD4416"/>
    <w:rsid w:val="00CD4562"/>
    <w:rsid w:val="00CD4AB9"/>
    <w:rsid w:val="00CD4B6C"/>
    <w:rsid w:val="00CD4FD2"/>
    <w:rsid w:val="00CD52A9"/>
    <w:rsid w:val="00CD59B8"/>
    <w:rsid w:val="00CD5BAA"/>
    <w:rsid w:val="00CD63A5"/>
    <w:rsid w:val="00CD6756"/>
    <w:rsid w:val="00CD67A1"/>
    <w:rsid w:val="00CD7FC8"/>
    <w:rsid w:val="00CE254E"/>
    <w:rsid w:val="00CE2810"/>
    <w:rsid w:val="00CE36C6"/>
    <w:rsid w:val="00CE39AE"/>
    <w:rsid w:val="00CE3E21"/>
    <w:rsid w:val="00CE4376"/>
    <w:rsid w:val="00CE441B"/>
    <w:rsid w:val="00CE45C0"/>
    <w:rsid w:val="00CE47F5"/>
    <w:rsid w:val="00CE4874"/>
    <w:rsid w:val="00CE4907"/>
    <w:rsid w:val="00CE4D82"/>
    <w:rsid w:val="00CE5501"/>
    <w:rsid w:val="00CE59F6"/>
    <w:rsid w:val="00CE5C25"/>
    <w:rsid w:val="00CE6194"/>
    <w:rsid w:val="00CE6594"/>
    <w:rsid w:val="00CE6D9E"/>
    <w:rsid w:val="00CE7E2E"/>
    <w:rsid w:val="00CF07B6"/>
    <w:rsid w:val="00CF127B"/>
    <w:rsid w:val="00CF1A27"/>
    <w:rsid w:val="00CF1B55"/>
    <w:rsid w:val="00CF2945"/>
    <w:rsid w:val="00CF4A4E"/>
    <w:rsid w:val="00CF4FB8"/>
    <w:rsid w:val="00CF54C9"/>
    <w:rsid w:val="00CF5AC2"/>
    <w:rsid w:val="00CF5D01"/>
    <w:rsid w:val="00CF5EB8"/>
    <w:rsid w:val="00CF6B80"/>
    <w:rsid w:val="00CF6BFD"/>
    <w:rsid w:val="00CF7559"/>
    <w:rsid w:val="00D00572"/>
    <w:rsid w:val="00D008F3"/>
    <w:rsid w:val="00D00BFF"/>
    <w:rsid w:val="00D00CFB"/>
    <w:rsid w:val="00D00D99"/>
    <w:rsid w:val="00D016C0"/>
    <w:rsid w:val="00D02358"/>
    <w:rsid w:val="00D02818"/>
    <w:rsid w:val="00D02835"/>
    <w:rsid w:val="00D029AE"/>
    <w:rsid w:val="00D04617"/>
    <w:rsid w:val="00D04BDC"/>
    <w:rsid w:val="00D04E9A"/>
    <w:rsid w:val="00D05AF5"/>
    <w:rsid w:val="00D06281"/>
    <w:rsid w:val="00D06314"/>
    <w:rsid w:val="00D06C1F"/>
    <w:rsid w:val="00D1035A"/>
    <w:rsid w:val="00D117AB"/>
    <w:rsid w:val="00D1234B"/>
    <w:rsid w:val="00D1253D"/>
    <w:rsid w:val="00D12569"/>
    <w:rsid w:val="00D12620"/>
    <w:rsid w:val="00D12947"/>
    <w:rsid w:val="00D129BC"/>
    <w:rsid w:val="00D12A33"/>
    <w:rsid w:val="00D12B51"/>
    <w:rsid w:val="00D132CE"/>
    <w:rsid w:val="00D13F54"/>
    <w:rsid w:val="00D1438F"/>
    <w:rsid w:val="00D14FF8"/>
    <w:rsid w:val="00D152A6"/>
    <w:rsid w:val="00D159F7"/>
    <w:rsid w:val="00D15A2C"/>
    <w:rsid w:val="00D15FD4"/>
    <w:rsid w:val="00D175CD"/>
    <w:rsid w:val="00D17874"/>
    <w:rsid w:val="00D17A48"/>
    <w:rsid w:val="00D17EA5"/>
    <w:rsid w:val="00D209E8"/>
    <w:rsid w:val="00D20E1C"/>
    <w:rsid w:val="00D20EB0"/>
    <w:rsid w:val="00D2198E"/>
    <w:rsid w:val="00D221EE"/>
    <w:rsid w:val="00D2256A"/>
    <w:rsid w:val="00D228B1"/>
    <w:rsid w:val="00D229BB"/>
    <w:rsid w:val="00D24959"/>
    <w:rsid w:val="00D24F54"/>
    <w:rsid w:val="00D25028"/>
    <w:rsid w:val="00D258AD"/>
    <w:rsid w:val="00D26098"/>
    <w:rsid w:val="00D26433"/>
    <w:rsid w:val="00D26E20"/>
    <w:rsid w:val="00D26EE4"/>
    <w:rsid w:val="00D309D5"/>
    <w:rsid w:val="00D3163D"/>
    <w:rsid w:val="00D32E78"/>
    <w:rsid w:val="00D330ED"/>
    <w:rsid w:val="00D33481"/>
    <w:rsid w:val="00D337E9"/>
    <w:rsid w:val="00D33F1B"/>
    <w:rsid w:val="00D33F21"/>
    <w:rsid w:val="00D3523F"/>
    <w:rsid w:val="00D354C3"/>
    <w:rsid w:val="00D35EE4"/>
    <w:rsid w:val="00D37198"/>
    <w:rsid w:val="00D3761C"/>
    <w:rsid w:val="00D40209"/>
    <w:rsid w:val="00D40609"/>
    <w:rsid w:val="00D40D9D"/>
    <w:rsid w:val="00D40FDA"/>
    <w:rsid w:val="00D41875"/>
    <w:rsid w:val="00D42086"/>
    <w:rsid w:val="00D42DE3"/>
    <w:rsid w:val="00D42EB7"/>
    <w:rsid w:val="00D445B8"/>
    <w:rsid w:val="00D44C6C"/>
    <w:rsid w:val="00D461B2"/>
    <w:rsid w:val="00D462C3"/>
    <w:rsid w:val="00D47327"/>
    <w:rsid w:val="00D47F0B"/>
    <w:rsid w:val="00D50357"/>
    <w:rsid w:val="00D50875"/>
    <w:rsid w:val="00D50B53"/>
    <w:rsid w:val="00D50B58"/>
    <w:rsid w:val="00D50CC8"/>
    <w:rsid w:val="00D51776"/>
    <w:rsid w:val="00D5239C"/>
    <w:rsid w:val="00D5254C"/>
    <w:rsid w:val="00D52703"/>
    <w:rsid w:val="00D52D3B"/>
    <w:rsid w:val="00D53509"/>
    <w:rsid w:val="00D536B4"/>
    <w:rsid w:val="00D53919"/>
    <w:rsid w:val="00D54124"/>
    <w:rsid w:val="00D54B02"/>
    <w:rsid w:val="00D55C85"/>
    <w:rsid w:val="00D55F4A"/>
    <w:rsid w:val="00D56257"/>
    <w:rsid w:val="00D56653"/>
    <w:rsid w:val="00D56B70"/>
    <w:rsid w:val="00D572D3"/>
    <w:rsid w:val="00D5740F"/>
    <w:rsid w:val="00D57718"/>
    <w:rsid w:val="00D57800"/>
    <w:rsid w:val="00D57F56"/>
    <w:rsid w:val="00D6015D"/>
    <w:rsid w:val="00D60FF1"/>
    <w:rsid w:val="00D610A5"/>
    <w:rsid w:val="00D6165B"/>
    <w:rsid w:val="00D61831"/>
    <w:rsid w:val="00D61DCB"/>
    <w:rsid w:val="00D6267A"/>
    <w:rsid w:val="00D6296A"/>
    <w:rsid w:val="00D62ECE"/>
    <w:rsid w:val="00D63CF4"/>
    <w:rsid w:val="00D63D2D"/>
    <w:rsid w:val="00D642D2"/>
    <w:rsid w:val="00D64300"/>
    <w:rsid w:val="00D648B5"/>
    <w:rsid w:val="00D64D4A"/>
    <w:rsid w:val="00D65826"/>
    <w:rsid w:val="00D659FF"/>
    <w:rsid w:val="00D65AAE"/>
    <w:rsid w:val="00D6607B"/>
    <w:rsid w:val="00D666D8"/>
    <w:rsid w:val="00D668BD"/>
    <w:rsid w:val="00D66C40"/>
    <w:rsid w:val="00D66D6F"/>
    <w:rsid w:val="00D674B2"/>
    <w:rsid w:val="00D67A21"/>
    <w:rsid w:val="00D67E5A"/>
    <w:rsid w:val="00D701E4"/>
    <w:rsid w:val="00D70F9E"/>
    <w:rsid w:val="00D730D2"/>
    <w:rsid w:val="00D7327E"/>
    <w:rsid w:val="00D736B4"/>
    <w:rsid w:val="00D74229"/>
    <w:rsid w:val="00D7465C"/>
    <w:rsid w:val="00D74754"/>
    <w:rsid w:val="00D74864"/>
    <w:rsid w:val="00D748B7"/>
    <w:rsid w:val="00D74A95"/>
    <w:rsid w:val="00D74CCD"/>
    <w:rsid w:val="00D74DA8"/>
    <w:rsid w:val="00D75E0A"/>
    <w:rsid w:val="00D75FFF"/>
    <w:rsid w:val="00D766BB"/>
    <w:rsid w:val="00D772DF"/>
    <w:rsid w:val="00D77339"/>
    <w:rsid w:val="00D77509"/>
    <w:rsid w:val="00D779C6"/>
    <w:rsid w:val="00D8027B"/>
    <w:rsid w:val="00D805FD"/>
    <w:rsid w:val="00D81430"/>
    <w:rsid w:val="00D81455"/>
    <w:rsid w:val="00D815D1"/>
    <w:rsid w:val="00D81B98"/>
    <w:rsid w:val="00D82724"/>
    <w:rsid w:val="00D8274B"/>
    <w:rsid w:val="00D840EF"/>
    <w:rsid w:val="00D84293"/>
    <w:rsid w:val="00D84AB3"/>
    <w:rsid w:val="00D85846"/>
    <w:rsid w:val="00D85DD9"/>
    <w:rsid w:val="00D86672"/>
    <w:rsid w:val="00D8787F"/>
    <w:rsid w:val="00D879FF"/>
    <w:rsid w:val="00D87AE3"/>
    <w:rsid w:val="00D87BD0"/>
    <w:rsid w:val="00D87FE4"/>
    <w:rsid w:val="00D90D84"/>
    <w:rsid w:val="00D9118A"/>
    <w:rsid w:val="00D91302"/>
    <w:rsid w:val="00D9246B"/>
    <w:rsid w:val="00D92A46"/>
    <w:rsid w:val="00D936F5"/>
    <w:rsid w:val="00D94145"/>
    <w:rsid w:val="00D94278"/>
    <w:rsid w:val="00D943A5"/>
    <w:rsid w:val="00D946EA"/>
    <w:rsid w:val="00D95F6C"/>
    <w:rsid w:val="00D96419"/>
    <w:rsid w:val="00D96D6A"/>
    <w:rsid w:val="00D96EF6"/>
    <w:rsid w:val="00D978BC"/>
    <w:rsid w:val="00D97B54"/>
    <w:rsid w:val="00D97E13"/>
    <w:rsid w:val="00DA00C6"/>
    <w:rsid w:val="00DA0105"/>
    <w:rsid w:val="00DA1153"/>
    <w:rsid w:val="00DA1252"/>
    <w:rsid w:val="00DA1580"/>
    <w:rsid w:val="00DA1D7A"/>
    <w:rsid w:val="00DA1ED2"/>
    <w:rsid w:val="00DA23DA"/>
    <w:rsid w:val="00DA28C9"/>
    <w:rsid w:val="00DA2D6A"/>
    <w:rsid w:val="00DA36C0"/>
    <w:rsid w:val="00DA3C96"/>
    <w:rsid w:val="00DA4096"/>
    <w:rsid w:val="00DA4217"/>
    <w:rsid w:val="00DA4807"/>
    <w:rsid w:val="00DA4FBD"/>
    <w:rsid w:val="00DA5D97"/>
    <w:rsid w:val="00DA5F4B"/>
    <w:rsid w:val="00DA5F91"/>
    <w:rsid w:val="00DA6153"/>
    <w:rsid w:val="00DA6CE5"/>
    <w:rsid w:val="00DA7976"/>
    <w:rsid w:val="00DA7A72"/>
    <w:rsid w:val="00DA7B3C"/>
    <w:rsid w:val="00DA7D6D"/>
    <w:rsid w:val="00DB0088"/>
    <w:rsid w:val="00DB00A8"/>
    <w:rsid w:val="00DB0245"/>
    <w:rsid w:val="00DB0555"/>
    <w:rsid w:val="00DB0DF1"/>
    <w:rsid w:val="00DB1341"/>
    <w:rsid w:val="00DB15E1"/>
    <w:rsid w:val="00DB160A"/>
    <w:rsid w:val="00DB16F5"/>
    <w:rsid w:val="00DB256F"/>
    <w:rsid w:val="00DB39CF"/>
    <w:rsid w:val="00DB40A5"/>
    <w:rsid w:val="00DB4617"/>
    <w:rsid w:val="00DB4C71"/>
    <w:rsid w:val="00DB5357"/>
    <w:rsid w:val="00DB56B6"/>
    <w:rsid w:val="00DB570C"/>
    <w:rsid w:val="00DB5720"/>
    <w:rsid w:val="00DB5751"/>
    <w:rsid w:val="00DB5882"/>
    <w:rsid w:val="00DB5A8A"/>
    <w:rsid w:val="00DB5B12"/>
    <w:rsid w:val="00DB5C09"/>
    <w:rsid w:val="00DB615F"/>
    <w:rsid w:val="00DB63D9"/>
    <w:rsid w:val="00DB646F"/>
    <w:rsid w:val="00DB68B7"/>
    <w:rsid w:val="00DB6A22"/>
    <w:rsid w:val="00DB6F5B"/>
    <w:rsid w:val="00DB75EF"/>
    <w:rsid w:val="00DB7CE3"/>
    <w:rsid w:val="00DB7D43"/>
    <w:rsid w:val="00DC084B"/>
    <w:rsid w:val="00DC0BB3"/>
    <w:rsid w:val="00DC11E2"/>
    <w:rsid w:val="00DC1CF9"/>
    <w:rsid w:val="00DC1FB1"/>
    <w:rsid w:val="00DC2ACB"/>
    <w:rsid w:val="00DC2EEE"/>
    <w:rsid w:val="00DC323B"/>
    <w:rsid w:val="00DC334A"/>
    <w:rsid w:val="00DC354E"/>
    <w:rsid w:val="00DC3679"/>
    <w:rsid w:val="00DC3C74"/>
    <w:rsid w:val="00DC456F"/>
    <w:rsid w:val="00DC47B4"/>
    <w:rsid w:val="00DC4AF2"/>
    <w:rsid w:val="00DC5593"/>
    <w:rsid w:val="00DC567B"/>
    <w:rsid w:val="00DC57BF"/>
    <w:rsid w:val="00DC5A27"/>
    <w:rsid w:val="00DC6414"/>
    <w:rsid w:val="00DC6532"/>
    <w:rsid w:val="00DC65CE"/>
    <w:rsid w:val="00DC663F"/>
    <w:rsid w:val="00DC6ADE"/>
    <w:rsid w:val="00DC7177"/>
    <w:rsid w:val="00DC7938"/>
    <w:rsid w:val="00DC7AB8"/>
    <w:rsid w:val="00DC7E83"/>
    <w:rsid w:val="00DD101A"/>
    <w:rsid w:val="00DD11DF"/>
    <w:rsid w:val="00DD14B3"/>
    <w:rsid w:val="00DD1584"/>
    <w:rsid w:val="00DD295F"/>
    <w:rsid w:val="00DD2D3A"/>
    <w:rsid w:val="00DD302F"/>
    <w:rsid w:val="00DD3372"/>
    <w:rsid w:val="00DD3997"/>
    <w:rsid w:val="00DD403C"/>
    <w:rsid w:val="00DD40E3"/>
    <w:rsid w:val="00DD4236"/>
    <w:rsid w:val="00DD5BFB"/>
    <w:rsid w:val="00DD60A6"/>
    <w:rsid w:val="00DD698A"/>
    <w:rsid w:val="00DE0110"/>
    <w:rsid w:val="00DE1D5D"/>
    <w:rsid w:val="00DE27DD"/>
    <w:rsid w:val="00DE2855"/>
    <w:rsid w:val="00DE2ADA"/>
    <w:rsid w:val="00DE3AFE"/>
    <w:rsid w:val="00DE4A3B"/>
    <w:rsid w:val="00DE4C92"/>
    <w:rsid w:val="00DE5D47"/>
    <w:rsid w:val="00DE7838"/>
    <w:rsid w:val="00DF0CBD"/>
    <w:rsid w:val="00DF0F13"/>
    <w:rsid w:val="00DF170C"/>
    <w:rsid w:val="00DF26C9"/>
    <w:rsid w:val="00DF2C37"/>
    <w:rsid w:val="00DF2EEC"/>
    <w:rsid w:val="00DF3F8F"/>
    <w:rsid w:val="00DF4AED"/>
    <w:rsid w:val="00DF586E"/>
    <w:rsid w:val="00DF5DBC"/>
    <w:rsid w:val="00DF603E"/>
    <w:rsid w:val="00DF64C5"/>
    <w:rsid w:val="00DF7050"/>
    <w:rsid w:val="00DF722F"/>
    <w:rsid w:val="00DF7499"/>
    <w:rsid w:val="00DF7ABF"/>
    <w:rsid w:val="00DF7EB6"/>
    <w:rsid w:val="00E009B9"/>
    <w:rsid w:val="00E00E55"/>
    <w:rsid w:val="00E012FA"/>
    <w:rsid w:val="00E014E8"/>
    <w:rsid w:val="00E03004"/>
    <w:rsid w:val="00E036C6"/>
    <w:rsid w:val="00E0384F"/>
    <w:rsid w:val="00E04938"/>
    <w:rsid w:val="00E053DE"/>
    <w:rsid w:val="00E058A7"/>
    <w:rsid w:val="00E05BDA"/>
    <w:rsid w:val="00E05DDD"/>
    <w:rsid w:val="00E05F85"/>
    <w:rsid w:val="00E07219"/>
    <w:rsid w:val="00E07350"/>
    <w:rsid w:val="00E10790"/>
    <w:rsid w:val="00E107A0"/>
    <w:rsid w:val="00E116F3"/>
    <w:rsid w:val="00E11F8E"/>
    <w:rsid w:val="00E12469"/>
    <w:rsid w:val="00E13815"/>
    <w:rsid w:val="00E141FC"/>
    <w:rsid w:val="00E14275"/>
    <w:rsid w:val="00E14ADE"/>
    <w:rsid w:val="00E14FB9"/>
    <w:rsid w:val="00E1591E"/>
    <w:rsid w:val="00E161F2"/>
    <w:rsid w:val="00E1666D"/>
    <w:rsid w:val="00E16CDB"/>
    <w:rsid w:val="00E1759A"/>
    <w:rsid w:val="00E17BCB"/>
    <w:rsid w:val="00E207DC"/>
    <w:rsid w:val="00E20BEA"/>
    <w:rsid w:val="00E21889"/>
    <w:rsid w:val="00E219C8"/>
    <w:rsid w:val="00E22400"/>
    <w:rsid w:val="00E2245A"/>
    <w:rsid w:val="00E23117"/>
    <w:rsid w:val="00E231A2"/>
    <w:rsid w:val="00E23CDE"/>
    <w:rsid w:val="00E252AA"/>
    <w:rsid w:val="00E2555A"/>
    <w:rsid w:val="00E256E6"/>
    <w:rsid w:val="00E2575C"/>
    <w:rsid w:val="00E25B16"/>
    <w:rsid w:val="00E25B17"/>
    <w:rsid w:val="00E269E8"/>
    <w:rsid w:val="00E277B9"/>
    <w:rsid w:val="00E27B73"/>
    <w:rsid w:val="00E27CAE"/>
    <w:rsid w:val="00E27FC2"/>
    <w:rsid w:val="00E327D1"/>
    <w:rsid w:val="00E32EC2"/>
    <w:rsid w:val="00E32F45"/>
    <w:rsid w:val="00E33256"/>
    <w:rsid w:val="00E33320"/>
    <w:rsid w:val="00E33926"/>
    <w:rsid w:val="00E34096"/>
    <w:rsid w:val="00E34628"/>
    <w:rsid w:val="00E34940"/>
    <w:rsid w:val="00E34BEA"/>
    <w:rsid w:val="00E35739"/>
    <w:rsid w:val="00E3575A"/>
    <w:rsid w:val="00E35A94"/>
    <w:rsid w:val="00E35D9C"/>
    <w:rsid w:val="00E367EA"/>
    <w:rsid w:val="00E37629"/>
    <w:rsid w:val="00E376A8"/>
    <w:rsid w:val="00E4014F"/>
    <w:rsid w:val="00E4116D"/>
    <w:rsid w:val="00E41D94"/>
    <w:rsid w:val="00E41EF9"/>
    <w:rsid w:val="00E41FC8"/>
    <w:rsid w:val="00E42289"/>
    <w:rsid w:val="00E446A5"/>
    <w:rsid w:val="00E4541D"/>
    <w:rsid w:val="00E4546F"/>
    <w:rsid w:val="00E45554"/>
    <w:rsid w:val="00E457D2"/>
    <w:rsid w:val="00E45BC5"/>
    <w:rsid w:val="00E45DC4"/>
    <w:rsid w:val="00E463DF"/>
    <w:rsid w:val="00E46B6E"/>
    <w:rsid w:val="00E46DE9"/>
    <w:rsid w:val="00E503D3"/>
    <w:rsid w:val="00E506C2"/>
    <w:rsid w:val="00E50989"/>
    <w:rsid w:val="00E509DA"/>
    <w:rsid w:val="00E50F4A"/>
    <w:rsid w:val="00E517F7"/>
    <w:rsid w:val="00E5184A"/>
    <w:rsid w:val="00E51D50"/>
    <w:rsid w:val="00E5277D"/>
    <w:rsid w:val="00E531C1"/>
    <w:rsid w:val="00E531F1"/>
    <w:rsid w:val="00E5370F"/>
    <w:rsid w:val="00E53F4D"/>
    <w:rsid w:val="00E54DFC"/>
    <w:rsid w:val="00E56302"/>
    <w:rsid w:val="00E56C72"/>
    <w:rsid w:val="00E56CDA"/>
    <w:rsid w:val="00E574EA"/>
    <w:rsid w:val="00E579D3"/>
    <w:rsid w:val="00E57A4F"/>
    <w:rsid w:val="00E6164B"/>
    <w:rsid w:val="00E61BD1"/>
    <w:rsid w:val="00E61DEB"/>
    <w:rsid w:val="00E624CE"/>
    <w:rsid w:val="00E62C97"/>
    <w:rsid w:val="00E64418"/>
    <w:rsid w:val="00E64998"/>
    <w:rsid w:val="00E649B5"/>
    <w:rsid w:val="00E65745"/>
    <w:rsid w:val="00E66010"/>
    <w:rsid w:val="00E66405"/>
    <w:rsid w:val="00E667FC"/>
    <w:rsid w:val="00E6699F"/>
    <w:rsid w:val="00E66BAA"/>
    <w:rsid w:val="00E66F9C"/>
    <w:rsid w:val="00E678B5"/>
    <w:rsid w:val="00E67A29"/>
    <w:rsid w:val="00E701F6"/>
    <w:rsid w:val="00E71152"/>
    <w:rsid w:val="00E71822"/>
    <w:rsid w:val="00E71878"/>
    <w:rsid w:val="00E7189D"/>
    <w:rsid w:val="00E71F66"/>
    <w:rsid w:val="00E723B6"/>
    <w:rsid w:val="00E72862"/>
    <w:rsid w:val="00E73060"/>
    <w:rsid w:val="00E730F6"/>
    <w:rsid w:val="00E73609"/>
    <w:rsid w:val="00E73853"/>
    <w:rsid w:val="00E73896"/>
    <w:rsid w:val="00E73E7E"/>
    <w:rsid w:val="00E73FF8"/>
    <w:rsid w:val="00E74BB7"/>
    <w:rsid w:val="00E74CA6"/>
    <w:rsid w:val="00E75242"/>
    <w:rsid w:val="00E754A5"/>
    <w:rsid w:val="00E75680"/>
    <w:rsid w:val="00E75C0F"/>
    <w:rsid w:val="00E76352"/>
    <w:rsid w:val="00E766BC"/>
    <w:rsid w:val="00E76A16"/>
    <w:rsid w:val="00E772A5"/>
    <w:rsid w:val="00E80BCE"/>
    <w:rsid w:val="00E80DE6"/>
    <w:rsid w:val="00E81493"/>
    <w:rsid w:val="00E816AB"/>
    <w:rsid w:val="00E81CE5"/>
    <w:rsid w:val="00E81EDF"/>
    <w:rsid w:val="00E824A2"/>
    <w:rsid w:val="00E82647"/>
    <w:rsid w:val="00E82A34"/>
    <w:rsid w:val="00E839C6"/>
    <w:rsid w:val="00E83D7C"/>
    <w:rsid w:val="00E83E7F"/>
    <w:rsid w:val="00E83F18"/>
    <w:rsid w:val="00E84C46"/>
    <w:rsid w:val="00E84CE5"/>
    <w:rsid w:val="00E85080"/>
    <w:rsid w:val="00E8615F"/>
    <w:rsid w:val="00E8697D"/>
    <w:rsid w:val="00E869C8"/>
    <w:rsid w:val="00E87384"/>
    <w:rsid w:val="00E874AE"/>
    <w:rsid w:val="00E8756C"/>
    <w:rsid w:val="00E8781F"/>
    <w:rsid w:val="00E900D3"/>
    <w:rsid w:val="00E9011E"/>
    <w:rsid w:val="00E902AB"/>
    <w:rsid w:val="00E90BAE"/>
    <w:rsid w:val="00E90F2B"/>
    <w:rsid w:val="00E90FAC"/>
    <w:rsid w:val="00E91307"/>
    <w:rsid w:val="00E9179D"/>
    <w:rsid w:val="00E91C87"/>
    <w:rsid w:val="00E927FC"/>
    <w:rsid w:val="00E92F19"/>
    <w:rsid w:val="00E93433"/>
    <w:rsid w:val="00E9343F"/>
    <w:rsid w:val="00E93AEA"/>
    <w:rsid w:val="00E9402C"/>
    <w:rsid w:val="00E94361"/>
    <w:rsid w:val="00E94700"/>
    <w:rsid w:val="00E947A9"/>
    <w:rsid w:val="00E94AAB"/>
    <w:rsid w:val="00E94C24"/>
    <w:rsid w:val="00E94E0C"/>
    <w:rsid w:val="00E94F44"/>
    <w:rsid w:val="00E95785"/>
    <w:rsid w:val="00E95BEB"/>
    <w:rsid w:val="00E960E9"/>
    <w:rsid w:val="00E96554"/>
    <w:rsid w:val="00E96A47"/>
    <w:rsid w:val="00E96DD7"/>
    <w:rsid w:val="00E96E4F"/>
    <w:rsid w:val="00E97134"/>
    <w:rsid w:val="00E97CAF"/>
    <w:rsid w:val="00EA02C4"/>
    <w:rsid w:val="00EA0642"/>
    <w:rsid w:val="00EA0A6A"/>
    <w:rsid w:val="00EA121C"/>
    <w:rsid w:val="00EA127E"/>
    <w:rsid w:val="00EA172B"/>
    <w:rsid w:val="00EA1A32"/>
    <w:rsid w:val="00EA1BA0"/>
    <w:rsid w:val="00EA2037"/>
    <w:rsid w:val="00EA2BA8"/>
    <w:rsid w:val="00EA2E88"/>
    <w:rsid w:val="00EA3819"/>
    <w:rsid w:val="00EA389A"/>
    <w:rsid w:val="00EA4806"/>
    <w:rsid w:val="00EA4B35"/>
    <w:rsid w:val="00EA5138"/>
    <w:rsid w:val="00EA52FE"/>
    <w:rsid w:val="00EA5BA0"/>
    <w:rsid w:val="00EA5D14"/>
    <w:rsid w:val="00EA6563"/>
    <w:rsid w:val="00EA6BB1"/>
    <w:rsid w:val="00EA7382"/>
    <w:rsid w:val="00EA7EF0"/>
    <w:rsid w:val="00EB0728"/>
    <w:rsid w:val="00EB091D"/>
    <w:rsid w:val="00EB1A4B"/>
    <w:rsid w:val="00EB208B"/>
    <w:rsid w:val="00EB208C"/>
    <w:rsid w:val="00EB2620"/>
    <w:rsid w:val="00EB27FB"/>
    <w:rsid w:val="00EB2A16"/>
    <w:rsid w:val="00EB34A3"/>
    <w:rsid w:val="00EB467A"/>
    <w:rsid w:val="00EB4D40"/>
    <w:rsid w:val="00EB5FA4"/>
    <w:rsid w:val="00EB6424"/>
    <w:rsid w:val="00EB648E"/>
    <w:rsid w:val="00EB670A"/>
    <w:rsid w:val="00EB67D3"/>
    <w:rsid w:val="00EB6E4E"/>
    <w:rsid w:val="00EC1252"/>
    <w:rsid w:val="00EC1FF2"/>
    <w:rsid w:val="00EC31DE"/>
    <w:rsid w:val="00EC3500"/>
    <w:rsid w:val="00EC35B6"/>
    <w:rsid w:val="00EC3630"/>
    <w:rsid w:val="00EC385D"/>
    <w:rsid w:val="00EC3EE6"/>
    <w:rsid w:val="00EC410D"/>
    <w:rsid w:val="00EC44EE"/>
    <w:rsid w:val="00EC50C3"/>
    <w:rsid w:val="00EC5690"/>
    <w:rsid w:val="00EC5BD5"/>
    <w:rsid w:val="00EC5E51"/>
    <w:rsid w:val="00EC5FDF"/>
    <w:rsid w:val="00EC6487"/>
    <w:rsid w:val="00EC6747"/>
    <w:rsid w:val="00EC7884"/>
    <w:rsid w:val="00EC7F03"/>
    <w:rsid w:val="00ED020D"/>
    <w:rsid w:val="00ED0A28"/>
    <w:rsid w:val="00ED0E0C"/>
    <w:rsid w:val="00ED1007"/>
    <w:rsid w:val="00ED1253"/>
    <w:rsid w:val="00ED1366"/>
    <w:rsid w:val="00ED1600"/>
    <w:rsid w:val="00ED18E8"/>
    <w:rsid w:val="00ED245F"/>
    <w:rsid w:val="00ED2B9F"/>
    <w:rsid w:val="00ED395A"/>
    <w:rsid w:val="00ED3A6E"/>
    <w:rsid w:val="00ED3B04"/>
    <w:rsid w:val="00ED3E16"/>
    <w:rsid w:val="00ED4B58"/>
    <w:rsid w:val="00ED4D24"/>
    <w:rsid w:val="00ED5269"/>
    <w:rsid w:val="00ED5708"/>
    <w:rsid w:val="00ED591D"/>
    <w:rsid w:val="00ED6885"/>
    <w:rsid w:val="00ED73CE"/>
    <w:rsid w:val="00ED7741"/>
    <w:rsid w:val="00ED78D1"/>
    <w:rsid w:val="00EE02D6"/>
    <w:rsid w:val="00EE0A6A"/>
    <w:rsid w:val="00EE0E0C"/>
    <w:rsid w:val="00EE1167"/>
    <w:rsid w:val="00EE1338"/>
    <w:rsid w:val="00EE1D5B"/>
    <w:rsid w:val="00EE25BC"/>
    <w:rsid w:val="00EE2B1F"/>
    <w:rsid w:val="00EE3490"/>
    <w:rsid w:val="00EE4EB8"/>
    <w:rsid w:val="00EE5053"/>
    <w:rsid w:val="00EE5247"/>
    <w:rsid w:val="00EE57B1"/>
    <w:rsid w:val="00EE5ABD"/>
    <w:rsid w:val="00EE67CA"/>
    <w:rsid w:val="00EE6F74"/>
    <w:rsid w:val="00EE7B5C"/>
    <w:rsid w:val="00EE7BF5"/>
    <w:rsid w:val="00EF2E1F"/>
    <w:rsid w:val="00EF3098"/>
    <w:rsid w:val="00EF3CC5"/>
    <w:rsid w:val="00EF3D74"/>
    <w:rsid w:val="00EF40F3"/>
    <w:rsid w:val="00EF4461"/>
    <w:rsid w:val="00EF4E79"/>
    <w:rsid w:val="00EF506A"/>
    <w:rsid w:val="00EF5F28"/>
    <w:rsid w:val="00EF6901"/>
    <w:rsid w:val="00EF7827"/>
    <w:rsid w:val="00F01CF4"/>
    <w:rsid w:val="00F01F14"/>
    <w:rsid w:val="00F022EC"/>
    <w:rsid w:val="00F03B67"/>
    <w:rsid w:val="00F04253"/>
    <w:rsid w:val="00F043BE"/>
    <w:rsid w:val="00F0527E"/>
    <w:rsid w:val="00F052AA"/>
    <w:rsid w:val="00F05555"/>
    <w:rsid w:val="00F055F5"/>
    <w:rsid w:val="00F0688A"/>
    <w:rsid w:val="00F06CBE"/>
    <w:rsid w:val="00F07053"/>
    <w:rsid w:val="00F07513"/>
    <w:rsid w:val="00F07BBF"/>
    <w:rsid w:val="00F10537"/>
    <w:rsid w:val="00F10684"/>
    <w:rsid w:val="00F10845"/>
    <w:rsid w:val="00F10D87"/>
    <w:rsid w:val="00F111E0"/>
    <w:rsid w:val="00F11487"/>
    <w:rsid w:val="00F11DCF"/>
    <w:rsid w:val="00F121FF"/>
    <w:rsid w:val="00F12364"/>
    <w:rsid w:val="00F12736"/>
    <w:rsid w:val="00F12E67"/>
    <w:rsid w:val="00F1334C"/>
    <w:rsid w:val="00F14048"/>
    <w:rsid w:val="00F14A7F"/>
    <w:rsid w:val="00F154A5"/>
    <w:rsid w:val="00F15F41"/>
    <w:rsid w:val="00F16760"/>
    <w:rsid w:val="00F16B1D"/>
    <w:rsid w:val="00F17134"/>
    <w:rsid w:val="00F17438"/>
    <w:rsid w:val="00F20395"/>
    <w:rsid w:val="00F204E6"/>
    <w:rsid w:val="00F224BC"/>
    <w:rsid w:val="00F224D9"/>
    <w:rsid w:val="00F23062"/>
    <w:rsid w:val="00F234E5"/>
    <w:rsid w:val="00F23528"/>
    <w:rsid w:val="00F23C71"/>
    <w:rsid w:val="00F23F8F"/>
    <w:rsid w:val="00F2412B"/>
    <w:rsid w:val="00F252F4"/>
    <w:rsid w:val="00F25464"/>
    <w:rsid w:val="00F26AA1"/>
    <w:rsid w:val="00F306FC"/>
    <w:rsid w:val="00F30A12"/>
    <w:rsid w:val="00F316B5"/>
    <w:rsid w:val="00F31A0E"/>
    <w:rsid w:val="00F326A3"/>
    <w:rsid w:val="00F330AF"/>
    <w:rsid w:val="00F3335A"/>
    <w:rsid w:val="00F3447B"/>
    <w:rsid w:val="00F34CBD"/>
    <w:rsid w:val="00F35D3B"/>
    <w:rsid w:val="00F35DAD"/>
    <w:rsid w:val="00F3621F"/>
    <w:rsid w:val="00F3631F"/>
    <w:rsid w:val="00F37535"/>
    <w:rsid w:val="00F40345"/>
    <w:rsid w:val="00F403BE"/>
    <w:rsid w:val="00F40840"/>
    <w:rsid w:val="00F40F38"/>
    <w:rsid w:val="00F40FB8"/>
    <w:rsid w:val="00F416DA"/>
    <w:rsid w:val="00F42464"/>
    <w:rsid w:val="00F42ACC"/>
    <w:rsid w:val="00F42E52"/>
    <w:rsid w:val="00F42F2E"/>
    <w:rsid w:val="00F445ED"/>
    <w:rsid w:val="00F44FA3"/>
    <w:rsid w:val="00F44FB3"/>
    <w:rsid w:val="00F45827"/>
    <w:rsid w:val="00F4588B"/>
    <w:rsid w:val="00F45AA2"/>
    <w:rsid w:val="00F46148"/>
    <w:rsid w:val="00F46867"/>
    <w:rsid w:val="00F47921"/>
    <w:rsid w:val="00F47DE9"/>
    <w:rsid w:val="00F47E41"/>
    <w:rsid w:val="00F503E0"/>
    <w:rsid w:val="00F514B8"/>
    <w:rsid w:val="00F51A40"/>
    <w:rsid w:val="00F525A3"/>
    <w:rsid w:val="00F52608"/>
    <w:rsid w:val="00F52CC9"/>
    <w:rsid w:val="00F534F4"/>
    <w:rsid w:val="00F5395C"/>
    <w:rsid w:val="00F53E21"/>
    <w:rsid w:val="00F53F7E"/>
    <w:rsid w:val="00F5452E"/>
    <w:rsid w:val="00F54B1B"/>
    <w:rsid w:val="00F54BCD"/>
    <w:rsid w:val="00F54CDD"/>
    <w:rsid w:val="00F554CC"/>
    <w:rsid w:val="00F55A62"/>
    <w:rsid w:val="00F55C44"/>
    <w:rsid w:val="00F56A0D"/>
    <w:rsid w:val="00F5720E"/>
    <w:rsid w:val="00F5730C"/>
    <w:rsid w:val="00F5748D"/>
    <w:rsid w:val="00F57675"/>
    <w:rsid w:val="00F57969"/>
    <w:rsid w:val="00F6050A"/>
    <w:rsid w:val="00F60C54"/>
    <w:rsid w:val="00F61891"/>
    <w:rsid w:val="00F62F18"/>
    <w:rsid w:val="00F630B9"/>
    <w:rsid w:val="00F63131"/>
    <w:rsid w:val="00F6399E"/>
    <w:rsid w:val="00F64095"/>
    <w:rsid w:val="00F642E7"/>
    <w:rsid w:val="00F6449C"/>
    <w:rsid w:val="00F64905"/>
    <w:rsid w:val="00F65630"/>
    <w:rsid w:val="00F65C1A"/>
    <w:rsid w:val="00F65FD9"/>
    <w:rsid w:val="00F66B2D"/>
    <w:rsid w:val="00F66D08"/>
    <w:rsid w:val="00F66F45"/>
    <w:rsid w:val="00F67931"/>
    <w:rsid w:val="00F67A69"/>
    <w:rsid w:val="00F7000A"/>
    <w:rsid w:val="00F7021D"/>
    <w:rsid w:val="00F70F6A"/>
    <w:rsid w:val="00F712DE"/>
    <w:rsid w:val="00F71D88"/>
    <w:rsid w:val="00F72300"/>
    <w:rsid w:val="00F72330"/>
    <w:rsid w:val="00F72863"/>
    <w:rsid w:val="00F72880"/>
    <w:rsid w:val="00F7295E"/>
    <w:rsid w:val="00F7357D"/>
    <w:rsid w:val="00F74A51"/>
    <w:rsid w:val="00F7543F"/>
    <w:rsid w:val="00F75A4A"/>
    <w:rsid w:val="00F76505"/>
    <w:rsid w:val="00F7656E"/>
    <w:rsid w:val="00F76C4F"/>
    <w:rsid w:val="00F77C8E"/>
    <w:rsid w:val="00F8036C"/>
    <w:rsid w:val="00F8068E"/>
    <w:rsid w:val="00F80EAE"/>
    <w:rsid w:val="00F810B1"/>
    <w:rsid w:val="00F82202"/>
    <w:rsid w:val="00F82980"/>
    <w:rsid w:val="00F82C23"/>
    <w:rsid w:val="00F8318D"/>
    <w:rsid w:val="00F83205"/>
    <w:rsid w:val="00F83320"/>
    <w:rsid w:val="00F837DC"/>
    <w:rsid w:val="00F839C2"/>
    <w:rsid w:val="00F83B23"/>
    <w:rsid w:val="00F84241"/>
    <w:rsid w:val="00F8493E"/>
    <w:rsid w:val="00F84DD3"/>
    <w:rsid w:val="00F84F56"/>
    <w:rsid w:val="00F85466"/>
    <w:rsid w:val="00F854EB"/>
    <w:rsid w:val="00F85B9D"/>
    <w:rsid w:val="00F85F5F"/>
    <w:rsid w:val="00F86325"/>
    <w:rsid w:val="00F86630"/>
    <w:rsid w:val="00F86E4D"/>
    <w:rsid w:val="00F86E8D"/>
    <w:rsid w:val="00F870A5"/>
    <w:rsid w:val="00F9060A"/>
    <w:rsid w:val="00F9060B"/>
    <w:rsid w:val="00F909C9"/>
    <w:rsid w:val="00F91A26"/>
    <w:rsid w:val="00F93958"/>
    <w:rsid w:val="00F94148"/>
    <w:rsid w:val="00F9417B"/>
    <w:rsid w:val="00F94E88"/>
    <w:rsid w:val="00F95E23"/>
    <w:rsid w:val="00F95E6B"/>
    <w:rsid w:val="00F96675"/>
    <w:rsid w:val="00F96E61"/>
    <w:rsid w:val="00F96EA7"/>
    <w:rsid w:val="00FA01C4"/>
    <w:rsid w:val="00FA3786"/>
    <w:rsid w:val="00FA3DD4"/>
    <w:rsid w:val="00FA4132"/>
    <w:rsid w:val="00FA4869"/>
    <w:rsid w:val="00FA5207"/>
    <w:rsid w:val="00FA55BC"/>
    <w:rsid w:val="00FA563C"/>
    <w:rsid w:val="00FA5FA6"/>
    <w:rsid w:val="00FA6B09"/>
    <w:rsid w:val="00FA7CEA"/>
    <w:rsid w:val="00FB0594"/>
    <w:rsid w:val="00FB0DBA"/>
    <w:rsid w:val="00FB13BD"/>
    <w:rsid w:val="00FB2115"/>
    <w:rsid w:val="00FB25E5"/>
    <w:rsid w:val="00FB3A58"/>
    <w:rsid w:val="00FB411F"/>
    <w:rsid w:val="00FB433A"/>
    <w:rsid w:val="00FB4DE0"/>
    <w:rsid w:val="00FB5428"/>
    <w:rsid w:val="00FB5859"/>
    <w:rsid w:val="00FB5B3C"/>
    <w:rsid w:val="00FB74FF"/>
    <w:rsid w:val="00FB75DC"/>
    <w:rsid w:val="00FB76D4"/>
    <w:rsid w:val="00FB7824"/>
    <w:rsid w:val="00FB7FA2"/>
    <w:rsid w:val="00FC0C00"/>
    <w:rsid w:val="00FC15A4"/>
    <w:rsid w:val="00FC1B85"/>
    <w:rsid w:val="00FC1F72"/>
    <w:rsid w:val="00FC2281"/>
    <w:rsid w:val="00FC2A8E"/>
    <w:rsid w:val="00FC2C29"/>
    <w:rsid w:val="00FC3637"/>
    <w:rsid w:val="00FC3FA7"/>
    <w:rsid w:val="00FC4D0F"/>
    <w:rsid w:val="00FC4D57"/>
    <w:rsid w:val="00FC55D6"/>
    <w:rsid w:val="00FC598F"/>
    <w:rsid w:val="00FC5D19"/>
    <w:rsid w:val="00FC6619"/>
    <w:rsid w:val="00FC686F"/>
    <w:rsid w:val="00FC6B8F"/>
    <w:rsid w:val="00FC77F0"/>
    <w:rsid w:val="00FC7B6A"/>
    <w:rsid w:val="00FD03BF"/>
    <w:rsid w:val="00FD115A"/>
    <w:rsid w:val="00FD1452"/>
    <w:rsid w:val="00FD213D"/>
    <w:rsid w:val="00FD23B0"/>
    <w:rsid w:val="00FD26EE"/>
    <w:rsid w:val="00FD2ACF"/>
    <w:rsid w:val="00FD2B1D"/>
    <w:rsid w:val="00FD2C89"/>
    <w:rsid w:val="00FD2CFA"/>
    <w:rsid w:val="00FD2E58"/>
    <w:rsid w:val="00FD31BE"/>
    <w:rsid w:val="00FD3571"/>
    <w:rsid w:val="00FD37C3"/>
    <w:rsid w:val="00FD3FB3"/>
    <w:rsid w:val="00FD403D"/>
    <w:rsid w:val="00FD427C"/>
    <w:rsid w:val="00FD468C"/>
    <w:rsid w:val="00FD4BAB"/>
    <w:rsid w:val="00FD52BA"/>
    <w:rsid w:val="00FD63DB"/>
    <w:rsid w:val="00FD6928"/>
    <w:rsid w:val="00FD6DCB"/>
    <w:rsid w:val="00FD6FC4"/>
    <w:rsid w:val="00FD7CD5"/>
    <w:rsid w:val="00FE0A14"/>
    <w:rsid w:val="00FE1458"/>
    <w:rsid w:val="00FE2006"/>
    <w:rsid w:val="00FE2958"/>
    <w:rsid w:val="00FE2C14"/>
    <w:rsid w:val="00FE2FA0"/>
    <w:rsid w:val="00FE35AC"/>
    <w:rsid w:val="00FE3645"/>
    <w:rsid w:val="00FE3F0D"/>
    <w:rsid w:val="00FE4757"/>
    <w:rsid w:val="00FE5C22"/>
    <w:rsid w:val="00FE600A"/>
    <w:rsid w:val="00FE6607"/>
    <w:rsid w:val="00FE6995"/>
    <w:rsid w:val="00FE71F1"/>
    <w:rsid w:val="00FE7DF4"/>
    <w:rsid w:val="00FF0B6D"/>
    <w:rsid w:val="00FF10E9"/>
    <w:rsid w:val="00FF1924"/>
    <w:rsid w:val="00FF1A1A"/>
    <w:rsid w:val="00FF2699"/>
    <w:rsid w:val="00FF2852"/>
    <w:rsid w:val="00FF2A5D"/>
    <w:rsid w:val="00FF318C"/>
    <w:rsid w:val="00FF37D4"/>
    <w:rsid w:val="00FF38E0"/>
    <w:rsid w:val="00FF3BD3"/>
    <w:rsid w:val="00FF3E7E"/>
    <w:rsid w:val="00FF4078"/>
    <w:rsid w:val="00FF4185"/>
    <w:rsid w:val="00FF4BFE"/>
    <w:rsid w:val="00FF4C45"/>
    <w:rsid w:val="00FF4DB9"/>
    <w:rsid w:val="00FF5088"/>
    <w:rsid w:val="00FF63F6"/>
    <w:rsid w:val="00FF67C4"/>
    <w:rsid w:val="00FF694B"/>
    <w:rsid w:val="00FF6A8F"/>
    <w:rsid w:val="00FF718F"/>
    <w:rsid w:val="00FF7287"/>
    <w:rsid w:val="00FF77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colormru v:ext="edit" colors="green"/>
      <o:colormenu v:ext="edit" fillcolor="green"/>
    </o:shapedefaults>
    <o:shapelayout v:ext="edit">
      <o:idmap v:ext="edit" data="1"/>
    </o:shapelayout>
  </w:shapeDefaults>
  <w:decimalSymbol w:val="."/>
  <w:listSeparator w:val=","/>
  <w14:docId w14:val="24B90558"/>
  <w15:docId w15:val="{F739BF6B-C5E9-44F4-8AFE-7389F20575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52F4"/>
    <w:pPr>
      <w:spacing w:after="120"/>
    </w:pPr>
    <w:rPr>
      <w:rFonts w:ascii="Tahoma" w:hAnsi="Tahoma" w:cs="Tahoma"/>
      <w:sz w:val="22"/>
      <w:szCs w:val="22"/>
    </w:rPr>
  </w:style>
  <w:style w:type="paragraph" w:styleId="Heading1">
    <w:name w:val="heading 1"/>
    <w:basedOn w:val="Normal"/>
    <w:next w:val="Normal"/>
    <w:link w:val="Heading1Char"/>
    <w:uiPriority w:val="9"/>
    <w:qFormat/>
    <w:rsid w:val="00226FA8"/>
    <w:pPr>
      <w:keepNext/>
      <w:keepLines/>
      <w:spacing w:after="480"/>
      <w:outlineLvl w:val="0"/>
    </w:pPr>
    <w:rPr>
      <w:rFonts w:eastAsia="MS Gothic"/>
      <w:b/>
      <w:bCs/>
      <w:color w:val="345A8A"/>
      <w:sz w:val="32"/>
      <w:szCs w:val="40"/>
    </w:rPr>
  </w:style>
  <w:style w:type="paragraph" w:styleId="Heading2">
    <w:name w:val="heading 2"/>
    <w:basedOn w:val="Normal"/>
    <w:next w:val="Normal"/>
    <w:link w:val="Heading2Char"/>
    <w:uiPriority w:val="9"/>
    <w:unhideWhenUsed/>
    <w:qFormat/>
    <w:rsid w:val="00226FA8"/>
    <w:pPr>
      <w:keepNext/>
      <w:keepLines/>
      <w:spacing w:before="360" w:after="200"/>
      <w:jc w:val="both"/>
      <w:outlineLvl w:val="1"/>
    </w:pPr>
    <w:rPr>
      <w:rFonts w:eastAsia="MS Gothic"/>
      <w:b/>
      <w:bCs/>
      <w:color w:val="984806"/>
      <w:sz w:val="28"/>
      <w:szCs w:val="28"/>
    </w:rPr>
  </w:style>
  <w:style w:type="paragraph" w:styleId="Heading3">
    <w:name w:val="heading 3"/>
    <w:basedOn w:val="Normal"/>
    <w:next w:val="Normal"/>
    <w:link w:val="Heading3Char"/>
    <w:uiPriority w:val="9"/>
    <w:unhideWhenUsed/>
    <w:qFormat/>
    <w:rsid w:val="00226FA8"/>
    <w:pPr>
      <w:keepNext/>
      <w:keepLines/>
      <w:spacing w:before="360"/>
      <w:outlineLvl w:val="2"/>
    </w:pPr>
    <w:rPr>
      <w:rFonts w:eastAsia="MS Gothic"/>
      <w:b/>
      <w:bCs/>
      <w:color w:val="4F81BD"/>
      <w:sz w:val="24"/>
    </w:rPr>
  </w:style>
  <w:style w:type="paragraph" w:styleId="Heading4">
    <w:name w:val="heading 4"/>
    <w:basedOn w:val="Normal"/>
    <w:next w:val="Normal"/>
    <w:link w:val="Heading4Char"/>
    <w:uiPriority w:val="9"/>
    <w:unhideWhenUsed/>
    <w:qFormat/>
    <w:rsid w:val="00B803FA"/>
    <w:pPr>
      <w:keepNext/>
      <w:keepLines/>
      <w:tabs>
        <w:tab w:val="num" w:pos="360"/>
      </w:tabs>
      <w:spacing w:before="200"/>
      <w:outlineLvl w:val="3"/>
    </w:pPr>
    <w:rPr>
      <w:rFonts w:asciiTheme="majorHAnsi" w:eastAsia="MS Gothic" w:hAnsiTheme="majorHAnsi"/>
      <w:b/>
      <w:bCs/>
      <w:i/>
      <w:iCs/>
      <w:color w:val="4F81BD"/>
    </w:rPr>
  </w:style>
  <w:style w:type="paragraph" w:styleId="Heading5">
    <w:name w:val="heading 5"/>
    <w:basedOn w:val="Normal"/>
    <w:next w:val="Normal"/>
    <w:link w:val="Heading5Char"/>
    <w:uiPriority w:val="9"/>
    <w:unhideWhenUsed/>
    <w:qFormat/>
    <w:rsid w:val="00621BB5"/>
    <w:pPr>
      <w:keepNext/>
      <w:outlineLvl w:val="4"/>
    </w:pPr>
    <w:rPr>
      <w:rFonts w:asciiTheme="minorHAnsi" w:hAnsiTheme="minorHAnsi"/>
      <w:i/>
    </w:rPr>
  </w:style>
  <w:style w:type="paragraph" w:styleId="Heading6">
    <w:name w:val="heading 6"/>
    <w:basedOn w:val="Normal"/>
    <w:next w:val="Normal"/>
    <w:link w:val="Heading6Char"/>
    <w:uiPriority w:val="9"/>
    <w:unhideWhenUsed/>
    <w:qFormat/>
    <w:rsid w:val="00F252F4"/>
    <w:pPr>
      <w:keepNext/>
      <w:keepLines/>
      <w:tabs>
        <w:tab w:val="num" w:pos="360"/>
      </w:tabs>
      <w:spacing w:before="120" w:after="60"/>
      <w:ind w:left="1152" w:hanging="1152"/>
      <w:outlineLvl w:val="5"/>
    </w:pPr>
    <w:rPr>
      <w:rFonts w:eastAsia="MS Gothic"/>
      <w:i/>
      <w:iCs/>
      <w:color w:val="365F91" w:themeColor="accent1" w:themeShade="BF"/>
    </w:rPr>
  </w:style>
  <w:style w:type="paragraph" w:styleId="Heading7">
    <w:name w:val="heading 7"/>
    <w:basedOn w:val="Normal"/>
    <w:next w:val="Normal"/>
    <w:link w:val="Heading7Char"/>
    <w:uiPriority w:val="9"/>
    <w:semiHidden/>
    <w:unhideWhenUsed/>
    <w:qFormat/>
    <w:rsid w:val="00EC6747"/>
    <w:pPr>
      <w:keepNext/>
      <w:keepLines/>
      <w:tabs>
        <w:tab w:val="num" w:pos="360"/>
      </w:tabs>
      <w:spacing w:before="200"/>
      <w:ind w:left="1296" w:hanging="1296"/>
      <w:outlineLvl w:val="6"/>
    </w:pPr>
    <w:rPr>
      <w:rFonts w:ascii="Calibri" w:eastAsia="MS Gothic" w:hAnsi="Calibri"/>
      <w:i/>
      <w:iCs/>
      <w:color w:val="404040"/>
    </w:rPr>
  </w:style>
  <w:style w:type="paragraph" w:styleId="Heading8">
    <w:name w:val="heading 8"/>
    <w:basedOn w:val="Normal"/>
    <w:next w:val="Normal"/>
    <w:link w:val="Heading8Char"/>
    <w:uiPriority w:val="9"/>
    <w:semiHidden/>
    <w:unhideWhenUsed/>
    <w:qFormat/>
    <w:rsid w:val="00EC6747"/>
    <w:pPr>
      <w:keepNext/>
      <w:keepLines/>
      <w:tabs>
        <w:tab w:val="num" w:pos="360"/>
      </w:tabs>
      <w:spacing w:before="200"/>
      <w:ind w:left="1440" w:hanging="1440"/>
      <w:outlineLvl w:val="7"/>
    </w:pPr>
    <w:rPr>
      <w:rFonts w:ascii="Calibri" w:eastAsia="MS Gothic" w:hAnsi="Calibri"/>
      <w:color w:val="404040"/>
      <w:sz w:val="20"/>
      <w:szCs w:val="20"/>
    </w:rPr>
  </w:style>
  <w:style w:type="paragraph" w:styleId="Heading9">
    <w:name w:val="heading 9"/>
    <w:basedOn w:val="Normal"/>
    <w:next w:val="Normal"/>
    <w:link w:val="Heading9Char"/>
    <w:uiPriority w:val="9"/>
    <w:semiHidden/>
    <w:unhideWhenUsed/>
    <w:qFormat/>
    <w:rsid w:val="00EC6747"/>
    <w:pPr>
      <w:keepNext/>
      <w:keepLines/>
      <w:tabs>
        <w:tab w:val="num" w:pos="360"/>
      </w:tabs>
      <w:spacing w:before="200"/>
      <w:ind w:left="1584" w:hanging="1584"/>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226FA8"/>
    <w:rPr>
      <w:rFonts w:ascii="Tahoma" w:eastAsia="MS Gothic" w:hAnsi="Tahoma" w:cs="Tahoma"/>
      <w:b/>
      <w:bCs/>
      <w:color w:val="345A8A"/>
      <w:sz w:val="32"/>
      <w:szCs w:val="40"/>
    </w:rPr>
  </w:style>
  <w:style w:type="character" w:customStyle="1" w:styleId="Heading2Char">
    <w:name w:val="Heading 2 Char"/>
    <w:link w:val="Heading2"/>
    <w:uiPriority w:val="9"/>
    <w:rsid w:val="00226FA8"/>
    <w:rPr>
      <w:rFonts w:ascii="Tahoma" w:eastAsia="MS Gothic" w:hAnsi="Tahoma" w:cs="Tahoma"/>
      <w:b/>
      <w:bCs/>
      <w:color w:val="984806"/>
      <w:sz w:val="28"/>
      <w:szCs w:val="28"/>
    </w:rPr>
  </w:style>
  <w:style w:type="character" w:customStyle="1" w:styleId="Heading3Char">
    <w:name w:val="Heading 3 Char"/>
    <w:link w:val="Heading3"/>
    <w:uiPriority w:val="9"/>
    <w:rsid w:val="00226FA8"/>
    <w:rPr>
      <w:rFonts w:ascii="Tahoma" w:eastAsia="MS Gothic" w:hAnsi="Tahoma" w:cs="Tahoma"/>
      <w:b/>
      <w:bCs/>
      <w:color w:val="4F81BD"/>
      <w:sz w:val="24"/>
      <w:szCs w:val="22"/>
    </w:rPr>
  </w:style>
  <w:style w:type="character" w:customStyle="1" w:styleId="Heading4Char">
    <w:name w:val="Heading 4 Char"/>
    <w:link w:val="Heading4"/>
    <w:uiPriority w:val="9"/>
    <w:rsid w:val="00B803FA"/>
    <w:rPr>
      <w:rFonts w:asciiTheme="majorHAnsi" w:eastAsia="MS Gothic" w:hAnsiTheme="majorHAnsi" w:cs="Tahoma"/>
      <w:b/>
      <w:bCs/>
      <w:i/>
      <w:iCs/>
      <w:color w:val="4F81BD"/>
      <w:sz w:val="22"/>
      <w:szCs w:val="22"/>
    </w:rPr>
  </w:style>
  <w:style w:type="character" w:customStyle="1" w:styleId="Heading5Char">
    <w:name w:val="Heading 5 Char"/>
    <w:link w:val="Heading5"/>
    <w:uiPriority w:val="9"/>
    <w:rsid w:val="00621BB5"/>
    <w:rPr>
      <w:rFonts w:asciiTheme="minorHAnsi" w:hAnsiTheme="minorHAnsi" w:cs="Tahoma"/>
      <w:i/>
      <w:sz w:val="22"/>
      <w:szCs w:val="22"/>
    </w:rPr>
  </w:style>
  <w:style w:type="character" w:customStyle="1" w:styleId="Heading6Char">
    <w:name w:val="Heading 6 Char"/>
    <w:link w:val="Heading6"/>
    <w:uiPriority w:val="9"/>
    <w:rsid w:val="00F252F4"/>
    <w:rPr>
      <w:rFonts w:ascii="Tahoma" w:eastAsia="MS Gothic" w:hAnsi="Tahoma" w:cs="Tahoma"/>
      <w:i/>
      <w:iCs/>
      <w:color w:val="365F91" w:themeColor="accent1" w:themeShade="BF"/>
      <w:sz w:val="22"/>
      <w:szCs w:val="22"/>
    </w:rPr>
  </w:style>
  <w:style w:type="character" w:customStyle="1" w:styleId="Heading7Char">
    <w:name w:val="Heading 7 Char"/>
    <w:link w:val="Heading7"/>
    <w:uiPriority w:val="9"/>
    <w:semiHidden/>
    <w:rsid w:val="00EC6747"/>
    <w:rPr>
      <w:rFonts w:ascii="Calibri" w:eastAsia="MS Gothic" w:hAnsi="Calibri" w:cs="Times New Roman"/>
      <w:i/>
      <w:iCs/>
      <w:color w:val="404040"/>
    </w:rPr>
  </w:style>
  <w:style w:type="character" w:customStyle="1" w:styleId="Heading8Char">
    <w:name w:val="Heading 8 Char"/>
    <w:link w:val="Heading8"/>
    <w:uiPriority w:val="9"/>
    <w:semiHidden/>
    <w:rsid w:val="00EC6747"/>
    <w:rPr>
      <w:rFonts w:ascii="Calibri" w:eastAsia="MS Gothic" w:hAnsi="Calibri" w:cs="Times New Roman"/>
      <w:color w:val="404040"/>
      <w:sz w:val="20"/>
      <w:szCs w:val="20"/>
    </w:rPr>
  </w:style>
  <w:style w:type="character" w:customStyle="1" w:styleId="Heading9Char">
    <w:name w:val="Heading 9 Char"/>
    <w:link w:val="Heading9"/>
    <w:uiPriority w:val="9"/>
    <w:semiHidden/>
    <w:rsid w:val="00EC6747"/>
    <w:rPr>
      <w:rFonts w:ascii="Calibri" w:eastAsia="MS Gothic" w:hAnsi="Calibri" w:cs="Times New Roman"/>
      <w:i/>
      <w:iCs/>
      <w:color w:val="404040"/>
      <w:sz w:val="20"/>
      <w:szCs w:val="20"/>
    </w:rPr>
  </w:style>
  <w:style w:type="paragraph" w:styleId="Title">
    <w:name w:val="Title"/>
    <w:basedOn w:val="Normal"/>
    <w:next w:val="Normal"/>
    <w:link w:val="TitleChar"/>
    <w:uiPriority w:val="10"/>
    <w:qFormat/>
    <w:rsid w:val="00320F82"/>
    <w:pPr>
      <w:pBdr>
        <w:bottom w:val="single" w:sz="8" w:space="4" w:color="4F81BD"/>
      </w:pBdr>
      <w:spacing w:after="300"/>
      <w:contextualSpacing/>
    </w:pPr>
    <w:rPr>
      <w:rFonts w:eastAsia="MS Gothic"/>
      <w:color w:val="17365D"/>
      <w:spacing w:val="5"/>
      <w:kern w:val="28"/>
      <w:sz w:val="32"/>
      <w:szCs w:val="40"/>
      <w:lang w:eastAsia="ja-JP"/>
    </w:rPr>
  </w:style>
  <w:style w:type="character" w:customStyle="1" w:styleId="TitleChar">
    <w:name w:val="Title Char"/>
    <w:link w:val="Title"/>
    <w:uiPriority w:val="10"/>
    <w:rsid w:val="00320F82"/>
    <w:rPr>
      <w:rFonts w:ascii="Tahoma" w:eastAsia="MS Gothic" w:hAnsi="Tahoma" w:cs="Tahoma"/>
      <w:color w:val="17365D"/>
      <w:spacing w:val="5"/>
      <w:kern w:val="28"/>
      <w:sz w:val="32"/>
      <w:szCs w:val="40"/>
      <w:lang w:eastAsia="ja-JP"/>
    </w:rPr>
  </w:style>
  <w:style w:type="paragraph" w:styleId="ListParagraph">
    <w:name w:val="List Paragraph"/>
    <w:basedOn w:val="Normal"/>
    <w:link w:val="ListParagraphChar"/>
    <w:uiPriority w:val="34"/>
    <w:qFormat/>
    <w:rsid w:val="00D87FE4"/>
    <w:pPr>
      <w:spacing w:before="120" w:after="240"/>
      <w:contextualSpacing/>
    </w:pPr>
    <w:rPr>
      <w:rFonts w:ascii="Calibri" w:hAnsi="Calibri"/>
    </w:rPr>
  </w:style>
  <w:style w:type="paragraph" w:styleId="BalloonText">
    <w:name w:val="Balloon Text"/>
    <w:basedOn w:val="Normal"/>
    <w:link w:val="BalloonTextChar"/>
    <w:uiPriority w:val="99"/>
    <w:semiHidden/>
    <w:unhideWhenUsed/>
    <w:rsid w:val="00817ABC"/>
    <w:rPr>
      <w:rFonts w:ascii="Lucida Grande" w:hAnsi="Lucida Grande" w:cs="Lucida Grande"/>
      <w:sz w:val="18"/>
      <w:szCs w:val="18"/>
    </w:rPr>
  </w:style>
  <w:style w:type="character" w:customStyle="1" w:styleId="BalloonTextChar">
    <w:name w:val="Balloon Text Char"/>
    <w:link w:val="BalloonText"/>
    <w:uiPriority w:val="99"/>
    <w:semiHidden/>
    <w:rsid w:val="00817ABC"/>
    <w:rPr>
      <w:rFonts w:ascii="Lucida Grande" w:hAnsi="Lucida Grande" w:cs="Lucida Grande"/>
      <w:sz w:val="18"/>
      <w:szCs w:val="18"/>
      <w:lang w:val="en-GB"/>
    </w:rPr>
  </w:style>
  <w:style w:type="paragraph" w:styleId="Header">
    <w:name w:val="header"/>
    <w:basedOn w:val="Normal"/>
    <w:link w:val="HeaderChar"/>
    <w:uiPriority w:val="99"/>
    <w:unhideWhenUsed/>
    <w:rsid w:val="00BA13B8"/>
    <w:pPr>
      <w:tabs>
        <w:tab w:val="center" w:pos="4320"/>
        <w:tab w:val="right" w:pos="8640"/>
      </w:tabs>
    </w:pPr>
  </w:style>
  <w:style w:type="character" w:customStyle="1" w:styleId="HeaderChar">
    <w:name w:val="Header Char"/>
    <w:link w:val="Header"/>
    <w:uiPriority w:val="99"/>
    <w:rsid w:val="00BA13B8"/>
    <w:rPr>
      <w:lang w:val="en-GB"/>
    </w:rPr>
  </w:style>
  <w:style w:type="paragraph" w:styleId="Footer">
    <w:name w:val="footer"/>
    <w:basedOn w:val="Normal"/>
    <w:link w:val="FooterChar"/>
    <w:uiPriority w:val="99"/>
    <w:unhideWhenUsed/>
    <w:rsid w:val="00BA13B8"/>
    <w:pPr>
      <w:tabs>
        <w:tab w:val="center" w:pos="4320"/>
        <w:tab w:val="right" w:pos="8640"/>
      </w:tabs>
    </w:pPr>
  </w:style>
  <w:style w:type="character" w:customStyle="1" w:styleId="FooterChar">
    <w:name w:val="Footer Char"/>
    <w:link w:val="Footer"/>
    <w:uiPriority w:val="99"/>
    <w:rsid w:val="00BA13B8"/>
    <w:rPr>
      <w:lang w:val="en-GB"/>
    </w:rPr>
  </w:style>
  <w:style w:type="character" w:styleId="PageNumber">
    <w:name w:val="page number"/>
    <w:basedOn w:val="DefaultParagraphFont"/>
    <w:uiPriority w:val="99"/>
    <w:semiHidden/>
    <w:unhideWhenUsed/>
    <w:rsid w:val="006550E3"/>
  </w:style>
  <w:style w:type="character" w:styleId="CommentReference">
    <w:name w:val="annotation reference"/>
    <w:uiPriority w:val="99"/>
    <w:semiHidden/>
    <w:unhideWhenUsed/>
    <w:rsid w:val="004E49C9"/>
    <w:rPr>
      <w:sz w:val="16"/>
      <w:szCs w:val="16"/>
    </w:rPr>
  </w:style>
  <w:style w:type="paragraph" w:styleId="CommentText">
    <w:name w:val="annotation text"/>
    <w:basedOn w:val="Normal"/>
    <w:link w:val="CommentTextChar"/>
    <w:uiPriority w:val="99"/>
    <w:unhideWhenUsed/>
    <w:rsid w:val="004E49C9"/>
    <w:rPr>
      <w:sz w:val="20"/>
      <w:szCs w:val="20"/>
    </w:rPr>
  </w:style>
  <w:style w:type="character" w:customStyle="1" w:styleId="CommentTextChar">
    <w:name w:val="Comment Text Char"/>
    <w:link w:val="CommentText"/>
    <w:uiPriority w:val="99"/>
    <w:rsid w:val="004E49C9"/>
    <w:rPr>
      <w:sz w:val="20"/>
      <w:szCs w:val="20"/>
      <w:lang w:val="en-GB"/>
    </w:rPr>
  </w:style>
  <w:style w:type="paragraph" w:styleId="CommentSubject">
    <w:name w:val="annotation subject"/>
    <w:basedOn w:val="CommentText"/>
    <w:next w:val="CommentText"/>
    <w:link w:val="CommentSubjectChar"/>
    <w:uiPriority w:val="99"/>
    <w:semiHidden/>
    <w:unhideWhenUsed/>
    <w:rsid w:val="004E49C9"/>
    <w:rPr>
      <w:b/>
      <w:bCs/>
    </w:rPr>
  </w:style>
  <w:style w:type="character" w:customStyle="1" w:styleId="CommentSubjectChar">
    <w:name w:val="Comment Subject Char"/>
    <w:link w:val="CommentSubject"/>
    <w:uiPriority w:val="99"/>
    <w:semiHidden/>
    <w:rsid w:val="004E49C9"/>
    <w:rPr>
      <w:b/>
      <w:bCs/>
      <w:sz w:val="20"/>
      <w:szCs w:val="20"/>
      <w:lang w:val="en-GB"/>
    </w:rPr>
  </w:style>
  <w:style w:type="paragraph" w:styleId="Revision">
    <w:name w:val="Revision"/>
    <w:hidden/>
    <w:uiPriority w:val="99"/>
    <w:semiHidden/>
    <w:rsid w:val="006469D9"/>
    <w:rPr>
      <w:sz w:val="24"/>
      <w:szCs w:val="24"/>
      <w:lang w:val="en-GB"/>
    </w:rPr>
  </w:style>
  <w:style w:type="table" w:styleId="TableGrid">
    <w:name w:val="Table Grid"/>
    <w:basedOn w:val="TableNormal"/>
    <w:uiPriority w:val="59"/>
    <w:rsid w:val="00290A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0D4629"/>
    <w:rPr>
      <w:rFonts w:ascii="Calibri" w:eastAsia="Calibri" w:hAnsi="Calibri"/>
      <w:sz w:val="22"/>
      <w:szCs w:val="22"/>
      <w:lang w:val="en-ZW"/>
    </w:rPr>
  </w:style>
  <w:style w:type="paragraph" w:customStyle="1" w:styleId="Char">
    <w:name w:val="Char"/>
    <w:basedOn w:val="Normal"/>
    <w:rsid w:val="00C14762"/>
    <w:pPr>
      <w:spacing w:after="160" w:line="240" w:lineRule="exact"/>
    </w:pPr>
    <w:rPr>
      <w:rFonts w:ascii="Verdana" w:eastAsia="Times New Roman" w:hAnsi="Verdana"/>
      <w:sz w:val="20"/>
      <w:szCs w:val="20"/>
    </w:rPr>
  </w:style>
  <w:style w:type="table" w:customStyle="1" w:styleId="LightShading-Accent11">
    <w:name w:val="Light Shading - Accent 11"/>
    <w:basedOn w:val="TableNormal"/>
    <w:uiPriority w:val="60"/>
    <w:rsid w:val="006F5046"/>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11">
    <w:name w:val="Light List - Accent 11"/>
    <w:basedOn w:val="TableNormal"/>
    <w:uiPriority w:val="61"/>
    <w:rsid w:val="00347107"/>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ColorfulList-Accent1">
    <w:name w:val="Colorful List Accent 1"/>
    <w:basedOn w:val="TableNormal"/>
    <w:uiPriority w:val="72"/>
    <w:rsid w:val="00347107"/>
    <w:rPr>
      <w:color w:val="000000"/>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LightList1">
    <w:name w:val="Light List1"/>
    <w:basedOn w:val="TableNormal"/>
    <w:uiPriority w:val="61"/>
    <w:rsid w:val="00F74A51"/>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FootnoteText">
    <w:name w:val="footnote text"/>
    <w:aliases w:val="Footnote Text Char2,Footnote Text Char1 Char1,Footnote Text Char Char Char1,Footnote Text Char1 Char Char,Footnote Text Char Char Char Char,Footnote Text Char Char1 Char,Footnote Text Char Char2,ft,single space,ALTS FOOTNOTE"/>
    <w:basedOn w:val="Normal"/>
    <w:link w:val="FootnoteTextChar"/>
    <w:uiPriority w:val="99"/>
    <w:unhideWhenUsed/>
    <w:qFormat/>
    <w:rsid w:val="0048222C"/>
    <w:pPr>
      <w:spacing w:after="0"/>
    </w:pPr>
    <w:rPr>
      <w:rFonts w:asciiTheme="minorHAnsi" w:hAnsiTheme="minorHAnsi"/>
      <w:sz w:val="18"/>
    </w:rPr>
  </w:style>
  <w:style w:type="character" w:customStyle="1" w:styleId="FootnoteTextChar">
    <w:name w:val="Footnote Text Char"/>
    <w:aliases w:val="Footnote Text Char2 Char,Footnote Text Char1 Char1 Char,Footnote Text Char Char Char1 Char,Footnote Text Char1 Char Char Char,Footnote Text Char Char Char Char Char,Footnote Text Char Char1 Char Char,Footnote Text Char Char2 Char"/>
    <w:basedOn w:val="DefaultParagraphFont"/>
    <w:link w:val="FootnoteText"/>
    <w:uiPriority w:val="99"/>
    <w:rsid w:val="0048222C"/>
    <w:rPr>
      <w:rFonts w:asciiTheme="minorHAnsi" w:hAnsiTheme="minorHAnsi" w:cs="Tahoma"/>
      <w:sz w:val="18"/>
      <w:szCs w:val="22"/>
    </w:rPr>
  </w:style>
  <w:style w:type="character" w:styleId="FootnoteReference">
    <w:name w:val="footnote reference"/>
    <w:aliases w:val="ftref,Char Char,Carattere Char1,Carattere Char Char Carattere Carattere Char Char,FOOTNOTES Char1,fn Char1,single space Char1,Footnote Text 1 Char1,Footnote Text Char1 Char2,Footnote Text Char Char Char2,Char Char2,FO,16 Point,fr"/>
    <w:uiPriority w:val="99"/>
    <w:unhideWhenUsed/>
    <w:rsid w:val="00EC6747"/>
    <w:rPr>
      <w:vertAlign w:val="superscript"/>
    </w:rPr>
  </w:style>
  <w:style w:type="table" w:customStyle="1" w:styleId="LightShading-Accent111">
    <w:name w:val="Light Shading - Accent 111"/>
    <w:basedOn w:val="TableNormal"/>
    <w:uiPriority w:val="60"/>
    <w:rsid w:val="00FD6928"/>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111">
    <w:name w:val="Light List - Accent 111"/>
    <w:basedOn w:val="TableNormal"/>
    <w:uiPriority w:val="61"/>
    <w:rsid w:val="00CE47F5"/>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11">
    <w:name w:val="Light List11"/>
    <w:basedOn w:val="TableNormal"/>
    <w:uiPriority w:val="61"/>
    <w:rsid w:val="00CE47F5"/>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NormalWeb">
    <w:name w:val="Normal (Web)"/>
    <w:basedOn w:val="Normal"/>
    <w:uiPriority w:val="99"/>
    <w:semiHidden/>
    <w:unhideWhenUsed/>
    <w:rsid w:val="00CE47F5"/>
    <w:pPr>
      <w:spacing w:before="100" w:beforeAutospacing="1" w:after="100" w:afterAutospacing="1"/>
    </w:pPr>
    <w:rPr>
      <w:rFonts w:ascii="Times New Roman" w:eastAsia="Times New Roman" w:hAnsi="Times New Roman"/>
      <w:lang w:val="en-ZW" w:eastAsia="en-ZW"/>
    </w:rPr>
  </w:style>
  <w:style w:type="paragraph" w:styleId="Caption">
    <w:name w:val="caption"/>
    <w:basedOn w:val="Normal"/>
    <w:next w:val="Normal"/>
    <w:link w:val="CaptionChar"/>
    <w:uiPriority w:val="35"/>
    <w:unhideWhenUsed/>
    <w:qFormat/>
    <w:rsid w:val="006A2A2D"/>
    <w:pPr>
      <w:spacing w:after="200"/>
    </w:pPr>
    <w:rPr>
      <w:b/>
      <w:bCs/>
      <w:i/>
      <w:color w:val="17365D" w:themeColor="text2" w:themeShade="BF"/>
      <w:sz w:val="18"/>
      <w:szCs w:val="18"/>
    </w:rPr>
  </w:style>
  <w:style w:type="paragraph" w:styleId="TOC1">
    <w:name w:val="toc 1"/>
    <w:basedOn w:val="Normal"/>
    <w:next w:val="Normal"/>
    <w:autoRedefine/>
    <w:uiPriority w:val="39"/>
    <w:unhideWhenUsed/>
    <w:qFormat/>
    <w:rsid w:val="00281BB8"/>
    <w:pPr>
      <w:keepNext/>
      <w:tabs>
        <w:tab w:val="right" w:leader="dot" w:pos="9016"/>
      </w:tabs>
      <w:spacing w:before="120"/>
    </w:pPr>
    <w:rPr>
      <w:rFonts w:asciiTheme="minorHAnsi" w:hAnsiTheme="minorHAnsi"/>
      <w:b/>
      <w:bCs/>
      <w:caps/>
      <w:sz w:val="20"/>
      <w:szCs w:val="20"/>
    </w:rPr>
  </w:style>
  <w:style w:type="paragraph" w:styleId="TOC2">
    <w:name w:val="toc 2"/>
    <w:basedOn w:val="Normal"/>
    <w:next w:val="Normal"/>
    <w:autoRedefine/>
    <w:uiPriority w:val="39"/>
    <w:unhideWhenUsed/>
    <w:qFormat/>
    <w:rsid w:val="00CA1580"/>
    <w:pPr>
      <w:ind w:left="240"/>
    </w:pPr>
    <w:rPr>
      <w:rFonts w:asciiTheme="minorHAnsi" w:hAnsiTheme="minorHAnsi"/>
      <w:smallCaps/>
      <w:sz w:val="20"/>
      <w:szCs w:val="20"/>
    </w:rPr>
  </w:style>
  <w:style w:type="paragraph" w:styleId="TOC3">
    <w:name w:val="toc 3"/>
    <w:basedOn w:val="Normal"/>
    <w:next w:val="Normal"/>
    <w:autoRedefine/>
    <w:uiPriority w:val="39"/>
    <w:unhideWhenUsed/>
    <w:qFormat/>
    <w:rsid w:val="004E0488"/>
    <w:pPr>
      <w:ind w:left="480"/>
    </w:pPr>
    <w:rPr>
      <w:rFonts w:asciiTheme="minorHAnsi" w:hAnsiTheme="minorHAnsi"/>
      <w:i/>
      <w:iCs/>
      <w:sz w:val="20"/>
      <w:szCs w:val="20"/>
    </w:rPr>
  </w:style>
  <w:style w:type="paragraph" w:styleId="TOC4">
    <w:name w:val="toc 4"/>
    <w:basedOn w:val="Normal"/>
    <w:next w:val="Normal"/>
    <w:autoRedefine/>
    <w:uiPriority w:val="39"/>
    <w:unhideWhenUsed/>
    <w:rsid w:val="004E0488"/>
    <w:pPr>
      <w:ind w:left="720"/>
    </w:pPr>
    <w:rPr>
      <w:rFonts w:asciiTheme="minorHAnsi" w:hAnsiTheme="minorHAnsi"/>
      <w:sz w:val="18"/>
      <w:szCs w:val="18"/>
    </w:rPr>
  </w:style>
  <w:style w:type="paragraph" w:styleId="TOC5">
    <w:name w:val="toc 5"/>
    <w:basedOn w:val="Normal"/>
    <w:next w:val="Normal"/>
    <w:autoRedefine/>
    <w:uiPriority w:val="39"/>
    <w:unhideWhenUsed/>
    <w:rsid w:val="004E0488"/>
    <w:pPr>
      <w:ind w:left="960"/>
    </w:pPr>
    <w:rPr>
      <w:rFonts w:asciiTheme="minorHAnsi" w:hAnsiTheme="minorHAnsi"/>
      <w:sz w:val="18"/>
      <w:szCs w:val="18"/>
    </w:rPr>
  </w:style>
  <w:style w:type="paragraph" w:styleId="TOC6">
    <w:name w:val="toc 6"/>
    <w:basedOn w:val="Normal"/>
    <w:next w:val="Normal"/>
    <w:autoRedefine/>
    <w:uiPriority w:val="39"/>
    <w:unhideWhenUsed/>
    <w:rsid w:val="004E0488"/>
    <w:pPr>
      <w:ind w:left="1200"/>
    </w:pPr>
    <w:rPr>
      <w:rFonts w:asciiTheme="minorHAnsi" w:hAnsiTheme="minorHAnsi"/>
      <w:sz w:val="18"/>
      <w:szCs w:val="18"/>
    </w:rPr>
  </w:style>
  <w:style w:type="paragraph" w:styleId="TOC7">
    <w:name w:val="toc 7"/>
    <w:basedOn w:val="Normal"/>
    <w:next w:val="Normal"/>
    <w:autoRedefine/>
    <w:uiPriority w:val="39"/>
    <w:unhideWhenUsed/>
    <w:rsid w:val="004E0488"/>
    <w:pPr>
      <w:ind w:left="1440"/>
    </w:pPr>
    <w:rPr>
      <w:rFonts w:asciiTheme="minorHAnsi" w:hAnsiTheme="minorHAnsi"/>
      <w:sz w:val="18"/>
      <w:szCs w:val="18"/>
    </w:rPr>
  </w:style>
  <w:style w:type="paragraph" w:styleId="TOC8">
    <w:name w:val="toc 8"/>
    <w:basedOn w:val="Normal"/>
    <w:next w:val="Normal"/>
    <w:autoRedefine/>
    <w:uiPriority w:val="39"/>
    <w:unhideWhenUsed/>
    <w:rsid w:val="004E0488"/>
    <w:pPr>
      <w:ind w:left="1680"/>
    </w:pPr>
    <w:rPr>
      <w:rFonts w:asciiTheme="minorHAnsi" w:hAnsiTheme="minorHAnsi"/>
      <w:sz w:val="18"/>
      <w:szCs w:val="18"/>
    </w:rPr>
  </w:style>
  <w:style w:type="paragraph" w:styleId="TOC9">
    <w:name w:val="toc 9"/>
    <w:basedOn w:val="Normal"/>
    <w:next w:val="Normal"/>
    <w:autoRedefine/>
    <w:uiPriority w:val="39"/>
    <w:unhideWhenUsed/>
    <w:rsid w:val="004E0488"/>
    <w:pPr>
      <w:ind w:left="1920"/>
    </w:pPr>
    <w:rPr>
      <w:rFonts w:asciiTheme="minorHAnsi" w:hAnsiTheme="minorHAnsi"/>
      <w:sz w:val="18"/>
      <w:szCs w:val="18"/>
    </w:rPr>
  </w:style>
  <w:style w:type="paragraph" w:styleId="TableofFigures">
    <w:name w:val="table of figures"/>
    <w:basedOn w:val="Normal"/>
    <w:next w:val="Normal"/>
    <w:uiPriority w:val="99"/>
    <w:unhideWhenUsed/>
    <w:rsid w:val="00327479"/>
    <w:pPr>
      <w:ind w:left="482" w:hanging="482"/>
    </w:pPr>
    <w:rPr>
      <w:rFonts w:asciiTheme="minorHAnsi" w:hAnsiTheme="minorHAnsi"/>
      <w:sz w:val="20"/>
      <w:szCs w:val="20"/>
    </w:rPr>
  </w:style>
  <w:style w:type="table" w:customStyle="1" w:styleId="Trameclaire-Accent11">
    <w:name w:val="Trame claire - Accent 11"/>
    <w:basedOn w:val="TableNormal"/>
    <w:uiPriority w:val="60"/>
    <w:rsid w:val="00892C6E"/>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steclaire-Accent11">
    <w:name w:val="Liste claire - Accent 11"/>
    <w:basedOn w:val="TableNormal"/>
    <w:uiPriority w:val="61"/>
    <w:rsid w:val="00892C6E"/>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steclaire1">
    <w:name w:val="Liste claire1"/>
    <w:basedOn w:val="TableNormal"/>
    <w:uiPriority w:val="61"/>
    <w:rsid w:val="00892C6E"/>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oSpacing1">
    <w:name w:val="No Spacing1"/>
    <w:uiPriority w:val="1"/>
    <w:qFormat/>
    <w:rsid w:val="00217A6C"/>
    <w:rPr>
      <w:rFonts w:eastAsia="Cambria"/>
      <w:sz w:val="22"/>
      <w:szCs w:val="22"/>
    </w:rPr>
  </w:style>
  <w:style w:type="paragraph" w:customStyle="1" w:styleId="ColorfulList-Accent11">
    <w:name w:val="Colorful List - Accent 11"/>
    <w:basedOn w:val="Normal"/>
    <w:link w:val="ColorfulList-Accent1Char"/>
    <w:uiPriority w:val="34"/>
    <w:qFormat/>
    <w:rsid w:val="00217A6C"/>
    <w:pPr>
      <w:ind w:left="720"/>
      <w:contextualSpacing/>
    </w:pPr>
    <w:rPr>
      <w:sz w:val="20"/>
      <w:szCs w:val="20"/>
    </w:rPr>
  </w:style>
  <w:style w:type="character" w:customStyle="1" w:styleId="ColorfulList-Accent1Char">
    <w:name w:val="Colorful List - Accent 1 Char"/>
    <w:link w:val="ColorfulList-Accent11"/>
    <w:uiPriority w:val="34"/>
    <w:locked/>
    <w:rsid w:val="00217A6C"/>
    <w:rPr>
      <w:rFonts w:ascii="Cambria" w:eastAsia="MS Mincho" w:hAnsi="Cambria" w:cs="Times New Roman"/>
      <w:sz w:val="20"/>
      <w:szCs w:val="20"/>
      <w:lang w:val="en-GB"/>
    </w:rPr>
  </w:style>
  <w:style w:type="paragraph" w:styleId="TOCHeading">
    <w:name w:val="TOC Heading"/>
    <w:basedOn w:val="Heading1"/>
    <w:next w:val="Normal"/>
    <w:uiPriority w:val="39"/>
    <w:unhideWhenUsed/>
    <w:qFormat/>
    <w:rsid w:val="00433A3C"/>
    <w:pPr>
      <w:spacing w:line="276" w:lineRule="auto"/>
      <w:ind w:left="714"/>
      <w:outlineLvl w:val="9"/>
    </w:pPr>
    <w:rPr>
      <w:color w:val="365F91"/>
      <w:sz w:val="28"/>
      <w:szCs w:val="28"/>
      <w:lang w:eastAsia="ja-JP"/>
    </w:rPr>
  </w:style>
  <w:style w:type="character" w:styleId="Hyperlink">
    <w:name w:val="Hyperlink"/>
    <w:uiPriority w:val="99"/>
    <w:unhideWhenUsed/>
    <w:rsid w:val="00F80EAE"/>
    <w:rPr>
      <w:color w:val="0000FF"/>
      <w:u w:val="single"/>
    </w:rPr>
  </w:style>
  <w:style w:type="table" w:customStyle="1" w:styleId="LightShading-Accent12">
    <w:name w:val="Light Shading - Accent 12"/>
    <w:basedOn w:val="TableNormal"/>
    <w:uiPriority w:val="60"/>
    <w:rsid w:val="00DB0555"/>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
    <w:name w:val="Trame claire - Accent 12"/>
    <w:basedOn w:val="TableNormal"/>
    <w:uiPriority w:val="60"/>
    <w:rsid w:val="00043F2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3-Accent1">
    <w:name w:val="Medium Grid 3 Accent 1"/>
    <w:basedOn w:val="TableNormal"/>
    <w:uiPriority w:val="69"/>
    <w:rsid w:val="00A524C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EndnoteText">
    <w:name w:val="endnote text"/>
    <w:basedOn w:val="Normal"/>
    <w:link w:val="EndnoteTextChar"/>
    <w:uiPriority w:val="99"/>
    <w:unhideWhenUsed/>
    <w:rsid w:val="005E374D"/>
    <w:pPr>
      <w:spacing w:after="40"/>
    </w:pPr>
    <w:rPr>
      <w:rFonts w:asciiTheme="minorHAnsi" w:hAnsiTheme="minorHAnsi"/>
      <w:sz w:val="20"/>
      <w:szCs w:val="18"/>
    </w:rPr>
  </w:style>
  <w:style w:type="character" w:customStyle="1" w:styleId="EndnoteTextChar">
    <w:name w:val="Endnote Text Char"/>
    <w:link w:val="EndnoteText"/>
    <w:uiPriority w:val="99"/>
    <w:rsid w:val="005E374D"/>
    <w:rPr>
      <w:rFonts w:asciiTheme="minorHAnsi" w:hAnsiTheme="minorHAnsi" w:cs="Tahoma"/>
      <w:szCs w:val="18"/>
    </w:rPr>
  </w:style>
  <w:style w:type="character" w:styleId="EndnoteReference">
    <w:name w:val="endnote reference"/>
    <w:uiPriority w:val="99"/>
    <w:semiHidden/>
    <w:unhideWhenUsed/>
    <w:rsid w:val="00BF5C7F"/>
    <w:rPr>
      <w:vertAlign w:val="superscript"/>
    </w:rPr>
  </w:style>
  <w:style w:type="paragraph" w:customStyle="1" w:styleId="Default">
    <w:name w:val="Default"/>
    <w:rsid w:val="00761D9F"/>
    <w:pPr>
      <w:autoSpaceDE w:val="0"/>
      <w:autoSpaceDN w:val="0"/>
      <w:adjustRightInd w:val="0"/>
    </w:pPr>
    <w:rPr>
      <w:rFonts w:ascii="Times New Roman" w:eastAsia="Cambria" w:hAnsi="Times New Roman"/>
      <w:color w:val="000000"/>
      <w:sz w:val="24"/>
      <w:szCs w:val="24"/>
    </w:rPr>
  </w:style>
  <w:style w:type="paragraph" w:customStyle="1" w:styleId="Numberpara">
    <w:name w:val="Number para"/>
    <w:basedOn w:val="ListParagraph"/>
    <w:link w:val="NumberparaCar"/>
    <w:qFormat/>
    <w:rsid w:val="00D37198"/>
    <w:pPr>
      <w:numPr>
        <w:numId w:val="18"/>
      </w:numPr>
      <w:tabs>
        <w:tab w:val="left" w:pos="432"/>
      </w:tabs>
      <w:spacing w:before="0"/>
      <w:ind w:left="0" w:firstLine="0"/>
      <w:contextualSpacing w:val="0"/>
      <w:jc w:val="both"/>
    </w:pPr>
    <w:rPr>
      <w:rFonts w:asciiTheme="minorHAnsi" w:hAnsiTheme="minorHAnsi"/>
    </w:rPr>
  </w:style>
  <w:style w:type="paragraph" w:customStyle="1" w:styleId="FigureJS">
    <w:name w:val="FigureJS"/>
    <w:basedOn w:val="Normal"/>
    <w:link w:val="FigureJSCar"/>
    <w:qFormat/>
    <w:rsid w:val="00CF127B"/>
    <w:pPr>
      <w:numPr>
        <w:numId w:val="2"/>
      </w:numPr>
    </w:pPr>
  </w:style>
  <w:style w:type="character" w:customStyle="1" w:styleId="ListParagraphChar">
    <w:name w:val="List Paragraph Char"/>
    <w:basedOn w:val="DefaultParagraphFont"/>
    <w:link w:val="ListParagraph"/>
    <w:uiPriority w:val="34"/>
    <w:rsid w:val="00D87FE4"/>
    <w:rPr>
      <w:rFonts w:ascii="Calibri" w:hAnsi="Calibri" w:cs="Tahoma"/>
      <w:sz w:val="22"/>
      <w:szCs w:val="22"/>
    </w:rPr>
  </w:style>
  <w:style w:type="character" w:customStyle="1" w:styleId="NumberparaCar">
    <w:name w:val="Number para Car"/>
    <w:basedOn w:val="ListParagraphChar"/>
    <w:link w:val="Numberpara"/>
    <w:rsid w:val="00D37198"/>
    <w:rPr>
      <w:rFonts w:asciiTheme="minorHAnsi" w:hAnsiTheme="minorHAnsi" w:cs="Tahoma"/>
      <w:sz w:val="22"/>
      <w:szCs w:val="22"/>
    </w:rPr>
  </w:style>
  <w:style w:type="paragraph" w:customStyle="1" w:styleId="Figure">
    <w:name w:val="Figure"/>
    <w:basedOn w:val="FigureJS"/>
    <w:next w:val="Normal"/>
    <w:link w:val="FigureChar"/>
    <w:qFormat/>
    <w:rsid w:val="00BE101F"/>
    <w:pPr>
      <w:keepNext/>
      <w:numPr>
        <w:numId w:val="0"/>
      </w:numPr>
      <w:spacing w:before="240"/>
    </w:pPr>
    <w:rPr>
      <w:rFonts w:asciiTheme="minorHAnsi" w:hAnsiTheme="minorHAnsi"/>
      <w:b/>
      <w:color w:val="17365D" w:themeColor="text2" w:themeShade="BF"/>
    </w:rPr>
  </w:style>
  <w:style w:type="paragraph" w:customStyle="1" w:styleId="Source">
    <w:name w:val="Source"/>
    <w:basedOn w:val="Caption"/>
    <w:link w:val="SourceCar"/>
    <w:qFormat/>
    <w:rsid w:val="00D04BDC"/>
    <w:pPr>
      <w:spacing w:after="360"/>
      <w:contextualSpacing/>
    </w:pPr>
    <w:rPr>
      <w:rFonts w:asciiTheme="minorHAnsi" w:hAnsiTheme="minorHAnsi"/>
      <w:b w:val="0"/>
      <w:i w:val="0"/>
      <w:color w:val="auto"/>
    </w:rPr>
  </w:style>
  <w:style w:type="character" w:customStyle="1" w:styleId="FigureJSCar">
    <w:name w:val="FigureJS Car"/>
    <w:basedOn w:val="DefaultParagraphFont"/>
    <w:link w:val="FigureJS"/>
    <w:rsid w:val="006A2A2D"/>
    <w:rPr>
      <w:rFonts w:ascii="Tahoma" w:hAnsi="Tahoma" w:cs="Tahoma"/>
      <w:sz w:val="22"/>
      <w:szCs w:val="22"/>
    </w:rPr>
  </w:style>
  <w:style w:type="character" w:customStyle="1" w:styleId="FigureChar">
    <w:name w:val="Figure Char"/>
    <w:basedOn w:val="FigureJSCar"/>
    <w:link w:val="Figure"/>
    <w:rsid w:val="00C53C89"/>
    <w:rPr>
      <w:rFonts w:asciiTheme="minorHAnsi" w:hAnsiTheme="minorHAnsi" w:cs="Tahoma"/>
      <w:b/>
      <w:color w:val="17365D" w:themeColor="text2" w:themeShade="BF"/>
      <w:sz w:val="22"/>
      <w:szCs w:val="22"/>
    </w:rPr>
  </w:style>
  <w:style w:type="paragraph" w:customStyle="1" w:styleId="Table">
    <w:name w:val="Table"/>
    <w:basedOn w:val="Figure"/>
    <w:link w:val="TableChar"/>
    <w:qFormat/>
    <w:rsid w:val="003511C2"/>
  </w:style>
  <w:style w:type="character" w:customStyle="1" w:styleId="CaptionChar">
    <w:name w:val="Caption Char"/>
    <w:basedOn w:val="DefaultParagraphFont"/>
    <w:link w:val="Caption"/>
    <w:uiPriority w:val="35"/>
    <w:rsid w:val="005D5EC1"/>
    <w:rPr>
      <w:rFonts w:ascii="Tahoma" w:hAnsi="Tahoma" w:cs="Tahoma"/>
      <w:b/>
      <w:bCs/>
      <w:i/>
      <w:color w:val="17365D" w:themeColor="text2" w:themeShade="BF"/>
      <w:sz w:val="18"/>
      <w:szCs w:val="18"/>
    </w:rPr>
  </w:style>
  <w:style w:type="character" w:customStyle="1" w:styleId="SourceCar">
    <w:name w:val="Source Car"/>
    <w:basedOn w:val="CaptionChar"/>
    <w:link w:val="Source"/>
    <w:rsid w:val="00D04BDC"/>
    <w:rPr>
      <w:rFonts w:asciiTheme="minorHAnsi" w:hAnsiTheme="minorHAnsi" w:cs="Tahoma"/>
      <w:b w:val="0"/>
      <w:bCs/>
      <w:i w:val="0"/>
      <w:color w:val="17365D" w:themeColor="text2" w:themeShade="BF"/>
      <w:sz w:val="18"/>
      <w:szCs w:val="18"/>
    </w:rPr>
  </w:style>
  <w:style w:type="paragraph" w:customStyle="1" w:styleId="BOX">
    <w:name w:val="BOX"/>
    <w:next w:val="Boxtext"/>
    <w:link w:val="BOXChar"/>
    <w:qFormat/>
    <w:rsid w:val="00DE4A3B"/>
    <w:pPr>
      <w:keepNext/>
      <w:pBdr>
        <w:top w:val="single" w:sz="4" w:space="1" w:color="auto"/>
        <w:left w:val="single" w:sz="4" w:space="4" w:color="auto"/>
        <w:bottom w:val="single" w:sz="4" w:space="1" w:color="auto"/>
        <w:right w:val="single" w:sz="4" w:space="4" w:color="auto"/>
      </w:pBdr>
      <w:shd w:val="clear" w:color="auto" w:fill="F2F2F2" w:themeFill="background1" w:themeFillShade="F2"/>
      <w:spacing w:before="360" w:after="120"/>
      <w:jc w:val="center"/>
    </w:pPr>
    <w:rPr>
      <w:rFonts w:asciiTheme="minorHAnsi" w:eastAsiaTheme="minorHAnsi" w:hAnsiTheme="minorHAnsi" w:cs="Tahoma"/>
      <w:b/>
      <w:color w:val="17365D" w:themeColor="text2" w:themeShade="BF"/>
      <w:sz w:val="22"/>
      <w:szCs w:val="24"/>
    </w:rPr>
  </w:style>
  <w:style w:type="character" w:customStyle="1" w:styleId="TableChar">
    <w:name w:val="Table Char"/>
    <w:basedOn w:val="FigureChar"/>
    <w:link w:val="Table"/>
    <w:rsid w:val="00B624DD"/>
    <w:rPr>
      <w:rFonts w:asciiTheme="minorHAnsi" w:hAnsiTheme="minorHAnsi" w:cs="Tahoma"/>
      <w:b/>
      <w:color w:val="17365D" w:themeColor="text2" w:themeShade="BF"/>
      <w:sz w:val="22"/>
      <w:szCs w:val="22"/>
    </w:rPr>
  </w:style>
  <w:style w:type="paragraph" w:customStyle="1" w:styleId="Boxtext">
    <w:name w:val="Box text"/>
    <w:basedOn w:val="BOX"/>
    <w:link w:val="BoxtextCar"/>
    <w:qFormat/>
    <w:rsid w:val="00DE4A3B"/>
    <w:pPr>
      <w:spacing w:before="0"/>
      <w:jc w:val="left"/>
    </w:pPr>
    <w:rPr>
      <w:b w:val="0"/>
      <w:color w:val="auto"/>
      <w:sz w:val="21"/>
      <w:szCs w:val="21"/>
    </w:rPr>
  </w:style>
  <w:style w:type="character" w:customStyle="1" w:styleId="BOXChar">
    <w:name w:val="BOX Char"/>
    <w:basedOn w:val="DefaultParagraphFont"/>
    <w:link w:val="BOX"/>
    <w:rsid w:val="00DE4A3B"/>
    <w:rPr>
      <w:rFonts w:asciiTheme="minorHAnsi" w:eastAsiaTheme="minorHAnsi" w:hAnsiTheme="minorHAnsi" w:cs="Tahoma"/>
      <w:b/>
      <w:color w:val="17365D" w:themeColor="text2" w:themeShade="BF"/>
      <w:sz w:val="22"/>
      <w:szCs w:val="24"/>
      <w:shd w:val="clear" w:color="auto" w:fill="F2F2F2" w:themeFill="background1" w:themeFillShade="F2"/>
    </w:rPr>
  </w:style>
  <w:style w:type="character" w:customStyle="1" w:styleId="BoxtextCar">
    <w:name w:val="Box text Car"/>
    <w:basedOn w:val="DefaultParagraphFont"/>
    <w:link w:val="Boxtext"/>
    <w:rsid w:val="00DE4A3B"/>
    <w:rPr>
      <w:rFonts w:asciiTheme="minorHAnsi" w:eastAsiaTheme="minorHAnsi" w:hAnsiTheme="minorHAnsi" w:cs="Tahoma"/>
      <w:sz w:val="21"/>
      <w:szCs w:val="21"/>
      <w:shd w:val="clear" w:color="auto" w:fill="F2F2F2" w:themeFill="background1" w:themeFillShade="F2"/>
    </w:rPr>
  </w:style>
  <w:style w:type="character" w:styleId="IntenseEmphasis">
    <w:name w:val="Intense Emphasis"/>
    <w:basedOn w:val="DefaultParagraphFont"/>
    <w:uiPriority w:val="21"/>
    <w:qFormat/>
    <w:rsid w:val="005573CD"/>
    <w:rPr>
      <w:b/>
      <w:bCs/>
      <w:i/>
      <w:iCs/>
      <w:color w:val="4F81BD" w:themeColor="accent1"/>
    </w:rPr>
  </w:style>
  <w:style w:type="paragraph" w:styleId="Subtitle">
    <w:name w:val="Subtitle"/>
    <w:basedOn w:val="Normal"/>
    <w:next w:val="Normal"/>
    <w:link w:val="SubtitleChar"/>
    <w:uiPriority w:val="11"/>
    <w:qFormat/>
    <w:rsid w:val="005573CD"/>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5573CD"/>
    <w:rPr>
      <w:rFonts w:asciiTheme="majorHAnsi" w:eastAsiaTheme="majorEastAsia" w:hAnsiTheme="majorHAnsi" w:cstheme="majorBidi"/>
      <w:i/>
      <w:iCs/>
      <w:color w:val="4F81BD" w:themeColor="accent1"/>
      <w:spacing w:val="15"/>
      <w:sz w:val="24"/>
      <w:szCs w:val="24"/>
    </w:rPr>
  </w:style>
  <w:style w:type="paragraph" w:customStyle="1" w:styleId="titre4a">
    <w:name w:val="titre 4a"/>
    <w:basedOn w:val="Normal"/>
    <w:link w:val="titre4aCar"/>
    <w:qFormat/>
    <w:rsid w:val="00126912"/>
    <w:pPr>
      <w:keepNext/>
      <w:numPr>
        <w:numId w:val="5"/>
      </w:numPr>
      <w:spacing w:before="360"/>
      <w:ind w:left="709" w:hanging="357"/>
    </w:pPr>
    <w:rPr>
      <w:b/>
      <w:color w:val="984806" w:themeColor="accent6" w:themeShade="80"/>
    </w:rPr>
  </w:style>
  <w:style w:type="character" w:customStyle="1" w:styleId="titre4aCar">
    <w:name w:val="titre 4a Car"/>
    <w:basedOn w:val="Heading4Char"/>
    <w:link w:val="titre4a"/>
    <w:rsid w:val="00126912"/>
    <w:rPr>
      <w:rFonts w:ascii="Tahoma" w:eastAsia="MS Gothic" w:hAnsi="Tahoma" w:cs="Tahoma"/>
      <w:b/>
      <w:bCs w:val="0"/>
      <w:i w:val="0"/>
      <w:iCs w:val="0"/>
      <w:color w:val="984806" w:themeColor="accent6" w:themeShade="80"/>
      <w:sz w:val="22"/>
      <w:szCs w:val="22"/>
    </w:rPr>
  </w:style>
  <w:style w:type="character" w:customStyle="1" w:styleId="NoSpacingChar">
    <w:name w:val="No Spacing Char"/>
    <w:basedOn w:val="DefaultParagraphFont"/>
    <w:link w:val="NoSpacing"/>
    <w:uiPriority w:val="1"/>
    <w:rsid w:val="00E35739"/>
    <w:rPr>
      <w:rFonts w:ascii="Calibri" w:eastAsia="Calibri" w:hAnsi="Calibri"/>
      <w:sz w:val="22"/>
      <w:szCs w:val="22"/>
      <w:lang w:val="en-ZW"/>
    </w:rPr>
  </w:style>
  <w:style w:type="paragraph" w:customStyle="1" w:styleId="FigureAnnex">
    <w:name w:val="FigureAnnex"/>
    <w:basedOn w:val="Normal"/>
    <w:link w:val="FigureAnnexCar"/>
    <w:qFormat/>
    <w:rsid w:val="000961C0"/>
    <w:pPr>
      <w:keepNext/>
      <w:numPr>
        <w:numId w:val="3"/>
      </w:numPr>
      <w:tabs>
        <w:tab w:val="left" w:pos="1134"/>
      </w:tabs>
      <w:spacing w:before="120"/>
      <w:ind w:left="851" w:hanging="851"/>
      <w:jc w:val="both"/>
    </w:pPr>
    <w:rPr>
      <w:rFonts w:asciiTheme="minorHAnsi" w:eastAsiaTheme="minorHAnsi" w:hAnsiTheme="minorHAnsi" w:cstheme="minorBidi"/>
      <w:b/>
      <w:color w:val="17365D" w:themeColor="text2" w:themeShade="BF"/>
      <w:lang w:val="en-GB"/>
    </w:rPr>
  </w:style>
  <w:style w:type="character" w:customStyle="1" w:styleId="FigureAnnexCar">
    <w:name w:val="FigureAnnex Car"/>
    <w:basedOn w:val="DefaultParagraphFont"/>
    <w:link w:val="FigureAnnex"/>
    <w:rsid w:val="000961C0"/>
    <w:rPr>
      <w:rFonts w:asciiTheme="minorHAnsi" w:eastAsiaTheme="minorHAnsi" w:hAnsiTheme="minorHAnsi" w:cstheme="minorBidi"/>
      <w:b/>
      <w:color w:val="17365D" w:themeColor="text2" w:themeShade="BF"/>
      <w:sz w:val="22"/>
      <w:szCs w:val="22"/>
      <w:lang w:val="en-GB"/>
    </w:rPr>
  </w:style>
  <w:style w:type="paragraph" w:customStyle="1" w:styleId="TableAnnex">
    <w:name w:val="TableAnnex"/>
    <w:basedOn w:val="Normal"/>
    <w:link w:val="TableAnnexCar"/>
    <w:qFormat/>
    <w:rsid w:val="00E73060"/>
    <w:pPr>
      <w:keepNext/>
      <w:keepLines/>
      <w:numPr>
        <w:numId w:val="4"/>
      </w:numPr>
      <w:tabs>
        <w:tab w:val="left" w:pos="709"/>
        <w:tab w:val="left" w:pos="993"/>
      </w:tabs>
      <w:spacing w:before="240"/>
      <w:ind w:left="426"/>
    </w:pPr>
    <w:rPr>
      <w:rFonts w:asciiTheme="minorHAnsi" w:eastAsiaTheme="minorHAnsi" w:hAnsiTheme="minorHAnsi" w:cs="Times New Roman"/>
      <w:color w:val="17365D" w:themeColor="text2" w:themeShade="BF"/>
    </w:rPr>
  </w:style>
  <w:style w:type="character" w:customStyle="1" w:styleId="TableAnnexCar">
    <w:name w:val="TableAnnex Car"/>
    <w:basedOn w:val="DefaultParagraphFont"/>
    <w:link w:val="TableAnnex"/>
    <w:rsid w:val="00E73060"/>
    <w:rPr>
      <w:rFonts w:asciiTheme="minorHAnsi" w:eastAsiaTheme="minorHAnsi" w:hAnsiTheme="minorHAnsi"/>
      <w:color w:val="17365D" w:themeColor="text2" w:themeShade="BF"/>
      <w:sz w:val="22"/>
      <w:szCs w:val="22"/>
    </w:rPr>
  </w:style>
  <w:style w:type="paragraph" w:customStyle="1" w:styleId="TitreHorsTOC">
    <w:name w:val="Titre Hors TOC"/>
    <w:basedOn w:val="Title"/>
    <w:link w:val="TitreHorsTOCCar"/>
    <w:qFormat/>
    <w:rsid w:val="00320F82"/>
  </w:style>
  <w:style w:type="paragraph" w:styleId="PlainText">
    <w:name w:val="Plain Text"/>
    <w:basedOn w:val="Normal"/>
    <w:link w:val="PlainTextChar"/>
    <w:uiPriority w:val="99"/>
    <w:unhideWhenUsed/>
    <w:rsid w:val="002B6715"/>
    <w:pPr>
      <w:spacing w:after="0"/>
    </w:pPr>
    <w:rPr>
      <w:rFonts w:ascii="Consolas" w:eastAsiaTheme="minorHAnsi" w:hAnsi="Consolas" w:cstheme="minorBidi"/>
      <w:sz w:val="21"/>
      <w:szCs w:val="21"/>
    </w:rPr>
  </w:style>
  <w:style w:type="character" w:customStyle="1" w:styleId="TitreHorsTOCCar">
    <w:name w:val="Titre Hors TOC Car"/>
    <w:basedOn w:val="TitleChar"/>
    <w:link w:val="TitreHorsTOC"/>
    <w:rsid w:val="00320F82"/>
    <w:rPr>
      <w:rFonts w:ascii="Tahoma" w:eastAsia="MS Gothic" w:hAnsi="Tahoma" w:cs="Tahoma"/>
      <w:color w:val="17365D"/>
      <w:spacing w:val="5"/>
      <w:kern w:val="28"/>
      <w:sz w:val="32"/>
      <w:szCs w:val="40"/>
      <w:lang w:eastAsia="ja-JP"/>
    </w:rPr>
  </w:style>
  <w:style w:type="character" w:customStyle="1" w:styleId="PlainTextChar">
    <w:name w:val="Plain Text Char"/>
    <w:basedOn w:val="DefaultParagraphFont"/>
    <w:link w:val="PlainText"/>
    <w:uiPriority w:val="99"/>
    <w:rsid w:val="002B6715"/>
    <w:rPr>
      <w:rFonts w:ascii="Consolas" w:eastAsiaTheme="minorHAnsi" w:hAnsi="Consolas" w:cstheme="minorBidi"/>
      <w:sz w:val="21"/>
      <w:szCs w:val="21"/>
    </w:rPr>
  </w:style>
  <w:style w:type="table" w:customStyle="1" w:styleId="Trameclaire-Accent13">
    <w:name w:val="Trame claire - Accent 13"/>
    <w:basedOn w:val="TableNormal"/>
    <w:uiPriority w:val="60"/>
    <w:rsid w:val="00174999"/>
    <w:rPr>
      <w:rFonts w:asciiTheme="minorHAnsi" w:eastAsiaTheme="minorEastAsia" w:hAnsiTheme="minorHAnsi" w:cstheme="minorBidi"/>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Numberparaes">
    <w:name w:val="Number para es"/>
    <w:rsid w:val="00845084"/>
    <w:pPr>
      <w:numPr>
        <w:numId w:val="19"/>
      </w:numPr>
      <w:spacing w:after="240"/>
      <w:ind w:left="0" w:firstLine="0"/>
      <w:jc w:val="both"/>
    </w:pPr>
    <w:rPr>
      <w:rFonts w:asciiTheme="minorHAnsi" w:hAnsiTheme="minorHAnsi" w:cs="Tahoma"/>
      <w:sz w:val="22"/>
      <w:szCs w:val="22"/>
    </w:rPr>
  </w:style>
  <w:style w:type="paragraph" w:customStyle="1" w:styleId="Heading2nottoc">
    <w:name w:val="Heading 2nottoc"/>
    <w:basedOn w:val="Heading2"/>
    <w:rsid w:val="0058724F"/>
  </w:style>
  <w:style w:type="paragraph" w:customStyle="1" w:styleId="Heading1nottoc">
    <w:name w:val="Heading 1nottoc"/>
    <w:basedOn w:val="Heading1"/>
    <w:rsid w:val="00BE6BE5"/>
  </w:style>
  <w:style w:type="paragraph" w:customStyle="1" w:styleId="Heading3nottoc">
    <w:name w:val="Heading 3nottoc"/>
    <w:basedOn w:val="Heading3"/>
    <w:rsid w:val="00BE6BE5"/>
  </w:style>
  <w:style w:type="paragraph" w:customStyle="1" w:styleId="Figureannex0">
    <w:name w:val="Figure_annex"/>
    <w:basedOn w:val="Figure"/>
    <w:rsid w:val="00962EED"/>
  </w:style>
  <w:style w:type="paragraph" w:customStyle="1" w:styleId="Heading4notintoc">
    <w:name w:val="Heading 4notintoc"/>
    <w:basedOn w:val="Heading4"/>
    <w:rsid w:val="00462FBA"/>
  </w:style>
  <w:style w:type="paragraph" w:customStyle="1" w:styleId="Tableannex0">
    <w:name w:val="Table_annex"/>
    <w:basedOn w:val="TableAnnex"/>
    <w:rsid w:val="006931A4"/>
    <w:pPr>
      <w:numPr>
        <w:numId w:val="0"/>
      </w:numPr>
    </w:pPr>
    <w:rPr>
      <w:b/>
    </w:rPr>
  </w:style>
  <w:style w:type="paragraph" w:customStyle="1" w:styleId="KMpara">
    <w:name w:val="KMpara"/>
    <w:basedOn w:val="ListParagraph"/>
    <w:rsid w:val="00F252F4"/>
    <w:pPr>
      <w:spacing w:before="0" w:after="120"/>
      <w:contextualSpacing w:val="0"/>
    </w:pPr>
  </w:style>
  <w:style w:type="paragraph" w:customStyle="1" w:styleId="KMtitle">
    <w:name w:val="KMtitle"/>
    <w:basedOn w:val="Heading6"/>
    <w:rsid w:val="00F252F4"/>
    <w:pPr>
      <w:spacing w:after="240"/>
    </w:pPr>
    <w:rPr>
      <w:b/>
      <w:sz w:val="26"/>
      <w:szCs w:val="26"/>
    </w:rPr>
  </w:style>
  <w:style w:type="table" w:styleId="LightShading">
    <w:name w:val="Light Shading"/>
    <w:basedOn w:val="TableNormal"/>
    <w:uiPriority w:val="60"/>
    <w:rsid w:val="00383817"/>
    <w:rPr>
      <w:rFonts w:asciiTheme="minorHAnsi" w:eastAsiaTheme="minorHAnsi"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Bullet">
    <w:name w:val="Bullet"/>
    <w:rsid w:val="00BE31A4"/>
    <w:pPr>
      <w:numPr>
        <w:numId w:val="1"/>
      </w:numPr>
      <w:contextualSpacing/>
      <w:jc w:val="both"/>
    </w:pPr>
    <w:rPr>
      <w:rFonts w:ascii="Calibri" w:hAnsi="Calibri" w:cs="Tahoma"/>
      <w:sz w:val="22"/>
      <w:szCs w:val="22"/>
    </w:rPr>
  </w:style>
  <w:style w:type="paragraph" w:customStyle="1" w:styleId="Numberparaannex">
    <w:name w:val="Number paraannex"/>
    <w:basedOn w:val="Numberpara"/>
    <w:rsid w:val="00D56257"/>
    <w:pPr>
      <w:numPr>
        <w:numId w:val="0"/>
      </w:numPr>
    </w:pPr>
  </w:style>
  <w:style w:type="paragraph" w:customStyle="1" w:styleId="Abbrevs">
    <w:name w:val="Abbrevs"/>
    <w:basedOn w:val="Normal"/>
    <w:rsid w:val="00D1035A"/>
    <w:pPr>
      <w:spacing w:after="0"/>
    </w:pPr>
    <w:rPr>
      <w:rFonts w:asciiTheme="minorHAnsi" w:hAnsiTheme="minorHAnsi"/>
    </w:rPr>
  </w:style>
  <w:style w:type="paragraph" w:customStyle="1" w:styleId="Bodytext">
    <w:name w:val="Bodytext"/>
    <w:basedOn w:val="Normal"/>
    <w:rsid w:val="00864415"/>
    <w:pPr>
      <w:spacing w:after="160"/>
      <w:jc w:val="both"/>
    </w:pPr>
    <w:rPr>
      <w:rFonts w:ascii="Times New Roman" w:eastAsiaTheme="minorHAnsi" w:hAnsi="Times New Roman" w:cs="Times New Roman"/>
    </w:rPr>
  </w:style>
  <w:style w:type="character" w:customStyle="1" w:styleId="A0">
    <w:name w:val="A0"/>
    <w:uiPriority w:val="99"/>
    <w:rsid w:val="002E63AA"/>
    <w:rPr>
      <w:rFonts w:cs="Frutiger LT 55 Roman"/>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8526">
      <w:bodyDiv w:val="1"/>
      <w:marLeft w:val="0"/>
      <w:marRight w:val="0"/>
      <w:marTop w:val="0"/>
      <w:marBottom w:val="0"/>
      <w:divBdr>
        <w:top w:val="none" w:sz="0" w:space="0" w:color="auto"/>
        <w:left w:val="none" w:sz="0" w:space="0" w:color="auto"/>
        <w:bottom w:val="none" w:sz="0" w:space="0" w:color="auto"/>
        <w:right w:val="none" w:sz="0" w:space="0" w:color="auto"/>
      </w:divBdr>
    </w:div>
    <w:div w:id="7292786">
      <w:bodyDiv w:val="1"/>
      <w:marLeft w:val="0"/>
      <w:marRight w:val="0"/>
      <w:marTop w:val="0"/>
      <w:marBottom w:val="0"/>
      <w:divBdr>
        <w:top w:val="none" w:sz="0" w:space="0" w:color="auto"/>
        <w:left w:val="none" w:sz="0" w:space="0" w:color="auto"/>
        <w:bottom w:val="none" w:sz="0" w:space="0" w:color="auto"/>
        <w:right w:val="none" w:sz="0" w:space="0" w:color="auto"/>
      </w:divBdr>
    </w:div>
    <w:div w:id="24600677">
      <w:bodyDiv w:val="1"/>
      <w:marLeft w:val="0"/>
      <w:marRight w:val="0"/>
      <w:marTop w:val="0"/>
      <w:marBottom w:val="0"/>
      <w:divBdr>
        <w:top w:val="none" w:sz="0" w:space="0" w:color="auto"/>
        <w:left w:val="none" w:sz="0" w:space="0" w:color="auto"/>
        <w:bottom w:val="none" w:sz="0" w:space="0" w:color="auto"/>
        <w:right w:val="none" w:sz="0" w:space="0" w:color="auto"/>
      </w:divBdr>
    </w:div>
    <w:div w:id="119885552">
      <w:bodyDiv w:val="1"/>
      <w:marLeft w:val="0"/>
      <w:marRight w:val="0"/>
      <w:marTop w:val="0"/>
      <w:marBottom w:val="0"/>
      <w:divBdr>
        <w:top w:val="none" w:sz="0" w:space="0" w:color="auto"/>
        <w:left w:val="none" w:sz="0" w:space="0" w:color="auto"/>
        <w:bottom w:val="none" w:sz="0" w:space="0" w:color="auto"/>
        <w:right w:val="none" w:sz="0" w:space="0" w:color="auto"/>
      </w:divBdr>
    </w:div>
    <w:div w:id="170413582">
      <w:bodyDiv w:val="1"/>
      <w:marLeft w:val="0"/>
      <w:marRight w:val="0"/>
      <w:marTop w:val="0"/>
      <w:marBottom w:val="0"/>
      <w:divBdr>
        <w:top w:val="none" w:sz="0" w:space="0" w:color="auto"/>
        <w:left w:val="none" w:sz="0" w:space="0" w:color="auto"/>
        <w:bottom w:val="none" w:sz="0" w:space="0" w:color="auto"/>
        <w:right w:val="none" w:sz="0" w:space="0" w:color="auto"/>
      </w:divBdr>
    </w:div>
    <w:div w:id="181674059">
      <w:bodyDiv w:val="1"/>
      <w:marLeft w:val="0"/>
      <w:marRight w:val="0"/>
      <w:marTop w:val="0"/>
      <w:marBottom w:val="0"/>
      <w:divBdr>
        <w:top w:val="none" w:sz="0" w:space="0" w:color="auto"/>
        <w:left w:val="none" w:sz="0" w:space="0" w:color="auto"/>
        <w:bottom w:val="none" w:sz="0" w:space="0" w:color="auto"/>
        <w:right w:val="none" w:sz="0" w:space="0" w:color="auto"/>
      </w:divBdr>
      <w:divsChild>
        <w:div w:id="468547843">
          <w:marLeft w:val="0"/>
          <w:marRight w:val="0"/>
          <w:marTop w:val="0"/>
          <w:marBottom w:val="0"/>
          <w:divBdr>
            <w:top w:val="none" w:sz="0" w:space="0" w:color="auto"/>
            <w:left w:val="none" w:sz="0" w:space="0" w:color="auto"/>
            <w:bottom w:val="none" w:sz="0" w:space="0" w:color="auto"/>
            <w:right w:val="none" w:sz="0" w:space="0" w:color="auto"/>
          </w:divBdr>
        </w:div>
        <w:div w:id="543760196">
          <w:marLeft w:val="0"/>
          <w:marRight w:val="0"/>
          <w:marTop w:val="0"/>
          <w:marBottom w:val="0"/>
          <w:divBdr>
            <w:top w:val="none" w:sz="0" w:space="0" w:color="auto"/>
            <w:left w:val="none" w:sz="0" w:space="0" w:color="auto"/>
            <w:bottom w:val="none" w:sz="0" w:space="0" w:color="auto"/>
            <w:right w:val="none" w:sz="0" w:space="0" w:color="auto"/>
          </w:divBdr>
        </w:div>
        <w:div w:id="586156922">
          <w:marLeft w:val="0"/>
          <w:marRight w:val="0"/>
          <w:marTop w:val="0"/>
          <w:marBottom w:val="0"/>
          <w:divBdr>
            <w:top w:val="none" w:sz="0" w:space="0" w:color="auto"/>
            <w:left w:val="none" w:sz="0" w:space="0" w:color="auto"/>
            <w:bottom w:val="none" w:sz="0" w:space="0" w:color="auto"/>
            <w:right w:val="none" w:sz="0" w:space="0" w:color="auto"/>
          </w:divBdr>
        </w:div>
        <w:div w:id="648901703">
          <w:marLeft w:val="0"/>
          <w:marRight w:val="0"/>
          <w:marTop w:val="0"/>
          <w:marBottom w:val="0"/>
          <w:divBdr>
            <w:top w:val="none" w:sz="0" w:space="0" w:color="auto"/>
            <w:left w:val="none" w:sz="0" w:space="0" w:color="auto"/>
            <w:bottom w:val="none" w:sz="0" w:space="0" w:color="auto"/>
            <w:right w:val="none" w:sz="0" w:space="0" w:color="auto"/>
          </w:divBdr>
        </w:div>
        <w:div w:id="869992067">
          <w:marLeft w:val="0"/>
          <w:marRight w:val="0"/>
          <w:marTop w:val="0"/>
          <w:marBottom w:val="0"/>
          <w:divBdr>
            <w:top w:val="none" w:sz="0" w:space="0" w:color="auto"/>
            <w:left w:val="none" w:sz="0" w:space="0" w:color="auto"/>
            <w:bottom w:val="none" w:sz="0" w:space="0" w:color="auto"/>
            <w:right w:val="none" w:sz="0" w:space="0" w:color="auto"/>
          </w:divBdr>
        </w:div>
        <w:div w:id="903954482">
          <w:marLeft w:val="0"/>
          <w:marRight w:val="0"/>
          <w:marTop w:val="0"/>
          <w:marBottom w:val="0"/>
          <w:divBdr>
            <w:top w:val="none" w:sz="0" w:space="0" w:color="auto"/>
            <w:left w:val="none" w:sz="0" w:space="0" w:color="auto"/>
            <w:bottom w:val="none" w:sz="0" w:space="0" w:color="auto"/>
            <w:right w:val="none" w:sz="0" w:space="0" w:color="auto"/>
          </w:divBdr>
        </w:div>
        <w:div w:id="1235820824">
          <w:marLeft w:val="0"/>
          <w:marRight w:val="0"/>
          <w:marTop w:val="0"/>
          <w:marBottom w:val="0"/>
          <w:divBdr>
            <w:top w:val="none" w:sz="0" w:space="0" w:color="auto"/>
            <w:left w:val="none" w:sz="0" w:space="0" w:color="auto"/>
            <w:bottom w:val="none" w:sz="0" w:space="0" w:color="auto"/>
            <w:right w:val="none" w:sz="0" w:space="0" w:color="auto"/>
          </w:divBdr>
        </w:div>
        <w:div w:id="1236474929">
          <w:marLeft w:val="0"/>
          <w:marRight w:val="0"/>
          <w:marTop w:val="0"/>
          <w:marBottom w:val="0"/>
          <w:divBdr>
            <w:top w:val="none" w:sz="0" w:space="0" w:color="auto"/>
            <w:left w:val="none" w:sz="0" w:space="0" w:color="auto"/>
            <w:bottom w:val="none" w:sz="0" w:space="0" w:color="auto"/>
            <w:right w:val="none" w:sz="0" w:space="0" w:color="auto"/>
          </w:divBdr>
        </w:div>
        <w:div w:id="1586112439">
          <w:marLeft w:val="0"/>
          <w:marRight w:val="0"/>
          <w:marTop w:val="0"/>
          <w:marBottom w:val="0"/>
          <w:divBdr>
            <w:top w:val="none" w:sz="0" w:space="0" w:color="auto"/>
            <w:left w:val="none" w:sz="0" w:space="0" w:color="auto"/>
            <w:bottom w:val="none" w:sz="0" w:space="0" w:color="auto"/>
            <w:right w:val="none" w:sz="0" w:space="0" w:color="auto"/>
          </w:divBdr>
        </w:div>
        <w:div w:id="1693265353">
          <w:marLeft w:val="0"/>
          <w:marRight w:val="0"/>
          <w:marTop w:val="0"/>
          <w:marBottom w:val="0"/>
          <w:divBdr>
            <w:top w:val="none" w:sz="0" w:space="0" w:color="auto"/>
            <w:left w:val="none" w:sz="0" w:space="0" w:color="auto"/>
            <w:bottom w:val="none" w:sz="0" w:space="0" w:color="auto"/>
            <w:right w:val="none" w:sz="0" w:space="0" w:color="auto"/>
          </w:divBdr>
        </w:div>
        <w:div w:id="1774936224">
          <w:marLeft w:val="0"/>
          <w:marRight w:val="0"/>
          <w:marTop w:val="0"/>
          <w:marBottom w:val="0"/>
          <w:divBdr>
            <w:top w:val="none" w:sz="0" w:space="0" w:color="auto"/>
            <w:left w:val="none" w:sz="0" w:space="0" w:color="auto"/>
            <w:bottom w:val="none" w:sz="0" w:space="0" w:color="auto"/>
            <w:right w:val="none" w:sz="0" w:space="0" w:color="auto"/>
          </w:divBdr>
        </w:div>
        <w:div w:id="1876969213">
          <w:marLeft w:val="0"/>
          <w:marRight w:val="0"/>
          <w:marTop w:val="0"/>
          <w:marBottom w:val="0"/>
          <w:divBdr>
            <w:top w:val="none" w:sz="0" w:space="0" w:color="auto"/>
            <w:left w:val="none" w:sz="0" w:space="0" w:color="auto"/>
            <w:bottom w:val="none" w:sz="0" w:space="0" w:color="auto"/>
            <w:right w:val="none" w:sz="0" w:space="0" w:color="auto"/>
          </w:divBdr>
        </w:div>
        <w:div w:id="1972977352">
          <w:marLeft w:val="0"/>
          <w:marRight w:val="0"/>
          <w:marTop w:val="0"/>
          <w:marBottom w:val="0"/>
          <w:divBdr>
            <w:top w:val="none" w:sz="0" w:space="0" w:color="auto"/>
            <w:left w:val="none" w:sz="0" w:space="0" w:color="auto"/>
            <w:bottom w:val="none" w:sz="0" w:space="0" w:color="auto"/>
            <w:right w:val="none" w:sz="0" w:space="0" w:color="auto"/>
          </w:divBdr>
        </w:div>
        <w:div w:id="1990865488">
          <w:marLeft w:val="0"/>
          <w:marRight w:val="0"/>
          <w:marTop w:val="0"/>
          <w:marBottom w:val="0"/>
          <w:divBdr>
            <w:top w:val="none" w:sz="0" w:space="0" w:color="auto"/>
            <w:left w:val="none" w:sz="0" w:space="0" w:color="auto"/>
            <w:bottom w:val="none" w:sz="0" w:space="0" w:color="auto"/>
            <w:right w:val="none" w:sz="0" w:space="0" w:color="auto"/>
          </w:divBdr>
        </w:div>
        <w:div w:id="2074543108">
          <w:marLeft w:val="0"/>
          <w:marRight w:val="0"/>
          <w:marTop w:val="0"/>
          <w:marBottom w:val="0"/>
          <w:divBdr>
            <w:top w:val="none" w:sz="0" w:space="0" w:color="auto"/>
            <w:left w:val="none" w:sz="0" w:space="0" w:color="auto"/>
            <w:bottom w:val="none" w:sz="0" w:space="0" w:color="auto"/>
            <w:right w:val="none" w:sz="0" w:space="0" w:color="auto"/>
          </w:divBdr>
        </w:div>
        <w:div w:id="2133354115">
          <w:marLeft w:val="0"/>
          <w:marRight w:val="0"/>
          <w:marTop w:val="0"/>
          <w:marBottom w:val="0"/>
          <w:divBdr>
            <w:top w:val="none" w:sz="0" w:space="0" w:color="auto"/>
            <w:left w:val="none" w:sz="0" w:space="0" w:color="auto"/>
            <w:bottom w:val="none" w:sz="0" w:space="0" w:color="auto"/>
            <w:right w:val="none" w:sz="0" w:space="0" w:color="auto"/>
          </w:divBdr>
        </w:div>
      </w:divsChild>
    </w:div>
    <w:div w:id="229273878">
      <w:bodyDiv w:val="1"/>
      <w:marLeft w:val="0"/>
      <w:marRight w:val="0"/>
      <w:marTop w:val="0"/>
      <w:marBottom w:val="0"/>
      <w:divBdr>
        <w:top w:val="none" w:sz="0" w:space="0" w:color="auto"/>
        <w:left w:val="none" w:sz="0" w:space="0" w:color="auto"/>
        <w:bottom w:val="none" w:sz="0" w:space="0" w:color="auto"/>
        <w:right w:val="none" w:sz="0" w:space="0" w:color="auto"/>
      </w:divBdr>
    </w:div>
    <w:div w:id="234514945">
      <w:bodyDiv w:val="1"/>
      <w:marLeft w:val="0"/>
      <w:marRight w:val="0"/>
      <w:marTop w:val="0"/>
      <w:marBottom w:val="0"/>
      <w:divBdr>
        <w:top w:val="none" w:sz="0" w:space="0" w:color="auto"/>
        <w:left w:val="none" w:sz="0" w:space="0" w:color="auto"/>
        <w:bottom w:val="none" w:sz="0" w:space="0" w:color="auto"/>
        <w:right w:val="none" w:sz="0" w:space="0" w:color="auto"/>
      </w:divBdr>
    </w:div>
    <w:div w:id="237255170">
      <w:bodyDiv w:val="1"/>
      <w:marLeft w:val="0"/>
      <w:marRight w:val="0"/>
      <w:marTop w:val="0"/>
      <w:marBottom w:val="0"/>
      <w:divBdr>
        <w:top w:val="none" w:sz="0" w:space="0" w:color="auto"/>
        <w:left w:val="none" w:sz="0" w:space="0" w:color="auto"/>
        <w:bottom w:val="none" w:sz="0" w:space="0" w:color="auto"/>
        <w:right w:val="none" w:sz="0" w:space="0" w:color="auto"/>
      </w:divBdr>
    </w:div>
    <w:div w:id="239023197">
      <w:bodyDiv w:val="1"/>
      <w:marLeft w:val="0"/>
      <w:marRight w:val="0"/>
      <w:marTop w:val="0"/>
      <w:marBottom w:val="0"/>
      <w:divBdr>
        <w:top w:val="none" w:sz="0" w:space="0" w:color="auto"/>
        <w:left w:val="none" w:sz="0" w:space="0" w:color="auto"/>
        <w:bottom w:val="none" w:sz="0" w:space="0" w:color="auto"/>
        <w:right w:val="none" w:sz="0" w:space="0" w:color="auto"/>
      </w:divBdr>
      <w:divsChild>
        <w:div w:id="621038242">
          <w:marLeft w:val="547"/>
          <w:marRight w:val="0"/>
          <w:marTop w:val="154"/>
          <w:marBottom w:val="0"/>
          <w:divBdr>
            <w:top w:val="none" w:sz="0" w:space="0" w:color="auto"/>
            <w:left w:val="none" w:sz="0" w:space="0" w:color="auto"/>
            <w:bottom w:val="none" w:sz="0" w:space="0" w:color="auto"/>
            <w:right w:val="none" w:sz="0" w:space="0" w:color="auto"/>
          </w:divBdr>
        </w:div>
        <w:div w:id="741872628">
          <w:marLeft w:val="547"/>
          <w:marRight w:val="0"/>
          <w:marTop w:val="154"/>
          <w:marBottom w:val="0"/>
          <w:divBdr>
            <w:top w:val="none" w:sz="0" w:space="0" w:color="auto"/>
            <w:left w:val="none" w:sz="0" w:space="0" w:color="auto"/>
            <w:bottom w:val="none" w:sz="0" w:space="0" w:color="auto"/>
            <w:right w:val="none" w:sz="0" w:space="0" w:color="auto"/>
          </w:divBdr>
        </w:div>
        <w:div w:id="793209137">
          <w:marLeft w:val="547"/>
          <w:marRight w:val="0"/>
          <w:marTop w:val="154"/>
          <w:marBottom w:val="0"/>
          <w:divBdr>
            <w:top w:val="none" w:sz="0" w:space="0" w:color="auto"/>
            <w:left w:val="none" w:sz="0" w:space="0" w:color="auto"/>
            <w:bottom w:val="none" w:sz="0" w:space="0" w:color="auto"/>
            <w:right w:val="none" w:sz="0" w:space="0" w:color="auto"/>
          </w:divBdr>
        </w:div>
        <w:div w:id="1695422769">
          <w:marLeft w:val="547"/>
          <w:marRight w:val="0"/>
          <w:marTop w:val="154"/>
          <w:marBottom w:val="0"/>
          <w:divBdr>
            <w:top w:val="none" w:sz="0" w:space="0" w:color="auto"/>
            <w:left w:val="none" w:sz="0" w:space="0" w:color="auto"/>
            <w:bottom w:val="none" w:sz="0" w:space="0" w:color="auto"/>
            <w:right w:val="none" w:sz="0" w:space="0" w:color="auto"/>
          </w:divBdr>
        </w:div>
        <w:div w:id="1808280775">
          <w:marLeft w:val="547"/>
          <w:marRight w:val="0"/>
          <w:marTop w:val="154"/>
          <w:marBottom w:val="0"/>
          <w:divBdr>
            <w:top w:val="none" w:sz="0" w:space="0" w:color="auto"/>
            <w:left w:val="none" w:sz="0" w:space="0" w:color="auto"/>
            <w:bottom w:val="none" w:sz="0" w:space="0" w:color="auto"/>
            <w:right w:val="none" w:sz="0" w:space="0" w:color="auto"/>
          </w:divBdr>
        </w:div>
      </w:divsChild>
    </w:div>
    <w:div w:id="288899231">
      <w:bodyDiv w:val="1"/>
      <w:marLeft w:val="0"/>
      <w:marRight w:val="0"/>
      <w:marTop w:val="0"/>
      <w:marBottom w:val="0"/>
      <w:divBdr>
        <w:top w:val="none" w:sz="0" w:space="0" w:color="auto"/>
        <w:left w:val="none" w:sz="0" w:space="0" w:color="auto"/>
        <w:bottom w:val="none" w:sz="0" w:space="0" w:color="auto"/>
        <w:right w:val="none" w:sz="0" w:space="0" w:color="auto"/>
      </w:divBdr>
    </w:div>
    <w:div w:id="347025029">
      <w:bodyDiv w:val="1"/>
      <w:marLeft w:val="0"/>
      <w:marRight w:val="0"/>
      <w:marTop w:val="0"/>
      <w:marBottom w:val="0"/>
      <w:divBdr>
        <w:top w:val="none" w:sz="0" w:space="0" w:color="auto"/>
        <w:left w:val="none" w:sz="0" w:space="0" w:color="auto"/>
        <w:bottom w:val="none" w:sz="0" w:space="0" w:color="auto"/>
        <w:right w:val="none" w:sz="0" w:space="0" w:color="auto"/>
      </w:divBdr>
    </w:div>
    <w:div w:id="404498357">
      <w:bodyDiv w:val="1"/>
      <w:marLeft w:val="0"/>
      <w:marRight w:val="0"/>
      <w:marTop w:val="0"/>
      <w:marBottom w:val="0"/>
      <w:divBdr>
        <w:top w:val="none" w:sz="0" w:space="0" w:color="auto"/>
        <w:left w:val="none" w:sz="0" w:space="0" w:color="auto"/>
        <w:bottom w:val="none" w:sz="0" w:space="0" w:color="auto"/>
        <w:right w:val="none" w:sz="0" w:space="0" w:color="auto"/>
      </w:divBdr>
    </w:div>
    <w:div w:id="479276299">
      <w:bodyDiv w:val="1"/>
      <w:marLeft w:val="0"/>
      <w:marRight w:val="0"/>
      <w:marTop w:val="0"/>
      <w:marBottom w:val="0"/>
      <w:divBdr>
        <w:top w:val="none" w:sz="0" w:space="0" w:color="auto"/>
        <w:left w:val="none" w:sz="0" w:space="0" w:color="auto"/>
        <w:bottom w:val="none" w:sz="0" w:space="0" w:color="auto"/>
        <w:right w:val="none" w:sz="0" w:space="0" w:color="auto"/>
      </w:divBdr>
    </w:div>
    <w:div w:id="494883735">
      <w:bodyDiv w:val="1"/>
      <w:marLeft w:val="0"/>
      <w:marRight w:val="0"/>
      <w:marTop w:val="0"/>
      <w:marBottom w:val="0"/>
      <w:divBdr>
        <w:top w:val="none" w:sz="0" w:space="0" w:color="auto"/>
        <w:left w:val="none" w:sz="0" w:space="0" w:color="auto"/>
        <w:bottom w:val="none" w:sz="0" w:space="0" w:color="auto"/>
        <w:right w:val="none" w:sz="0" w:space="0" w:color="auto"/>
      </w:divBdr>
    </w:div>
    <w:div w:id="514345379">
      <w:bodyDiv w:val="1"/>
      <w:marLeft w:val="0"/>
      <w:marRight w:val="0"/>
      <w:marTop w:val="0"/>
      <w:marBottom w:val="0"/>
      <w:divBdr>
        <w:top w:val="none" w:sz="0" w:space="0" w:color="auto"/>
        <w:left w:val="none" w:sz="0" w:space="0" w:color="auto"/>
        <w:bottom w:val="none" w:sz="0" w:space="0" w:color="auto"/>
        <w:right w:val="none" w:sz="0" w:space="0" w:color="auto"/>
      </w:divBdr>
      <w:divsChild>
        <w:div w:id="765230234">
          <w:marLeft w:val="979"/>
          <w:marRight w:val="0"/>
          <w:marTop w:val="65"/>
          <w:marBottom w:val="0"/>
          <w:divBdr>
            <w:top w:val="none" w:sz="0" w:space="0" w:color="auto"/>
            <w:left w:val="none" w:sz="0" w:space="0" w:color="auto"/>
            <w:bottom w:val="none" w:sz="0" w:space="0" w:color="auto"/>
            <w:right w:val="none" w:sz="0" w:space="0" w:color="auto"/>
          </w:divBdr>
        </w:div>
        <w:div w:id="1814788641">
          <w:marLeft w:val="576"/>
          <w:marRight w:val="0"/>
          <w:marTop w:val="80"/>
          <w:marBottom w:val="0"/>
          <w:divBdr>
            <w:top w:val="none" w:sz="0" w:space="0" w:color="auto"/>
            <w:left w:val="none" w:sz="0" w:space="0" w:color="auto"/>
            <w:bottom w:val="none" w:sz="0" w:space="0" w:color="auto"/>
            <w:right w:val="none" w:sz="0" w:space="0" w:color="auto"/>
          </w:divBdr>
        </w:div>
        <w:div w:id="2084375130">
          <w:marLeft w:val="979"/>
          <w:marRight w:val="0"/>
          <w:marTop w:val="65"/>
          <w:marBottom w:val="0"/>
          <w:divBdr>
            <w:top w:val="none" w:sz="0" w:space="0" w:color="auto"/>
            <w:left w:val="none" w:sz="0" w:space="0" w:color="auto"/>
            <w:bottom w:val="none" w:sz="0" w:space="0" w:color="auto"/>
            <w:right w:val="none" w:sz="0" w:space="0" w:color="auto"/>
          </w:divBdr>
        </w:div>
        <w:div w:id="2140950208">
          <w:marLeft w:val="979"/>
          <w:marRight w:val="0"/>
          <w:marTop w:val="65"/>
          <w:marBottom w:val="0"/>
          <w:divBdr>
            <w:top w:val="none" w:sz="0" w:space="0" w:color="auto"/>
            <w:left w:val="none" w:sz="0" w:space="0" w:color="auto"/>
            <w:bottom w:val="none" w:sz="0" w:space="0" w:color="auto"/>
            <w:right w:val="none" w:sz="0" w:space="0" w:color="auto"/>
          </w:divBdr>
        </w:div>
      </w:divsChild>
    </w:div>
    <w:div w:id="576012726">
      <w:bodyDiv w:val="1"/>
      <w:marLeft w:val="0"/>
      <w:marRight w:val="0"/>
      <w:marTop w:val="0"/>
      <w:marBottom w:val="0"/>
      <w:divBdr>
        <w:top w:val="none" w:sz="0" w:space="0" w:color="auto"/>
        <w:left w:val="none" w:sz="0" w:space="0" w:color="auto"/>
        <w:bottom w:val="none" w:sz="0" w:space="0" w:color="auto"/>
        <w:right w:val="none" w:sz="0" w:space="0" w:color="auto"/>
      </w:divBdr>
    </w:div>
    <w:div w:id="619727011">
      <w:bodyDiv w:val="1"/>
      <w:marLeft w:val="0"/>
      <w:marRight w:val="0"/>
      <w:marTop w:val="0"/>
      <w:marBottom w:val="0"/>
      <w:divBdr>
        <w:top w:val="none" w:sz="0" w:space="0" w:color="auto"/>
        <w:left w:val="none" w:sz="0" w:space="0" w:color="auto"/>
        <w:bottom w:val="none" w:sz="0" w:space="0" w:color="auto"/>
        <w:right w:val="none" w:sz="0" w:space="0" w:color="auto"/>
      </w:divBdr>
    </w:div>
    <w:div w:id="640967050">
      <w:bodyDiv w:val="1"/>
      <w:marLeft w:val="0"/>
      <w:marRight w:val="0"/>
      <w:marTop w:val="0"/>
      <w:marBottom w:val="0"/>
      <w:divBdr>
        <w:top w:val="none" w:sz="0" w:space="0" w:color="auto"/>
        <w:left w:val="none" w:sz="0" w:space="0" w:color="auto"/>
        <w:bottom w:val="none" w:sz="0" w:space="0" w:color="auto"/>
        <w:right w:val="none" w:sz="0" w:space="0" w:color="auto"/>
      </w:divBdr>
    </w:div>
    <w:div w:id="675420156">
      <w:bodyDiv w:val="1"/>
      <w:marLeft w:val="0"/>
      <w:marRight w:val="0"/>
      <w:marTop w:val="0"/>
      <w:marBottom w:val="0"/>
      <w:divBdr>
        <w:top w:val="none" w:sz="0" w:space="0" w:color="auto"/>
        <w:left w:val="none" w:sz="0" w:space="0" w:color="auto"/>
        <w:bottom w:val="none" w:sz="0" w:space="0" w:color="auto"/>
        <w:right w:val="none" w:sz="0" w:space="0" w:color="auto"/>
      </w:divBdr>
    </w:div>
    <w:div w:id="729887435">
      <w:bodyDiv w:val="1"/>
      <w:marLeft w:val="0"/>
      <w:marRight w:val="0"/>
      <w:marTop w:val="0"/>
      <w:marBottom w:val="0"/>
      <w:divBdr>
        <w:top w:val="none" w:sz="0" w:space="0" w:color="auto"/>
        <w:left w:val="none" w:sz="0" w:space="0" w:color="auto"/>
        <w:bottom w:val="none" w:sz="0" w:space="0" w:color="auto"/>
        <w:right w:val="none" w:sz="0" w:space="0" w:color="auto"/>
      </w:divBdr>
    </w:div>
    <w:div w:id="984512087">
      <w:bodyDiv w:val="1"/>
      <w:marLeft w:val="0"/>
      <w:marRight w:val="0"/>
      <w:marTop w:val="0"/>
      <w:marBottom w:val="0"/>
      <w:divBdr>
        <w:top w:val="none" w:sz="0" w:space="0" w:color="auto"/>
        <w:left w:val="none" w:sz="0" w:space="0" w:color="auto"/>
        <w:bottom w:val="none" w:sz="0" w:space="0" w:color="auto"/>
        <w:right w:val="none" w:sz="0" w:space="0" w:color="auto"/>
      </w:divBdr>
    </w:div>
    <w:div w:id="998965726">
      <w:bodyDiv w:val="1"/>
      <w:marLeft w:val="0"/>
      <w:marRight w:val="0"/>
      <w:marTop w:val="0"/>
      <w:marBottom w:val="0"/>
      <w:divBdr>
        <w:top w:val="none" w:sz="0" w:space="0" w:color="auto"/>
        <w:left w:val="none" w:sz="0" w:space="0" w:color="auto"/>
        <w:bottom w:val="none" w:sz="0" w:space="0" w:color="auto"/>
        <w:right w:val="none" w:sz="0" w:space="0" w:color="auto"/>
      </w:divBdr>
    </w:div>
    <w:div w:id="1047530387">
      <w:bodyDiv w:val="1"/>
      <w:marLeft w:val="0"/>
      <w:marRight w:val="0"/>
      <w:marTop w:val="0"/>
      <w:marBottom w:val="0"/>
      <w:divBdr>
        <w:top w:val="none" w:sz="0" w:space="0" w:color="auto"/>
        <w:left w:val="none" w:sz="0" w:space="0" w:color="auto"/>
        <w:bottom w:val="none" w:sz="0" w:space="0" w:color="auto"/>
        <w:right w:val="none" w:sz="0" w:space="0" w:color="auto"/>
      </w:divBdr>
    </w:div>
    <w:div w:id="1165245379">
      <w:bodyDiv w:val="1"/>
      <w:marLeft w:val="0"/>
      <w:marRight w:val="0"/>
      <w:marTop w:val="0"/>
      <w:marBottom w:val="0"/>
      <w:divBdr>
        <w:top w:val="none" w:sz="0" w:space="0" w:color="auto"/>
        <w:left w:val="none" w:sz="0" w:space="0" w:color="auto"/>
        <w:bottom w:val="none" w:sz="0" w:space="0" w:color="auto"/>
        <w:right w:val="none" w:sz="0" w:space="0" w:color="auto"/>
      </w:divBdr>
    </w:div>
    <w:div w:id="1305965448">
      <w:bodyDiv w:val="1"/>
      <w:marLeft w:val="0"/>
      <w:marRight w:val="0"/>
      <w:marTop w:val="0"/>
      <w:marBottom w:val="0"/>
      <w:divBdr>
        <w:top w:val="none" w:sz="0" w:space="0" w:color="auto"/>
        <w:left w:val="none" w:sz="0" w:space="0" w:color="auto"/>
        <w:bottom w:val="none" w:sz="0" w:space="0" w:color="auto"/>
        <w:right w:val="none" w:sz="0" w:space="0" w:color="auto"/>
      </w:divBdr>
    </w:div>
    <w:div w:id="1313683058">
      <w:bodyDiv w:val="1"/>
      <w:marLeft w:val="0"/>
      <w:marRight w:val="0"/>
      <w:marTop w:val="0"/>
      <w:marBottom w:val="0"/>
      <w:divBdr>
        <w:top w:val="none" w:sz="0" w:space="0" w:color="auto"/>
        <w:left w:val="none" w:sz="0" w:space="0" w:color="auto"/>
        <w:bottom w:val="none" w:sz="0" w:space="0" w:color="auto"/>
        <w:right w:val="none" w:sz="0" w:space="0" w:color="auto"/>
      </w:divBdr>
    </w:div>
    <w:div w:id="1464499511">
      <w:bodyDiv w:val="1"/>
      <w:marLeft w:val="0"/>
      <w:marRight w:val="0"/>
      <w:marTop w:val="0"/>
      <w:marBottom w:val="0"/>
      <w:divBdr>
        <w:top w:val="none" w:sz="0" w:space="0" w:color="auto"/>
        <w:left w:val="none" w:sz="0" w:space="0" w:color="auto"/>
        <w:bottom w:val="none" w:sz="0" w:space="0" w:color="auto"/>
        <w:right w:val="none" w:sz="0" w:space="0" w:color="auto"/>
      </w:divBdr>
    </w:div>
    <w:div w:id="1502550563">
      <w:bodyDiv w:val="1"/>
      <w:marLeft w:val="0"/>
      <w:marRight w:val="0"/>
      <w:marTop w:val="0"/>
      <w:marBottom w:val="0"/>
      <w:divBdr>
        <w:top w:val="none" w:sz="0" w:space="0" w:color="auto"/>
        <w:left w:val="none" w:sz="0" w:space="0" w:color="auto"/>
        <w:bottom w:val="none" w:sz="0" w:space="0" w:color="auto"/>
        <w:right w:val="none" w:sz="0" w:space="0" w:color="auto"/>
      </w:divBdr>
    </w:div>
    <w:div w:id="1542788120">
      <w:bodyDiv w:val="1"/>
      <w:marLeft w:val="0"/>
      <w:marRight w:val="0"/>
      <w:marTop w:val="0"/>
      <w:marBottom w:val="0"/>
      <w:divBdr>
        <w:top w:val="none" w:sz="0" w:space="0" w:color="auto"/>
        <w:left w:val="none" w:sz="0" w:space="0" w:color="auto"/>
        <w:bottom w:val="none" w:sz="0" w:space="0" w:color="auto"/>
        <w:right w:val="none" w:sz="0" w:space="0" w:color="auto"/>
      </w:divBdr>
    </w:div>
    <w:div w:id="1594582324">
      <w:bodyDiv w:val="1"/>
      <w:marLeft w:val="0"/>
      <w:marRight w:val="0"/>
      <w:marTop w:val="0"/>
      <w:marBottom w:val="0"/>
      <w:divBdr>
        <w:top w:val="none" w:sz="0" w:space="0" w:color="auto"/>
        <w:left w:val="none" w:sz="0" w:space="0" w:color="auto"/>
        <w:bottom w:val="none" w:sz="0" w:space="0" w:color="auto"/>
        <w:right w:val="none" w:sz="0" w:space="0" w:color="auto"/>
      </w:divBdr>
    </w:div>
    <w:div w:id="1601831687">
      <w:bodyDiv w:val="1"/>
      <w:marLeft w:val="0"/>
      <w:marRight w:val="0"/>
      <w:marTop w:val="0"/>
      <w:marBottom w:val="0"/>
      <w:divBdr>
        <w:top w:val="none" w:sz="0" w:space="0" w:color="auto"/>
        <w:left w:val="none" w:sz="0" w:space="0" w:color="auto"/>
        <w:bottom w:val="none" w:sz="0" w:space="0" w:color="auto"/>
        <w:right w:val="none" w:sz="0" w:space="0" w:color="auto"/>
      </w:divBdr>
    </w:div>
    <w:div w:id="1638343153">
      <w:bodyDiv w:val="1"/>
      <w:marLeft w:val="0"/>
      <w:marRight w:val="0"/>
      <w:marTop w:val="0"/>
      <w:marBottom w:val="0"/>
      <w:divBdr>
        <w:top w:val="none" w:sz="0" w:space="0" w:color="auto"/>
        <w:left w:val="none" w:sz="0" w:space="0" w:color="auto"/>
        <w:bottom w:val="none" w:sz="0" w:space="0" w:color="auto"/>
        <w:right w:val="none" w:sz="0" w:space="0" w:color="auto"/>
      </w:divBdr>
    </w:div>
    <w:div w:id="1652904224">
      <w:bodyDiv w:val="1"/>
      <w:marLeft w:val="0"/>
      <w:marRight w:val="0"/>
      <w:marTop w:val="0"/>
      <w:marBottom w:val="0"/>
      <w:divBdr>
        <w:top w:val="none" w:sz="0" w:space="0" w:color="auto"/>
        <w:left w:val="none" w:sz="0" w:space="0" w:color="auto"/>
        <w:bottom w:val="none" w:sz="0" w:space="0" w:color="auto"/>
        <w:right w:val="none" w:sz="0" w:space="0" w:color="auto"/>
      </w:divBdr>
    </w:div>
    <w:div w:id="1702507362">
      <w:bodyDiv w:val="1"/>
      <w:marLeft w:val="0"/>
      <w:marRight w:val="0"/>
      <w:marTop w:val="0"/>
      <w:marBottom w:val="0"/>
      <w:divBdr>
        <w:top w:val="none" w:sz="0" w:space="0" w:color="auto"/>
        <w:left w:val="none" w:sz="0" w:space="0" w:color="auto"/>
        <w:bottom w:val="none" w:sz="0" w:space="0" w:color="auto"/>
        <w:right w:val="none" w:sz="0" w:space="0" w:color="auto"/>
      </w:divBdr>
    </w:div>
    <w:div w:id="1782605436">
      <w:bodyDiv w:val="1"/>
      <w:marLeft w:val="0"/>
      <w:marRight w:val="0"/>
      <w:marTop w:val="0"/>
      <w:marBottom w:val="0"/>
      <w:divBdr>
        <w:top w:val="none" w:sz="0" w:space="0" w:color="auto"/>
        <w:left w:val="none" w:sz="0" w:space="0" w:color="auto"/>
        <w:bottom w:val="none" w:sz="0" w:space="0" w:color="auto"/>
        <w:right w:val="none" w:sz="0" w:space="0" w:color="auto"/>
      </w:divBdr>
    </w:div>
    <w:div w:id="1837569850">
      <w:bodyDiv w:val="1"/>
      <w:marLeft w:val="0"/>
      <w:marRight w:val="0"/>
      <w:marTop w:val="0"/>
      <w:marBottom w:val="0"/>
      <w:divBdr>
        <w:top w:val="none" w:sz="0" w:space="0" w:color="auto"/>
        <w:left w:val="none" w:sz="0" w:space="0" w:color="auto"/>
        <w:bottom w:val="none" w:sz="0" w:space="0" w:color="auto"/>
        <w:right w:val="none" w:sz="0" w:space="0" w:color="auto"/>
      </w:divBdr>
    </w:div>
    <w:div w:id="1840922961">
      <w:bodyDiv w:val="1"/>
      <w:marLeft w:val="0"/>
      <w:marRight w:val="0"/>
      <w:marTop w:val="0"/>
      <w:marBottom w:val="0"/>
      <w:divBdr>
        <w:top w:val="none" w:sz="0" w:space="0" w:color="auto"/>
        <w:left w:val="none" w:sz="0" w:space="0" w:color="auto"/>
        <w:bottom w:val="none" w:sz="0" w:space="0" w:color="auto"/>
        <w:right w:val="none" w:sz="0" w:space="0" w:color="auto"/>
      </w:divBdr>
    </w:div>
    <w:div w:id="1850019678">
      <w:bodyDiv w:val="1"/>
      <w:marLeft w:val="0"/>
      <w:marRight w:val="0"/>
      <w:marTop w:val="0"/>
      <w:marBottom w:val="0"/>
      <w:divBdr>
        <w:top w:val="none" w:sz="0" w:space="0" w:color="auto"/>
        <w:left w:val="none" w:sz="0" w:space="0" w:color="auto"/>
        <w:bottom w:val="none" w:sz="0" w:space="0" w:color="auto"/>
        <w:right w:val="none" w:sz="0" w:space="0" w:color="auto"/>
      </w:divBdr>
    </w:div>
    <w:div w:id="1903637321">
      <w:bodyDiv w:val="1"/>
      <w:marLeft w:val="0"/>
      <w:marRight w:val="0"/>
      <w:marTop w:val="0"/>
      <w:marBottom w:val="0"/>
      <w:divBdr>
        <w:top w:val="none" w:sz="0" w:space="0" w:color="auto"/>
        <w:left w:val="none" w:sz="0" w:space="0" w:color="auto"/>
        <w:bottom w:val="none" w:sz="0" w:space="0" w:color="auto"/>
        <w:right w:val="none" w:sz="0" w:space="0" w:color="auto"/>
      </w:divBdr>
    </w:div>
    <w:div w:id="1925334789">
      <w:bodyDiv w:val="1"/>
      <w:marLeft w:val="0"/>
      <w:marRight w:val="0"/>
      <w:marTop w:val="0"/>
      <w:marBottom w:val="0"/>
      <w:divBdr>
        <w:top w:val="none" w:sz="0" w:space="0" w:color="auto"/>
        <w:left w:val="none" w:sz="0" w:space="0" w:color="auto"/>
        <w:bottom w:val="none" w:sz="0" w:space="0" w:color="auto"/>
        <w:right w:val="none" w:sz="0" w:space="0" w:color="auto"/>
      </w:divBdr>
    </w:div>
    <w:div w:id="1960262194">
      <w:bodyDiv w:val="1"/>
      <w:marLeft w:val="0"/>
      <w:marRight w:val="0"/>
      <w:marTop w:val="0"/>
      <w:marBottom w:val="0"/>
      <w:divBdr>
        <w:top w:val="none" w:sz="0" w:space="0" w:color="auto"/>
        <w:left w:val="none" w:sz="0" w:space="0" w:color="auto"/>
        <w:bottom w:val="none" w:sz="0" w:space="0" w:color="auto"/>
        <w:right w:val="none" w:sz="0" w:space="0" w:color="auto"/>
      </w:divBdr>
    </w:div>
    <w:div w:id="1962416769">
      <w:bodyDiv w:val="1"/>
      <w:marLeft w:val="0"/>
      <w:marRight w:val="0"/>
      <w:marTop w:val="0"/>
      <w:marBottom w:val="0"/>
      <w:divBdr>
        <w:top w:val="none" w:sz="0" w:space="0" w:color="auto"/>
        <w:left w:val="none" w:sz="0" w:space="0" w:color="auto"/>
        <w:bottom w:val="none" w:sz="0" w:space="0" w:color="auto"/>
        <w:right w:val="none" w:sz="0" w:space="0" w:color="auto"/>
      </w:divBdr>
    </w:div>
    <w:div w:id="1973319325">
      <w:bodyDiv w:val="1"/>
      <w:marLeft w:val="0"/>
      <w:marRight w:val="0"/>
      <w:marTop w:val="0"/>
      <w:marBottom w:val="0"/>
      <w:divBdr>
        <w:top w:val="none" w:sz="0" w:space="0" w:color="auto"/>
        <w:left w:val="none" w:sz="0" w:space="0" w:color="auto"/>
        <w:bottom w:val="none" w:sz="0" w:space="0" w:color="auto"/>
        <w:right w:val="none" w:sz="0" w:space="0" w:color="auto"/>
      </w:divBdr>
    </w:div>
    <w:div w:id="20596697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footer" Target="footer2.xml"/><Relationship Id="rId26" Type="http://schemas.openxmlformats.org/officeDocument/2006/relationships/image" Target="media/image5.png"/><Relationship Id="rId39"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chart" Target="charts/chart4.xml"/><Relationship Id="rId42" Type="http://schemas.openxmlformats.org/officeDocument/2006/relationships/chart" Target="charts/chart8.xml"/><Relationship Id="rId47" Type="http://schemas.openxmlformats.org/officeDocument/2006/relationships/chart" Target="charts/chart11.xml"/><Relationship Id="rId50" Type="http://schemas.openxmlformats.org/officeDocument/2006/relationships/chart" Target="charts/chart12.xml"/><Relationship Id="rId55" Type="http://schemas.openxmlformats.org/officeDocument/2006/relationships/image" Target="media/image16.png"/><Relationship Id="rId63" Type="http://schemas.openxmlformats.org/officeDocument/2006/relationships/chart" Target="charts/chart23.xml"/><Relationship Id="rId68" Type="http://schemas.openxmlformats.org/officeDocument/2006/relationships/image" Target="media/image17.png"/><Relationship Id="rId76" Type="http://schemas.openxmlformats.org/officeDocument/2006/relationships/chart" Target="charts/chart33.xml"/><Relationship Id="rId84" Type="http://schemas.openxmlformats.org/officeDocument/2006/relationships/image" Target="media/image23.png"/><Relationship Id="rId89"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chart" Target="charts/chart28.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chart" Target="charts/chart2.xml"/><Relationship Id="rId11" Type="http://schemas.openxmlformats.org/officeDocument/2006/relationships/image" Target="media/image1.png"/><Relationship Id="rId24" Type="http://schemas.openxmlformats.org/officeDocument/2006/relationships/footer" Target="footer4.xml"/><Relationship Id="rId32" Type="http://schemas.openxmlformats.org/officeDocument/2006/relationships/image" Target="media/image9.png"/><Relationship Id="rId37" Type="http://schemas.openxmlformats.org/officeDocument/2006/relationships/image" Target="media/image10.emf"/><Relationship Id="rId40" Type="http://schemas.openxmlformats.org/officeDocument/2006/relationships/package" Target="embeddings/Microsoft_Excel_Worksheet2.xlsx"/><Relationship Id="rId45" Type="http://schemas.openxmlformats.org/officeDocument/2006/relationships/chart" Target="charts/chart10.xml"/><Relationship Id="rId53" Type="http://schemas.openxmlformats.org/officeDocument/2006/relationships/chart" Target="charts/chart15.xml"/><Relationship Id="rId58" Type="http://schemas.openxmlformats.org/officeDocument/2006/relationships/chart" Target="charts/chart18.xml"/><Relationship Id="rId66" Type="http://schemas.openxmlformats.org/officeDocument/2006/relationships/chart" Target="charts/chart26.xml"/><Relationship Id="rId74" Type="http://schemas.openxmlformats.org/officeDocument/2006/relationships/chart" Target="charts/chart31.xml"/><Relationship Id="rId79" Type="http://schemas.openxmlformats.org/officeDocument/2006/relationships/chart" Target="charts/chart34.xml"/><Relationship Id="rId87" Type="http://schemas.openxmlformats.org/officeDocument/2006/relationships/header" Target="header10.xml"/><Relationship Id="rId5" Type="http://schemas.openxmlformats.org/officeDocument/2006/relationships/numbering" Target="numbering.xml"/><Relationship Id="rId61" Type="http://schemas.openxmlformats.org/officeDocument/2006/relationships/chart" Target="charts/chart21.xml"/><Relationship Id="rId82" Type="http://schemas.openxmlformats.org/officeDocument/2006/relationships/image" Target="media/image21.png"/><Relationship Id="rId19"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eader" Target="header4.xml"/><Relationship Id="rId27" Type="http://schemas.openxmlformats.org/officeDocument/2006/relationships/chart" Target="charts/chart1.xml"/><Relationship Id="rId30" Type="http://schemas.openxmlformats.org/officeDocument/2006/relationships/image" Target="media/image7.emf"/><Relationship Id="rId35" Type="http://schemas.openxmlformats.org/officeDocument/2006/relationships/chart" Target="charts/chart5.xml"/><Relationship Id="rId43" Type="http://schemas.openxmlformats.org/officeDocument/2006/relationships/image" Target="media/image12.png"/><Relationship Id="rId48" Type="http://schemas.openxmlformats.org/officeDocument/2006/relationships/image" Target="media/image14.png"/><Relationship Id="rId56" Type="http://schemas.openxmlformats.org/officeDocument/2006/relationships/chart" Target="charts/chart16.xml"/><Relationship Id="rId64" Type="http://schemas.openxmlformats.org/officeDocument/2006/relationships/chart" Target="charts/chart24.xml"/><Relationship Id="rId69" Type="http://schemas.openxmlformats.org/officeDocument/2006/relationships/image" Target="media/image18.png"/><Relationship Id="rId77" Type="http://schemas.openxmlformats.org/officeDocument/2006/relationships/header" Target="header8.xml"/><Relationship Id="rId8" Type="http://schemas.openxmlformats.org/officeDocument/2006/relationships/webSettings" Target="webSettings.xml"/><Relationship Id="rId51" Type="http://schemas.openxmlformats.org/officeDocument/2006/relationships/chart" Target="charts/chart13.xml"/><Relationship Id="rId72" Type="http://schemas.openxmlformats.org/officeDocument/2006/relationships/chart" Target="charts/chart29.xml"/><Relationship Id="rId80" Type="http://schemas.openxmlformats.org/officeDocument/2006/relationships/image" Target="media/image19.png"/><Relationship Id="rId85" Type="http://schemas.openxmlformats.org/officeDocument/2006/relationships/image" Target="media/image24.png"/><Relationship Id="rId3" Type="http://schemas.openxmlformats.org/officeDocument/2006/relationships/customXml" Target="../customXml/item2.xml"/><Relationship Id="rId12" Type="http://schemas.microsoft.com/office/2007/relationships/hdphoto" Target="media/hdphoto1.wdp"/><Relationship Id="rId17" Type="http://schemas.openxmlformats.org/officeDocument/2006/relationships/footer" Target="footer1.xml"/><Relationship Id="rId25" Type="http://schemas.openxmlformats.org/officeDocument/2006/relationships/footer" Target="footer5.xml"/><Relationship Id="rId33" Type="http://schemas.openxmlformats.org/officeDocument/2006/relationships/chart" Target="charts/chart3.xml"/><Relationship Id="rId38" Type="http://schemas.openxmlformats.org/officeDocument/2006/relationships/package" Target="embeddings/Microsoft_Excel_Worksheet1.xlsx"/><Relationship Id="rId46" Type="http://schemas.openxmlformats.org/officeDocument/2006/relationships/image" Target="media/image13.png"/><Relationship Id="rId59" Type="http://schemas.openxmlformats.org/officeDocument/2006/relationships/chart" Target="charts/chart19.xml"/><Relationship Id="rId67" Type="http://schemas.openxmlformats.org/officeDocument/2006/relationships/chart" Target="charts/chart27.xml"/><Relationship Id="rId20" Type="http://schemas.openxmlformats.org/officeDocument/2006/relationships/footer" Target="footer3.xml"/><Relationship Id="rId41" Type="http://schemas.openxmlformats.org/officeDocument/2006/relationships/chart" Target="charts/chart7.xml"/><Relationship Id="rId54" Type="http://schemas.openxmlformats.org/officeDocument/2006/relationships/image" Target="media/image15.png"/><Relationship Id="rId62" Type="http://schemas.openxmlformats.org/officeDocument/2006/relationships/chart" Target="charts/chart22.xml"/><Relationship Id="rId70" Type="http://schemas.openxmlformats.org/officeDocument/2006/relationships/header" Target="header7.xml"/><Relationship Id="rId75" Type="http://schemas.openxmlformats.org/officeDocument/2006/relationships/chart" Target="charts/chart32.xml"/><Relationship Id="rId83" Type="http://schemas.openxmlformats.org/officeDocument/2006/relationships/image" Target="media/image22.png"/><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header" Target="header5.xml"/><Relationship Id="rId28" Type="http://schemas.openxmlformats.org/officeDocument/2006/relationships/image" Target="media/image6.png"/><Relationship Id="rId36" Type="http://schemas.openxmlformats.org/officeDocument/2006/relationships/chart" Target="charts/chart6.xml"/><Relationship Id="rId49" Type="http://schemas.openxmlformats.org/officeDocument/2006/relationships/header" Target="header6.xml"/><Relationship Id="rId57" Type="http://schemas.openxmlformats.org/officeDocument/2006/relationships/chart" Target="charts/chart17.xml"/><Relationship Id="rId10" Type="http://schemas.openxmlformats.org/officeDocument/2006/relationships/endnotes" Target="endnotes.xml"/><Relationship Id="rId31" Type="http://schemas.openxmlformats.org/officeDocument/2006/relationships/image" Target="media/image8.png"/><Relationship Id="rId44" Type="http://schemas.openxmlformats.org/officeDocument/2006/relationships/chart" Target="charts/chart9.xml"/><Relationship Id="rId52" Type="http://schemas.openxmlformats.org/officeDocument/2006/relationships/chart" Target="charts/chart14.xml"/><Relationship Id="rId60" Type="http://schemas.openxmlformats.org/officeDocument/2006/relationships/chart" Target="charts/chart20.xml"/><Relationship Id="rId65" Type="http://schemas.openxmlformats.org/officeDocument/2006/relationships/chart" Target="charts/chart25.xml"/><Relationship Id="rId73" Type="http://schemas.openxmlformats.org/officeDocument/2006/relationships/chart" Target="charts/chart30.xml"/><Relationship Id="rId78" Type="http://schemas.openxmlformats.org/officeDocument/2006/relationships/header" Target="header9.xml"/><Relationship Id="rId81" Type="http://schemas.openxmlformats.org/officeDocument/2006/relationships/image" Target="media/image20.png"/><Relationship Id="rId86" Type="http://schemas.openxmlformats.org/officeDocument/2006/relationships/image" Target="media/image25.png"/></Relationships>
</file>

<file path=word/charts/_rels/chart1.xml.rels><?xml version="1.0" encoding="UTF-8" standalone="yes"?>
<Relationships xmlns="http://schemas.openxmlformats.org/package/2006/relationships"><Relationship Id="rId2" Type="http://schemas.openxmlformats.org/officeDocument/2006/relationships/oleObject" Target="Macintosh%20HD:Users:chenjeraisisimayi:Documents:Unsorted%2007%20July%202014:MMR%20Data.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Macintosh%20HD:Users:chenjeraisisimayi:Documents:Unsorted%2007%20June:SSR%20NCDs_PER.xlsx" TargetMode="External"/><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oleObject" Target="Macintosh%20HD:Users:chenjeraisisimayi:Desktop:SSR%20NCDs%20PER.xlsx" TargetMode="External"/><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C:\Users\WB269538\Documents\aZimbabwe\PER\Admin%20data\central%20govt%20spending%20all%20sources.%20Ha%20Oct%207.xlsx" TargetMode="External"/><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oleObject" Target="file:///E:\Research_Ongoing\WB_Consult\2014_Zimbabwe\Data\Ha\from%20MOF%20-%20Budget%20Support%20to%20Health%20_%202009-2013-Ha%20EXP%20only+SG.xlsx" TargetMode="External"/><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1" Type="http://schemas.openxmlformats.org/officeDocument/2006/relationships/oleObject" Target="file:///E:\Research_Ongoing\WB_Consult\2014_Zimbabwe\Data\Ha\WorkFile_MOFExp2009-2013_Ha+SG_140528.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E:\Research_Ongoing\WB_Consult\2014_Zimbabwe\PER_FinalRound\AddContributions\WorkFile_MOFExp2009-2013_Ha+SG_140528.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E:\Research_Ongoing\WB_Consult\2014_Zimbabwe\Data\Ha\WorkFile_MOFExp2009-2013_Ha+SG_140528.xlsx" TargetMode="External"/></Relationships>
</file>

<file path=word/charts/_rels/chart17.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C:\Users\WB269538\Documents\aZimbabwe\PER\facility%20survey%20data%20analysis\Health%20Facility%20Tables%20fb%2010082014_Ha%20work.xlsx" TargetMode="External"/><Relationship Id="rId1" Type="http://schemas.openxmlformats.org/officeDocument/2006/relationships/themeOverride" Target="../theme/themeOverride13.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C:\Users\WB269538\Documents\aZimbabwe\PER\facility%20survey%20data%20analysis\Health%20Facility%20Tables%20fb%2010082014_Ha%20work.xlsx" TargetMode="External"/><Relationship Id="rId1" Type="http://schemas.openxmlformats.org/officeDocument/2006/relationships/themeOverride" Target="../theme/themeOverride14.xml"/></Relationships>
</file>

<file path=word/charts/_rels/chart19.xml.rels><?xml version="1.0" encoding="UTF-8" standalone="yes"?>
<Relationships xmlns="http://schemas.openxmlformats.org/package/2006/relationships"><Relationship Id="rId1" Type="http://schemas.openxmlformats.org/officeDocument/2006/relationships/oleObject" Target="file:///E:\Research_Ongoing\WB_Consult\2014_Zimbabwe\PER_FinalRound\FinalVersion\Revision2\from%20MOF%20-%20Budget%20Support%20to%20Health%20_%202009-2013-Ha%20EXP%20only.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Macintosh%20HD:Users:chenjeraisisimayi:Documents:SSR%20NCDs_PER%20v2.0.xlsx"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oleObject" Target="file:///E:\Research_Ongoing\WB_Consult\2014_Zimbabwe\PER_FinalRound\AddContributions\attach2.%20from%20NAC%20-Ha%20work%20-%20Summarised%20Income%20Statement%202009-13%20natf%20only%20MoF%20Request.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E:\Research_Ongoing\WB_Consult\2014_Zimbabwe\PER_FinalRound\AddContributions\attach2.%20from%20NAC%20-Ha%20work%20-%20Summarised%20Income%20Statement%202009-13%20natf%20only%20MoF%20Request.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Research_Ongoing\WB_Consult\2014_Zimbabwe\PER_FinalRound\FinalVersion\Revision2\ODAHealth_SGinput.xlsx" TargetMode="External"/></Relationships>
</file>

<file path=word/charts/_rels/chart23.xml.rels><?xml version="1.0" encoding="UTF-8" standalone="yes"?>
<Relationships xmlns="http://schemas.openxmlformats.org/package/2006/relationships"><Relationship Id="rId2" Type="http://schemas.openxmlformats.org/officeDocument/2006/relationships/oleObject" Target="file:///C:\Users\WB269538\Documents\Zimbabwe\PER\Book1.xlsx" TargetMode="External"/><Relationship Id="rId1" Type="http://schemas.openxmlformats.org/officeDocument/2006/relationships/themeOverride" Target="../theme/themeOverride15.xml"/></Relationships>
</file>

<file path=word/charts/_rels/chart24.xml.rels><?xml version="1.0" encoding="UTF-8" standalone="yes"?>
<Relationships xmlns="http://schemas.openxmlformats.org/package/2006/relationships"><Relationship Id="rId1" Type="http://schemas.openxmlformats.org/officeDocument/2006/relationships/oleObject" Target="file:///E:\Research_Ongoing\WB_Consult\2014_Zimbabwe\PER_FinalRound\FinalVersion\Revision2\ODAHealth_SGinput.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Macintosh%20HD:Users:jedfriedman:Downloads:Zim_TrendGraphs_21Sep2014.xls" TargetMode="External"/></Relationships>
</file>

<file path=word/charts/_rels/chart26.xml.rels><?xml version="1.0" encoding="UTF-8" standalone="yes"?>
<Relationships xmlns="http://schemas.openxmlformats.org/package/2006/relationships"><Relationship Id="rId2" Type="http://schemas.openxmlformats.org/officeDocument/2006/relationships/oleObject" Target="Macintosh%20HD:Users:chenjeraisisimayi:Documents:SSR%20NCDs_PER%20v2.0.xlsx" TargetMode="External"/><Relationship Id="rId1" Type="http://schemas.openxmlformats.org/officeDocument/2006/relationships/themeOverride" Target="../theme/themeOverride16.xml"/></Relationships>
</file>

<file path=word/charts/_rels/chart27.xml.rels><?xml version="1.0" encoding="UTF-8" standalone="yes"?>
<Relationships xmlns="http://schemas.openxmlformats.org/package/2006/relationships"><Relationship Id="rId2" Type="http://schemas.openxmlformats.org/officeDocument/2006/relationships/oleObject" Target="Macintosh%20HD:Users:chenjeraisisimayi:Documents:SSR%20NCDs_PER%20v2.0.xlsx" TargetMode="External"/><Relationship Id="rId1" Type="http://schemas.openxmlformats.org/officeDocument/2006/relationships/themeOverride" Target="../theme/themeOverride1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18.xml"/></Relationships>
</file>

<file path=word/charts/_rels/chart29.xml.rels><?xml version="1.0" encoding="UTF-8" standalone="yes"?>
<Relationships xmlns="http://schemas.openxmlformats.org/package/2006/relationships"><Relationship Id="rId2" Type="http://schemas.openxmlformats.org/officeDocument/2006/relationships/oleObject" Target="file:///C:\Users\wb416210\Documents\WORK\Data\Fiscal%20data\Outturn%202013%20-%20Basic%20Services%20Data%20and%20Graphs.xlsx" TargetMode="External"/><Relationship Id="rId1" Type="http://schemas.openxmlformats.org/officeDocument/2006/relationships/themeOverride" Target="../theme/themeOverride19.xml"/></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Users:chenjeraisisimayi:Desktop:Utilization%20Rates.xlsx" TargetMode="External"/></Relationships>
</file>

<file path=word/charts/_rels/chart30.xml.rels><?xml version="1.0" encoding="UTF-8" standalone="yes"?>
<Relationships xmlns="http://schemas.openxmlformats.org/package/2006/relationships"><Relationship Id="rId2" Type="http://schemas.openxmlformats.org/officeDocument/2006/relationships/oleObject" Target="file:///C:\Users\wb416210\Documents\WORK\Data\Fiscal%20data\Outturn%202013%20-%20Basic%20Services%20Data%20and%20Graphs.xlsx" TargetMode="External"/><Relationship Id="rId1" Type="http://schemas.openxmlformats.org/officeDocument/2006/relationships/themeOverride" Target="../theme/themeOverride20.xml"/></Relationships>
</file>

<file path=word/charts/_rels/chart31.xml.rels><?xml version="1.0" encoding="UTF-8" standalone="yes"?>
<Relationships xmlns="http://schemas.openxmlformats.org/package/2006/relationships"><Relationship Id="rId2" Type="http://schemas.openxmlformats.org/officeDocument/2006/relationships/oleObject" Target="file:///C:\Users\wb416210\Documents\WORK\Health\Revenue%20to%20GDP-%20selected%20countries.xlsx" TargetMode="External"/><Relationship Id="rId1" Type="http://schemas.openxmlformats.org/officeDocument/2006/relationships/themeOverride" Target="../theme/themeOverride21.xml"/></Relationships>
</file>

<file path=word/charts/_rels/chart32.xml.rels><?xml version="1.0" encoding="UTF-8" standalone="yes"?>
<Relationships xmlns="http://schemas.openxmlformats.org/package/2006/relationships"><Relationship Id="rId2" Type="http://schemas.openxmlformats.org/officeDocument/2006/relationships/oleObject" Target="file:///C:\Users\wb416210\Documents\WORK\Health\Revenue%20to%20GDP-%20selected%20countries.xlsx" TargetMode="External"/><Relationship Id="rId1" Type="http://schemas.openxmlformats.org/officeDocument/2006/relationships/themeOverride" Target="../theme/themeOverride22.xml"/></Relationships>
</file>

<file path=word/charts/_rels/chart33.xml.rels><?xml version="1.0" encoding="UTF-8" standalone="yes"?>
<Relationships xmlns="http://schemas.openxmlformats.org/package/2006/relationships"><Relationship Id="rId2" Type="http://schemas.openxmlformats.org/officeDocument/2006/relationships/oleObject" Target="file:///C:\Users\Shamu\Documents\shepherd\World%20Bank\September%202014\Aid%20Flows.xls" TargetMode="External"/><Relationship Id="rId1" Type="http://schemas.openxmlformats.org/officeDocument/2006/relationships/themeOverride" Target="../theme/themeOverride23.xml"/></Relationships>
</file>

<file path=word/charts/_rels/chart34.xml.rels><?xml version="1.0" encoding="UTF-8" standalone="yes"?>
<Relationships xmlns="http://schemas.openxmlformats.org/package/2006/relationships"><Relationship Id="rId1" Type="http://schemas.openxmlformats.org/officeDocument/2006/relationships/oleObject" Target="file:///E:\Research_Ongoing\WB_Consult\2014_Zimbabwe\PER_FinalRound\AddContributions\Utilization_SGadd.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E:\Research_Ongoing\WB_Consult\2014_Zimbabwe\PER_FinalRound\AddContributions\Utilization_SGadd.xlsx"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oleObject" Target="Classeur1" TargetMode="External"/><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WB269538\Documents\aZimbabwe\PER\Admin%20data\Ha%20additional%20graphs%20Oct%207.xlsx" TargetMode="External"/><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WB269538\Documents\aZimbabwe\PER\Admin%20data\Ha%20additional%20graphs%20Oct%207.xlsx" TargetMode="External"/><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WB269538\Documents\aZimbabwe\PER\Admin%20data\Ha%20additional%20graphs%20Oct%207.xlsx" TargetMode="External"/><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oleObject" Target="WINDOWS:SSR%20NCDs%20PER.xlsx" TargetMode="External"/><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SSA</c:v>
                </c:pt>
              </c:strCache>
            </c:strRef>
          </c:tx>
          <c:spPr>
            <a:ln>
              <a:solidFill>
                <a:schemeClr val="tx2">
                  <a:lumMod val="60000"/>
                  <a:lumOff val="40000"/>
                </a:schemeClr>
              </a:solidFill>
            </a:ln>
          </c:spPr>
          <c:marker>
            <c:symbol val="diamond"/>
            <c:size val="11"/>
            <c:spPr>
              <a:solidFill>
                <a:schemeClr val="tx2">
                  <a:lumMod val="60000"/>
                  <a:lumOff val="40000"/>
                </a:schemeClr>
              </a:solidFill>
              <a:ln>
                <a:solidFill>
                  <a:schemeClr val="accent1">
                    <a:lumMod val="50000"/>
                  </a:schemeClr>
                </a:solidFill>
              </a:ln>
            </c:spPr>
          </c:marker>
          <c:dLbls>
            <c:dLbl>
              <c:idx val="23"/>
              <c:layout/>
              <c:dLblPos val="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sz="600"/>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Sheet1!$A$2:$A$27</c:f>
              <c:numCache>
                <c:formatCode>General</c:formatCode>
                <c:ptCount val="26"/>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numCache>
            </c:numRef>
          </c:cat>
          <c:val>
            <c:numRef>
              <c:f>Sheet1!$B$2:$B$27</c:f>
              <c:numCache>
                <c:formatCode>General</c:formatCode>
                <c:ptCount val="26"/>
                <c:pt idx="0">
                  <c:v>869</c:v>
                </c:pt>
                <c:pt idx="5">
                  <c:v>849</c:v>
                </c:pt>
                <c:pt idx="10">
                  <c:v>795</c:v>
                </c:pt>
                <c:pt idx="15">
                  <c:v>710</c:v>
                </c:pt>
                <c:pt idx="18">
                  <c:v>645</c:v>
                </c:pt>
                <c:pt idx="20">
                  <c:v>500</c:v>
                </c:pt>
                <c:pt idx="23">
                  <c:v>510</c:v>
                </c:pt>
              </c:numCache>
            </c:numRef>
          </c:val>
          <c:smooth val="0"/>
        </c:ser>
        <c:ser>
          <c:idx val="1"/>
          <c:order val="1"/>
          <c:tx>
            <c:strRef>
              <c:f>Sheet1!$C$1</c:f>
              <c:strCache>
                <c:ptCount val="1"/>
                <c:pt idx="0">
                  <c:v>Zimbabwe</c:v>
                </c:pt>
              </c:strCache>
            </c:strRef>
          </c:tx>
          <c:spPr>
            <a:ln>
              <a:solidFill>
                <a:schemeClr val="accent6">
                  <a:lumMod val="75000"/>
                </a:schemeClr>
              </a:solidFill>
            </a:ln>
          </c:spPr>
          <c:marker>
            <c:spPr>
              <a:solidFill>
                <a:schemeClr val="accent2">
                  <a:lumMod val="60000"/>
                  <a:lumOff val="40000"/>
                </a:schemeClr>
              </a:solidFill>
              <a:ln>
                <a:solidFill>
                  <a:srgbClr val="FF0000"/>
                </a:solidFill>
              </a:ln>
            </c:spPr>
          </c:marker>
          <c:dLbls>
            <c:dLbl>
              <c:idx val="22"/>
              <c:dLblPos val="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600"/>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Sheet1!$A$2:$A$27</c:f>
              <c:numCache>
                <c:formatCode>General</c:formatCode>
                <c:ptCount val="26"/>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numCache>
            </c:numRef>
          </c:cat>
          <c:val>
            <c:numRef>
              <c:f>Sheet1!$C$2:$C$27</c:f>
              <c:numCache>
                <c:formatCode>General</c:formatCode>
                <c:ptCount val="26"/>
                <c:pt idx="0">
                  <c:v>390</c:v>
                </c:pt>
                <c:pt idx="5">
                  <c:v>450</c:v>
                </c:pt>
                <c:pt idx="10">
                  <c:v>670</c:v>
                </c:pt>
                <c:pt idx="15">
                  <c:v>830</c:v>
                </c:pt>
                <c:pt idx="18">
                  <c:v>790</c:v>
                </c:pt>
                <c:pt idx="20">
                  <c:v>960</c:v>
                </c:pt>
              </c:numCache>
            </c:numRef>
          </c:val>
          <c:smooth val="0"/>
        </c:ser>
        <c:ser>
          <c:idx val="2"/>
          <c:order val="2"/>
          <c:tx>
            <c:strRef>
              <c:f>Sheet1!$D$1</c:f>
              <c:strCache>
                <c:ptCount val="1"/>
                <c:pt idx="0">
                  <c:v>Zim - Global Health Estimate</c:v>
                </c:pt>
              </c:strCache>
            </c:strRef>
          </c:tx>
          <c:marker>
            <c:symbol val="circle"/>
            <c:size val="9"/>
            <c:spPr>
              <a:solidFill>
                <a:srgbClr val="FFFF00"/>
              </a:solidFill>
              <a:ln w="34925">
                <a:solidFill>
                  <a:srgbClr val="FF6600"/>
                </a:solidFill>
              </a:ln>
            </c:spPr>
          </c:marker>
          <c:dLbls>
            <c:spPr>
              <a:noFill/>
              <a:ln>
                <a:noFill/>
              </a:ln>
              <a:effectLst/>
            </c:spPr>
            <c:txPr>
              <a:bodyPr/>
              <a:lstStyle/>
              <a:p>
                <a:pPr>
                  <a:defRPr sz="6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Sheet1!$A$2:$A$27</c:f>
              <c:numCache>
                <c:formatCode>General</c:formatCode>
                <c:ptCount val="26"/>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numCache>
            </c:numRef>
          </c:cat>
          <c:val>
            <c:numRef>
              <c:f>Sheet1!$D$2:$D$27</c:f>
              <c:numCache>
                <c:formatCode>General</c:formatCode>
                <c:ptCount val="26"/>
                <c:pt idx="23">
                  <c:v>470</c:v>
                </c:pt>
              </c:numCache>
            </c:numRef>
          </c:val>
          <c:smooth val="0"/>
        </c:ser>
        <c:ser>
          <c:idx val="3"/>
          <c:order val="3"/>
          <c:tx>
            <c:strRef>
              <c:f>Sheet1!$F$1</c:f>
              <c:strCache>
                <c:ptCount val="1"/>
                <c:pt idx="0">
                  <c:v>Zim MDG Target</c:v>
                </c:pt>
              </c:strCache>
            </c:strRef>
          </c:tx>
          <c:dPt>
            <c:idx val="25"/>
            <c:marker>
              <c:symbol val="star"/>
              <c:size val="10"/>
              <c:spPr>
                <a:solidFill>
                  <a:schemeClr val="accent4">
                    <a:lumMod val="60000"/>
                    <a:lumOff val="40000"/>
                  </a:schemeClr>
                </a:solidFill>
                <a:ln w="25400">
                  <a:solidFill>
                    <a:schemeClr val="accent4">
                      <a:lumMod val="75000"/>
                    </a:schemeClr>
                  </a:solidFill>
                </a:ln>
              </c:spPr>
            </c:marker>
            <c:bubble3D val="0"/>
          </c:dPt>
          <c:dLbls>
            <c:spPr>
              <a:noFill/>
              <a:ln>
                <a:noFill/>
              </a:ln>
              <a:effectLst/>
            </c:spPr>
            <c:txPr>
              <a:bodyPr/>
              <a:lstStyle/>
              <a:p>
                <a:pPr>
                  <a:defRPr sz="6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Sheet1!$A$2:$A$27</c:f>
              <c:numCache>
                <c:formatCode>General</c:formatCode>
                <c:ptCount val="26"/>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numCache>
            </c:numRef>
          </c:cat>
          <c:val>
            <c:numRef>
              <c:f>Sheet1!$F$2:$F$27</c:f>
              <c:numCache>
                <c:formatCode>General</c:formatCode>
                <c:ptCount val="26"/>
                <c:pt idx="25">
                  <c:v>174</c:v>
                </c:pt>
              </c:numCache>
            </c:numRef>
          </c:val>
          <c:smooth val="0"/>
        </c:ser>
        <c:ser>
          <c:idx val="4"/>
          <c:order val="4"/>
          <c:tx>
            <c:v>Nat_Census</c:v>
          </c:tx>
          <c:marker>
            <c:symbol val="star"/>
            <c:size val="8"/>
            <c:spPr>
              <a:solidFill>
                <a:srgbClr val="0000FF"/>
              </a:solidFill>
            </c:spPr>
          </c:marker>
          <c:dLbls>
            <c:spPr>
              <a:noFill/>
              <a:ln>
                <a:noFill/>
              </a:ln>
              <a:effectLst/>
            </c:spPr>
            <c:txPr>
              <a:bodyPr/>
              <a:lstStyle/>
              <a:p>
                <a:pPr>
                  <a:defRPr sz="6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Sheet1!$A$2:$A$27</c:f>
              <c:numCache>
                <c:formatCode>General</c:formatCode>
                <c:ptCount val="26"/>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numCache>
            </c:numRef>
          </c:cat>
          <c:val>
            <c:numRef>
              <c:f>Sheet1!$E$2:$E$27</c:f>
              <c:numCache>
                <c:formatCode>General</c:formatCode>
                <c:ptCount val="26"/>
                <c:pt idx="22">
                  <c:v>525</c:v>
                </c:pt>
              </c:numCache>
            </c:numRef>
          </c:val>
          <c:smooth val="0"/>
        </c:ser>
        <c:ser>
          <c:idx val="5"/>
          <c:order val="5"/>
          <c:tx>
            <c:v>MICS</c:v>
          </c:tx>
          <c:spPr>
            <a:ln>
              <a:solidFill>
                <a:srgbClr val="008000"/>
              </a:solidFill>
            </a:ln>
          </c:spPr>
          <c:marker>
            <c:symbol val="circle"/>
            <c:size val="10"/>
            <c:spPr>
              <a:solidFill>
                <a:schemeClr val="accent3">
                  <a:lumMod val="60000"/>
                  <a:lumOff val="40000"/>
                </a:schemeClr>
              </a:solidFill>
              <a:ln w="28575">
                <a:solidFill>
                  <a:srgbClr val="008000"/>
                </a:solidFill>
              </a:ln>
            </c:spPr>
          </c:marker>
          <c:dLbls>
            <c:spPr>
              <a:noFill/>
              <a:ln>
                <a:noFill/>
              </a:ln>
              <a:effectLst/>
            </c:spPr>
            <c:txPr>
              <a:bodyPr/>
              <a:lstStyle/>
              <a:p>
                <a:pPr>
                  <a:defRPr sz="6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Sheet1!$A$2:$A$27</c:f>
              <c:numCache>
                <c:formatCode>General</c:formatCode>
                <c:ptCount val="26"/>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numCache>
            </c:numRef>
          </c:cat>
          <c:val>
            <c:numRef>
              <c:f>Sheet1!$G$2:$G$27</c:f>
              <c:numCache>
                <c:formatCode>General</c:formatCode>
                <c:ptCount val="26"/>
                <c:pt idx="24">
                  <c:v>614</c:v>
                </c:pt>
              </c:numCache>
            </c:numRef>
          </c:val>
          <c:smooth val="0"/>
        </c:ser>
        <c:dLbls>
          <c:showLegendKey val="0"/>
          <c:showVal val="1"/>
          <c:showCatName val="0"/>
          <c:showSerName val="0"/>
          <c:showPercent val="0"/>
          <c:showBubbleSize val="0"/>
        </c:dLbls>
        <c:marker val="1"/>
        <c:smooth val="0"/>
        <c:axId val="220819416"/>
        <c:axId val="332572376"/>
      </c:lineChart>
      <c:catAx>
        <c:axId val="220819416"/>
        <c:scaling>
          <c:orientation val="minMax"/>
        </c:scaling>
        <c:delete val="0"/>
        <c:axPos val="b"/>
        <c:numFmt formatCode="General" sourceLinked="1"/>
        <c:majorTickMark val="none"/>
        <c:minorTickMark val="none"/>
        <c:tickLblPos val="nextTo"/>
        <c:txPr>
          <a:bodyPr/>
          <a:lstStyle/>
          <a:p>
            <a:pPr>
              <a:defRPr sz="700"/>
            </a:pPr>
            <a:endParaRPr lang="en-US"/>
          </a:p>
        </c:txPr>
        <c:crossAx val="332572376"/>
        <c:crosses val="autoZero"/>
        <c:auto val="1"/>
        <c:lblAlgn val="ctr"/>
        <c:lblOffset val="100"/>
        <c:noMultiLvlLbl val="0"/>
      </c:catAx>
      <c:valAx>
        <c:axId val="332572376"/>
        <c:scaling>
          <c:orientation val="minMax"/>
        </c:scaling>
        <c:delete val="0"/>
        <c:axPos val="l"/>
        <c:maj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700" b="1" i="0" u="none" strike="noStrike" kern="1200" baseline="0">
                    <a:solidFill>
                      <a:sysClr val="windowText" lastClr="000000"/>
                    </a:solidFill>
                    <a:latin typeface="Tahoma"/>
                    <a:ea typeface="+mn-ea"/>
                    <a:cs typeface="Tahoma"/>
                  </a:defRPr>
                </a:pPr>
                <a:r>
                  <a:rPr lang="en-US" sz="700" b="1" i="0" kern="1200" baseline="0">
                    <a:solidFill>
                      <a:srgbClr val="000000"/>
                    </a:solidFill>
                    <a:effectLst/>
                    <a:latin typeface="Tahoma"/>
                    <a:cs typeface="Tahoma"/>
                  </a:rPr>
                  <a:t>Deaths per 100,000 Live Births</a:t>
                </a:r>
                <a:endParaRPr lang="en-US" sz="700">
                  <a:effectLst/>
                </a:endParaRPr>
              </a:p>
            </c:rich>
          </c:tx>
          <c:layout>
            <c:manualLayout>
              <c:xMode val="edge"/>
              <c:yMode val="edge"/>
              <c:x val="2.32558139534884E-2"/>
              <c:y val="0.1992907801418482"/>
            </c:manualLayout>
          </c:layout>
          <c:overlay val="0"/>
        </c:title>
        <c:numFmt formatCode="General" sourceLinked="1"/>
        <c:majorTickMark val="none"/>
        <c:minorTickMark val="none"/>
        <c:tickLblPos val="nextTo"/>
        <c:txPr>
          <a:bodyPr/>
          <a:lstStyle/>
          <a:p>
            <a:pPr>
              <a:defRPr sz="700"/>
            </a:pPr>
            <a:endParaRPr lang="en-US"/>
          </a:p>
        </c:txPr>
        <c:crossAx val="220819416"/>
        <c:crosses val="autoZero"/>
        <c:crossBetween val="between"/>
      </c:valAx>
    </c:plotArea>
    <c:legend>
      <c:legendPos val="b"/>
      <c:layout>
        <c:manualLayout>
          <c:xMode val="edge"/>
          <c:yMode val="edge"/>
          <c:x val="8.5600227682383095E-2"/>
          <c:y val="0.9060948374061627"/>
          <c:w val="0.86123856641813845"/>
          <c:h val="9.3905242976703954E-2"/>
        </c:manualLayout>
      </c:layout>
      <c:overlay val="0"/>
      <c:txPr>
        <a:bodyPr/>
        <a:lstStyle/>
        <a:p>
          <a:pPr>
            <a:defRPr sz="700"/>
          </a:pPr>
          <a:endParaRPr lang="en-US"/>
        </a:p>
      </c:txPr>
    </c:legend>
    <c:plotVisOnly val="1"/>
    <c:dispBlanksAs val="gap"/>
    <c:showDLblsOverMax val="0"/>
  </c:chart>
  <c:txPr>
    <a:bodyPr/>
    <a:lstStyle/>
    <a:p>
      <a:pPr>
        <a:defRPr>
          <a:latin typeface="Tahoma"/>
          <a:cs typeface="Tahoma"/>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Hospital Beds Per 10,000 Popn</c:v>
          </c:tx>
          <c:spPr>
            <a:solidFill>
              <a:schemeClr val="accent1">
                <a:lumMod val="75000"/>
              </a:schemeClr>
            </a:solidFill>
          </c:spPr>
          <c:invertIfNegative val="0"/>
          <c:cat>
            <c:strRef>
              <c:f>Sheet1!$B$116:$B$125</c:f>
              <c:strCache>
                <c:ptCount val="10"/>
                <c:pt idx="0">
                  <c:v>Mat. North </c:v>
                </c:pt>
                <c:pt idx="1">
                  <c:v>Mash. East </c:v>
                </c:pt>
                <c:pt idx="2">
                  <c:v>Mash. West </c:v>
                </c:pt>
                <c:pt idx="3">
                  <c:v>Mat. South </c:v>
                </c:pt>
                <c:pt idx="4">
                  <c:v>Manicaland </c:v>
                </c:pt>
                <c:pt idx="5">
                  <c:v>Midlands </c:v>
                </c:pt>
                <c:pt idx="6">
                  <c:v>Mash. Central </c:v>
                </c:pt>
                <c:pt idx="7">
                  <c:v>Masvingo </c:v>
                </c:pt>
                <c:pt idx="8">
                  <c:v>Bulawayo </c:v>
                </c:pt>
                <c:pt idx="9">
                  <c:v>Harare </c:v>
                </c:pt>
              </c:strCache>
            </c:strRef>
          </c:cat>
          <c:val>
            <c:numRef>
              <c:f>Sheet1!$E$116:$E$125</c:f>
              <c:numCache>
                <c:formatCode>0.0</c:formatCode>
                <c:ptCount val="10"/>
                <c:pt idx="0">
                  <c:v>15.76733238364416</c:v>
                </c:pt>
                <c:pt idx="1">
                  <c:v>13.465134521229464</c:v>
                </c:pt>
                <c:pt idx="2">
                  <c:v>13.198761900195416</c:v>
                </c:pt>
                <c:pt idx="3">
                  <c:v>16.420697389796207</c:v>
                </c:pt>
                <c:pt idx="4">
                  <c:v>54.202150056655512</c:v>
                </c:pt>
                <c:pt idx="5">
                  <c:v>22.106070748095579</c:v>
                </c:pt>
                <c:pt idx="6">
                  <c:v>9.4141533335647107</c:v>
                </c:pt>
                <c:pt idx="7">
                  <c:v>19.520702449009789</c:v>
                </c:pt>
                <c:pt idx="8">
                  <c:v>34.193685647682344</c:v>
                </c:pt>
                <c:pt idx="9">
                  <c:v>11.012033166096128</c:v>
                </c:pt>
              </c:numCache>
            </c:numRef>
          </c:val>
        </c:ser>
        <c:dLbls>
          <c:showLegendKey val="0"/>
          <c:showVal val="0"/>
          <c:showCatName val="0"/>
          <c:showSerName val="0"/>
          <c:showPercent val="0"/>
          <c:showBubbleSize val="0"/>
        </c:dLbls>
        <c:gapWidth val="150"/>
        <c:axId val="336168064"/>
        <c:axId val="336168456"/>
      </c:barChart>
      <c:lineChart>
        <c:grouping val="standard"/>
        <c:varyColors val="0"/>
        <c:ser>
          <c:idx val="2"/>
          <c:order val="2"/>
          <c:tx>
            <c:v>WHO Standard</c:v>
          </c:tx>
          <c:marker>
            <c:symbol val="circle"/>
            <c:size val="5"/>
          </c:marker>
          <c:cat>
            <c:strRef>
              <c:f>Sheet1!$B$116:$B$125</c:f>
              <c:strCache>
                <c:ptCount val="10"/>
                <c:pt idx="0">
                  <c:v>Mat. North </c:v>
                </c:pt>
                <c:pt idx="1">
                  <c:v>Mash. East </c:v>
                </c:pt>
                <c:pt idx="2">
                  <c:v>Mash. West </c:v>
                </c:pt>
                <c:pt idx="3">
                  <c:v>Mat. South </c:v>
                </c:pt>
                <c:pt idx="4">
                  <c:v>Manicaland </c:v>
                </c:pt>
                <c:pt idx="5">
                  <c:v>Midlands </c:v>
                </c:pt>
                <c:pt idx="6">
                  <c:v>Mash. Central </c:v>
                </c:pt>
                <c:pt idx="7">
                  <c:v>Masvingo </c:v>
                </c:pt>
                <c:pt idx="8">
                  <c:v>Bulawayo </c:v>
                </c:pt>
                <c:pt idx="9">
                  <c:v>Harare </c:v>
                </c:pt>
              </c:strCache>
            </c:strRef>
          </c:cat>
          <c:val>
            <c:numRef>
              <c:f>Sheet1!$G$116:$G$125</c:f>
              <c:numCache>
                <c:formatCode>General</c:formatCode>
                <c:ptCount val="10"/>
                <c:pt idx="0">
                  <c:v>30</c:v>
                </c:pt>
                <c:pt idx="1">
                  <c:v>30</c:v>
                </c:pt>
                <c:pt idx="2">
                  <c:v>30</c:v>
                </c:pt>
                <c:pt idx="3">
                  <c:v>30</c:v>
                </c:pt>
                <c:pt idx="4">
                  <c:v>30</c:v>
                </c:pt>
                <c:pt idx="5">
                  <c:v>30</c:v>
                </c:pt>
                <c:pt idx="6">
                  <c:v>30</c:v>
                </c:pt>
                <c:pt idx="7">
                  <c:v>30</c:v>
                </c:pt>
                <c:pt idx="8">
                  <c:v>30</c:v>
                </c:pt>
                <c:pt idx="9">
                  <c:v>30</c:v>
                </c:pt>
              </c:numCache>
            </c:numRef>
          </c:val>
          <c:smooth val="0"/>
        </c:ser>
        <c:dLbls>
          <c:showLegendKey val="0"/>
          <c:showVal val="0"/>
          <c:showCatName val="0"/>
          <c:showSerName val="0"/>
          <c:showPercent val="0"/>
          <c:showBubbleSize val="0"/>
        </c:dLbls>
        <c:marker val="1"/>
        <c:smooth val="0"/>
        <c:axId val="336168064"/>
        <c:axId val="336168456"/>
      </c:lineChart>
      <c:lineChart>
        <c:grouping val="standard"/>
        <c:varyColors val="0"/>
        <c:ser>
          <c:idx val="1"/>
          <c:order val="1"/>
          <c:tx>
            <c:v>Extreme Poverty Prevalence</c:v>
          </c:tx>
          <c:marker>
            <c:symbol val="circle"/>
            <c:size val="6"/>
          </c:marker>
          <c:cat>
            <c:strRef>
              <c:f>Sheet1!$B$116:$B$125</c:f>
              <c:strCache>
                <c:ptCount val="10"/>
                <c:pt idx="0">
                  <c:v>Mat. North </c:v>
                </c:pt>
                <c:pt idx="1">
                  <c:v>Mash. East </c:v>
                </c:pt>
                <c:pt idx="2">
                  <c:v>Mash. West </c:v>
                </c:pt>
                <c:pt idx="3">
                  <c:v>Mat. South </c:v>
                </c:pt>
                <c:pt idx="4">
                  <c:v>Manicaland </c:v>
                </c:pt>
                <c:pt idx="5">
                  <c:v>Midlands </c:v>
                </c:pt>
                <c:pt idx="6">
                  <c:v>Mash. Central </c:v>
                </c:pt>
                <c:pt idx="7">
                  <c:v>Masvingo </c:v>
                </c:pt>
                <c:pt idx="8">
                  <c:v>Bulawayo </c:v>
                </c:pt>
                <c:pt idx="9">
                  <c:v>Harare </c:v>
                </c:pt>
              </c:strCache>
            </c:strRef>
          </c:cat>
          <c:val>
            <c:numRef>
              <c:f>Sheet1!$G$50:$G$59</c:f>
              <c:numCache>
                <c:formatCode>General</c:formatCode>
                <c:ptCount val="10"/>
                <c:pt idx="0">
                  <c:v>36.9</c:v>
                </c:pt>
                <c:pt idx="1">
                  <c:v>22</c:v>
                </c:pt>
                <c:pt idx="2">
                  <c:v>21.8</c:v>
                </c:pt>
                <c:pt idx="3">
                  <c:v>19.399999999999999</c:v>
                </c:pt>
                <c:pt idx="4">
                  <c:v>18.7</c:v>
                </c:pt>
                <c:pt idx="5">
                  <c:v>18.5</c:v>
                </c:pt>
                <c:pt idx="6">
                  <c:v>17.3</c:v>
                </c:pt>
                <c:pt idx="7">
                  <c:v>13.8</c:v>
                </c:pt>
                <c:pt idx="8">
                  <c:v>3.4</c:v>
                </c:pt>
                <c:pt idx="9">
                  <c:v>3.3</c:v>
                </c:pt>
              </c:numCache>
            </c:numRef>
          </c:val>
          <c:smooth val="0"/>
        </c:ser>
        <c:dLbls>
          <c:showLegendKey val="0"/>
          <c:showVal val="0"/>
          <c:showCatName val="0"/>
          <c:showSerName val="0"/>
          <c:showPercent val="0"/>
          <c:showBubbleSize val="0"/>
        </c:dLbls>
        <c:marker val="1"/>
        <c:smooth val="0"/>
        <c:axId val="336169240"/>
        <c:axId val="336168848"/>
      </c:lineChart>
      <c:catAx>
        <c:axId val="336168064"/>
        <c:scaling>
          <c:orientation val="minMax"/>
        </c:scaling>
        <c:delete val="0"/>
        <c:axPos val="b"/>
        <c:numFmt formatCode="General" sourceLinked="0"/>
        <c:majorTickMark val="none"/>
        <c:minorTickMark val="none"/>
        <c:tickLblPos val="nextTo"/>
        <c:txPr>
          <a:bodyPr/>
          <a:lstStyle/>
          <a:p>
            <a:pPr>
              <a:defRPr sz="800"/>
            </a:pPr>
            <a:endParaRPr lang="en-US"/>
          </a:p>
        </c:txPr>
        <c:crossAx val="336168456"/>
        <c:crosses val="autoZero"/>
        <c:auto val="1"/>
        <c:lblAlgn val="ctr"/>
        <c:lblOffset val="100"/>
        <c:noMultiLvlLbl val="0"/>
      </c:catAx>
      <c:valAx>
        <c:axId val="336168456"/>
        <c:scaling>
          <c:orientation val="minMax"/>
          <c:max val="75"/>
          <c:min val="0"/>
        </c:scaling>
        <c:delete val="0"/>
        <c:axPos val="l"/>
        <c:majorGridlines/>
        <c:title>
          <c:tx>
            <c:rich>
              <a:bodyPr rot="-5400000" vert="horz"/>
              <a:lstStyle/>
              <a:p>
                <a:pPr>
                  <a:defRPr sz="800"/>
                </a:pPr>
                <a:r>
                  <a:rPr lang="en-US" sz="800"/>
                  <a:t>Hospitals Per 10,000 Popn </a:t>
                </a:r>
              </a:p>
            </c:rich>
          </c:tx>
          <c:overlay val="0"/>
        </c:title>
        <c:numFmt formatCode="0.0" sourceLinked="1"/>
        <c:majorTickMark val="none"/>
        <c:minorTickMark val="none"/>
        <c:tickLblPos val="nextTo"/>
        <c:txPr>
          <a:bodyPr/>
          <a:lstStyle/>
          <a:p>
            <a:pPr>
              <a:defRPr sz="800"/>
            </a:pPr>
            <a:endParaRPr lang="en-US"/>
          </a:p>
        </c:txPr>
        <c:crossAx val="336168064"/>
        <c:crosses val="autoZero"/>
        <c:crossBetween val="between"/>
      </c:valAx>
      <c:valAx>
        <c:axId val="336168848"/>
        <c:scaling>
          <c:orientation val="minMax"/>
        </c:scaling>
        <c:delete val="0"/>
        <c:axPos val="r"/>
        <c:title>
          <c:tx>
            <c:rich>
              <a:bodyPr rot="-5400000" vert="horz"/>
              <a:lstStyle/>
              <a:p>
                <a:pPr>
                  <a:defRPr sz="800"/>
                </a:pPr>
                <a:r>
                  <a:rPr lang="en-US" sz="800"/>
                  <a:t> %</a:t>
                </a:r>
                <a:r>
                  <a:rPr lang="en-US" sz="800" baseline="0"/>
                  <a:t> - </a:t>
                </a:r>
                <a:r>
                  <a:rPr lang="en-US" sz="800"/>
                  <a:t>Extreme</a:t>
                </a:r>
                <a:r>
                  <a:rPr lang="en-US" sz="800" baseline="0"/>
                  <a:t> Poverty Prevalence</a:t>
                </a:r>
                <a:endParaRPr lang="en-US" sz="800"/>
              </a:p>
            </c:rich>
          </c:tx>
          <c:overlay val="0"/>
        </c:title>
        <c:numFmt formatCode="General" sourceLinked="1"/>
        <c:majorTickMark val="out"/>
        <c:minorTickMark val="none"/>
        <c:tickLblPos val="nextTo"/>
        <c:txPr>
          <a:bodyPr/>
          <a:lstStyle/>
          <a:p>
            <a:pPr>
              <a:defRPr sz="800"/>
            </a:pPr>
            <a:endParaRPr lang="en-US"/>
          </a:p>
        </c:txPr>
        <c:crossAx val="336169240"/>
        <c:crosses val="max"/>
        <c:crossBetween val="between"/>
      </c:valAx>
      <c:catAx>
        <c:axId val="336169240"/>
        <c:scaling>
          <c:orientation val="minMax"/>
        </c:scaling>
        <c:delete val="1"/>
        <c:axPos val="b"/>
        <c:numFmt formatCode="General" sourceLinked="1"/>
        <c:majorTickMark val="out"/>
        <c:minorTickMark val="none"/>
        <c:tickLblPos val="none"/>
        <c:crossAx val="336168848"/>
        <c:crosses val="autoZero"/>
        <c:auto val="1"/>
        <c:lblAlgn val="ctr"/>
        <c:lblOffset val="100"/>
        <c:noMultiLvlLbl val="0"/>
      </c:catAx>
    </c:plotArea>
    <c:legend>
      <c:legendPos val="b"/>
      <c:overlay val="0"/>
      <c:txPr>
        <a:bodyPr/>
        <a:lstStyle/>
        <a:p>
          <a:pPr>
            <a:defRPr sz="800"/>
          </a:pPr>
          <a:endParaRPr lang="en-US"/>
        </a:p>
      </c:txPr>
    </c:legend>
    <c:plotVisOnly val="1"/>
    <c:dispBlanksAs val="gap"/>
    <c:showDLblsOverMax val="0"/>
  </c:chart>
  <c:txPr>
    <a:bodyPr/>
    <a:lstStyle/>
    <a:p>
      <a:pPr>
        <a:defRPr>
          <a:latin typeface="Tahoma"/>
          <a:cs typeface="Tahoma"/>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v>Child Health Knowledge (LHS)</c:v>
          </c:tx>
          <c:invertIfNegative val="0"/>
          <c:cat>
            <c:strRef>
              <c:f>Sheet1!$F$99:$F$108</c:f>
              <c:strCache>
                <c:ptCount val="10"/>
                <c:pt idx="0">
                  <c:v>Mat. North</c:v>
                </c:pt>
                <c:pt idx="1">
                  <c:v>Mash. Central</c:v>
                </c:pt>
                <c:pt idx="2">
                  <c:v>Manicaland</c:v>
                </c:pt>
                <c:pt idx="3">
                  <c:v>Mash. West</c:v>
                </c:pt>
                <c:pt idx="4">
                  <c:v>Mat. South</c:v>
                </c:pt>
                <c:pt idx="5">
                  <c:v>Masvingo</c:v>
                </c:pt>
                <c:pt idx="6">
                  <c:v>Mash. East</c:v>
                </c:pt>
                <c:pt idx="7">
                  <c:v>Midlands</c:v>
                </c:pt>
                <c:pt idx="8">
                  <c:v>Harare</c:v>
                </c:pt>
                <c:pt idx="9">
                  <c:v>Bulawayo</c:v>
                </c:pt>
              </c:strCache>
            </c:strRef>
          </c:cat>
          <c:val>
            <c:numRef>
              <c:f>Sheet1!$H$99:$H$108</c:f>
              <c:numCache>
                <c:formatCode>0</c:formatCode>
                <c:ptCount val="10"/>
                <c:pt idx="0">
                  <c:v>60</c:v>
                </c:pt>
                <c:pt idx="1">
                  <c:v>52.1</c:v>
                </c:pt>
                <c:pt idx="2">
                  <c:v>54.8</c:v>
                </c:pt>
                <c:pt idx="3">
                  <c:v>52.5</c:v>
                </c:pt>
                <c:pt idx="4">
                  <c:v>53.3</c:v>
                </c:pt>
                <c:pt idx="5">
                  <c:v>62.7</c:v>
                </c:pt>
                <c:pt idx="6">
                  <c:v>59.9</c:v>
                </c:pt>
                <c:pt idx="7">
                  <c:v>53.3</c:v>
                </c:pt>
                <c:pt idx="8">
                  <c:v>63.2</c:v>
                </c:pt>
                <c:pt idx="9">
                  <c:v>70.8</c:v>
                </c:pt>
              </c:numCache>
            </c:numRef>
          </c:val>
        </c:ser>
        <c:ser>
          <c:idx val="2"/>
          <c:order val="2"/>
          <c:tx>
            <c:v>Maternal Health Knowledge (LHS)</c:v>
          </c:tx>
          <c:invertIfNegative val="0"/>
          <c:cat>
            <c:strRef>
              <c:f>Sheet1!$F$99:$F$108</c:f>
              <c:strCache>
                <c:ptCount val="10"/>
                <c:pt idx="0">
                  <c:v>Mat. North</c:v>
                </c:pt>
                <c:pt idx="1">
                  <c:v>Mash. Central</c:v>
                </c:pt>
                <c:pt idx="2">
                  <c:v>Manicaland</c:v>
                </c:pt>
                <c:pt idx="3">
                  <c:v>Mash. West</c:v>
                </c:pt>
                <c:pt idx="4">
                  <c:v>Mat. South</c:v>
                </c:pt>
                <c:pt idx="5">
                  <c:v>Masvingo</c:v>
                </c:pt>
                <c:pt idx="6">
                  <c:v>Mash. East</c:v>
                </c:pt>
                <c:pt idx="7">
                  <c:v>Midlands</c:v>
                </c:pt>
                <c:pt idx="8">
                  <c:v>Harare</c:v>
                </c:pt>
                <c:pt idx="9">
                  <c:v>Bulawayo</c:v>
                </c:pt>
              </c:strCache>
            </c:strRef>
          </c:cat>
          <c:val>
            <c:numRef>
              <c:f>Sheet1!$I$99:$I$108</c:f>
              <c:numCache>
                <c:formatCode>0</c:formatCode>
                <c:ptCount val="10"/>
                <c:pt idx="0">
                  <c:v>40.6</c:v>
                </c:pt>
                <c:pt idx="1">
                  <c:v>50</c:v>
                </c:pt>
                <c:pt idx="2">
                  <c:v>38.9</c:v>
                </c:pt>
                <c:pt idx="3">
                  <c:v>44.6</c:v>
                </c:pt>
                <c:pt idx="4">
                  <c:v>50</c:v>
                </c:pt>
                <c:pt idx="5">
                  <c:v>51.6</c:v>
                </c:pt>
                <c:pt idx="6">
                  <c:v>50</c:v>
                </c:pt>
                <c:pt idx="7">
                  <c:v>44.2</c:v>
                </c:pt>
                <c:pt idx="8">
                  <c:v>50</c:v>
                </c:pt>
              </c:numCache>
            </c:numRef>
          </c:val>
        </c:ser>
        <c:dLbls>
          <c:showLegendKey val="0"/>
          <c:showVal val="0"/>
          <c:showCatName val="0"/>
          <c:showSerName val="0"/>
          <c:showPercent val="0"/>
          <c:showBubbleSize val="0"/>
        </c:dLbls>
        <c:gapWidth val="150"/>
        <c:axId val="336170024"/>
        <c:axId val="419548224"/>
      </c:barChart>
      <c:lineChart>
        <c:grouping val="standard"/>
        <c:varyColors val="0"/>
        <c:ser>
          <c:idx val="0"/>
          <c:order val="0"/>
          <c:tx>
            <c:v>Extreme Poverty Prevalence (RHS)</c:v>
          </c:tx>
          <c:cat>
            <c:strRef>
              <c:f>Sheet1!$F$99:$F$108</c:f>
              <c:strCache>
                <c:ptCount val="10"/>
                <c:pt idx="0">
                  <c:v>Mat. North</c:v>
                </c:pt>
                <c:pt idx="1">
                  <c:v>Mash. Central</c:v>
                </c:pt>
                <c:pt idx="2">
                  <c:v>Manicaland</c:v>
                </c:pt>
                <c:pt idx="3">
                  <c:v>Mash. West</c:v>
                </c:pt>
                <c:pt idx="4">
                  <c:v>Mat. South</c:v>
                </c:pt>
                <c:pt idx="5">
                  <c:v>Masvingo</c:v>
                </c:pt>
                <c:pt idx="6">
                  <c:v>Mash. East</c:v>
                </c:pt>
                <c:pt idx="7">
                  <c:v>Midlands</c:v>
                </c:pt>
                <c:pt idx="8">
                  <c:v>Harare</c:v>
                </c:pt>
                <c:pt idx="9">
                  <c:v>Bulawayo</c:v>
                </c:pt>
              </c:strCache>
            </c:strRef>
          </c:cat>
          <c:val>
            <c:numRef>
              <c:f>Sheet1!$G$99:$G$108</c:f>
              <c:numCache>
                <c:formatCode>0.0</c:formatCode>
                <c:ptCount val="10"/>
                <c:pt idx="0">
                  <c:v>31.9</c:v>
                </c:pt>
                <c:pt idx="1">
                  <c:v>21.625</c:v>
                </c:pt>
                <c:pt idx="2">
                  <c:v>16.2</c:v>
                </c:pt>
                <c:pt idx="3">
                  <c:v>16.158333333333257</c:v>
                </c:pt>
                <c:pt idx="4">
                  <c:v>16.02</c:v>
                </c:pt>
                <c:pt idx="5">
                  <c:v>15.571428571428569</c:v>
                </c:pt>
                <c:pt idx="6">
                  <c:v>15.366666666666694</c:v>
                </c:pt>
                <c:pt idx="7">
                  <c:v>14.166666666666687</c:v>
                </c:pt>
                <c:pt idx="8">
                  <c:v>8.3000000000000007</c:v>
                </c:pt>
                <c:pt idx="9">
                  <c:v>3.4</c:v>
                </c:pt>
              </c:numCache>
            </c:numRef>
          </c:val>
          <c:smooth val="0"/>
        </c:ser>
        <c:dLbls>
          <c:showLegendKey val="0"/>
          <c:showVal val="0"/>
          <c:showCatName val="0"/>
          <c:showSerName val="0"/>
          <c:showPercent val="0"/>
          <c:showBubbleSize val="0"/>
        </c:dLbls>
        <c:marker val="1"/>
        <c:smooth val="0"/>
        <c:axId val="419549008"/>
        <c:axId val="419548616"/>
      </c:lineChart>
      <c:catAx>
        <c:axId val="336170024"/>
        <c:scaling>
          <c:orientation val="minMax"/>
        </c:scaling>
        <c:delete val="0"/>
        <c:axPos val="b"/>
        <c:numFmt formatCode="General" sourceLinked="0"/>
        <c:majorTickMark val="none"/>
        <c:minorTickMark val="none"/>
        <c:tickLblPos val="nextTo"/>
        <c:crossAx val="419548224"/>
        <c:crosses val="autoZero"/>
        <c:auto val="1"/>
        <c:lblAlgn val="ctr"/>
        <c:lblOffset val="100"/>
        <c:noMultiLvlLbl val="0"/>
      </c:catAx>
      <c:valAx>
        <c:axId val="419548224"/>
        <c:scaling>
          <c:orientation val="minMax"/>
        </c:scaling>
        <c:delete val="0"/>
        <c:axPos val="l"/>
        <c:majorGridlines/>
        <c:title>
          <c:tx>
            <c:rich>
              <a:bodyPr/>
              <a:lstStyle/>
              <a:p>
                <a:pPr>
                  <a:defRPr/>
                </a:pPr>
                <a:r>
                  <a:rPr lang="en-US"/>
                  <a:t>Percent (%)</a:t>
                </a:r>
              </a:p>
            </c:rich>
          </c:tx>
          <c:overlay val="0"/>
        </c:title>
        <c:numFmt formatCode="0" sourceLinked="1"/>
        <c:majorTickMark val="none"/>
        <c:minorTickMark val="none"/>
        <c:tickLblPos val="nextTo"/>
        <c:crossAx val="336170024"/>
        <c:crosses val="autoZero"/>
        <c:crossBetween val="between"/>
      </c:valAx>
      <c:valAx>
        <c:axId val="419548616"/>
        <c:scaling>
          <c:orientation val="minMax"/>
        </c:scaling>
        <c:delete val="0"/>
        <c:axPos val="r"/>
        <c:title>
          <c:tx>
            <c:rich>
              <a:bodyPr rot="-5400000" vert="horz"/>
              <a:lstStyle/>
              <a:p>
                <a:pPr>
                  <a:defRPr sz="900"/>
                </a:pPr>
                <a:r>
                  <a:rPr lang="en-US" sz="900"/>
                  <a:t>Extreme</a:t>
                </a:r>
                <a:r>
                  <a:rPr lang="en-US" sz="900" baseline="0"/>
                  <a:t> </a:t>
                </a:r>
                <a:r>
                  <a:rPr lang="en-US" sz="900"/>
                  <a:t>Poverty Prevalence (%)</a:t>
                </a:r>
              </a:p>
            </c:rich>
          </c:tx>
          <c:overlay val="0"/>
        </c:title>
        <c:numFmt formatCode="0.0" sourceLinked="1"/>
        <c:majorTickMark val="out"/>
        <c:minorTickMark val="none"/>
        <c:tickLblPos val="nextTo"/>
        <c:crossAx val="419549008"/>
        <c:crosses val="max"/>
        <c:crossBetween val="between"/>
      </c:valAx>
      <c:catAx>
        <c:axId val="419549008"/>
        <c:scaling>
          <c:orientation val="minMax"/>
        </c:scaling>
        <c:delete val="1"/>
        <c:axPos val="b"/>
        <c:numFmt formatCode="General" sourceLinked="1"/>
        <c:majorTickMark val="out"/>
        <c:minorTickMark val="none"/>
        <c:tickLblPos val="none"/>
        <c:crossAx val="419548616"/>
        <c:crosses val="autoZero"/>
        <c:auto val="1"/>
        <c:lblAlgn val="ctr"/>
        <c:lblOffset val="100"/>
        <c:noMultiLvlLbl val="0"/>
      </c:catAx>
    </c:plotArea>
    <c:legend>
      <c:legendPos val="b"/>
      <c:overlay val="0"/>
      <c:txPr>
        <a:bodyPr/>
        <a:lstStyle/>
        <a:p>
          <a:pPr>
            <a:defRPr sz="800"/>
          </a:pPr>
          <a:endParaRPr lang="en-US"/>
        </a:p>
      </c:txPr>
    </c:legend>
    <c:plotVisOnly val="1"/>
    <c:dispBlanksAs val="gap"/>
    <c:showDLblsOverMax val="0"/>
  </c:chart>
  <c:txPr>
    <a:bodyPr/>
    <a:lstStyle/>
    <a:p>
      <a:pPr>
        <a:defRPr>
          <a:latin typeface="Tahoma"/>
          <a:cs typeface="Tahoma"/>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218859148066699"/>
          <c:y val="5.0366300366300423E-2"/>
          <c:w val="0.81921026447358358"/>
          <c:h val="0.78354748925615059"/>
        </c:manualLayout>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Sheet1!$B$6:$B$8</c:f>
              <c:strCache>
                <c:ptCount val="3"/>
                <c:pt idx="0">
                  <c:v>MOF via MOHCC</c:v>
                </c:pt>
                <c:pt idx="1">
                  <c:v>MOF via other ministries (up to Nov)</c:v>
                </c:pt>
                <c:pt idx="2">
                  <c:v>NAC</c:v>
                </c:pt>
              </c:strCache>
            </c:strRef>
          </c:cat>
          <c:val>
            <c:numRef>
              <c:f>Sheet1!$C$6:$C$8</c:f>
              <c:numCache>
                <c:formatCode>_(* #,##0.00_);_(* \(#,##0.00\);_(* "-"??_);_(@_)</c:formatCode>
                <c:ptCount val="3"/>
                <c:pt idx="0">
                  <c:v>268.52265599999993</c:v>
                </c:pt>
                <c:pt idx="1">
                  <c:v>74.589239000000006</c:v>
                </c:pt>
                <c:pt idx="2">
                  <c:v>35.787522390000063</c:v>
                </c:pt>
              </c:numCache>
            </c:numRef>
          </c:val>
        </c:ser>
        <c:dLbls>
          <c:showLegendKey val="0"/>
          <c:showVal val="0"/>
          <c:showCatName val="0"/>
          <c:showSerName val="0"/>
          <c:showPercent val="0"/>
          <c:showBubbleSize val="0"/>
        </c:dLbls>
        <c:gapWidth val="150"/>
        <c:axId val="419550968"/>
        <c:axId val="419551360"/>
      </c:barChart>
      <c:catAx>
        <c:axId val="419550968"/>
        <c:scaling>
          <c:orientation val="minMax"/>
        </c:scaling>
        <c:delete val="0"/>
        <c:axPos val="b"/>
        <c:numFmt formatCode="General" sourceLinked="0"/>
        <c:majorTickMark val="out"/>
        <c:minorTickMark val="none"/>
        <c:tickLblPos val="nextTo"/>
        <c:crossAx val="419551360"/>
        <c:crosses val="autoZero"/>
        <c:auto val="1"/>
        <c:lblAlgn val="ctr"/>
        <c:lblOffset val="100"/>
        <c:noMultiLvlLbl val="0"/>
      </c:catAx>
      <c:valAx>
        <c:axId val="419551360"/>
        <c:scaling>
          <c:orientation val="minMax"/>
        </c:scaling>
        <c:delete val="0"/>
        <c:axPos val="l"/>
        <c:majorGridlines/>
        <c:numFmt formatCode="_(* #,##0_);_(* \(#,##0\);_(* &quot;-&quot;_);_(@_)" sourceLinked="0"/>
        <c:majorTickMark val="out"/>
        <c:minorTickMark val="none"/>
        <c:tickLblPos val="nextTo"/>
        <c:crossAx val="419550968"/>
        <c:crosses val="autoZero"/>
        <c:crossBetween val="between"/>
      </c:valAx>
    </c:plotArea>
    <c:plotVisOnly val="1"/>
    <c:dispBlanksAs val="gap"/>
    <c:showDLblsOverMax val="0"/>
  </c:chart>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90148299363814"/>
          <c:y val="5.1400554097404495E-2"/>
          <c:w val="0.63320678145898701"/>
          <c:h val="0.72112444809469045"/>
        </c:manualLayout>
      </c:layout>
      <c:barChart>
        <c:barDir val="col"/>
        <c:grouping val="clustered"/>
        <c:varyColors val="0"/>
        <c:ser>
          <c:idx val="0"/>
          <c:order val="0"/>
          <c:tx>
            <c:strRef>
              <c:f>HaSG!$A$33</c:f>
              <c:strCache>
                <c:ptCount val="1"/>
                <c:pt idx="0">
                  <c:v>MOHCC exp (2009 US$ Million)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HaSG!$B$32:$F$32</c:f>
              <c:numCache>
                <c:formatCode>General</c:formatCode>
                <c:ptCount val="5"/>
                <c:pt idx="0">
                  <c:v>2009</c:v>
                </c:pt>
                <c:pt idx="1">
                  <c:v>2010</c:v>
                </c:pt>
                <c:pt idx="2">
                  <c:v>2011</c:v>
                </c:pt>
                <c:pt idx="3">
                  <c:v>2012</c:v>
                </c:pt>
                <c:pt idx="4">
                  <c:v>2013</c:v>
                </c:pt>
              </c:numCache>
            </c:numRef>
          </c:cat>
          <c:val>
            <c:numRef>
              <c:f>HaSG!$B$33:$F$33</c:f>
              <c:numCache>
                <c:formatCode>_-* #,##0.00\ _€_-;\-* #,##0.00\ _€_-;_-* "-"??\ _€_-;_-@_-</c:formatCode>
                <c:ptCount val="5"/>
                <c:pt idx="0">
                  <c:v>73.436043000000026</c:v>
                </c:pt>
                <c:pt idx="1">
                  <c:v>136.42617886958504</c:v>
                </c:pt>
                <c:pt idx="2">
                  <c:v>185.23906837083678</c:v>
                </c:pt>
                <c:pt idx="3">
                  <c:v>229.04585778534027</c:v>
                </c:pt>
                <c:pt idx="4">
                  <c:v>199.26434693559744</c:v>
                </c:pt>
              </c:numCache>
            </c:numRef>
          </c:val>
        </c:ser>
        <c:ser>
          <c:idx val="2"/>
          <c:order val="2"/>
          <c:tx>
            <c:strRef>
              <c:f>Ha!#REF!</c:f>
              <c:strCache>
                <c:ptCount val="1"/>
                <c:pt idx="0">
                  <c:v>#REF!</c:v>
                </c:pt>
              </c:strCache>
            </c:strRef>
          </c:tx>
          <c:invertIfNegative val="0"/>
          <c:cat>
            <c:numRef>
              <c:f>HaSG!$B$32:$F$32</c:f>
              <c:numCache>
                <c:formatCode>General</c:formatCode>
                <c:ptCount val="5"/>
                <c:pt idx="0">
                  <c:v>2009</c:v>
                </c:pt>
                <c:pt idx="1">
                  <c:v>2010</c:v>
                </c:pt>
                <c:pt idx="2">
                  <c:v>2011</c:v>
                </c:pt>
                <c:pt idx="3">
                  <c:v>2012</c:v>
                </c:pt>
                <c:pt idx="4">
                  <c:v>2013</c:v>
                </c:pt>
              </c:numCache>
            </c:numRef>
          </c:cat>
          <c:val>
            <c:numRef>
              <c:f>Ha!#REF!</c:f>
              <c:numCache>
                <c:formatCode>General</c:formatCode>
                <c:ptCount val="1"/>
                <c:pt idx="0">
                  <c:v>1</c:v>
                </c:pt>
              </c:numCache>
            </c:numRef>
          </c:val>
        </c:ser>
        <c:dLbls>
          <c:showLegendKey val="0"/>
          <c:showVal val="0"/>
          <c:showCatName val="0"/>
          <c:showSerName val="0"/>
          <c:showPercent val="0"/>
          <c:showBubbleSize val="0"/>
        </c:dLbls>
        <c:gapWidth val="35"/>
        <c:overlap val="45"/>
        <c:axId val="419923920"/>
        <c:axId val="419924312"/>
      </c:barChart>
      <c:lineChart>
        <c:grouping val="standard"/>
        <c:varyColors val="0"/>
        <c:ser>
          <c:idx val="1"/>
          <c:order val="1"/>
          <c:tx>
            <c:strRef>
              <c:f>HaSG!$A$34</c:f>
              <c:strCache>
                <c:ptCount val="1"/>
                <c:pt idx="0">
                  <c:v>MOHCC exp as % of gov. exp. (general budget)</c:v>
                </c:pt>
              </c:strCache>
            </c:strRef>
          </c:tx>
          <c:cat>
            <c:numRef>
              <c:f>HaSG!$B$32:$F$32</c:f>
              <c:numCache>
                <c:formatCode>General</c:formatCode>
                <c:ptCount val="5"/>
                <c:pt idx="0">
                  <c:v>2009</c:v>
                </c:pt>
                <c:pt idx="1">
                  <c:v>2010</c:v>
                </c:pt>
                <c:pt idx="2">
                  <c:v>2011</c:v>
                </c:pt>
                <c:pt idx="3">
                  <c:v>2012</c:v>
                </c:pt>
                <c:pt idx="4">
                  <c:v>2013</c:v>
                </c:pt>
              </c:numCache>
            </c:numRef>
          </c:cat>
          <c:val>
            <c:numRef>
              <c:f>HaSG!$B$34:$F$34</c:f>
              <c:numCache>
                <c:formatCode>0.0</c:formatCode>
                <c:ptCount val="5"/>
                <c:pt idx="0">
                  <c:v>7.3436043000000009</c:v>
                </c:pt>
                <c:pt idx="1">
                  <c:v>8.6190941497142877</c:v>
                </c:pt>
                <c:pt idx="2">
                  <c:v>7.3820832338790456</c:v>
                </c:pt>
                <c:pt idx="3">
                  <c:v>7.9470732442307712</c:v>
                </c:pt>
                <c:pt idx="4">
                  <c:v>6.9565454922279804</c:v>
                </c:pt>
              </c:numCache>
            </c:numRef>
          </c:val>
          <c:smooth val="0"/>
        </c:ser>
        <c:dLbls>
          <c:showLegendKey val="0"/>
          <c:showVal val="0"/>
          <c:showCatName val="0"/>
          <c:showSerName val="0"/>
          <c:showPercent val="0"/>
          <c:showBubbleSize val="0"/>
        </c:dLbls>
        <c:marker val="1"/>
        <c:smooth val="0"/>
        <c:axId val="419925096"/>
        <c:axId val="419924704"/>
      </c:lineChart>
      <c:catAx>
        <c:axId val="419923920"/>
        <c:scaling>
          <c:orientation val="minMax"/>
        </c:scaling>
        <c:delete val="0"/>
        <c:axPos val="b"/>
        <c:numFmt formatCode="General" sourceLinked="1"/>
        <c:majorTickMark val="out"/>
        <c:minorTickMark val="none"/>
        <c:tickLblPos val="nextTo"/>
        <c:crossAx val="419924312"/>
        <c:crosses val="autoZero"/>
        <c:auto val="1"/>
        <c:lblAlgn val="ctr"/>
        <c:lblOffset val="100"/>
        <c:noMultiLvlLbl val="0"/>
      </c:catAx>
      <c:valAx>
        <c:axId val="419924312"/>
        <c:scaling>
          <c:orientation val="minMax"/>
        </c:scaling>
        <c:delete val="0"/>
        <c:axPos val="l"/>
        <c:majorGridlines/>
        <c:title>
          <c:tx>
            <c:rich>
              <a:bodyPr rot="-5400000" vert="horz"/>
              <a:lstStyle/>
              <a:p>
                <a:pPr>
                  <a:defRPr/>
                </a:pPr>
                <a:r>
                  <a:rPr lang="en-US"/>
                  <a:t>Constant 2009 US$ million</a:t>
                </a:r>
              </a:p>
            </c:rich>
          </c:tx>
          <c:overlay val="0"/>
        </c:title>
        <c:numFmt formatCode="_-* #,##0.00\ _€_-;\-* #,##0.00\ _€_-;_-* &quot;-&quot;??\ _€_-;_-@_-" sourceLinked="1"/>
        <c:majorTickMark val="out"/>
        <c:minorTickMark val="none"/>
        <c:tickLblPos val="nextTo"/>
        <c:crossAx val="419923920"/>
        <c:crosses val="autoZero"/>
        <c:crossBetween val="between"/>
      </c:valAx>
      <c:valAx>
        <c:axId val="419924704"/>
        <c:scaling>
          <c:orientation val="minMax"/>
        </c:scaling>
        <c:delete val="0"/>
        <c:axPos val="r"/>
        <c:title>
          <c:tx>
            <c:rich>
              <a:bodyPr rot="-5400000" vert="horz"/>
              <a:lstStyle/>
              <a:p>
                <a:pPr>
                  <a:defRPr/>
                </a:pPr>
                <a:r>
                  <a:rPr lang="en-US"/>
                  <a:t>Percent of gov. exp.</a:t>
                </a:r>
              </a:p>
            </c:rich>
          </c:tx>
          <c:overlay val="0"/>
        </c:title>
        <c:numFmt formatCode="0.0" sourceLinked="1"/>
        <c:majorTickMark val="out"/>
        <c:minorTickMark val="none"/>
        <c:tickLblPos val="nextTo"/>
        <c:crossAx val="419925096"/>
        <c:crosses val="max"/>
        <c:crossBetween val="between"/>
      </c:valAx>
      <c:catAx>
        <c:axId val="419925096"/>
        <c:scaling>
          <c:orientation val="minMax"/>
        </c:scaling>
        <c:delete val="1"/>
        <c:axPos val="b"/>
        <c:numFmt formatCode="General" sourceLinked="1"/>
        <c:majorTickMark val="out"/>
        <c:minorTickMark val="none"/>
        <c:tickLblPos val="none"/>
        <c:crossAx val="419924704"/>
        <c:crosses val="autoZero"/>
        <c:auto val="1"/>
        <c:lblAlgn val="ctr"/>
        <c:lblOffset val="100"/>
        <c:noMultiLvlLbl val="0"/>
      </c:catAx>
    </c:plotArea>
    <c:legend>
      <c:legendPos val="b"/>
      <c:legendEntry>
        <c:idx val="1"/>
        <c:delete val="1"/>
      </c:legendEntry>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HaSG!$A$16</c:f>
              <c:strCache>
                <c:ptCount val="1"/>
                <c:pt idx="0">
                  <c:v>Medical care services</c:v>
                </c:pt>
              </c:strCache>
            </c:strRef>
          </c:tx>
          <c:invertIfNegative val="0"/>
          <c:cat>
            <c:numRef>
              <c:f>HaSG!$C$15:$F$15</c:f>
              <c:numCache>
                <c:formatCode>General</c:formatCode>
                <c:ptCount val="4"/>
                <c:pt idx="0">
                  <c:v>2010</c:v>
                </c:pt>
                <c:pt idx="1">
                  <c:v>2011</c:v>
                </c:pt>
                <c:pt idx="2">
                  <c:v>2012</c:v>
                </c:pt>
                <c:pt idx="3">
                  <c:v>2013</c:v>
                </c:pt>
              </c:numCache>
            </c:numRef>
          </c:cat>
          <c:val>
            <c:numRef>
              <c:f>HaSG!$C$16:$F$16</c:f>
              <c:numCache>
                <c:formatCode>_(* #,##0_);_(* \(#,##0\);_(* "-"??_);_(@_)</c:formatCode>
                <c:ptCount val="4"/>
                <c:pt idx="0">
                  <c:v>109462.1534175704</c:v>
                </c:pt>
                <c:pt idx="1">
                  <c:v>139044.57145611849</c:v>
                </c:pt>
                <c:pt idx="2">
                  <c:v>173849.5102260581</c:v>
                </c:pt>
                <c:pt idx="3">
                  <c:v>162144.29973953121</c:v>
                </c:pt>
              </c:numCache>
            </c:numRef>
          </c:val>
        </c:ser>
        <c:ser>
          <c:idx val="2"/>
          <c:order val="1"/>
          <c:tx>
            <c:strRef>
              <c:f>HaSG!$A$18</c:f>
              <c:strCache>
                <c:ptCount val="1"/>
                <c:pt idx="0">
                  <c:v>Administration and general</c:v>
                </c:pt>
              </c:strCache>
            </c:strRef>
          </c:tx>
          <c:invertIfNegative val="0"/>
          <c:cat>
            <c:numRef>
              <c:f>HaSG!$C$15:$F$15</c:f>
              <c:numCache>
                <c:formatCode>General</c:formatCode>
                <c:ptCount val="4"/>
                <c:pt idx="0">
                  <c:v>2010</c:v>
                </c:pt>
                <c:pt idx="1">
                  <c:v>2011</c:v>
                </c:pt>
                <c:pt idx="2">
                  <c:v>2012</c:v>
                </c:pt>
                <c:pt idx="3">
                  <c:v>2013</c:v>
                </c:pt>
              </c:numCache>
            </c:numRef>
          </c:cat>
          <c:val>
            <c:numRef>
              <c:f>HaSG!$C$18:$F$18</c:f>
              <c:numCache>
                <c:formatCode>_(* #,##0_);_(* \(#,##0\);_(* "-"??_);_(@_)</c:formatCode>
                <c:ptCount val="4"/>
                <c:pt idx="0">
                  <c:v>14844.188438961302</c:v>
                </c:pt>
                <c:pt idx="1">
                  <c:v>26642.237524732551</c:v>
                </c:pt>
                <c:pt idx="2">
                  <c:v>32636.097755255549</c:v>
                </c:pt>
                <c:pt idx="3">
                  <c:v>14607.521687185084</c:v>
                </c:pt>
              </c:numCache>
            </c:numRef>
          </c:val>
        </c:ser>
        <c:ser>
          <c:idx val="1"/>
          <c:order val="2"/>
          <c:tx>
            <c:strRef>
              <c:f>HaSG!$A$17</c:f>
              <c:strCache>
                <c:ptCount val="1"/>
                <c:pt idx="0">
                  <c:v>Preventive services</c:v>
                </c:pt>
              </c:strCache>
            </c:strRef>
          </c:tx>
          <c:invertIfNegative val="0"/>
          <c:cat>
            <c:numRef>
              <c:f>HaSG!$C$15:$F$15</c:f>
              <c:numCache>
                <c:formatCode>General</c:formatCode>
                <c:ptCount val="4"/>
                <c:pt idx="0">
                  <c:v>2010</c:v>
                </c:pt>
                <c:pt idx="1">
                  <c:v>2011</c:v>
                </c:pt>
                <c:pt idx="2">
                  <c:v>2012</c:v>
                </c:pt>
                <c:pt idx="3">
                  <c:v>2013</c:v>
                </c:pt>
              </c:numCache>
            </c:numRef>
          </c:cat>
          <c:val>
            <c:numRef>
              <c:f>HaSG!$C$17:$F$17</c:f>
              <c:numCache>
                <c:formatCode>_(* #,##0_);_(* \(#,##0\);_(* "-"??_);_(@_)</c:formatCode>
                <c:ptCount val="4"/>
                <c:pt idx="0">
                  <c:v>9209.8352945430051</c:v>
                </c:pt>
                <c:pt idx="1">
                  <c:v>14636.636682987193</c:v>
                </c:pt>
                <c:pt idx="2">
                  <c:v>16733.148968684422</c:v>
                </c:pt>
                <c:pt idx="3">
                  <c:v>16260.954904012409</c:v>
                </c:pt>
              </c:numCache>
            </c:numRef>
          </c:val>
        </c:ser>
        <c:ser>
          <c:idx val="3"/>
          <c:order val="3"/>
          <c:tx>
            <c:strRef>
              <c:f>HaSG!$A$19</c:f>
              <c:strCache>
                <c:ptCount val="1"/>
                <c:pt idx="0">
                  <c:v>Research</c:v>
                </c:pt>
              </c:strCache>
            </c:strRef>
          </c:tx>
          <c:invertIfNegative val="0"/>
          <c:cat>
            <c:numRef>
              <c:f>HaSG!$C$15:$F$15</c:f>
              <c:numCache>
                <c:formatCode>General</c:formatCode>
                <c:ptCount val="4"/>
                <c:pt idx="0">
                  <c:v>2010</c:v>
                </c:pt>
                <c:pt idx="1">
                  <c:v>2011</c:v>
                </c:pt>
                <c:pt idx="2">
                  <c:v>2012</c:v>
                </c:pt>
                <c:pt idx="3">
                  <c:v>2013</c:v>
                </c:pt>
              </c:numCache>
            </c:numRef>
          </c:cat>
          <c:val>
            <c:numRef>
              <c:f>HaSG!$C$19:$F$19</c:f>
              <c:numCache>
                <c:formatCode>_(* #,##0_);_(* \(#,##0\);_(* "-"??_);_(@_)</c:formatCode>
                <c:ptCount val="4"/>
                <c:pt idx="0">
                  <c:v>2910.0017185083948</c:v>
                </c:pt>
                <c:pt idx="1">
                  <c:v>4915.6227069988954</c:v>
                </c:pt>
                <c:pt idx="2">
                  <c:v>5827.1008353458164</c:v>
                </c:pt>
                <c:pt idx="3">
                  <c:v>6251.5706048665434</c:v>
                </c:pt>
              </c:numCache>
            </c:numRef>
          </c:val>
        </c:ser>
        <c:dLbls>
          <c:showLegendKey val="0"/>
          <c:showVal val="0"/>
          <c:showCatName val="0"/>
          <c:showSerName val="0"/>
          <c:showPercent val="0"/>
          <c:showBubbleSize val="0"/>
        </c:dLbls>
        <c:gapWidth val="95"/>
        <c:overlap val="100"/>
        <c:axId val="419925880"/>
        <c:axId val="419926272"/>
      </c:barChart>
      <c:catAx>
        <c:axId val="419925880"/>
        <c:scaling>
          <c:orientation val="minMax"/>
        </c:scaling>
        <c:delete val="0"/>
        <c:axPos val="b"/>
        <c:numFmt formatCode="General" sourceLinked="1"/>
        <c:majorTickMark val="none"/>
        <c:minorTickMark val="none"/>
        <c:tickLblPos val="nextTo"/>
        <c:crossAx val="419926272"/>
        <c:crosses val="autoZero"/>
        <c:auto val="1"/>
        <c:lblAlgn val="ctr"/>
        <c:lblOffset val="100"/>
        <c:noMultiLvlLbl val="0"/>
      </c:catAx>
      <c:valAx>
        <c:axId val="419926272"/>
        <c:scaling>
          <c:orientation val="minMax"/>
        </c:scaling>
        <c:delete val="0"/>
        <c:axPos val="l"/>
        <c:majorGridlines/>
        <c:title>
          <c:tx>
            <c:rich>
              <a:bodyPr rot="0" vert="horz"/>
              <a:lstStyle/>
              <a:p>
                <a:pPr>
                  <a:defRPr/>
                </a:pPr>
                <a:r>
                  <a:rPr lang="en-US" b="0"/>
                  <a:t>Constant 2009 </a:t>
                </a:r>
                <a:r>
                  <a:rPr lang="en-US" b="0" baseline="0"/>
                  <a:t>US$ </a:t>
                </a:r>
                <a:r>
                  <a:rPr lang="en-US" b="0" i="1" baseline="0"/>
                  <a:t>Thousands</a:t>
                </a:r>
                <a:endParaRPr lang="en-US" b="0" i="1"/>
              </a:p>
            </c:rich>
          </c:tx>
          <c:layout>
            <c:manualLayout>
              <c:xMode val="edge"/>
              <c:yMode val="edge"/>
              <c:x val="3.6509052588236231E-2"/>
              <c:y val="0.55784905834140774"/>
            </c:manualLayout>
          </c:layout>
          <c:overlay val="0"/>
        </c:title>
        <c:numFmt formatCode="0%" sourceLinked="1"/>
        <c:majorTickMark val="none"/>
        <c:minorTickMark val="none"/>
        <c:tickLblPos val="nextTo"/>
        <c:txPr>
          <a:bodyPr/>
          <a:lstStyle/>
          <a:p>
            <a:pPr>
              <a:defRPr sz="900"/>
            </a:pPr>
            <a:endParaRPr lang="en-US"/>
          </a:p>
        </c:txPr>
        <c:crossAx val="419925880"/>
        <c:crosses val="autoZero"/>
        <c:crossBetween val="between"/>
        <c:dispUnits>
          <c:builtInUnit val="thousands"/>
        </c:dispUnits>
      </c:valAx>
      <c:dTable>
        <c:showHorzBorder val="1"/>
        <c:showVertBorder val="1"/>
        <c:showOutline val="1"/>
        <c:showKeys val="1"/>
        <c:txPr>
          <a:bodyPr/>
          <a:lstStyle/>
          <a:p>
            <a:pPr rtl="0">
              <a:defRPr sz="900"/>
            </a:pPr>
            <a:endParaRPr lang="en-US"/>
          </a:p>
        </c:txPr>
      </c:dTable>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9490665656842722"/>
          <c:y val="5.3020628868382901E-2"/>
          <c:w val="0.59727817604889244"/>
          <c:h val="0.60233307375039702"/>
        </c:manualLayout>
      </c:layout>
      <c:barChart>
        <c:barDir val="col"/>
        <c:grouping val="percentStacked"/>
        <c:varyColors val="0"/>
        <c:ser>
          <c:idx val="2"/>
          <c:order val="0"/>
          <c:tx>
            <c:strRef>
              <c:f>ALLSG!$B$319</c:f>
              <c:strCache>
                <c:ptCount val="1"/>
                <c:pt idx="0">
                  <c:v>Medical supplies, equipt, health programs</c:v>
                </c:pt>
              </c:strCache>
            </c:strRef>
          </c:tx>
          <c:invertIfNegative val="0"/>
          <c:cat>
            <c:numRef>
              <c:f>ALLSG!$C$316:$F$316</c:f>
              <c:numCache>
                <c:formatCode>General</c:formatCode>
                <c:ptCount val="4"/>
                <c:pt idx="0">
                  <c:v>2010</c:v>
                </c:pt>
                <c:pt idx="1">
                  <c:v>2011</c:v>
                </c:pt>
                <c:pt idx="2">
                  <c:v>2012</c:v>
                </c:pt>
                <c:pt idx="3">
                  <c:v>2013</c:v>
                </c:pt>
              </c:numCache>
            </c:numRef>
          </c:cat>
          <c:val>
            <c:numRef>
              <c:f>ALLSG!$C$319:$F$319</c:f>
              <c:numCache>
                <c:formatCode>0</c:formatCode>
                <c:ptCount val="4"/>
                <c:pt idx="0">
                  <c:v>4.3032640000000004</c:v>
                </c:pt>
                <c:pt idx="1">
                  <c:v>2.7518004438633077</c:v>
                </c:pt>
                <c:pt idx="2">
                  <c:v>9.3375289870710425</c:v>
                </c:pt>
                <c:pt idx="3">
                  <c:v>5.3933785188598744</c:v>
                </c:pt>
              </c:numCache>
            </c:numRef>
          </c:val>
        </c:ser>
        <c:ser>
          <c:idx val="1"/>
          <c:order val="1"/>
          <c:tx>
            <c:strRef>
              <c:f>ALLSG!$B$318</c:f>
              <c:strCache>
                <c:ptCount val="1"/>
                <c:pt idx="0">
                  <c:v>O&amp;M + Transfers to health facilities</c:v>
                </c:pt>
              </c:strCache>
            </c:strRef>
          </c:tx>
          <c:invertIfNegative val="0"/>
          <c:cat>
            <c:numRef>
              <c:f>ALLSG!$C$316:$F$316</c:f>
              <c:numCache>
                <c:formatCode>General</c:formatCode>
                <c:ptCount val="4"/>
                <c:pt idx="0">
                  <c:v>2010</c:v>
                </c:pt>
                <c:pt idx="1">
                  <c:v>2011</c:v>
                </c:pt>
                <c:pt idx="2">
                  <c:v>2012</c:v>
                </c:pt>
                <c:pt idx="3">
                  <c:v>2013</c:v>
                </c:pt>
              </c:numCache>
            </c:numRef>
          </c:cat>
          <c:val>
            <c:numRef>
              <c:f>ALLSG!$C$318:$F$318</c:f>
              <c:numCache>
                <c:formatCode>0</c:formatCode>
                <c:ptCount val="4"/>
                <c:pt idx="0">
                  <c:v>44.749689600000004</c:v>
                </c:pt>
                <c:pt idx="1">
                  <c:v>41.678871412617909</c:v>
                </c:pt>
                <c:pt idx="2">
                  <c:v>31.782313484455589</c:v>
                </c:pt>
                <c:pt idx="3">
                  <c:v>25.099657379245599</c:v>
                </c:pt>
              </c:numCache>
            </c:numRef>
          </c:val>
        </c:ser>
        <c:ser>
          <c:idx val="3"/>
          <c:order val="2"/>
          <c:tx>
            <c:strRef>
              <c:f>ALLSG!$B$320</c:f>
              <c:strCache>
                <c:ptCount val="1"/>
                <c:pt idx="0">
                  <c:v>Capital costs</c:v>
                </c:pt>
              </c:strCache>
            </c:strRef>
          </c:tx>
          <c:invertIfNegative val="0"/>
          <c:cat>
            <c:numRef>
              <c:f>ALLSG!$C$316:$F$316</c:f>
              <c:numCache>
                <c:formatCode>General</c:formatCode>
                <c:ptCount val="4"/>
                <c:pt idx="0">
                  <c:v>2010</c:v>
                </c:pt>
                <c:pt idx="1">
                  <c:v>2011</c:v>
                </c:pt>
                <c:pt idx="2">
                  <c:v>2012</c:v>
                </c:pt>
                <c:pt idx="3">
                  <c:v>2013</c:v>
                </c:pt>
              </c:numCache>
            </c:numRef>
          </c:cat>
          <c:val>
            <c:numRef>
              <c:f>ALLSG!$C$320:$F$320</c:f>
              <c:numCache>
                <c:formatCode>0</c:formatCode>
                <c:ptCount val="4"/>
                <c:pt idx="0">
                  <c:v>16.237432999999989</c:v>
                </c:pt>
                <c:pt idx="1">
                  <c:v>31.101597379430899</c:v>
                </c:pt>
                <c:pt idx="2">
                  <c:v>41.044717464784796</c:v>
                </c:pt>
                <c:pt idx="3">
                  <c:v>14.045087513227728</c:v>
                </c:pt>
              </c:numCache>
            </c:numRef>
          </c:val>
        </c:ser>
        <c:ser>
          <c:idx val="0"/>
          <c:order val="3"/>
          <c:tx>
            <c:strRef>
              <c:f>ALLSG!$B$317</c:f>
              <c:strCache>
                <c:ptCount val="1"/>
                <c:pt idx="0">
                  <c:v>Labor costs</c:v>
                </c:pt>
              </c:strCache>
            </c:strRef>
          </c:tx>
          <c:invertIfNegative val="0"/>
          <c:cat>
            <c:numRef>
              <c:f>ALLSG!$C$316:$F$316</c:f>
              <c:numCache>
                <c:formatCode>General</c:formatCode>
                <c:ptCount val="4"/>
                <c:pt idx="0">
                  <c:v>2010</c:v>
                </c:pt>
                <c:pt idx="1">
                  <c:v>2011</c:v>
                </c:pt>
                <c:pt idx="2">
                  <c:v>2012</c:v>
                </c:pt>
                <c:pt idx="3">
                  <c:v>2013</c:v>
                </c:pt>
              </c:numCache>
            </c:numRef>
          </c:cat>
          <c:val>
            <c:numRef>
              <c:f>ALLSG!$C$317:$F$317</c:f>
              <c:numCache>
                <c:formatCode>0</c:formatCode>
                <c:ptCount val="4"/>
                <c:pt idx="0">
                  <c:v>85.543761020000005</c:v>
                </c:pt>
                <c:pt idx="1">
                  <c:v>129.2698971455691</c:v>
                </c:pt>
                <c:pt idx="2">
                  <c:v>171.07083088974218</c:v>
                </c:pt>
                <c:pt idx="3">
                  <c:v>175.77053120412589</c:v>
                </c:pt>
              </c:numCache>
            </c:numRef>
          </c:val>
        </c:ser>
        <c:dLbls>
          <c:showLegendKey val="0"/>
          <c:showVal val="0"/>
          <c:showCatName val="0"/>
          <c:showSerName val="0"/>
          <c:showPercent val="0"/>
          <c:showBubbleSize val="0"/>
        </c:dLbls>
        <c:gapWidth val="95"/>
        <c:overlap val="100"/>
        <c:axId val="419927448"/>
        <c:axId val="419707792"/>
      </c:barChart>
      <c:catAx>
        <c:axId val="419927448"/>
        <c:scaling>
          <c:orientation val="minMax"/>
        </c:scaling>
        <c:delete val="0"/>
        <c:axPos val="b"/>
        <c:numFmt formatCode="General" sourceLinked="1"/>
        <c:majorTickMark val="none"/>
        <c:minorTickMark val="none"/>
        <c:tickLblPos val="nextTo"/>
        <c:crossAx val="419707792"/>
        <c:crosses val="autoZero"/>
        <c:auto val="1"/>
        <c:lblAlgn val="ctr"/>
        <c:lblOffset val="100"/>
        <c:noMultiLvlLbl val="0"/>
      </c:catAx>
      <c:valAx>
        <c:axId val="419707792"/>
        <c:scaling>
          <c:orientation val="minMax"/>
        </c:scaling>
        <c:delete val="0"/>
        <c:axPos val="l"/>
        <c:majorGridlines/>
        <c:title>
          <c:tx>
            <c:rich>
              <a:bodyPr rot="0" vert="horz" anchor="b" anchorCtr="0"/>
              <a:lstStyle/>
              <a:p>
                <a:pPr>
                  <a:defRPr i="1"/>
                </a:pPr>
                <a:r>
                  <a:rPr lang="en-US" sz="900" i="1"/>
                  <a:t>Millions of 2010 US$</a:t>
                </a:r>
              </a:p>
            </c:rich>
          </c:tx>
          <c:layout>
            <c:manualLayout>
              <c:xMode val="edge"/>
              <c:yMode val="edge"/>
              <c:x val="8.5747465646396723E-2"/>
              <c:y val="0.499691338582677"/>
            </c:manualLayout>
          </c:layout>
          <c:overlay val="0"/>
        </c:title>
        <c:numFmt formatCode="0%" sourceLinked="1"/>
        <c:majorTickMark val="none"/>
        <c:minorTickMark val="none"/>
        <c:tickLblPos val="nextTo"/>
        <c:crossAx val="419927448"/>
        <c:crosses val="autoZero"/>
        <c:crossBetween val="between"/>
        <c:majorUnit val="0.2"/>
      </c:valAx>
      <c:dTable>
        <c:showHorzBorder val="1"/>
        <c:showVertBorder val="1"/>
        <c:showOutline val="1"/>
        <c:showKeys val="1"/>
        <c:txPr>
          <a:bodyPr/>
          <a:lstStyle/>
          <a:p>
            <a:pPr rtl="0">
              <a:defRPr sz="900"/>
            </a:pPr>
            <a:endParaRPr lang="en-US"/>
          </a:p>
        </c:txPr>
      </c:dTable>
    </c:plotArea>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'Ha2'!$A$11</c:f>
              <c:strCache>
                <c:ptCount val="1"/>
                <c:pt idx="0">
                  <c:v>Spending in 5 major hospitals as % of spending on govt hospitals and HCs</c:v>
                </c:pt>
              </c:strCache>
            </c:strRef>
          </c:tx>
          <c:cat>
            <c:numRef>
              <c:f>'Ha2'!$B$3:$F$3</c:f>
              <c:numCache>
                <c:formatCode>General</c:formatCode>
                <c:ptCount val="5"/>
                <c:pt idx="0">
                  <c:v>2009</c:v>
                </c:pt>
                <c:pt idx="1">
                  <c:v>2010</c:v>
                </c:pt>
                <c:pt idx="2">
                  <c:v>2011</c:v>
                </c:pt>
                <c:pt idx="3">
                  <c:v>2012</c:v>
                </c:pt>
                <c:pt idx="4">
                  <c:v>2013</c:v>
                </c:pt>
              </c:numCache>
            </c:numRef>
          </c:cat>
          <c:val>
            <c:numRef>
              <c:f>'Ha2'!$B$11:$F$11</c:f>
              <c:numCache>
                <c:formatCode>0</c:formatCode>
                <c:ptCount val="5"/>
                <c:pt idx="0">
                  <c:v>50.294663049119698</c:v>
                </c:pt>
                <c:pt idx="1">
                  <c:v>46.186888065297438</c:v>
                </c:pt>
                <c:pt idx="2">
                  <c:v>44.464612684146807</c:v>
                </c:pt>
                <c:pt idx="3">
                  <c:v>40.202239618315552</c:v>
                </c:pt>
                <c:pt idx="4">
                  <c:v>31.098866522058231</c:v>
                </c:pt>
              </c:numCache>
            </c:numRef>
          </c:val>
          <c:smooth val="0"/>
        </c:ser>
        <c:ser>
          <c:idx val="1"/>
          <c:order val="1"/>
          <c:tx>
            <c:strRef>
              <c:f>'Ha2'!$A$14</c:f>
              <c:strCache>
                <c:ptCount val="1"/>
                <c:pt idx="0">
                  <c:v>Spending on govt hosp &amp; HC as % of total spending</c:v>
                </c:pt>
              </c:strCache>
            </c:strRef>
          </c:tx>
          <c:cat>
            <c:numRef>
              <c:f>'Ha2'!$B$3:$F$3</c:f>
              <c:numCache>
                <c:formatCode>General</c:formatCode>
                <c:ptCount val="5"/>
                <c:pt idx="0">
                  <c:v>2009</c:v>
                </c:pt>
                <c:pt idx="1">
                  <c:v>2010</c:v>
                </c:pt>
                <c:pt idx="2">
                  <c:v>2011</c:v>
                </c:pt>
                <c:pt idx="3">
                  <c:v>2012</c:v>
                </c:pt>
                <c:pt idx="4">
                  <c:v>2013</c:v>
                </c:pt>
              </c:numCache>
            </c:numRef>
          </c:cat>
          <c:val>
            <c:numRef>
              <c:f>'Ha2'!$B$14:$F$14</c:f>
              <c:numCache>
                <c:formatCode>_(* #,##0_);_(* \(#,##0\);_(* "-"??_);_(@_)</c:formatCode>
                <c:ptCount val="5"/>
                <c:pt idx="0">
                  <c:v>14.435584444548574</c:v>
                </c:pt>
                <c:pt idx="1">
                  <c:v>18.127304142616463</c:v>
                </c:pt>
                <c:pt idx="2">
                  <c:v>10.376129251874772</c:v>
                </c:pt>
                <c:pt idx="3">
                  <c:v>4.0891741990327404</c:v>
                </c:pt>
                <c:pt idx="4">
                  <c:v>6.0847107813502337</c:v>
                </c:pt>
              </c:numCache>
            </c:numRef>
          </c:val>
          <c:smooth val="0"/>
        </c:ser>
        <c:dLbls>
          <c:showLegendKey val="0"/>
          <c:showVal val="0"/>
          <c:showCatName val="0"/>
          <c:showSerName val="0"/>
          <c:showPercent val="0"/>
          <c:showBubbleSize val="0"/>
        </c:dLbls>
        <c:marker val="1"/>
        <c:smooth val="0"/>
        <c:axId val="419708576"/>
        <c:axId val="419708968"/>
      </c:lineChart>
      <c:catAx>
        <c:axId val="419708576"/>
        <c:scaling>
          <c:orientation val="minMax"/>
        </c:scaling>
        <c:delete val="0"/>
        <c:axPos val="b"/>
        <c:numFmt formatCode="General" sourceLinked="1"/>
        <c:majorTickMark val="out"/>
        <c:minorTickMark val="none"/>
        <c:tickLblPos val="nextTo"/>
        <c:crossAx val="419708968"/>
        <c:crosses val="autoZero"/>
        <c:auto val="1"/>
        <c:lblAlgn val="ctr"/>
        <c:lblOffset val="100"/>
        <c:noMultiLvlLbl val="0"/>
      </c:catAx>
      <c:valAx>
        <c:axId val="419708968"/>
        <c:scaling>
          <c:orientation val="minMax"/>
        </c:scaling>
        <c:delete val="0"/>
        <c:axPos val="l"/>
        <c:majorGridlines/>
        <c:numFmt formatCode="0" sourceLinked="1"/>
        <c:majorTickMark val="out"/>
        <c:minorTickMark val="none"/>
        <c:tickLblPos val="nextTo"/>
        <c:crossAx val="419708576"/>
        <c:crosses val="autoZero"/>
        <c:crossBetween val="between"/>
      </c:valAx>
    </c:plotArea>
    <c:legend>
      <c:legendPos val="b"/>
      <c:layout>
        <c:manualLayout>
          <c:xMode val="edge"/>
          <c:yMode val="edge"/>
          <c:x val="2.8401137357830317E-2"/>
          <c:y val="0.79716667215761206"/>
          <c:w val="0.94319772528433898"/>
          <c:h val="0.17748448807916126"/>
        </c:manualLayout>
      </c:layout>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874692492706702"/>
          <c:y val="5.1400554097404495E-2"/>
          <c:w val="0.67817717907212904"/>
          <c:h val="0.64989312610434746"/>
        </c:manualLayout>
      </c:layout>
      <c:barChart>
        <c:barDir val="col"/>
        <c:grouping val="clustered"/>
        <c:varyColors val="0"/>
        <c:ser>
          <c:idx val="0"/>
          <c:order val="0"/>
          <c:tx>
            <c:strRef>
              <c:f>'1'!$B$39</c:f>
              <c:strCache>
                <c:ptCount val="1"/>
                <c:pt idx="0">
                  <c:v>Percent</c:v>
                </c:pt>
              </c:strCache>
            </c:strRef>
          </c:tx>
          <c:invertIfNegative val="0"/>
          <c:dLbls>
            <c:numFmt formatCode="#,##0.0" sourceLinked="0"/>
            <c:spPr>
              <a:noFill/>
              <a:ln>
                <a:noFill/>
              </a:ln>
              <a:effectLst/>
            </c:spPr>
            <c:txPr>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'1'!$A$40:$A$45</c:f>
              <c:strCache>
                <c:ptCount val="6"/>
                <c:pt idx="0">
                  <c:v>Local govt</c:v>
                </c:pt>
                <c:pt idx="1">
                  <c:v>Insurance</c:v>
                </c:pt>
                <c:pt idx="2">
                  <c:v>Domestic donations</c:v>
                </c:pt>
                <c:pt idx="3">
                  <c:v>Central govt</c:v>
                </c:pt>
                <c:pt idx="4">
                  <c:v>External donors</c:v>
                </c:pt>
                <c:pt idx="5">
                  <c:v>User fees, drugs</c:v>
                </c:pt>
              </c:strCache>
            </c:strRef>
          </c:cat>
          <c:val>
            <c:numRef>
              <c:f>'1'!$B$40:$B$45</c:f>
              <c:numCache>
                <c:formatCode>_(* #,##0.00_);_(* \(#,##0.00\);_(* "-"??_);_(@_)</c:formatCode>
                <c:ptCount val="6"/>
                <c:pt idx="0">
                  <c:v>4.1372458897794701E-2</c:v>
                </c:pt>
                <c:pt idx="1">
                  <c:v>7.5411679722127423E-2</c:v>
                </c:pt>
                <c:pt idx="2">
                  <c:v>3.540792989682831</c:v>
                </c:pt>
                <c:pt idx="3">
                  <c:v>20.109071611623392</c:v>
                </c:pt>
                <c:pt idx="4">
                  <c:v>22.099514687317502</c:v>
                </c:pt>
                <c:pt idx="5">
                  <c:v>54.133836572756174</c:v>
                </c:pt>
              </c:numCache>
            </c:numRef>
          </c:val>
        </c:ser>
        <c:dLbls>
          <c:showLegendKey val="0"/>
          <c:showVal val="0"/>
          <c:showCatName val="0"/>
          <c:showSerName val="0"/>
          <c:showPercent val="0"/>
          <c:showBubbleSize val="0"/>
        </c:dLbls>
        <c:gapWidth val="41"/>
        <c:axId val="419709752"/>
        <c:axId val="419710144"/>
      </c:barChart>
      <c:catAx>
        <c:axId val="419709752"/>
        <c:scaling>
          <c:orientation val="minMax"/>
        </c:scaling>
        <c:delete val="0"/>
        <c:axPos val="b"/>
        <c:numFmt formatCode="General" sourceLinked="0"/>
        <c:majorTickMark val="out"/>
        <c:minorTickMark val="none"/>
        <c:tickLblPos val="nextTo"/>
        <c:txPr>
          <a:bodyPr/>
          <a:lstStyle/>
          <a:p>
            <a:pPr>
              <a:defRPr sz="800"/>
            </a:pPr>
            <a:endParaRPr lang="en-US"/>
          </a:p>
        </c:txPr>
        <c:crossAx val="419710144"/>
        <c:crosses val="autoZero"/>
        <c:auto val="1"/>
        <c:lblAlgn val="ctr"/>
        <c:lblOffset val="100"/>
        <c:noMultiLvlLbl val="0"/>
      </c:catAx>
      <c:valAx>
        <c:axId val="419710144"/>
        <c:scaling>
          <c:orientation val="minMax"/>
        </c:scaling>
        <c:delete val="0"/>
        <c:axPos val="l"/>
        <c:majorGridlines/>
        <c:numFmt formatCode="_(* #,##0_);_(* \(#,##0\);_(* &quot;-&quot;_);_(@_)" sourceLinked="0"/>
        <c:majorTickMark val="out"/>
        <c:minorTickMark val="none"/>
        <c:tickLblPos val="nextTo"/>
        <c:txPr>
          <a:bodyPr/>
          <a:lstStyle/>
          <a:p>
            <a:pPr>
              <a:defRPr sz="900"/>
            </a:pPr>
            <a:endParaRPr lang="en-US"/>
          </a:p>
        </c:txPr>
        <c:crossAx val="419709752"/>
        <c:crosses val="autoZero"/>
        <c:crossBetween val="between"/>
      </c:valAx>
    </c:plotArea>
    <c:plotVisOnly val="1"/>
    <c:dispBlanksAs val="gap"/>
    <c:showDLblsOverMax val="0"/>
  </c:chart>
  <c:spPr>
    <a:ln>
      <a:noFill/>
    </a:ln>
  </c:spPr>
  <c:externalData r:id="rId2">
    <c:autoUpdate val="0"/>
  </c:externalData>
  <c:userShapes r:id="rId3"/>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021491878733022"/>
          <c:y val="5.1400554097404495E-2"/>
          <c:w val="0.73922933546352076"/>
          <c:h val="0.62841072704489642"/>
        </c:manualLayout>
      </c:layout>
      <c:barChart>
        <c:barDir val="col"/>
        <c:grouping val="clustered"/>
        <c:varyColors val="0"/>
        <c:ser>
          <c:idx val="0"/>
          <c:order val="0"/>
          <c:tx>
            <c:strRef>
              <c:f>'1'!$G$39</c:f>
              <c:strCache>
                <c:ptCount val="1"/>
                <c:pt idx="0">
                  <c:v>Percent</c:v>
                </c:pt>
              </c:strCache>
            </c:strRef>
          </c:tx>
          <c:invertIfNegative val="0"/>
          <c:dLbls>
            <c:numFmt formatCode="#,##0.0" sourceLinked="0"/>
            <c:spPr>
              <a:noFill/>
              <a:ln>
                <a:noFill/>
              </a:ln>
              <a:effectLst/>
            </c:spPr>
            <c:txPr>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'1'!$F$40:$F$45</c:f>
              <c:strCache>
                <c:ptCount val="6"/>
                <c:pt idx="0">
                  <c:v>Local govt</c:v>
                </c:pt>
                <c:pt idx="1">
                  <c:v>Central govt</c:v>
                </c:pt>
                <c:pt idx="2">
                  <c:v>Insurance </c:v>
                </c:pt>
                <c:pt idx="3">
                  <c:v>Domestic donations</c:v>
                </c:pt>
                <c:pt idx="4">
                  <c:v>User fees, drugs</c:v>
                </c:pt>
                <c:pt idx="5">
                  <c:v>External donors</c:v>
                </c:pt>
              </c:strCache>
            </c:strRef>
          </c:cat>
          <c:val>
            <c:numRef>
              <c:f>'1'!$G$40:$G$45</c:f>
              <c:numCache>
                <c:formatCode>_(* #,##0.00_);_(* \(#,##0.00\);_(* "-"??_);_(@_)</c:formatCode>
                <c:ptCount val="6"/>
                <c:pt idx="0">
                  <c:v>8.1849932068846845E-2</c:v>
                </c:pt>
                <c:pt idx="1">
                  <c:v>2.0111928546984661</c:v>
                </c:pt>
                <c:pt idx="2">
                  <c:v>2.105991395861988</c:v>
                </c:pt>
                <c:pt idx="3">
                  <c:v>5.6773129750571547</c:v>
                </c:pt>
                <c:pt idx="4">
                  <c:v>14.54692659131597</c:v>
                </c:pt>
                <c:pt idx="5">
                  <c:v>75.576726250997609</c:v>
                </c:pt>
              </c:numCache>
            </c:numRef>
          </c:val>
        </c:ser>
        <c:dLbls>
          <c:showLegendKey val="0"/>
          <c:showVal val="0"/>
          <c:showCatName val="0"/>
          <c:showSerName val="0"/>
          <c:showPercent val="0"/>
          <c:showBubbleSize val="0"/>
        </c:dLbls>
        <c:gapWidth val="34"/>
        <c:axId val="419710928"/>
        <c:axId val="419711320"/>
      </c:barChart>
      <c:catAx>
        <c:axId val="419710928"/>
        <c:scaling>
          <c:orientation val="minMax"/>
        </c:scaling>
        <c:delete val="0"/>
        <c:axPos val="b"/>
        <c:numFmt formatCode="General" sourceLinked="0"/>
        <c:majorTickMark val="out"/>
        <c:minorTickMark val="none"/>
        <c:tickLblPos val="nextTo"/>
        <c:txPr>
          <a:bodyPr/>
          <a:lstStyle/>
          <a:p>
            <a:pPr>
              <a:defRPr sz="800"/>
            </a:pPr>
            <a:endParaRPr lang="en-US"/>
          </a:p>
        </c:txPr>
        <c:crossAx val="419711320"/>
        <c:crosses val="autoZero"/>
        <c:auto val="1"/>
        <c:lblAlgn val="ctr"/>
        <c:lblOffset val="100"/>
        <c:noMultiLvlLbl val="0"/>
      </c:catAx>
      <c:valAx>
        <c:axId val="419711320"/>
        <c:scaling>
          <c:orientation val="minMax"/>
        </c:scaling>
        <c:delete val="0"/>
        <c:axPos val="l"/>
        <c:majorGridlines/>
        <c:numFmt formatCode="_(* #,##0_);_(* \(#,##0\);_(* &quot;-&quot;_);_(@_)" sourceLinked="0"/>
        <c:majorTickMark val="out"/>
        <c:minorTickMark val="none"/>
        <c:tickLblPos val="nextTo"/>
        <c:txPr>
          <a:bodyPr/>
          <a:lstStyle/>
          <a:p>
            <a:pPr>
              <a:defRPr sz="900"/>
            </a:pPr>
            <a:endParaRPr lang="en-US"/>
          </a:p>
        </c:txPr>
        <c:crossAx val="419710928"/>
        <c:crosses val="autoZero"/>
        <c:crossBetween val="between"/>
      </c:valAx>
    </c:plotArea>
    <c:plotVisOnly val="1"/>
    <c:dispBlanksAs val="gap"/>
    <c:showDLblsOverMax val="0"/>
  </c:chart>
  <c:spPr>
    <a:ln>
      <a:noFill/>
    </a:ln>
  </c:sp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'Ha Feb 2015'!$F$37</c:f>
              <c:strCache>
                <c:ptCount val="1"/>
                <c:pt idx="0">
                  <c:v>2013 expenditure per 1000 pop.</c:v>
                </c:pt>
              </c:strCache>
            </c:strRef>
          </c:tx>
          <c:invertIfNegative val="0"/>
          <c:cat>
            <c:strRef>
              <c:f>Ha!$A$86:$A$93</c:f>
              <c:strCache>
                <c:ptCount val="8"/>
                <c:pt idx="0">
                  <c:v>Masvingo</c:v>
                </c:pt>
                <c:pt idx="1">
                  <c:v>Mash East</c:v>
                </c:pt>
                <c:pt idx="2">
                  <c:v>Midlands</c:v>
                </c:pt>
                <c:pt idx="3">
                  <c:v>Manicaland</c:v>
                </c:pt>
                <c:pt idx="4">
                  <c:v>Mat South</c:v>
                </c:pt>
                <c:pt idx="5">
                  <c:v>Mash West</c:v>
                </c:pt>
                <c:pt idx="6">
                  <c:v>Mash Central</c:v>
                </c:pt>
                <c:pt idx="7">
                  <c:v>Mat North</c:v>
                </c:pt>
              </c:strCache>
            </c:strRef>
          </c:cat>
          <c:val>
            <c:numRef>
              <c:f>'Ha Feb 2015'!$F$38:$F$45</c:f>
              <c:numCache>
                <c:formatCode>0</c:formatCode>
                <c:ptCount val="8"/>
                <c:pt idx="0">
                  <c:v>850.2259122342756</c:v>
                </c:pt>
                <c:pt idx="1">
                  <c:v>891.77035662903563</c:v>
                </c:pt>
                <c:pt idx="2">
                  <c:v>888.62255648967937</c:v>
                </c:pt>
                <c:pt idx="3">
                  <c:v>967.10271820929802</c:v>
                </c:pt>
                <c:pt idx="4">
                  <c:v>1398.8606404803099</c:v>
                </c:pt>
                <c:pt idx="5">
                  <c:v>872</c:v>
                </c:pt>
                <c:pt idx="6">
                  <c:v>1610.4735709575541</c:v>
                </c:pt>
                <c:pt idx="7">
                  <c:v>1449.2848626933699</c:v>
                </c:pt>
              </c:numCache>
            </c:numRef>
          </c:val>
        </c:ser>
        <c:dLbls>
          <c:showLegendKey val="0"/>
          <c:showVal val="0"/>
          <c:showCatName val="0"/>
          <c:showSerName val="0"/>
          <c:showPercent val="0"/>
          <c:showBubbleSize val="0"/>
        </c:dLbls>
        <c:gapWidth val="150"/>
        <c:axId val="419809288"/>
        <c:axId val="419809680"/>
      </c:barChart>
      <c:lineChart>
        <c:grouping val="standard"/>
        <c:varyColors val="0"/>
        <c:ser>
          <c:idx val="1"/>
          <c:order val="1"/>
          <c:tx>
            <c:strRef>
              <c:f>Ha!$H$85</c:f>
              <c:strCache>
                <c:ptCount val="1"/>
                <c:pt idx="0">
                  <c:v>extreme poverty rate (%)</c:v>
                </c:pt>
              </c:strCache>
            </c:strRef>
          </c:tx>
          <c:cat>
            <c:strRef>
              <c:f>Ha!$A$86:$A$93</c:f>
              <c:strCache>
                <c:ptCount val="8"/>
                <c:pt idx="0">
                  <c:v>Masvingo</c:v>
                </c:pt>
                <c:pt idx="1">
                  <c:v>Mash East</c:v>
                </c:pt>
                <c:pt idx="2">
                  <c:v>Midlands</c:v>
                </c:pt>
                <c:pt idx="3">
                  <c:v>Manicaland</c:v>
                </c:pt>
                <c:pt idx="4">
                  <c:v>Mat South</c:v>
                </c:pt>
                <c:pt idx="5">
                  <c:v>Mash West</c:v>
                </c:pt>
                <c:pt idx="6">
                  <c:v>Mash Central</c:v>
                </c:pt>
                <c:pt idx="7">
                  <c:v>Mat North</c:v>
                </c:pt>
              </c:strCache>
            </c:strRef>
          </c:cat>
          <c:val>
            <c:numRef>
              <c:f>Ha!$H$86:$H$93</c:f>
              <c:numCache>
                <c:formatCode>General</c:formatCode>
                <c:ptCount val="8"/>
                <c:pt idx="0">
                  <c:v>13.8</c:v>
                </c:pt>
                <c:pt idx="1">
                  <c:v>17.3</c:v>
                </c:pt>
                <c:pt idx="2">
                  <c:v>18.5</c:v>
                </c:pt>
                <c:pt idx="3">
                  <c:v>18.7</c:v>
                </c:pt>
                <c:pt idx="4">
                  <c:v>19.399999999999999</c:v>
                </c:pt>
                <c:pt idx="5">
                  <c:v>21.8</c:v>
                </c:pt>
                <c:pt idx="6">
                  <c:v>22</c:v>
                </c:pt>
                <c:pt idx="7">
                  <c:v>36.9</c:v>
                </c:pt>
              </c:numCache>
            </c:numRef>
          </c:val>
          <c:smooth val="0"/>
        </c:ser>
        <c:dLbls>
          <c:showLegendKey val="0"/>
          <c:showVal val="0"/>
          <c:showCatName val="0"/>
          <c:showSerName val="0"/>
          <c:showPercent val="0"/>
          <c:showBubbleSize val="0"/>
        </c:dLbls>
        <c:marker val="1"/>
        <c:smooth val="0"/>
        <c:axId val="419810464"/>
        <c:axId val="419810072"/>
      </c:lineChart>
      <c:catAx>
        <c:axId val="419809288"/>
        <c:scaling>
          <c:orientation val="minMax"/>
        </c:scaling>
        <c:delete val="0"/>
        <c:axPos val="b"/>
        <c:numFmt formatCode="General" sourceLinked="0"/>
        <c:majorTickMark val="out"/>
        <c:minorTickMark val="none"/>
        <c:tickLblPos val="nextTo"/>
        <c:txPr>
          <a:bodyPr/>
          <a:lstStyle/>
          <a:p>
            <a:pPr>
              <a:defRPr sz="900"/>
            </a:pPr>
            <a:endParaRPr lang="en-US"/>
          </a:p>
        </c:txPr>
        <c:crossAx val="419809680"/>
        <c:crosses val="autoZero"/>
        <c:auto val="1"/>
        <c:lblAlgn val="ctr"/>
        <c:lblOffset val="100"/>
        <c:noMultiLvlLbl val="0"/>
      </c:catAx>
      <c:valAx>
        <c:axId val="419809680"/>
        <c:scaling>
          <c:orientation val="minMax"/>
        </c:scaling>
        <c:delete val="0"/>
        <c:axPos val="l"/>
        <c:majorGridlines/>
        <c:title>
          <c:tx>
            <c:rich>
              <a:bodyPr rot="-5400000" vert="horz"/>
              <a:lstStyle/>
              <a:p>
                <a:pPr>
                  <a:defRPr/>
                </a:pPr>
                <a:r>
                  <a:rPr lang="en-US"/>
                  <a:t> US</a:t>
                </a:r>
                <a:r>
                  <a:rPr lang="en-US" baseline="0"/>
                  <a:t> dollars</a:t>
                </a:r>
                <a:endParaRPr lang="en-US"/>
              </a:p>
            </c:rich>
          </c:tx>
          <c:overlay val="0"/>
        </c:title>
        <c:numFmt formatCode="0" sourceLinked="1"/>
        <c:majorTickMark val="out"/>
        <c:minorTickMark val="none"/>
        <c:tickLblPos val="nextTo"/>
        <c:crossAx val="419809288"/>
        <c:crosses val="autoZero"/>
        <c:crossBetween val="between"/>
      </c:valAx>
      <c:valAx>
        <c:axId val="419810072"/>
        <c:scaling>
          <c:orientation val="minMax"/>
        </c:scaling>
        <c:delete val="0"/>
        <c:axPos val="r"/>
        <c:title>
          <c:tx>
            <c:rich>
              <a:bodyPr rot="-5400000" vert="horz"/>
              <a:lstStyle/>
              <a:p>
                <a:pPr>
                  <a:defRPr/>
                </a:pPr>
                <a:r>
                  <a:rPr lang="en-US"/>
                  <a:t>Percent</a:t>
                </a:r>
              </a:p>
            </c:rich>
          </c:tx>
          <c:overlay val="0"/>
        </c:title>
        <c:numFmt formatCode="General" sourceLinked="1"/>
        <c:majorTickMark val="out"/>
        <c:minorTickMark val="none"/>
        <c:tickLblPos val="nextTo"/>
        <c:crossAx val="419810464"/>
        <c:crosses val="max"/>
        <c:crossBetween val="between"/>
      </c:valAx>
      <c:catAx>
        <c:axId val="419810464"/>
        <c:scaling>
          <c:orientation val="minMax"/>
        </c:scaling>
        <c:delete val="1"/>
        <c:axPos val="b"/>
        <c:numFmt formatCode="General" sourceLinked="1"/>
        <c:majorTickMark val="out"/>
        <c:minorTickMark val="none"/>
        <c:tickLblPos val="none"/>
        <c:crossAx val="419810072"/>
        <c:crosses val="autoZero"/>
        <c:auto val="1"/>
        <c:lblAlgn val="ctr"/>
        <c:lblOffset val="100"/>
        <c:noMultiLvlLbl val="0"/>
      </c:catAx>
    </c:plotArea>
    <c:legend>
      <c:legendPos val="b"/>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1"/>
    </mc:Choice>
    <mc:Fallback>
      <c:style val="11"/>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Sheet2!$G$15</c:f>
              <c:strCache>
                <c:ptCount val="1"/>
                <c:pt idx="0">
                  <c:v>&lt; 1 Year</c:v>
                </c:pt>
              </c:strCache>
            </c:strRef>
          </c:tx>
          <c:invertIfNegative val="0"/>
          <c:cat>
            <c:strRef>
              <c:f>Sheet2!$F$16:$F$23</c:f>
              <c:strCache>
                <c:ptCount val="8"/>
                <c:pt idx="0">
                  <c:v>ARI</c:v>
                </c:pt>
                <c:pt idx="1">
                  <c:v>Peri-Natal Conditions</c:v>
                </c:pt>
                <c:pt idx="2">
                  <c:v>Nutritional Deficiencies</c:v>
                </c:pt>
                <c:pt idx="3">
                  <c:v>Intestinal Conditions</c:v>
                </c:pt>
                <c:pt idx="4">
                  <c:v>Ill-Defined Conditions</c:v>
                </c:pt>
                <c:pt idx="5">
                  <c:v>Malaria</c:v>
                </c:pt>
                <c:pt idx="6">
                  <c:v>HIV Related/AIDS</c:v>
                </c:pt>
                <c:pt idx="7">
                  <c:v>Other Viral Diseases</c:v>
                </c:pt>
              </c:strCache>
            </c:strRef>
          </c:cat>
          <c:val>
            <c:numRef>
              <c:f>Sheet2!$G$16:$G$23</c:f>
              <c:numCache>
                <c:formatCode>General</c:formatCode>
                <c:ptCount val="8"/>
                <c:pt idx="0">
                  <c:v>391</c:v>
                </c:pt>
                <c:pt idx="1">
                  <c:v>453</c:v>
                </c:pt>
                <c:pt idx="2">
                  <c:v>96</c:v>
                </c:pt>
                <c:pt idx="3">
                  <c:v>167</c:v>
                </c:pt>
                <c:pt idx="4">
                  <c:v>99</c:v>
                </c:pt>
                <c:pt idx="5">
                  <c:v>36</c:v>
                </c:pt>
                <c:pt idx="6">
                  <c:v>35</c:v>
                </c:pt>
                <c:pt idx="7">
                  <c:v>32</c:v>
                </c:pt>
              </c:numCache>
            </c:numRef>
          </c:val>
        </c:ser>
        <c:ser>
          <c:idx val="1"/>
          <c:order val="1"/>
          <c:tx>
            <c:strRef>
              <c:f>Sheet2!$H$15</c:f>
              <c:strCache>
                <c:ptCount val="1"/>
                <c:pt idx="0">
                  <c:v>1 - 4 Years</c:v>
                </c:pt>
              </c:strCache>
            </c:strRef>
          </c:tx>
          <c:invertIfNegative val="0"/>
          <c:cat>
            <c:strRef>
              <c:f>Sheet2!$F$16:$F$23</c:f>
              <c:strCache>
                <c:ptCount val="8"/>
                <c:pt idx="0">
                  <c:v>ARI</c:v>
                </c:pt>
                <c:pt idx="1">
                  <c:v>Peri-Natal Conditions</c:v>
                </c:pt>
                <c:pt idx="2">
                  <c:v>Nutritional Deficiencies</c:v>
                </c:pt>
                <c:pt idx="3">
                  <c:v>Intestinal Conditions</c:v>
                </c:pt>
                <c:pt idx="4">
                  <c:v>Ill-Defined Conditions</c:v>
                </c:pt>
                <c:pt idx="5">
                  <c:v>Malaria</c:v>
                </c:pt>
                <c:pt idx="6">
                  <c:v>HIV Related/AIDS</c:v>
                </c:pt>
                <c:pt idx="7">
                  <c:v>Other Viral Diseases</c:v>
                </c:pt>
              </c:strCache>
            </c:strRef>
          </c:cat>
          <c:val>
            <c:numRef>
              <c:f>Sheet2!$H$16:$H$23</c:f>
              <c:numCache>
                <c:formatCode>General</c:formatCode>
                <c:ptCount val="8"/>
                <c:pt idx="0">
                  <c:v>163</c:v>
                </c:pt>
                <c:pt idx="1">
                  <c:v>0</c:v>
                </c:pt>
                <c:pt idx="2">
                  <c:v>214</c:v>
                </c:pt>
                <c:pt idx="3">
                  <c:v>129</c:v>
                </c:pt>
                <c:pt idx="4">
                  <c:v>32</c:v>
                </c:pt>
                <c:pt idx="5">
                  <c:v>36</c:v>
                </c:pt>
                <c:pt idx="6">
                  <c:v>32</c:v>
                </c:pt>
                <c:pt idx="7">
                  <c:v>27</c:v>
                </c:pt>
              </c:numCache>
            </c:numRef>
          </c:val>
        </c:ser>
        <c:dLbls>
          <c:showLegendKey val="0"/>
          <c:showVal val="0"/>
          <c:showCatName val="0"/>
          <c:showSerName val="0"/>
          <c:showPercent val="0"/>
          <c:showBubbleSize val="0"/>
        </c:dLbls>
        <c:gapWidth val="55"/>
        <c:overlap val="100"/>
        <c:axId val="335918680"/>
        <c:axId val="335919072"/>
      </c:barChart>
      <c:catAx>
        <c:axId val="335918680"/>
        <c:scaling>
          <c:orientation val="minMax"/>
        </c:scaling>
        <c:delete val="0"/>
        <c:axPos val="b"/>
        <c:numFmt formatCode="General" sourceLinked="0"/>
        <c:majorTickMark val="none"/>
        <c:minorTickMark val="none"/>
        <c:tickLblPos val="nextTo"/>
        <c:crossAx val="335919072"/>
        <c:crosses val="autoZero"/>
        <c:auto val="1"/>
        <c:lblAlgn val="ctr"/>
        <c:lblOffset val="100"/>
        <c:noMultiLvlLbl val="0"/>
      </c:catAx>
      <c:valAx>
        <c:axId val="335919072"/>
        <c:scaling>
          <c:orientation val="minMax"/>
        </c:scaling>
        <c:delete val="0"/>
        <c:axPos val="l"/>
        <c:majorGridlines/>
        <c:title>
          <c:tx>
            <c:rich>
              <a:bodyPr rot="-5400000" vert="horz"/>
              <a:lstStyle/>
              <a:p>
                <a:pPr>
                  <a:defRPr/>
                </a:pPr>
                <a:r>
                  <a:rPr lang="en-US"/>
                  <a:t>Number of Deaths</a:t>
                </a:r>
              </a:p>
            </c:rich>
          </c:tx>
          <c:layout/>
          <c:overlay val="0"/>
        </c:title>
        <c:numFmt formatCode="General" sourceLinked="1"/>
        <c:majorTickMark val="none"/>
        <c:minorTickMark val="none"/>
        <c:tickLblPos val="nextTo"/>
        <c:crossAx val="335918680"/>
        <c:crosses val="autoZero"/>
        <c:crossBetween val="between"/>
      </c:valAx>
    </c:plotArea>
    <c:legend>
      <c:legendPos val="r"/>
      <c:layout/>
      <c:overlay val="0"/>
    </c:legend>
    <c:plotVisOnly val="1"/>
    <c:dispBlanksAs val="gap"/>
    <c:showDLblsOverMax val="0"/>
  </c:chart>
  <c:txPr>
    <a:bodyPr/>
    <a:lstStyle/>
    <a:p>
      <a:pPr>
        <a:defRPr>
          <a:latin typeface="Tahoma"/>
          <a:cs typeface="Tahoma"/>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'Summarised SCI'!$A$63</c:f>
              <c:strCache>
                <c:ptCount val="1"/>
                <c:pt idx="0">
                  <c:v>Programs and interventions</c:v>
                </c:pt>
              </c:strCache>
            </c:strRef>
          </c:tx>
          <c:invertIfNegative val="0"/>
          <c:cat>
            <c:numRef>
              <c:f>'Summarised SCI'!$B$62:$F$62</c:f>
              <c:numCache>
                <c:formatCode>General</c:formatCode>
                <c:ptCount val="5"/>
                <c:pt idx="0">
                  <c:v>2009</c:v>
                </c:pt>
                <c:pt idx="1">
                  <c:v>2010</c:v>
                </c:pt>
                <c:pt idx="2">
                  <c:v>2011</c:v>
                </c:pt>
                <c:pt idx="3">
                  <c:v>2012</c:v>
                </c:pt>
                <c:pt idx="4">
                  <c:v>2013</c:v>
                </c:pt>
              </c:numCache>
            </c:numRef>
          </c:cat>
          <c:val>
            <c:numRef>
              <c:f>'Summarised SCI'!$B$63:$F$63</c:f>
              <c:numCache>
                <c:formatCode>_-* #,##0.00\ _€_-;\-* #,##0.00\ _€_-;_-* "-"??\ _€_-;_-@_-</c:formatCode>
                <c:ptCount val="5"/>
                <c:pt idx="0">
                  <c:v>1.5724609999999999</c:v>
                </c:pt>
                <c:pt idx="1">
                  <c:v>8.3440137118875484</c:v>
                </c:pt>
                <c:pt idx="2">
                  <c:v>16.428910258559924</c:v>
                </c:pt>
                <c:pt idx="3">
                  <c:v>21.592014727423887</c:v>
                </c:pt>
                <c:pt idx="4">
                  <c:v>19.619431450685308</c:v>
                </c:pt>
              </c:numCache>
            </c:numRef>
          </c:val>
        </c:ser>
        <c:ser>
          <c:idx val="1"/>
          <c:order val="1"/>
          <c:tx>
            <c:strRef>
              <c:f>'Summarised SCI'!$A$64</c:f>
              <c:strCache>
                <c:ptCount val="1"/>
                <c:pt idx="0">
                  <c:v>Coordination and capacity building</c:v>
                </c:pt>
              </c:strCache>
            </c:strRef>
          </c:tx>
          <c:invertIfNegative val="0"/>
          <c:cat>
            <c:numRef>
              <c:f>'Summarised SCI'!$B$62:$F$62</c:f>
              <c:numCache>
                <c:formatCode>General</c:formatCode>
                <c:ptCount val="5"/>
                <c:pt idx="0">
                  <c:v>2009</c:v>
                </c:pt>
                <c:pt idx="1">
                  <c:v>2010</c:v>
                </c:pt>
                <c:pt idx="2">
                  <c:v>2011</c:v>
                </c:pt>
                <c:pt idx="3">
                  <c:v>2012</c:v>
                </c:pt>
                <c:pt idx="4">
                  <c:v>2013</c:v>
                </c:pt>
              </c:numCache>
            </c:numRef>
          </c:cat>
          <c:val>
            <c:numRef>
              <c:f>'Summarised SCI'!$B$64:$F$64</c:f>
              <c:numCache>
                <c:formatCode>_-* #,##0.00\ _€_-;\-* #,##0.00\ _€_-;_-* "-"??\ _€_-;_-@_-</c:formatCode>
                <c:ptCount val="5"/>
                <c:pt idx="0">
                  <c:v>0.53398900000000005</c:v>
                </c:pt>
                <c:pt idx="1">
                  <c:v>1.5649035374137361</c:v>
                </c:pt>
                <c:pt idx="2">
                  <c:v>1.7733651363224778</c:v>
                </c:pt>
                <c:pt idx="3">
                  <c:v>1.3706124549665517</c:v>
                </c:pt>
                <c:pt idx="4">
                  <c:v>1.248092833767448</c:v>
                </c:pt>
              </c:numCache>
            </c:numRef>
          </c:val>
        </c:ser>
        <c:ser>
          <c:idx val="2"/>
          <c:order val="2"/>
          <c:tx>
            <c:strRef>
              <c:f>'Summarised SCI'!$A$65</c:f>
              <c:strCache>
                <c:ptCount val="1"/>
                <c:pt idx="0">
                  <c:v>Logistics and support</c:v>
                </c:pt>
              </c:strCache>
            </c:strRef>
          </c:tx>
          <c:invertIfNegative val="0"/>
          <c:cat>
            <c:numRef>
              <c:f>'Summarised SCI'!$B$62:$F$62</c:f>
              <c:numCache>
                <c:formatCode>General</c:formatCode>
                <c:ptCount val="5"/>
                <c:pt idx="0">
                  <c:v>2009</c:v>
                </c:pt>
                <c:pt idx="1">
                  <c:v>2010</c:v>
                </c:pt>
                <c:pt idx="2">
                  <c:v>2011</c:v>
                </c:pt>
                <c:pt idx="3">
                  <c:v>2012</c:v>
                </c:pt>
                <c:pt idx="4">
                  <c:v>2013</c:v>
                </c:pt>
              </c:numCache>
            </c:numRef>
          </c:cat>
          <c:val>
            <c:numRef>
              <c:f>'Summarised SCI'!$B$65:$F$65</c:f>
              <c:numCache>
                <c:formatCode>_-* #,##0.00\ _€_-;\-* #,##0.00\ _€_-;_-* "-"??\ _€_-;_-@_-</c:formatCode>
                <c:ptCount val="5"/>
                <c:pt idx="0">
                  <c:v>0.67896400000000146</c:v>
                </c:pt>
                <c:pt idx="1">
                  <c:v>1.1344407159848411</c:v>
                </c:pt>
                <c:pt idx="2">
                  <c:v>1.3822847848687112</c:v>
                </c:pt>
                <c:pt idx="3">
                  <c:v>1.317280177362524</c:v>
                </c:pt>
                <c:pt idx="4">
                  <c:v>1.40060814651558</c:v>
                </c:pt>
              </c:numCache>
            </c:numRef>
          </c:val>
        </c:ser>
        <c:ser>
          <c:idx val="3"/>
          <c:order val="3"/>
          <c:tx>
            <c:strRef>
              <c:f>'Summarised SCI'!$A$66</c:f>
              <c:strCache>
                <c:ptCount val="1"/>
                <c:pt idx="0">
                  <c:v>Board expenses</c:v>
                </c:pt>
              </c:strCache>
            </c:strRef>
          </c:tx>
          <c:invertIfNegative val="0"/>
          <c:cat>
            <c:numRef>
              <c:f>'Summarised SCI'!$B$62:$F$62</c:f>
              <c:numCache>
                <c:formatCode>General</c:formatCode>
                <c:ptCount val="5"/>
                <c:pt idx="0">
                  <c:v>2009</c:v>
                </c:pt>
                <c:pt idx="1">
                  <c:v>2010</c:v>
                </c:pt>
                <c:pt idx="2">
                  <c:v>2011</c:v>
                </c:pt>
                <c:pt idx="3">
                  <c:v>2012</c:v>
                </c:pt>
                <c:pt idx="4">
                  <c:v>2013</c:v>
                </c:pt>
              </c:numCache>
            </c:numRef>
          </c:cat>
          <c:val>
            <c:numRef>
              <c:f>'Summarised SCI'!$B$66:$F$66</c:f>
              <c:numCache>
                <c:formatCode>_-* #,##0.00\ _€_-;\-* #,##0.00\ _€_-;_-* "-"??\ _€_-;_-@_-</c:formatCode>
                <c:ptCount val="5"/>
                <c:pt idx="0">
                  <c:v>3.5830000000000028E-2</c:v>
                </c:pt>
                <c:pt idx="1">
                  <c:v>4.8940403939906514E-2</c:v>
                </c:pt>
                <c:pt idx="2">
                  <c:v>4.2950803179181096E-2</c:v>
                </c:pt>
                <c:pt idx="3">
                  <c:v>9.1579239083099243E-2</c:v>
                </c:pt>
                <c:pt idx="4">
                  <c:v>6.3805368181244701E-2</c:v>
                </c:pt>
              </c:numCache>
            </c:numRef>
          </c:val>
        </c:ser>
        <c:ser>
          <c:idx val="4"/>
          <c:order val="4"/>
          <c:tx>
            <c:strRef>
              <c:f>'Summarised SCI'!$A$67</c:f>
              <c:strCache>
                <c:ptCount val="1"/>
                <c:pt idx="0">
                  <c:v>Employment cost</c:v>
                </c:pt>
              </c:strCache>
            </c:strRef>
          </c:tx>
          <c:invertIfNegative val="0"/>
          <c:cat>
            <c:numRef>
              <c:f>'Summarised SCI'!$B$62:$F$62</c:f>
              <c:numCache>
                <c:formatCode>General</c:formatCode>
                <c:ptCount val="5"/>
                <c:pt idx="0">
                  <c:v>2009</c:v>
                </c:pt>
                <c:pt idx="1">
                  <c:v>2010</c:v>
                </c:pt>
                <c:pt idx="2">
                  <c:v>2011</c:v>
                </c:pt>
                <c:pt idx="3">
                  <c:v>2012</c:v>
                </c:pt>
                <c:pt idx="4">
                  <c:v>2013</c:v>
                </c:pt>
              </c:numCache>
            </c:numRef>
          </c:cat>
          <c:val>
            <c:numRef>
              <c:f>'Summarised SCI'!$B$67:$F$67</c:f>
              <c:numCache>
                <c:formatCode>_-* #,##0.00\ _€_-;\-* #,##0.00\ _€_-;_-* "-"??\ _€_-;_-@_-</c:formatCode>
                <c:ptCount val="5"/>
                <c:pt idx="0">
                  <c:v>0.44160900000000003</c:v>
                </c:pt>
                <c:pt idx="1">
                  <c:v>2.1100044319425471</c:v>
                </c:pt>
                <c:pt idx="2">
                  <c:v>3.8667217210503426</c:v>
                </c:pt>
                <c:pt idx="3">
                  <c:v>3.6463866344669218</c:v>
                </c:pt>
                <c:pt idx="4">
                  <c:v>4.2251407867494786</c:v>
                </c:pt>
              </c:numCache>
            </c:numRef>
          </c:val>
        </c:ser>
        <c:dLbls>
          <c:showLegendKey val="0"/>
          <c:showVal val="0"/>
          <c:showCatName val="0"/>
          <c:showSerName val="0"/>
          <c:showPercent val="0"/>
          <c:showBubbleSize val="0"/>
        </c:dLbls>
        <c:gapWidth val="88"/>
        <c:overlap val="100"/>
        <c:axId val="419811248"/>
        <c:axId val="419811640"/>
      </c:barChart>
      <c:catAx>
        <c:axId val="419811248"/>
        <c:scaling>
          <c:orientation val="minMax"/>
        </c:scaling>
        <c:delete val="0"/>
        <c:axPos val="b"/>
        <c:numFmt formatCode="General" sourceLinked="1"/>
        <c:majorTickMark val="out"/>
        <c:minorTickMark val="none"/>
        <c:tickLblPos val="nextTo"/>
        <c:crossAx val="419811640"/>
        <c:crosses val="autoZero"/>
        <c:auto val="1"/>
        <c:lblAlgn val="ctr"/>
        <c:lblOffset val="100"/>
        <c:noMultiLvlLbl val="0"/>
      </c:catAx>
      <c:valAx>
        <c:axId val="419811640"/>
        <c:scaling>
          <c:orientation val="minMax"/>
        </c:scaling>
        <c:delete val="0"/>
        <c:axPos val="l"/>
        <c:majorGridlines/>
        <c:title>
          <c:tx>
            <c:rich>
              <a:bodyPr rot="-5400000" vert="horz"/>
              <a:lstStyle/>
              <a:p>
                <a:pPr>
                  <a:defRPr/>
                </a:pPr>
                <a:r>
                  <a:rPr lang="en-US" b="1"/>
                  <a:t>Constant US$ millions  (2009 prices</a:t>
                </a:r>
                <a:r>
                  <a:rPr lang="en-US"/>
                  <a:t>)</a:t>
                </a:r>
              </a:p>
            </c:rich>
          </c:tx>
          <c:overlay val="0"/>
        </c:title>
        <c:numFmt formatCode="_-* #,##0.00\ _€_-;\-* #,##0.00\ _€_-;_-* &quot;-&quot;??\ _€_-;_-@_-" sourceLinked="1"/>
        <c:majorTickMark val="out"/>
        <c:minorTickMark val="none"/>
        <c:tickLblPos val="nextTo"/>
        <c:crossAx val="419811248"/>
        <c:crosses val="autoZero"/>
        <c:crossBetween val="between"/>
      </c:valAx>
    </c:plotArea>
    <c:legend>
      <c:legendPos val="b"/>
      <c:overlay val="0"/>
      <c:txPr>
        <a:bodyPr/>
        <a:lstStyle/>
        <a:p>
          <a:pPr>
            <a:defRPr baseline="0"/>
          </a:pPr>
          <a:endParaRPr lang="en-US"/>
        </a:p>
      </c:txPr>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270945185419945E-2"/>
          <c:y val="5.0293481486554402E-2"/>
          <c:w val="0.55361018055044198"/>
          <c:h val="0.80904513651098275"/>
        </c:manualLayout>
      </c:layout>
      <c:barChart>
        <c:barDir val="col"/>
        <c:grouping val="percentStacked"/>
        <c:varyColors val="0"/>
        <c:ser>
          <c:idx val="1"/>
          <c:order val="0"/>
          <c:tx>
            <c:strRef>
              <c:f>'progr %'!$A$16</c:f>
              <c:strCache>
                <c:ptCount val="1"/>
                <c:pt idx="0">
                  <c:v>Care and support</c:v>
                </c:pt>
              </c:strCache>
            </c:strRef>
          </c:tx>
          <c:invertIfNegative val="0"/>
          <c:cat>
            <c:numRef>
              <c:f>'progr %'!$B$2:$F$2</c:f>
              <c:numCache>
                <c:formatCode>General</c:formatCode>
                <c:ptCount val="5"/>
                <c:pt idx="0">
                  <c:v>2009</c:v>
                </c:pt>
                <c:pt idx="1">
                  <c:v>2010</c:v>
                </c:pt>
                <c:pt idx="2">
                  <c:v>2011</c:v>
                </c:pt>
                <c:pt idx="3">
                  <c:v>2012</c:v>
                </c:pt>
                <c:pt idx="4">
                  <c:v>2013</c:v>
                </c:pt>
              </c:numCache>
            </c:numRef>
          </c:cat>
          <c:val>
            <c:numRef>
              <c:f>'progr %'!$B$16:$F$16</c:f>
              <c:numCache>
                <c:formatCode>0.0</c:formatCode>
                <c:ptCount val="5"/>
                <c:pt idx="0">
                  <c:v>79.320949772363178</c:v>
                </c:pt>
                <c:pt idx="1">
                  <c:v>70.331292732697548</c:v>
                </c:pt>
                <c:pt idx="2">
                  <c:v>85.006144445526886</c:v>
                </c:pt>
                <c:pt idx="3">
                  <c:v>83.695454669635296</c:v>
                </c:pt>
                <c:pt idx="4">
                  <c:v>73.179051543433943</c:v>
                </c:pt>
              </c:numCache>
            </c:numRef>
          </c:val>
        </c:ser>
        <c:ser>
          <c:idx val="0"/>
          <c:order val="1"/>
          <c:tx>
            <c:strRef>
              <c:f>'progr %'!$A$15</c:f>
              <c:strCache>
                <c:ptCount val="1"/>
                <c:pt idx="0">
                  <c:v>Prevention </c:v>
                </c:pt>
              </c:strCache>
            </c:strRef>
          </c:tx>
          <c:invertIfNegative val="0"/>
          <c:cat>
            <c:numRef>
              <c:f>'progr %'!$B$2:$F$2</c:f>
              <c:numCache>
                <c:formatCode>General</c:formatCode>
                <c:ptCount val="5"/>
                <c:pt idx="0">
                  <c:v>2009</c:v>
                </c:pt>
                <c:pt idx="1">
                  <c:v>2010</c:v>
                </c:pt>
                <c:pt idx="2">
                  <c:v>2011</c:v>
                </c:pt>
                <c:pt idx="3">
                  <c:v>2012</c:v>
                </c:pt>
                <c:pt idx="4">
                  <c:v>2013</c:v>
                </c:pt>
              </c:numCache>
            </c:numRef>
          </c:cat>
          <c:val>
            <c:numRef>
              <c:f>'progr %'!$B$15:$F$15</c:f>
              <c:numCache>
                <c:formatCode>0.0</c:formatCode>
                <c:ptCount val="5"/>
                <c:pt idx="0">
                  <c:v>6.6620412207361452</c:v>
                </c:pt>
                <c:pt idx="1">
                  <c:v>7.7781192328642401</c:v>
                </c:pt>
                <c:pt idx="2">
                  <c:v>8.2125677576874203</c:v>
                </c:pt>
                <c:pt idx="3">
                  <c:v>6.7373582374681567</c:v>
                </c:pt>
                <c:pt idx="4">
                  <c:v>18.772651642620421</c:v>
                </c:pt>
              </c:numCache>
            </c:numRef>
          </c:val>
        </c:ser>
        <c:ser>
          <c:idx val="2"/>
          <c:order val="2"/>
          <c:tx>
            <c:strRef>
              <c:f>'progr %'!$A$17</c:f>
              <c:strCache>
                <c:ptCount val="1"/>
                <c:pt idx="0">
                  <c:v>Community home based care</c:v>
                </c:pt>
              </c:strCache>
            </c:strRef>
          </c:tx>
          <c:invertIfNegative val="0"/>
          <c:cat>
            <c:numRef>
              <c:f>'progr %'!$B$2:$F$2</c:f>
              <c:numCache>
                <c:formatCode>General</c:formatCode>
                <c:ptCount val="5"/>
                <c:pt idx="0">
                  <c:v>2009</c:v>
                </c:pt>
                <c:pt idx="1">
                  <c:v>2010</c:v>
                </c:pt>
                <c:pt idx="2">
                  <c:v>2011</c:v>
                </c:pt>
                <c:pt idx="3">
                  <c:v>2012</c:v>
                </c:pt>
                <c:pt idx="4">
                  <c:v>2013</c:v>
                </c:pt>
              </c:numCache>
            </c:numRef>
          </c:cat>
          <c:val>
            <c:numRef>
              <c:f>'progr %'!$B$17:$F$17</c:f>
              <c:numCache>
                <c:formatCode>0.0</c:formatCode>
                <c:ptCount val="5"/>
                <c:pt idx="0">
                  <c:v>3.2335937107502248</c:v>
                </c:pt>
                <c:pt idx="1">
                  <c:v>9.1176095975978928</c:v>
                </c:pt>
                <c:pt idx="2">
                  <c:v>0.71834464896898442</c:v>
                </c:pt>
                <c:pt idx="3">
                  <c:v>3.5100909858162748</c:v>
                </c:pt>
                <c:pt idx="4">
                  <c:v>8.9415582648488007E-2</c:v>
                </c:pt>
              </c:numCache>
            </c:numRef>
          </c:val>
        </c:ser>
        <c:ser>
          <c:idx val="3"/>
          <c:order val="3"/>
          <c:tx>
            <c:strRef>
              <c:f>'progr %'!$A$18</c:f>
              <c:strCache>
                <c:ptCount val="1"/>
                <c:pt idx="0">
                  <c:v>Mitigation programs</c:v>
                </c:pt>
              </c:strCache>
            </c:strRef>
          </c:tx>
          <c:invertIfNegative val="0"/>
          <c:cat>
            <c:numRef>
              <c:f>'progr %'!$B$2:$F$2</c:f>
              <c:numCache>
                <c:formatCode>General</c:formatCode>
                <c:ptCount val="5"/>
                <c:pt idx="0">
                  <c:v>2009</c:v>
                </c:pt>
                <c:pt idx="1">
                  <c:v>2010</c:v>
                </c:pt>
                <c:pt idx="2">
                  <c:v>2011</c:v>
                </c:pt>
                <c:pt idx="3">
                  <c:v>2012</c:v>
                </c:pt>
                <c:pt idx="4">
                  <c:v>2013</c:v>
                </c:pt>
              </c:numCache>
            </c:numRef>
          </c:cat>
          <c:val>
            <c:numRef>
              <c:f>'progr %'!$B$18:$F$18</c:f>
              <c:numCache>
                <c:formatCode>0.0</c:formatCode>
                <c:ptCount val="5"/>
                <c:pt idx="0">
                  <c:v>3.4771609597948667</c:v>
                </c:pt>
                <c:pt idx="1">
                  <c:v>3.040879761740229</c:v>
                </c:pt>
                <c:pt idx="2">
                  <c:v>2.0787571915477372</c:v>
                </c:pt>
                <c:pt idx="3">
                  <c:v>2.4286647034329611</c:v>
                </c:pt>
                <c:pt idx="4">
                  <c:v>3.6172199614323612</c:v>
                </c:pt>
              </c:numCache>
            </c:numRef>
          </c:val>
        </c:ser>
        <c:ser>
          <c:idx val="4"/>
          <c:order val="4"/>
          <c:tx>
            <c:strRef>
              <c:f>'progr %'!$A$19</c:f>
              <c:strCache>
                <c:ptCount val="1"/>
                <c:pt idx="0">
                  <c:v>Behaviour change</c:v>
                </c:pt>
              </c:strCache>
            </c:strRef>
          </c:tx>
          <c:invertIfNegative val="0"/>
          <c:cat>
            <c:numRef>
              <c:f>'progr %'!$B$2:$F$2</c:f>
              <c:numCache>
                <c:formatCode>General</c:formatCode>
                <c:ptCount val="5"/>
                <c:pt idx="0">
                  <c:v>2009</c:v>
                </c:pt>
                <c:pt idx="1">
                  <c:v>2010</c:v>
                </c:pt>
                <c:pt idx="2">
                  <c:v>2011</c:v>
                </c:pt>
                <c:pt idx="3">
                  <c:v>2012</c:v>
                </c:pt>
                <c:pt idx="4">
                  <c:v>2013</c:v>
                </c:pt>
              </c:numCache>
            </c:numRef>
          </c:cat>
          <c:val>
            <c:numRef>
              <c:f>'progr %'!$B$19:$F$19</c:f>
              <c:numCache>
                <c:formatCode>0.0</c:formatCode>
                <c:ptCount val="5"/>
                <c:pt idx="0">
                  <c:v>3.1797290997996101E-2</c:v>
                </c:pt>
                <c:pt idx="1">
                  <c:v>1.779360395003913</c:v>
                </c:pt>
                <c:pt idx="2">
                  <c:v>0.89644962246144744</c:v>
                </c:pt>
                <c:pt idx="3">
                  <c:v>0.58225568475705436</c:v>
                </c:pt>
                <c:pt idx="4">
                  <c:v>0.31654000345141398</c:v>
                </c:pt>
              </c:numCache>
            </c:numRef>
          </c:val>
        </c:ser>
        <c:ser>
          <c:idx val="5"/>
          <c:order val="5"/>
          <c:tx>
            <c:strRef>
              <c:f>'progr %'!$A$20</c:f>
              <c:strCache>
                <c:ptCount val="1"/>
                <c:pt idx="0">
                  <c:v>Information and communications</c:v>
                </c:pt>
              </c:strCache>
            </c:strRef>
          </c:tx>
          <c:invertIfNegative val="0"/>
          <c:cat>
            <c:numRef>
              <c:f>'progr %'!$B$2:$F$2</c:f>
              <c:numCache>
                <c:formatCode>General</c:formatCode>
                <c:ptCount val="5"/>
                <c:pt idx="0">
                  <c:v>2009</c:v>
                </c:pt>
                <c:pt idx="1">
                  <c:v>2010</c:v>
                </c:pt>
                <c:pt idx="2">
                  <c:v>2011</c:v>
                </c:pt>
                <c:pt idx="3">
                  <c:v>2012</c:v>
                </c:pt>
                <c:pt idx="4">
                  <c:v>2013</c:v>
                </c:pt>
              </c:numCache>
            </c:numRef>
          </c:cat>
          <c:val>
            <c:numRef>
              <c:f>'progr %'!$B$20:$F$20</c:f>
              <c:numCache>
                <c:formatCode>0.0</c:formatCode>
                <c:ptCount val="5"/>
                <c:pt idx="0">
                  <c:v>0.78132303440276096</c:v>
                </c:pt>
                <c:pt idx="1">
                  <c:v>2.5656826798262369</c:v>
                </c:pt>
                <c:pt idx="2">
                  <c:v>1.111542213726274</c:v>
                </c:pt>
                <c:pt idx="3">
                  <c:v>0.60382913082628542</c:v>
                </c:pt>
                <c:pt idx="4">
                  <c:v>1.4886761271697899</c:v>
                </c:pt>
              </c:numCache>
            </c:numRef>
          </c:val>
        </c:ser>
        <c:ser>
          <c:idx val="6"/>
          <c:order val="6"/>
          <c:tx>
            <c:strRef>
              <c:f>'progr %'!$A$21</c:f>
              <c:strCache>
                <c:ptCount val="1"/>
                <c:pt idx="0">
                  <c:v>Advocacy</c:v>
                </c:pt>
              </c:strCache>
            </c:strRef>
          </c:tx>
          <c:invertIfNegative val="0"/>
          <c:cat>
            <c:numRef>
              <c:f>'progr %'!$B$2:$F$2</c:f>
              <c:numCache>
                <c:formatCode>General</c:formatCode>
                <c:ptCount val="5"/>
                <c:pt idx="0">
                  <c:v>2009</c:v>
                </c:pt>
                <c:pt idx="1">
                  <c:v>2010</c:v>
                </c:pt>
                <c:pt idx="2">
                  <c:v>2011</c:v>
                </c:pt>
                <c:pt idx="3">
                  <c:v>2012</c:v>
                </c:pt>
                <c:pt idx="4">
                  <c:v>2013</c:v>
                </c:pt>
              </c:numCache>
            </c:numRef>
          </c:cat>
          <c:val>
            <c:numRef>
              <c:f>'progr %'!$B$21:$F$21</c:f>
              <c:numCache>
                <c:formatCode>0.0</c:formatCode>
                <c:ptCount val="5"/>
                <c:pt idx="0">
                  <c:v>6.4931340109548028</c:v>
                </c:pt>
                <c:pt idx="1">
                  <c:v>5.3870556002698962</c:v>
                </c:pt>
                <c:pt idx="2">
                  <c:v>1.9761941200812643</c:v>
                </c:pt>
                <c:pt idx="3">
                  <c:v>2.4423465880639772</c:v>
                </c:pt>
                <c:pt idx="4">
                  <c:v>2.5364451392431371</c:v>
                </c:pt>
              </c:numCache>
            </c:numRef>
          </c:val>
        </c:ser>
        <c:dLbls>
          <c:showLegendKey val="0"/>
          <c:showVal val="0"/>
          <c:showCatName val="0"/>
          <c:showSerName val="0"/>
          <c:showPercent val="0"/>
          <c:showBubbleSize val="0"/>
        </c:dLbls>
        <c:gapWidth val="100"/>
        <c:overlap val="100"/>
        <c:axId val="419812424"/>
        <c:axId val="419812816"/>
      </c:barChart>
      <c:catAx>
        <c:axId val="419812424"/>
        <c:scaling>
          <c:orientation val="minMax"/>
        </c:scaling>
        <c:delete val="0"/>
        <c:axPos val="b"/>
        <c:numFmt formatCode="General" sourceLinked="1"/>
        <c:majorTickMark val="out"/>
        <c:minorTickMark val="none"/>
        <c:tickLblPos val="nextTo"/>
        <c:crossAx val="419812816"/>
        <c:crosses val="autoZero"/>
        <c:auto val="1"/>
        <c:lblAlgn val="ctr"/>
        <c:lblOffset val="100"/>
        <c:noMultiLvlLbl val="0"/>
      </c:catAx>
      <c:valAx>
        <c:axId val="419812816"/>
        <c:scaling>
          <c:orientation val="minMax"/>
        </c:scaling>
        <c:delete val="0"/>
        <c:axPos val="l"/>
        <c:majorGridlines/>
        <c:numFmt formatCode="0%" sourceLinked="1"/>
        <c:majorTickMark val="out"/>
        <c:minorTickMark val="none"/>
        <c:tickLblPos val="nextTo"/>
        <c:crossAx val="419812424"/>
        <c:crosses val="autoZero"/>
        <c:crossBetween val="between"/>
      </c:valAx>
    </c:plotArea>
    <c:legend>
      <c:legendPos val="r"/>
      <c:layout>
        <c:manualLayout>
          <c:xMode val="edge"/>
          <c:yMode val="edge"/>
          <c:x val="0.6631771754857827"/>
          <c:y val="6.2498929941104162E-2"/>
          <c:w val="0.33409606948629722"/>
          <c:h val="0.85688247614482271"/>
        </c:manualLayout>
      </c:layout>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Feuil1!$A$17</c:f>
              <c:strCache>
                <c:ptCount val="1"/>
                <c:pt idx="0">
                  <c:v>ODA for health (at 2012 prices)</c:v>
                </c:pt>
              </c:strCache>
            </c:strRef>
          </c:tx>
          <c:dLbls>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Feuil1!$B$16:$L$16</c:f>
              <c:numCache>
                <c:formatCode>General</c:formatCode>
                <c:ptCount val="11"/>
                <c:pt idx="0">
                  <c:v>2002</c:v>
                </c:pt>
                <c:pt idx="1">
                  <c:v>2003</c:v>
                </c:pt>
                <c:pt idx="2">
                  <c:v>2004</c:v>
                </c:pt>
                <c:pt idx="3">
                  <c:v>2005</c:v>
                </c:pt>
                <c:pt idx="4">
                  <c:v>2006</c:v>
                </c:pt>
                <c:pt idx="5">
                  <c:v>2007</c:v>
                </c:pt>
                <c:pt idx="6">
                  <c:v>2008</c:v>
                </c:pt>
                <c:pt idx="7">
                  <c:v>2009</c:v>
                </c:pt>
                <c:pt idx="8">
                  <c:v>2010</c:v>
                </c:pt>
                <c:pt idx="9">
                  <c:v>2011</c:v>
                </c:pt>
                <c:pt idx="10">
                  <c:v>2012</c:v>
                </c:pt>
              </c:numCache>
            </c:numRef>
          </c:cat>
          <c:val>
            <c:numRef>
              <c:f>Feuil1!$B$17:$L$17</c:f>
              <c:numCache>
                <c:formatCode>General</c:formatCode>
                <c:ptCount val="11"/>
                <c:pt idx="0">
                  <c:v>41.84</c:v>
                </c:pt>
                <c:pt idx="1">
                  <c:v>59.06</c:v>
                </c:pt>
                <c:pt idx="2">
                  <c:v>65.56</c:v>
                </c:pt>
                <c:pt idx="3">
                  <c:v>113.64</c:v>
                </c:pt>
                <c:pt idx="4">
                  <c:v>113.64</c:v>
                </c:pt>
                <c:pt idx="5">
                  <c:v>162.93</c:v>
                </c:pt>
                <c:pt idx="6">
                  <c:v>119.45</c:v>
                </c:pt>
                <c:pt idx="7">
                  <c:v>167.09</c:v>
                </c:pt>
                <c:pt idx="8">
                  <c:v>233.95000000000022</c:v>
                </c:pt>
                <c:pt idx="9">
                  <c:v>186.26</c:v>
                </c:pt>
                <c:pt idx="10">
                  <c:v>427.76</c:v>
                </c:pt>
              </c:numCache>
            </c:numRef>
          </c:val>
          <c:smooth val="0"/>
        </c:ser>
        <c:dLbls>
          <c:showLegendKey val="0"/>
          <c:showVal val="0"/>
          <c:showCatName val="0"/>
          <c:showSerName val="0"/>
          <c:showPercent val="0"/>
          <c:showBubbleSize val="0"/>
        </c:dLbls>
        <c:marker val="1"/>
        <c:smooth val="0"/>
        <c:axId val="420116416"/>
        <c:axId val="420116808"/>
      </c:lineChart>
      <c:lineChart>
        <c:grouping val="standard"/>
        <c:varyColors val="0"/>
        <c:ser>
          <c:idx val="1"/>
          <c:order val="1"/>
          <c:tx>
            <c:strRef>
              <c:f>Feuil1!$A$18</c:f>
              <c:strCache>
                <c:ptCount val="1"/>
                <c:pt idx="0">
                  <c:v>Health/total ODA disbursements (%, secondary axis)</c:v>
                </c:pt>
              </c:strCache>
            </c:strRef>
          </c:tx>
          <c:cat>
            <c:numRef>
              <c:f>Feuil1!$B$16:$L$16</c:f>
              <c:numCache>
                <c:formatCode>General</c:formatCode>
                <c:ptCount val="11"/>
                <c:pt idx="0">
                  <c:v>2002</c:v>
                </c:pt>
                <c:pt idx="1">
                  <c:v>2003</c:v>
                </c:pt>
                <c:pt idx="2">
                  <c:v>2004</c:v>
                </c:pt>
                <c:pt idx="3">
                  <c:v>2005</c:v>
                </c:pt>
                <c:pt idx="4">
                  <c:v>2006</c:v>
                </c:pt>
                <c:pt idx="5">
                  <c:v>2007</c:v>
                </c:pt>
                <c:pt idx="6">
                  <c:v>2008</c:v>
                </c:pt>
                <c:pt idx="7">
                  <c:v>2009</c:v>
                </c:pt>
                <c:pt idx="8">
                  <c:v>2010</c:v>
                </c:pt>
                <c:pt idx="9">
                  <c:v>2011</c:v>
                </c:pt>
                <c:pt idx="10">
                  <c:v>2012</c:v>
                </c:pt>
              </c:numCache>
            </c:numRef>
          </c:cat>
          <c:val>
            <c:numRef>
              <c:f>Feuil1!$B$18:$L$18</c:f>
              <c:numCache>
                <c:formatCode>0%</c:formatCode>
                <c:ptCount val="11"/>
                <c:pt idx="0">
                  <c:v>0.16709265175718899</c:v>
                </c:pt>
                <c:pt idx="1">
                  <c:v>0.25892152564664622</c:v>
                </c:pt>
                <c:pt idx="2">
                  <c:v>0.30522836258671321</c:v>
                </c:pt>
                <c:pt idx="3">
                  <c:v>0.40982365032998141</c:v>
                </c:pt>
                <c:pt idx="4">
                  <c:v>0.37995252265204638</c:v>
                </c:pt>
                <c:pt idx="5">
                  <c:v>0.34084347935232923</c:v>
                </c:pt>
                <c:pt idx="6">
                  <c:v>0.19255879934873388</c:v>
                </c:pt>
                <c:pt idx="7">
                  <c:v>0.21295387634936211</c:v>
                </c:pt>
                <c:pt idx="8">
                  <c:v>0.30097774347098921</c:v>
                </c:pt>
                <c:pt idx="9">
                  <c:v>0.26217924355671879</c:v>
                </c:pt>
                <c:pt idx="10">
                  <c:v>0.42503129906003501</c:v>
                </c:pt>
              </c:numCache>
            </c:numRef>
          </c:val>
          <c:smooth val="0"/>
        </c:ser>
        <c:dLbls>
          <c:showLegendKey val="0"/>
          <c:showVal val="0"/>
          <c:showCatName val="0"/>
          <c:showSerName val="0"/>
          <c:showPercent val="0"/>
          <c:showBubbleSize val="0"/>
        </c:dLbls>
        <c:marker val="1"/>
        <c:smooth val="0"/>
        <c:axId val="420117592"/>
        <c:axId val="420117200"/>
      </c:lineChart>
      <c:catAx>
        <c:axId val="420116416"/>
        <c:scaling>
          <c:orientation val="minMax"/>
        </c:scaling>
        <c:delete val="0"/>
        <c:axPos val="b"/>
        <c:numFmt formatCode="General" sourceLinked="1"/>
        <c:majorTickMark val="out"/>
        <c:minorTickMark val="none"/>
        <c:tickLblPos val="nextTo"/>
        <c:crossAx val="420116808"/>
        <c:crosses val="autoZero"/>
        <c:auto val="1"/>
        <c:lblAlgn val="ctr"/>
        <c:lblOffset val="100"/>
        <c:noMultiLvlLbl val="0"/>
      </c:catAx>
      <c:valAx>
        <c:axId val="420116808"/>
        <c:scaling>
          <c:orientation val="minMax"/>
        </c:scaling>
        <c:delete val="0"/>
        <c:axPos val="l"/>
        <c:majorGridlines/>
        <c:title>
          <c:tx>
            <c:rich>
              <a:bodyPr rot="-5400000" vert="horz"/>
              <a:lstStyle/>
              <a:p>
                <a:pPr>
                  <a:defRPr/>
                </a:pPr>
                <a:r>
                  <a:rPr lang="en-US"/>
                  <a:t>Constant </a:t>
                </a:r>
                <a:r>
                  <a:rPr lang="en-US" sz="1000" b="1" i="0" u="none" strike="noStrike" baseline="0"/>
                  <a:t>US$ million</a:t>
                </a:r>
                <a:endParaRPr lang="en-US"/>
              </a:p>
            </c:rich>
          </c:tx>
          <c:overlay val="0"/>
        </c:title>
        <c:numFmt formatCode="General" sourceLinked="1"/>
        <c:majorTickMark val="out"/>
        <c:minorTickMark val="none"/>
        <c:tickLblPos val="nextTo"/>
        <c:crossAx val="420116416"/>
        <c:crosses val="autoZero"/>
        <c:crossBetween val="between"/>
      </c:valAx>
      <c:valAx>
        <c:axId val="420117200"/>
        <c:scaling>
          <c:orientation val="minMax"/>
        </c:scaling>
        <c:delete val="0"/>
        <c:axPos val="r"/>
        <c:numFmt formatCode="0%" sourceLinked="1"/>
        <c:majorTickMark val="out"/>
        <c:minorTickMark val="none"/>
        <c:tickLblPos val="nextTo"/>
        <c:crossAx val="420117592"/>
        <c:crosses val="max"/>
        <c:crossBetween val="between"/>
      </c:valAx>
      <c:catAx>
        <c:axId val="420117592"/>
        <c:scaling>
          <c:orientation val="minMax"/>
        </c:scaling>
        <c:delete val="1"/>
        <c:axPos val="b"/>
        <c:numFmt formatCode="General" sourceLinked="1"/>
        <c:majorTickMark val="out"/>
        <c:minorTickMark val="none"/>
        <c:tickLblPos val="none"/>
        <c:crossAx val="420117200"/>
        <c:crosses val="autoZero"/>
        <c:auto val="1"/>
        <c:lblAlgn val="ctr"/>
        <c:lblOffset val="100"/>
        <c:noMultiLvlLbl val="0"/>
      </c:catAx>
    </c:plotArea>
    <c:legend>
      <c:legendPos val="b"/>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6301758366421001E-2"/>
          <c:y val="0"/>
          <c:w val="0.95008508224617771"/>
          <c:h val="0.82843320900676443"/>
        </c:manualLayout>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Sheet2!$A$8:$A$12</c:f>
              <c:strCache>
                <c:ptCount val="5"/>
                <c:pt idx="0">
                  <c:v>Zimbabwe</c:v>
                </c:pt>
                <c:pt idx="1">
                  <c:v>Tanzania</c:v>
                </c:pt>
                <c:pt idx="2">
                  <c:v>Mozambique</c:v>
                </c:pt>
                <c:pt idx="3">
                  <c:v>Malawi</c:v>
                </c:pt>
                <c:pt idx="4">
                  <c:v>Zambia</c:v>
                </c:pt>
              </c:strCache>
            </c:strRef>
          </c:cat>
          <c:val>
            <c:numRef>
              <c:f>Sheet2!$B$8:$B$12</c:f>
              <c:numCache>
                <c:formatCode>General</c:formatCode>
                <c:ptCount val="5"/>
                <c:pt idx="0">
                  <c:v>12.33</c:v>
                </c:pt>
                <c:pt idx="1">
                  <c:v>15.04</c:v>
                </c:pt>
                <c:pt idx="2">
                  <c:v>18.59</c:v>
                </c:pt>
                <c:pt idx="3">
                  <c:v>19.600000000000001</c:v>
                </c:pt>
                <c:pt idx="4">
                  <c:v>30.82</c:v>
                </c:pt>
              </c:numCache>
            </c:numRef>
          </c:val>
        </c:ser>
        <c:dLbls>
          <c:showLegendKey val="0"/>
          <c:showVal val="1"/>
          <c:showCatName val="0"/>
          <c:showSerName val="0"/>
          <c:showPercent val="0"/>
          <c:showBubbleSize val="0"/>
        </c:dLbls>
        <c:gapWidth val="150"/>
        <c:overlap val="-25"/>
        <c:axId val="420118376"/>
        <c:axId val="420118768"/>
      </c:barChart>
      <c:catAx>
        <c:axId val="420118376"/>
        <c:scaling>
          <c:orientation val="minMax"/>
        </c:scaling>
        <c:delete val="0"/>
        <c:axPos val="b"/>
        <c:numFmt formatCode="General" sourceLinked="0"/>
        <c:majorTickMark val="none"/>
        <c:minorTickMark val="none"/>
        <c:tickLblPos val="nextTo"/>
        <c:crossAx val="420118768"/>
        <c:crosses val="autoZero"/>
        <c:auto val="1"/>
        <c:lblAlgn val="ctr"/>
        <c:lblOffset val="100"/>
        <c:noMultiLvlLbl val="0"/>
      </c:catAx>
      <c:valAx>
        <c:axId val="420118768"/>
        <c:scaling>
          <c:orientation val="minMax"/>
        </c:scaling>
        <c:delete val="1"/>
        <c:axPos val="l"/>
        <c:numFmt formatCode="General" sourceLinked="1"/>
        <c:majorTickMark val="out"/>
        <c:minorTickMark val="none"/>
        <c:tickLblPos val="none"/>
        <c:crossAx val="420118376"/>
        <c:crosses val="autoZero"/>
        <c:crossBetween val="between"/>
      </c:valAx>
    </c:plotArea>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1"/>
          <c:order val="0"/>
          <c:tx>
            <c:strRef>
              <c:f>Feuil2!$A$14</c:f>
              <c:strCache>
                <c:ptCount val="1"/>
                <c:pt idx="0">
                  <c:v>MDG-6 (Control of HIV/AIDs, TB, Malaria and other diseases)</c:v>
                </c:pt>
              </c:strCache>
            </c:strRef>
          </c:tx>
          <c:invertIfNegative val="0"/>
          <c:cat>
            <c:numRef>
              <c:f>Feuil2!$B$12:$L$12</c:f>
              <c:numCache>
                <c:formatCode>General</c:formatCode>
                <c:ptCount val="11"/>
                <c:pt idx="0">
                  <c:v>2002</c:v>
                </c:pt>
                <c:pt idx="1">
                  <c:v>2003</c:v>
                </c:pt>
                <c:pt idx="2">
                  <c:v>2004</c:v>
                </c:pt>
                <c:pt idx="3">
                  <c:v>2005</c:v>
                </c:pt>
                <c:pt idx="4">
                  <c:v>2006</c:v>
                </c:pt>
                <c:pt idx="5">
                  <c:v>2007</c:v>
                </c:pt>
                <c:pt idx="6">
                  <c:v>2008</c:v>
                </c:pt>
                <c:pt idx="7">
                  <c:v>2009</c:v>
                </c:pt>
                <c:pt idx="8">
                  <c:v>2010</c:v>
                </c:pt>
                <c:pt idx="9">
                  <c:v>2011</c:v>
                </c:pt>
                <c:pt idx="10">
                  <c:v>2012</c:v>
                </c:pt>
              </c:numCache>
            </c:numRef>
          </c:cat>
          <c:val>
            <c:numRef>
              <c:f>Feuil2!$B$14:$L$14</c:f>
              <c:numCache>
                <c:formatCode>0%</c:formatCode>
                <c:ptCount val="11"/>
                <c:pt idx="0">
                  <c:v>0.59392925430210541</c:v>
                </c:pt>
                <c:pt idx="1">
                  <c:v>0.55993904503894298</c:v>
                </c:pt>
                <c:pt idx="2">
                  <c:v>0.41305674191580344</c:v>
                </c:pt>
                <c:pt idx="3">
                  <c:v>0.70151355156634843</c:v>
                </c:pt>
                <c:pt idx="4">
                  <c:v>0.66103484688490144</c:v>
                </c:pt>
                <c:pt idx="5">
                  <c:v>0.66103484688490144</c:v>
                </c:pt>
                <c:pt idx="6">
                  <c:v>0.52791963164504141</c:v>
                </c:pt>
                <c:pt idx="7">
                  <c:v>0.52983422107846101</c:v>
                </c:pt>
                <c:pt idx="8">
                  <c:v>0.61111348578755942</c:v>
                </c:pt>
                <c:pt idx="9">
                  <c:v>0.71158595511650402</c:v>
                </c:pt>
                <c:pt idx="10">
                  <c:v>0.64938283149429743</c:v>
                </c:pt>
              </c:numCache>
            </c:numRef>
          </c:val>
        </c:ser>
        <c:ser>
          <c:idx val="2"/>
          <c:order val="1"/>
          <c:tx>
            <c:strRef>
              <c:f>Feuil2!$A$15</c:f>
              <c:strCache>
                <c:ptCount val="1"/>
                <c:pt idx="0">
                  <c:v>Reproductive Health &amp; Family Planning</c:v>
                </c:pt>
              </c:strCache>
            </c:strRef>
          </c:tx>
          <c:invertIfNegative val="0"/>
          <c:cat>
            <c:numRef>
              <c:f>Feuil2!$B$12:$L$12</c:f>
              <c:numCache>
                <c:formatCode>General</c:formatCode>
                <c:ptCount val="11"/>
                <c:pt idx="0">
                  <c:v>2002</c:v>
                </c:pt>
                <c:pt idx="1">
                  <c:v>2003</c:v>
                </c:pt>
                <c:pt idx="2">
                  <c:v>2004</c:v>
                </c:pt>
                <c:pt idx="3">
                  <c:v>2005</c:v>
                </c:pt>
                <c:pt idx="4">
                  <c:v>2006</c:v>
                </c:pt>
                <c:pt idx="5">
                  <c:v>2007</c:v>
                </c:pt>
                <c:pt idx="6">
                  <c:v>2008</c:v>
                </c:pt>
                <c:pt idx="7">
                  <c:v>2009</c:v>
                </c:pt>
                <c:pt idx="8">
                  <c:v>2010</c:v>
                </c:pt>
                <c:pt idx="9">
                  <c:v>2011</c:v>
                </c:pt>
                <c:pt idx="10">
                  <c:v>2012</c:v>
                </c:pt>
              </c:numCache>
            </c:numRef>
          </c:cat>
          <c:val>
            <c:numRef>
              <c:f>Feuil2!$B$15:$L$15</c:f>
              <c:numCache>
                <c:formatCode>0%</c:formatCode>
                <c:ptCount val="11"/>
                <c:pt idx="0">
                  <c:v>0.15391969407265813</c:v>
                </c:pt>
                <c:pt idx="1">
                  <c:v>0.1259735861835419</c:v>
                </c:pt>
                <c:pt idx="2">
                  <c:v>0.17739475289810899</c:v>
                </c:pt>
                <c:pt idx="3">
                  <c:v>0.10260471664906698</c:v>
                </c:pt>
                <c:pt idx="4">
                  <c:v>6.4501935938050023E-2</c:v>
                </c:pt>
                <c:pt idx="5">
                  <c:v>6.4501935938050023E-2</c:v>
                </c:pt>
                <c:pt idx="6">
                  <c:v>0.11310171619924694</c:v>
                </c:pt>
                <c:pt idx="7">
                  <c:v>8.7617451672751187E-2</c:v>
                </c:pt>
                <c:pt idx="8">
                  <c:v>6.9715751228895298E-2</c:v>
                </c:pt>
                <c:pt idx="9">
                  <c:v>0.112047675292602</c:v>
                </c:pt>
                <c:pt idx="10">
                  <c:v>0.21736487750140313</c:v>
                </c:pt>
              </c:numCache>
            </c:numRef>
          </c:val>
        </c:ser>
        <c:ser>
          <c:idx val="3"/>
          <c:order val="2"/>
          <c:tx>
            <c:strRef>
              <c:f>Feuil2!$A$16</c:f>
              <c:strCache>
                <c:ptCount val="1"/>
                <c:pt idx="0">
                  <c:v>Other Health Purposes</c:v>
                </c:pt>
              </c:strCache>
            </c:strRef>
          </c:tx>
          <c:invertIfNegative val="0"/>
          <c:cat>
            <c:numRef>
              <c:f>Feuil2!$B$12:$L$12</c:f>
              <c:numCache>
                <c:formatCode>General</c:formatCode>
                <c:ptCount val="11"/>
                <c:pt idx="0">
                  <c:v>2002</c:v>
                </c:pt>
                <c:pt idx="1">
                  <c:v>2003</c:v>
                </c:pt>
                <c:pt idx="2">
                  <c:v>2004</c:v>
                </c:pt>
                <c:pt idx="3">
                  <c:v>2005</c:v>
                </c:pt>
                <c:pt idx="4">
                  <c:v>2006</c:v>
                </c:pt>
                <c:pt idx="5">
                  <c:v>2007</c:v>
                </c:pt>
                <c:pt idx="6">
                  <c:v>2008</c:v>
                </c:pt>
                <c:pt idx="7">
                  <c:v>2009</c:v>
                </c:pt>
                <c:pt idx="8">
                  <c:v>2010</c:v>
                </c:pt>
                <c:pt idx="9">
                  <c:v>2011</c:v>
                </c:pt>
                <c:pt idx="10">
                  <c:v>2012</c:v>
                </c:pt>
              </c:numCache>
            </c:numRef>
          </c:cat>
          <c:val>
            <c:numRef>
              <c:f>Feuil2!$B$16:$L$16</c:f>
              <c:numCache>
                <c:formatCode>0%</c:formatCode>
                <c:ptCount val="11"/>
                <c:pt idx="0">
                  <c:v>6.2141491395793502E-2</c:v>
                </c:pt>
                <c:pt idx="1">
                  <c:v>8.4151710125296569E-2</c:v>
                </c:pt>
                <c:pt idx="2">
                  <c:v>6.5893837705918473E-2</c:v>
                </c:pt>
                <c:pt idx="3">
                  <c:v>2.8951073565645899E-2</c:v>
                </c:pt>
                <c:pt idx="4">
                  <c:v>4.6198521647307304E-2</c:v>
                </c:pt>
                <c:pt idx="5">
                  <c:v>4.6198521647307304E-2</c:v>
                </c:pt>
                <c:pt idx="6">
                  <c:v>0.34148179154458042</c:v>
                </c:pt>
                <c:pt idx="7">
                  <c:v>0.36626967502543523</c:v>
                </c:pt>
                <c:pt idx="8">
                  <c:v>0.28557384056422302</c:v>
                </c:pt>
                <c:pt idx="9">
                  <c:v>0.131053366262214</c:v>
                </c:pt>
                <c:pt idx="10">
                  <c:v>0.11599962595848111</c:v>
                </c:pt>
              </c:numCache>
            </c:numRef>
          </c:val>
        </c:ser>
        <c:ser>
          <c:idx val="0"/>
          <c:order val="3"/>
          <c:tx>
            <c:strRef>
              <c:f>Feuil2!$A$13</c:f>
              <c:strCache>
                <c:ptCount val="1"/>
                <c:pt idx="0">
                  <c:v>Health Policy &amp; Admin Management</c:v>
                </c:pt>
              </c:strCache>
            </c:strRef>
          </c:tx>
          <c:invertIfNegative val="0"/>
          <c:cat>
            <c:numRef>
              <c:f>Feuil2!$B$12:$L$12</c:f>
              <c:numCache>
                <c:formatCode>General</c:formatCode>
                <c:ptCount val="11"/>
                <c:pt idx="0">
                  <c:v>2002</c:v>
                </c:pt>
                <c:pt idx="1">
                  <c:v>2003</c:v>
                </c:pt>
                <c:pt idx="2">
                  <c:v>2004</c:v>
                </c:pt>
                <c:pt idx="3">
                  <c:v>2005</c:v>
                </c:pt>
                <c:pt idx="4">
                  <c:v>2006</c:v>
                </c:pt>
                <c:pt idx="5">
                  <c:v>2007</c:v>
                </c:pt>
                <c:pt idx="6">
                  <c:v>2008</c:v>
                </c:pt>
                <c:pt idx="7">
                  <c:v>2009</c:v>
                </c:pt>
                <c:pt idx="8">
                  <c:v>2010</c:v>
                </c:pt>
                <c:pt idx="9">
                  <c:v>2011</c:v>
                </c:pt>
                <c:pt idx="10">
                  <c:v>2012</c:v>
                </c:pt>
              </c:numCache>
            </c:numRef>
          </c:cat>
          <c:val>
            <c:numRef>
              <c:f>Feuil2!$B$13:$L$13</c:f>
              <c:numCache>
                <c:formatCode>0%</c:formatCode>
                <c:ptCount val="11"/>
                <c:pt idx="0">
                  <c:v>0.1900095602294449</c:v>
                </c:pt>
                <c:pt idx="1">
                  <c:v>0.22993565865221799</c:v>
                </c:pt>
                <c:pt idx="2">
                  <c:v>0.34350213544844421</c:v>
                </c:pt>
                <c:pt idx="3">
                  <c:v>0.16693065821893688</c:v>
                </c:pt>
                <c:pt idx="4">
                  <c:v>0.22835269271383288</c:v>
                </c:pt>
                <c:pt idx="5">
                  <c:v>0.22835269271383288</c:v>
                </c:pt>
                <c:pt idx="6">
                  <c:v>1.7496860611134403E-2</c:v>
                </c:pt>
                <c:pt idx="7">
                  <c:v>1.6278652223352702E-2</c:v>
                </c:pt>
                <c:pt idx="8">
                  <c:v>3.3554178243214397E-2</c:v>
                </c:pt>
                <c:pt idx="9">
                  <c:v>4.5313003328680532E-2</c:v>
                </c:pt>
                <c:pt idx="10">
                  <c:v>1.7229287450907099E-2</c:v>
                </c:pt>
              </c:numCache>
            </c:numRef>
          </c:val>
        </c:ser>
        <c:dLbls>
          <c:showLegendKey val="0"/>
          <c:showVal val="0"/>
          <c:showCatName val="0"/>
          <c:showSerName val="0"/>
          <c:showPercent val="0"/>
          <c:showBubbleSize val="0"/>
        </c:dLbls>
        <c:gapWidth val="150"/>
        <c:overlap val="100"/>
        <c:axId val="420119160"/>
        <c:axId val="420119552"/>
      </c:barChart>
      <c:catAx>
        <c:axId val="420119160"/>
        <c:scaling>
          <c:orientation val="minMax"/>
        </c:scaling>
        <c:delete val="0"/>
        <c:axPos val="b"/>
        <c:numFmt formatCode="General" sourceLinked="1"/>
        <c:majorTickMark val="out"/>
        <c:minorTickMark val="none"/>
        <c:tickLblPos val="nextTo"/>
        <c:crossAx val="420119552"/>
        <c:crosses val="autoZero"/>
        <c:auto val="1"/>
        <c:lblAlgn val="ctr"/>
        <c:lblOffset val="100"/>
        <c:noMultiLvlLbl val="0"/>
      </c:catAx>
      <c:valAx>
        <c:axId val="420119552"/>
        <c:scaling>
          <c:orientation val="minMax"/>
        </c:scaling>
        <c:delete val="0"/>
        <c:axPos val="l"/>
        <c:majorGridlines/>
        <c:numFmt formatCode="0%" sourceLinked="1"/>
        <c:majorTickMark val="out"/>
        <c:minorTickMark val="none"/>
        <c:tickLblPos val="nextTo"/>
        <c:crossAx val="420119160"/>
        <c:crosses val="autoZero"/>
        <c:crossBetween val="between"/>
      </c:valAx>
    </c:plotArea>
    <c:legend>
      <c:legendPos val="b"/>
      <c:overlay val="0"/>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lineChart>
        <c:grouping val="standard"/>
        <c:varyColors val="0"/>
        <c:ser>
          <c:idx val="1"/>
          <c:order val="0"/>
          <c:tx>
            <c:strRef>
              <c:f>'dhs_rbg_graph_data-3.csv'!$B$54</c:f>
              <c:strCache>
                <c:ptCount val="1"/>
                <c:pt idx="0">
                  <c:v>RBF post-trend</c:v>
                </c:pt>
              </c:strCache>
            </c:strRef>
          </c:tx>
          <c:spPr>
            <a:ln>
              <a:solidFill>
                <a:schemeClr val="tx2"/>
              </a:solidFill>
            </a:ln>
          </c:spPr>
          <c:marker>
            <c:symbol val="none"/>
          </c:marker>
          <c:cat>
            <c:numRef>
              <c:f>'dhs_rbg_graph_data-3.csv'!$C$52:$I$52</c:f>
              <c:numCache>
                <c:formatCode>General</c:formatCode>
                <c:ptCount val="7"/>
                <c:pt idx="0">
                  <c:v>2007</c:v>
                </c:pt>
                <c:pt idx="1">
                  <c:v>2008</c:v>
                </c:pt>
                <c:pt idx="2">
                  <c:v>2009</c:v>
                </c:pt>
                <c:pt idx="3">
                  <c:v>2010</c:v>
                </c:pt>
                <c:pt idx="4">
                  <c:v>2011</c:v>
                </c:pt>
                <c:pt idx="5">
                  <c:v>2012</c:v>
                </c:pt>
                <c:pt idx="6">
                  <c:v>2013</c:v>
                </c:pt>
              </c:numCache>
            </c:numRef>
          </c:cat>
          <c:val>
            <c:numRef>
              <c:f>'dhs_rbg_graph_data-3.csv'!$C$54:$I$54</c:f>
              <c:numCache>
                <c:formatCode>General</c:formatCode>
                <c:ptCount val="7"/>
                <c:pt idx="2">
                  <c:v>0.444000000000003</c:v>
                </c:pt>
                <c:pt idx="3">
                  <c:v>0.46800000000000302</c:v>
                </c:pt>
                <c:pt idx="4">
                  <c:v>0.49200000000000432</c:v>
                </c:pt>
                <c:pt idx="5">
                  <c:v>0.51600000000000501</c:v>
                </c:pt>
                <c:pt idx="6">
                  <c:v>0.53999999999999904</c:v>
                </c:pt>
              </c:numCache>
            </c:numRef>
          </c:val>
          <c:smooth val="0"/>
        </c:ser>
        <c:ser>
          <c:idx val="0"/>
          <c:order val="1"/>
          <c:tx>
            <c:strRef>
              <c:f>'dhs_rbg_graph_data-3.csv'!$B$53</c:f>
              <c:strCache>
                <c:ptCount val="1"/>
                <c:pt idx="0">
                  <c:v>RBF pre-trend</c:v>
                </c:pt>
              </c:strCache>
            </c:strRef>
          </c:tx>
          <c:spPr>
            <a:ln>
              <a:solidFill>
                <a:schemeClr val="tx2"/>
              </a:solidFill>
              <a:prstDash val="dash"/>
            </a:ln>
          </c:spPr>
          <c:marker>
            <c:symbol val="none"/>
          </c:marker>
          <c:cat>
            <c:numRef>
              <c:f>'dhs_rbg_graph_data-3.csv'!$C$52:$I$52</c:f>
              <c:numCache>
                <c:formatCode>General</c:formatCode>
                <c:ptCount val="7"/>
                <c:pt idx="0">
                  <c:v>2007</c:v>
                </c:pt>
                <c:pt idx="1">
                  <c:v>2008</c:v>
                </c:pt>
                <c:pt idx="2">
                  <c:v>2009</c:v>
                </c:pt>
                <c:pt idx="3">
                  <c:v>2010</c:v>
                </c:pt>
                <c:pt idx="4">
                  <c:v>2011</c:v>
                </c:pt>
                <c:pt idx="5">
                  <c:v>2012</c:v>
                </c:pt>
                <c:pt idx="6">
                  <c:v>2013</c:v>
                </c:pt>
              </c:numCache>
            </c:numRef>
          </c:cat>
          <c:val>
            <c:numRef>
              <c:f>'dhs_rbg_graph_data-3.csv'!$C$53:$I$53</c:f>
              <c:numCache>
                <c:formatCode>General</c:formatCode>
                <c:ptCount val="7"/>
                <c:pt idx="0">
                  <c:v>0.57300000000000695</c:v>
                </c:pt>
                <c:pt idx="1">
                  <c:v>0.52200000000002</c:v>
                </c:pt>
                <c:pt idx="2">
                  <c:v>0.47100000000001802</c:v>
                </c:pt>
                <c:pt idx="3">
                  <c:v>0.42000000000001608</c:v>
                </c:pt>
              </c:numCache>
            </c:numRef>
          </c:val>
          <c:smooth val="0"/>
        </c:ser>
        <c:ser>
          <c:idx val="3"/>
          <c:order val="2"/>
          <c:tx>
            <c:strRef>
              <c:f>'dhs_rbg_graph_data-3.csv'!$B$56</c:f>
              <c:strCache>
                <c:ptCount val="1"/>
                <c:pt idx="0">
                  <c:v>comparison post-trend</c:v>
                </c:pt>
              </c:strCache>
            </c:strRef>
          </c:tx>
          <c:spPr>
            <a:ln>
              <a:solidFill>
                <a:schemeClr val="accent2"/>
              </a:solidFill>
            </a:ln>
          </c:spPr>
          <c:marker>
            <c:symbol val="none"/>
          </c:marker>
          <c:cat>
            <c:numRef>
              <c:f>'dhs_rbg_graph_data-3.csv'!$C$52:$I$52</c:f>
              <c:numCache>
                <c:formatCode>General</c:formatCode>
                <c:ptCount val="7"/>
                <c:pt idx="0">
                  <c:v>2007</c:v>
                </c:pt>
                <c:pt idx="1">
                  <c:v>2008</c:v>
                </c:pt>
                <c:pt idx="2">
                  <c:v>2009</c:v>
                </c:pt>
                <c:pt idx="3">
                  <c:v>2010</c:v>
                </c:pt>
                <c:pt idx="4">
                  <c:v>2011</c:v>
                </c:pt>
                <c:pt idx="5">
                  <c:v>2012</c:v>
                </c:pt>
                <c:pt idx="6">
                  <c:v>2013</c:v>
                </c:pt>
              </c:numCache>
            </c:numRef>
          </c:cat>
          <c:val>
            <c:numRef>
              <c:f>'dhs_rbg_graph_data-3.csv'!$C$56:$I$56</c:f>
              <c:numCache>
                <c:formatCode>General</c:formatCode>
                <c:ptCount val="7"/>
                <c:pt idx="2">
                  <c:v>0.49990000000000362</c:v>
                </c:pt>
                <c:pt idx="3">
                  <c:v>0.48000000000000032</c:v>
                </c:pt>
                <c:pt idx="4">
                  <c:v>0.46010000000000001</c:v>
                </c:pt>
                <c:pt idx="5">
                  <c:v>0.44019999999999698</c:v>
                </c:pt>
                <c:pt idx="6">
                  <c:v>0.42030000000000262</c:v>
                </c:pt>
              </c:numCache>
            </c:numRef>
          </c:val>
          <c:smooth val="0"/>
        </c:ser>
        <c:ser>
          <c:idx val="2"/>
          <c:order val="3"/>
          <c:tx>
            <c:strRef>
              <c:f>'dhs_rbg_graph_data-3.csv'!$B$55</c:f>
              <c:strCache>
                <c:ptCount val="1"/>
                <c:pt idx="0">
                  <c:v>comparison pre-trend</c:v>
                </c:pt>
              </c:strCache>
            </c:strRef>
          </c:tx>
          <c:spPr>
            <a:ln>
              <a:solidFill>
                <a:schemeClr val="accent2"/>
              </a:solidFill>
              <a:prstDash val="dash"/>
            </a:ln>
          </c:spPr>
          <c:marker>
            <c:symbol val="none"/>
          </c:marker>
          <c:cat>
            <c:numRef>
              <c:f>'dhs_rbg_graph_data-3.csv'!$C$52:$I$52</c:f>
              <c:numCache>
                <c:formatCode>General</c:formatCode>
                <c:ptCount val="7"/>
                <c:pt idx="0">
                  <c:v>2007</c:v>
                </c:pt>
                <c:pt idx="1">
                  <c:v>2008</c:v>
                </c:pt>
                <c:pt idx="2">
                  <c:v>2009</c:v>
                </c:pt>
                <c:pt idx="3">
                  <c:v>2010</c:v>
                </c:pt>
                <c:pt idx="4">
                  <c:v>2011</c:v>
                </c:pt>
                <c:pt idx="5">
                  <c:v>2012</c:v>
                </c:pt>
                <c:pt idx="6">
                  <c:v>2013</c:v>
                </c:pt>
              </c:numCache>
            </c:numRef>
          </c:cat>
          <c:val>
            <c:numRef>
              <c:f>'dhs_rbg_graph_data-3.csv'!$C$55:$I$55</c:f>
              <c:numCache>
                <c:formatCode>General</c:formatCode>
                <c:ptCount val="7"/>
                <c:pt idx="0">
                  <c:v>0.61880000000001822</c:v>
                </c:pt>
                <c:pt idx="1">
                  <c:v>0.56720000000000004</c:v>
                </c:pt>
                <c:pt idx="2">
                  <c:v>0.51560000000000605</c:v>
                </c:pt>
                <c:pt idx="3">
                  <c:v>0.46400000000001301</c:v>
                </c:pt>
              </c:numCache>
            </c:numRef>
          </c:val>
          <c:smooth val="0"/>
        </c:ser>
        <c:dLbls>
          <c:showLegendKey val="0"/>
          <c:showVal val="0"/>
          <c:showCatName val="0"/>
          <c:showSerName val="0"/>
          <c:showPercent val="0"/>
          <c:showBubbleSize val="0"/>
        </c:dLbls>
        <c:smooth val="0"/>
        <c:axId val="419945944"/>
        <c:axId val="419946336"/>
      </c:lineChart>
      <c:catAx>
        <c:axId val="419945944"/>
        <c:scaling>
          <c:orientation val="minMax"/>
        </c:scaling>
        <c:delete val="0"/>
        <c:axPos val="b"/>
        <c:numFmt formatCode="General" sourceLinked="1"/>
        <c:majorTickMark val="out"/>
        <c:minorTickMark val="none"/>
        <c:tickLblPos val="nextTo"/>
        <c:crossAx val="419946336"/>
        <c:crosses val="autoZero"/>
        <c:auto val="1"/>
        <c:lblAlgn val="ctr"/>
        <c:lblOffset val="100"/>
        <c:noMultiLvlLbl val="0"/>
      </c:catAx>
      <c:valAx>
        <c:axId val="419946336"/>
        <c:scaling>
          <c:orientation val="minMax"/>
          <c:min val="0.4"/>
        </c:scaling>
        <c:delete val="0"/>
        <c:axPos val="l"/>
        <c:majorGridlines/>
        <c:numFmt formatCode="0%" sourceLinked="0"/>
        <c:majorTickMark val="out"/>
        <c:minorTickMark val="none"/>
        <c:tickLblPos val="nextTo"/>
        <c:crossAx val="419945944"/>
        <c:crosses val="autoZero"/>
        <c:crossBetween val="between"/>
      </c:valAx>
    </c:plotArea>
    <c:legend>
      <c:legendPos val="r"/>
      <c:layout>
        <c:manualLayout>
          <c:xMode val="edge"/>
          <c:yMode val="edge"/>
          <c:x val="0.35963280883712601"/>
          <c:y val="7.4630993706431933E-2"/>
          <c:w val="0.41267466775335093"/>
          <c:h val="0.27456704082202499"/>
        </c:manualLayout>
      </c:layout>
      <c:overlay val="1"/>
    </c:legend>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376092"/>
            </a:solidFill>
          </c:spPr>
          <c:invertIfNegative val="0"/>
          <c:cat>
            <c:strRef>
              <c:f>Sheet1!$I$88:$I$92</c:f>
              <c:strCache>
                <c:ptCount val="5"/>
                <c:pt idx="0">
                  <c:v>Q1-Lowest</c:v>
                </c:pt>
                <c:pt idx="1">
                  <c:v>Q2</c:v>
                </c:pt>
                <c:pt idx="2">
                  <c:v>Q3</c:v>
                </c:pt>
                <c:pt idx="3">
                  <c:v>Q4</c:v>
                </c:pt>
                <c:pt idx="4">
                  <c:v>Q5-Richest</c:v>
                </c:pt>
              </c:strCache>
            </c:strRef>
          </c:cat>
          <c:val>
            <c:numRef>
              <c:f>Sheet1!$J$88:$J$92</c:f>
              <c:numCache>
                <c:formatCode>General</c:formatCode>
                <c:ptCount val="5"/>
                <c:pt idx="0">
                  <c:v>0.30000000000000021</c:v>
                </c:pt>
                <c:pt idx="1">
                  <c:v>0.60000000000000542</c:v>
                </c:pt>
                <c:pt idx="2">
                  <c:v>0.8</c:v>
                </c:pt>
                <c:pt idx="3">
                  <c:v>1.1000000000000001</c:v>
                </c:pt>
                <c:pt idx="4">
                  <c:v>1.9000000000000001</c:v>
                </c:pt>
              </c:numCache>
            </c:numRef>
          </c:val>
        </c:ser>
        <c:dLbls>
          <c:showLegendKey val="0"/>
          <c:showVal val="0"/>
          <c:showCatName val="0"/>
          <c:showSerName val="0"/>
          <c:showPercent val="0"/>
          <c:showBubbleSize val="0"/>
        </c:dLbls>
        <c:gapWidth val="150"/>
        <c:axId val="419947120"/>
        <c:axId val="419947512"/>
      </c:barChart>
      <c:catAx>
        <c:axId val="419947120"/>
        <c:scaling>
          <c:orientation val="minMax"/>
        </c:scaling>
        <c:delete val="0"/>
        <c:axPos val="b"/>
        <c:numFmt formatCode="General" sourceLinked="0"/>
        <c:majorTickMark val="none"/>
        <c:minorTickMark val="none"/>
        <c:tickLblPos val="nextTo"/>
        <c:crossAx val="419947512"/>
        <c:crosses val="autoZero"/>
        <c:auto val="1"/>
        <c:lblAlgn val="ctr"/>
        <c:lblOffset val="100"/>
        <c:noMultiLvlLbl val="0"/>
      </c:catAx>
      <c:valAx>
        <c:axId val="419947512"/>
        <c:scaling>
          <c:orientation val="minMax"/>
        </c:scaling>
        <c:delete val="0"/>
        <c:axPos val="l"/>
        <c:majorGridlines/>
        <c:title>
          <c:tx>
            <c:rich>
              <a:bodyPr rot="-5400000" vert="horz"/>
              <a:lstStyle/>
              <a:p>
                <a:pPr>
                  <a:defRPr/>
                </a:pPr>
                <a:r>
                  <a:rPr lang="en-US"/>
                  <a:t>Percent</a:t>
                </a:r>
              </a:p>
            </c:rich>
          </c:tx>
          <c:overlay val="0"/>
        </c:title>
        <c:numFmt formatCode="General" sourceLinked="1"/>
        <c:majorTickMark val="none"/>
        <c:minorTickMark val="none"/>
        <c:tickLblPos val="nextTo"/>
        <c:crossAx val="419947120"/>
        <c:crosses val="autoZero"/>
        <c:crossBetween val="between"/>
      </c:valAx>
    </c:plotArea>
    <c:plotVisOnly val="1"/>
    <c:dispBlanksAs val="gap"/>
    <c:showDLblsOverMax val="0"/>
  </c:chart>
  <c:txPr>
    <a:bodyPr/>
    <a:lstStyle/>
    <a:p>
      <a:pPr>
        <a:defRPr>
          <a:latin typeface="Tahoma"/>
          <a:cs typeface="Tahoma"/>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Mean User Fees (Delivery)</c:v>
          </c:tx>
          <c:invertIfNegative val="0"/>
          <c:cat>
            <c:strRef>
              <c:f>Sheet1!$G$59:$G$68</c:f>
              <c:strCache>
                <c:ptCount val="10"/>
                <c:pt idx="0">
                  <c:v>Matabeleland North </c:v>
                </c:pt>
                <c:pt idx="1">
                  <c:v>Mashonaland East </c:v>
                </c:pt>
                <c:pt idx="2">
                  <c:v>Mashonaland West </c:v>
                </c:pt>
                <c:pt idx="3">
                  <c:v>Matabeleland South </c:v>
                </c:pt>
                <c:pt idx="4">
                  <c:v>Manicaland </c:v>
                </c:pt>
                <c:pt idx="5">
                  <c:v>Midlands </c:v>
                </c:pt>
                <c:pt idx="6">
                  <c:v>Mashonaland Central </c:v>
                </c:pt>
                <c:pt idx="7">
                  <c:v>Masvingo </c:v>
                </c:pt>
                <c:pt idx="8">
                  <c:v>Bulawayo </c:v>
                </c:pt>
                <c:pt idx="9">
                  <c:v>Harare </c:v>
                </c:pt>
              </c:strCache>
            </c:strRef>
          </c:cat>
          <c:val>
            <c:numRef>
              <c:f>Sheet1!$H$59:$H$68</c:f>
              <c:numCache>
                <c:formatCode>General</c:formatCode>
                <c:ptCount val="10"/>
                <c:pt idx="0">
                  <c:v>28.36</c:v>
                </c:pt>
                <c:pt idx="1">
                  <c:v>8.25</c:v>
                </c:pt>
                <c:pt idx="2">
                  <c:v>12.55</c:v>
                </c:pt>
                <c:pt idx="3">
                  <c:v>22</c:v>
                </c:pt>
                <c:pt idx="4">
                  <c:v>5.1199999999999966</c:v>
                </c:pt>
                <c:pt idx="5">
                  <c:v>4.83</c:v>
                </c:pt>
                <c:pt idx="6">
                  <c:v>6.98</c:v>
                </c:pt>
                <c:pt idx="7">
                  <c:v>6.5</c:v>
                </c:pt>
                <c:pt idx="8">
                  <c:v>28.75</c:v>
                </c:pt>
                <c:pt idx="9">
                  <c:v>26.5</c:v>
                </c:pt>
              </c:numCache>
            </c:numRef>
          </c:val>
        </c:ser>
        <c:dLbls>
          <c:showLegendKey val="0"/>
          <c:showVal val="0"/>
          <c:showCatName val="0"/>
          <c:showSerName val="0"/>
          <c:showPercent val="0"/>
          <c:showBubbleSize val="0"/>
        </c:dLbls>
        <c:gapWidth val="150"/>
        <c:axId val="419948296"/>
        <c:axId val="419948688"/>
      </c:barChart>
      <c:lineChart>
        <c:grouping val="standard"/>
        <c:varyColors val="0"/>
        <c:ser>
          <c:idx val="1"/>
          <c:order val="1"/>
          <c:tx>
            <c:v>Mean Extreme Poverty Prevalence</c:v>
          </c:tx>
          <c:cat>
            <c:strRef>
              <c:f>Sheet1!$G$59:$G$68</c:f>
              <c:strCache>
                <c:ptCount val="10"/>
                <c:pt idx="0">
                  <c:v>Matabeleland North </c:v>
                </c:pt>
                <c:pt idx="1">
                  <c:v>Mashonaland East </c:v>
                </c:pt>
                <c:pt idx="2">
                  <c:v>Mashonaland West </c:v>
                </c:pt>
                <c:pt idx="3">
                  <c:v>Matabeleland South </c:v>
                </c:pt>
                <c:pt idx="4">
                  <c:v>Manicaland </c:v>
                </c:pt>
                <c:pt idx="5">
                  <c:v>Midlands </c:v>
                </c:pt>
                <c:pt idx="6">
                  <c:v>Mashonaland Central </c:v>
                </c:pt>
                <c:pt idx="7">
                  <c:v>Masvingo </c:v>
                </c:pt>
                <c:pt idx="8">
                  <c:v>Bulawayo </c:v>
                </c:pt>
                <c:pt idx="9">
                  <c:v>Harare </c:v>
                </c:pt>
              </c:strCache>
            </c:strRef>
          </c:cat>
          <c:val>
            <c:numRef>
              <c:f>Sheet1!$I$59:$I$68</c:f>
              <c:numCache>
                <c:formatCode>General</c:formatCode>
                <c:ptCount val="10"/>
                <c:pt idx="0">
                  <c:v>36.9</c:v>
                </c:pt>
                <c:pt idx="1">
                  <c:v>22</c:v>
                </c:pt>
                <c:pt idx="2">
                  <c:v>21.8</c:v>
                </c:pt>
                <c:pt idx="3">
                  <c:v>19.399999999999999</c:v>
                </c:pt>
                <c:pt idx="4">
                  <c:v>18.7</c:v>
                </c:pt>
                <c:pt idx="5">
                  <c:v>18.5</c:v>
                </c:pt>
                <c:pt idx="6">
                  <c:v>17.3</c:v>
                </c:pt>
                <c:pt idx="7">
                  <c:v>13.8</c:v>
                </c:pt>
                <c:pt idx="8">
                  <c:v>3.4</c:v>
                </c:pt>
                <c:pt idx="9">
                  <c:v>3.3</c:v>
                </c:pt>
              </c:numCache>
            </c:numRef>
          </c:val>
          <c:smooth val="0"/>
        </c:ser>
        <c:dLbls>
          <c:showLegendKey val="0"/>
          <c:showVal val="0"/>
          <c:showCatName val="0"/>
          <c:showSerName val="0"/>
          <c:showPercent val="0"/>
          <c:showBubbleSize val="0"/>
        </c:dLbls>
        <c:marker val="1"/>
        <c:smooth val="0"/>
        <c:axId val="419949472"/>
        <c:axId val="419949080"/>
      </c:lineChart>
      <c:catAx>
        <c:axId val="419948296"/>
        <c:scaling>
          <c:orientation val="minMax"/>
        </c:scaling>
        <c:delete val="0"/>
        <c:axPos val="b"/>
        <c:numFmt formatCode="General" sourceLinked="0"/>
        <c:majorTickMark val="out"/>
        <c:minorTickMark val="none"/>
        <c:tickLblPos val="nextTo"/>
        <c:crossAx val="419948688"/>
        <c:crosses val="autoZero"/>
        <c:auto val="1"/>
        <c:lblAlgn val="ctr"/>
        <c:lblOffset val="100"/>
        <c:noMultiLvlLbl val="0"/>
      </c:catAx>
      <c:valAx>
        <c:axId val="419948688"/>
        <c:scaling>
          <c:orientation val="minMax"/>
        </c:scaling>
        <c:delete val="0"/>
        <c:axPos val="l"/>
        <c:majorGridlines/>
        <c:title>
          <c:tx>
            <c:rich>
              <a:bodyPr rot="-5400000" vert="horz"/>
              <a:lstStyle/>
              <a:p>
                <a:pPr>
                  <a:defRPr sz="800"/>
                </a:pPr>
                <a:r>
                  <a:rPr lang="en-US" sz="800"/>
                  <a:t>Mean Delivery User Fees ($)</a:t>
                </a:r>
              </a:p>
            </c:rich>
          </c:tx>
          <c:overlay val="0"/>
        </c:title>
        <c:numFmt formatCode="General" sourceLinked="1"/>
        <c:majorTickMark val="out"/>
        <c:minorTickMark val="none"/>
        <c:tickLblPos val="nextTo"/>
        <c:crossAx val="419948296"/>
        <c:crosses val="autoZero"/>
        <c:crossBetween val="between"/>
      </c:valAx>
      <c:valAx>
        <c:axId val="419949080"/>
        <c:scaling>
          <c:orientation val="minMax"/>
        </c:scaling>
        <c:delete val="0"/>
        <c:axPos val="r"/>
        <c:title>
          <c:tx>
            <c:rich>
              <a:bodyPr rot="-5400000" vert="horz"/>
              <a:lstStyle/>
              <a:p>
                <a:pPr>
                  <a:defRPr sz="800"/>
                </a:pPr>
                <a:r>
                  <a:rPr lang="en-US" sz="800"/>
                  <a:t>Extreme Poverty Prevalence</a:t>
                </a:r>
              </a:p>
            </c:rich>
          </c:tx>
          <c:overlay val="0"/>
        </c:title>
        <c:numFmt formatCode="General" sourceLinked="1"/>
        <c:majorTickMark val="out"/>
        <c:minorTickMark val="none"/>
        <c:tickLblPos val="nextTo"/>
        <c:crossAx val="419949472"/>
        <c:crosses val="max"/>
        <c:crossBetween val="between"/>
      </c:valAx>
      <c:catAx>
        <c:axId val="419949472"/>
        <c:scaling>
          <c:orientation val="minMax"/>
        </c:scaling>
        <c:delete val="1"/>
        <c:axPos val="b"/>
        <c:numFmt formatCode="General" sourceLinked="1"/>
        <c:majorTickMark val="out"/>
        <c:minorTickMark val="none"/>
        <c:tickLblPos val="none"/>
        <c:crossAx val="419949080"/>
        <c:crosses val="autoZero"/>
        <c:auto val="1"/>
        <c:lblAlgn val="ctr"/>
        <c:lblOffset val="100"/>
        <c:noMultiLvlLbl val="0"/>
      </c:catAx>
    </c:plotArea>
    <c:legend>
      <c:legendPos val="b"/>
      <c:overlay val="0"/>
    </c:legend>
    <c:plotVisOnly val="1"/>
    <c:dispBlanksAs val="gap"/>
    <c:showDLblsOverMax val="0"/>
  </c:chart>
  <c:txPr>
    <a:bodyPr/>
    <a:lstStyle/>
    <a:p>
      <a:pPr>
        <a:defRPr>
          <a:latin typeface="Tahoma"/>
          <a:cs typeface="Tahoma"/>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15507436570402"/>
          <c:y val="6.1463279354232937E-2"/>
          <c:w val="0.86928937007874441"/>
          <c:h val="0.68024181811398376"/>
        </c:manualLayout>
      </c:layout>
      <c:barChart>
        <c:barDir val="col"/>
        <c:grouping val="stacked"/>
        <c:varyColors val="0"/>
        <c:ser>
          <c:idx val="0"/>
          <c:order val="0"/>
          <c:tx>
            <c:strRef>
              <c:f>Sheet1!$A$9</c:f>
              <c:strCache>
                <c:ptCount val="1"/>
                <c:pt idx="0">
                  <c:v>Income Tax</c:v>
                </c:pt>
              </c:strCache>
            </c:strRef>
          </c:tx>
          <c:invertIfNegative val="0"/>
          <c:cat>
            <c:strRef>
              <c:f>Sheet1!$B$7:$K$8</c:f>
              <c:strCache>
                <c:ptCount val="8"/>
                <c:pt idx="0">
                  <c:v>2007</c:v>
                </c:pt>
                <c:pt idx="1">
                  <c:v>2008</c:v>
                </c:pt>
                <c:pt idx="2">
                  <c:v>2009</c:v>
                </c:pt>
                <c:pt idx="3">
                  <c:v>2010</c:v>
                </c:pt>
                <c:pt idx="4">
                  <c:v>2011</c:v>
                </c:pt>
                <c:pt idx="5">
                  <c:v>2012</c:v>
                </c:pt>
                <c:pt idx="6">
                  <c:v>2013</c:v>
                </c:pt>
                <c:pt idx="7">
                  <c:v>2014F</c:v>
                </c:pt>
              </c:strCache>
            </c:strRef>
          </c:cat>
          <c:val>
            <c:numRef>
              <c:f>Sheet1!$B$9:$K$9</c:f>
              <c:numCache>
                <c:formatCode>0</c:formatCode>
                <c:ptCount val="8"/>
                <c:pt idx="0">
                  <c:v>89.39908877478004</c:v>
                </c:pt>
                <c:pt idx="1">
                  <c:v>40</c:v>
                </c:pt>
                <c:pt idx="2">
                  <c:v>199.91773561999997</c:v>
                </c:pt>
                <c:pt idx="3">
                  <c:v>684.11219999999787</c:v>
                </c:pt>
                <c:pt idx="4">
                  <c:v>884.00200000000007</c:v>
                </c:pt>
                <c:pt idx="5">
                  <c:v>1105.1047242999634</c:v>
                </c:pt>
                <c:pt idx="6">
                  <c:v>1148.6104774</c:v>
                </c:pt>
                <c:pt idx="7">
                  <c:v>1164.8208947933149</c:v>
                </c:pt>
              </c:numCache>
            </c:numRef>
          </c:val>
        </c:ser>
        <c:ser>
          <c:idx val="1"/>
          <c:order val="1"/>
          <c:tx>
            <c:strRef>
              <c:f>Sheet1!$A$10</c:f>
              <c:strCache>
                <c:ptCount val="1"/>
                <c:pt idx="0">
                  <c:v>Customs Duties</c:v>
                </c:pt>
              </c:strCache>
            </c:strRef>
          </c:tx>
          <c:invertIfNegative val="0"/>
          <c:cat>
            <c:strRef>
              <c:f>Sheet1!$B$7:$K$8</c:f>
              <c:strCache>
                <c:ptCount val="8"/>
                <c:pt idx="0">
                  <c:v>2007</c:v>
                </c:pt>
                <c:pt idx="1">
                  <c:v>2008</c:v>
                </c:pt>
                <c:pt idx="2">
                  <c:v>2009</c:v>
                </c:pt>
                <c:pt idx="3">
                  <c:v>2010</c:v>
                </c:pt>
                <c:pt idx="4">
                  <c:v>2011</c:v>
                </c:pt>
                <c:pt idx="5">
                  <c:v>2012</c:v>
                </c:pt>
                <c:pt idx="6">
                  <c:v>2013</c:v>
                </c:pt>
                <c:pt idx="7">
                  <c:v>2014F</c:v>
                </c:pt>
              </c:strCache>
            </c:strRef>
          </c:cat>
          <c:val>
            <c:numRef>
              <c:f>Sheet1!$B$10:$K$10</c:f>
              <c:numCache>
                <c:formatCode>0</c:formatCode>
                <c:ptCount val="8"/>
                <c:pt idx="0">
                  <c:v>11.739574815470904</c:v>
                </c:pt>
                <c:pt idx="1">
                  <c:v>45</c:v>
                </c:pt>
                <c:pt idx="2">
                  <c:v>212.21915217999532</c:v>
                </c:pt>
                <c:pt idx="3">
                  <c:v>340</c:v>
                </c:pt>
                <c:pt idx="4">
                  <c:v>332.98499999999859</c:v>
                </c:pt>
                <c:pt idx="5">
                  <c:v>353.87948365000238</c:v>
                </c:pt>
                <c:pt idx="6">
                  <c:v>361.28177421999823</c:v>
                </c:pt>
                <c:pt idx="7">
                  <c:v>438.98228057430498</c:v>
                </c:pt>
              </c:numCache>
            </c:numRef>
          </c:val>
        </c:ser>
        <c:ser>
          <c:idx val="2"/>
          <c:order val="2"/>
          <c:tx>
            <c:strRef>
              <c:f>Sheet1!$A$11</c:f>
              <c:strCache>
                <c:ptCount val="1"/>
                <c:pt idx="0">
                  <c:v>Excise Duties</c:v>
                </c:pt>
              </c:strCache>
            </c:strRef>
          </c:tx>
          <c:invertIfNegative val="0"/>
          <c:cat>
            <c:strRef>
              <c:f>Sheet1!$B$7:$K$8</c:f>
              <c:strCache>
                <c:ptCount val="8"/>
                <c:pt idx="0">
                  <c:v>2007</c:v>
                </c:pt>
                <c:pt idx="1">
                  <c:v>2008</c:v>
                </c:pt>
                <c:pt idx="2">
                  <c:v>2009</c:v>
                </c:pt>
                <c:pt idx="3">
                  <c:v>2010</c:v>
                </c:pt>
                <c:pt idx="4">
                  <c:v>2011</c:v>
                </c:pt>
                <c:pt idx="5">
                  <c:v>2012</c:v>
                </c:pt>
                <c:pt idx="6">
                  <c:v>2013</c:v>
                </c:pt>
                <c:pt idx="7">
                  <c:v>2014F</c:v>
                </c:pt>
              </c:strCache>
            </c:strRef>
          </c:cat>
          <c:val>
            <c:numRef>
              <c:f>Sheet1!$B$11:$K$11</c:f>
              <c:numCache>
                <c:formatCode>0</c:formatCode>
                <c:ptCount val="8"/>
                <c:pt idx="0">
                  <c:v>8.0586854317714405</c:v>
                </c:pt>
                <c:pt idx="1">
                  <c:v>6</c:v>
                </c:pt>
                <c:pt idx="2">
                  <c:v>67.899263360001427</c:v>
                </c:pt>
                <c:pt idx="3">
                  <c:v>165.0847</c:v>
                </c:pt>
                <c:pt idx="4">
                  <c:v>306.57299999999913</c:v>
                </c:pt>
                <c:pt idx="5">
                  <c:v>394.47060753999989</c:v>
                </c:pt>
                <c:pt idx="6">
                  <c:v>510.45134811000003</c:v>
                </c:pt>
                <c:pt idx="7">
                  <c:v>547.804459643673</c:v>
                </c:pt>
              </c:numCache>
            </c:numRef>
          </c:val>
        </c:ser>
        <c:ser>
          <c:idx val="3"/>
          <c:order val="3"/>
          <c:tx>
            <c:strRef>
              <c:f>Sheet1!$A$12</c:f>
              <c:strCache>
                <c:ptCount val="1"/>
                <c:pt idx="0">
                  <c:v>Value Added Tax</c:v>
                </c:pt>
              </c:strCache>
            </c:strRef>
          </c:tx>
          <c:invertIfNegative val="0"/>
          <c:cat>
            <c:strRef>
              <c:f>Sheet1!$B$7:$K$8</c:f>
              <c:strCache>
                <c:ptCount val="8"/>
                <c:pt idx="0">
                  <c:v>2007</c:v>
                </c:pt>
                <c:pt idx="1">
                  <c:v>2008</c:v>
                </c:pt>
                <c:pt idx="2">
                  <c:v>2009</c:v>
                </c:pt>
                <c:pt idx="3">
                  <c:v>2010</c:v>
                </c:pt>
                <c:pt idx="4">
                  <c:v>2011</c:v>
                </c:pt>
                <c:pt idx="5">
                  <c:v>2012</c:v>
                </c:pt>
                <c:pt idx="6">
                  <c:v>2013</c:v>
                </c:pt>
                <c:pt idx="7">
                  <c:v>2014F</c:v>
                </c:pt>
              </c:strCache>
            </c:strRef>
          </c:cat>
          <c:val>
            <c:numRef>
              <c:f>Sheet1!$B$12:$K$12</c:f>
              <c:numCache>
                <c:formatCode>0</c:formatCode>
                <c:ptCount val="8"/>
                <c:pt idx="0">
                  <c:v>61.6879340455543</c:v>
                </c:pt>
                <c:pt idx="1">
                  <c:v>32</c:v>
                </c:pt>
                <c:pt idx="2">
                  <c:v>367.23471682999963</c:v>
                </c:pt>
                <c:pt idx="3">
                  <c:v>688.98719999999787</c:v>
                </c:pt>
                <c:pt idx="4">
                  <c:v>911.60699999999997</c:v>
                </c:pt>
                <c:pt idx="5">
                  <c:v>1085.97234338</c:v>
                </c:pt>
                <c:pt idx="6">
                  <c:v>1068.1062995499999</c:v>
                </c:pt>
                <c:pt idx="7">
                  <c:v>1188.995619789019</c:v>
                </c:pt>
              </c:numCache>
            </c:numRef>
          </c:val>
        </c:ser>
        <c:ser>
          <c:idx val="4"/>
          <c:order val="4"/>
          <c:tx>
            <c:strRef>
              <c:f>Sheet1!$A$13</c:f>
              <c:strCache>
                <c:ptCount val="1"/>
                <c:pt idx="0">
                  <c:v>Other Taxes</c:v>
                </c:pt>
              </c:strCache>
            </c:strRef>
          </c:tx>
          <c:invertIfNegative val="0"/>
          <c:cat>
            <c:strRef>
              <c:f>Sheet1!$B$7:$K$8</c:f>
              <c:strCache>
                <c:ptCount val="8"/>
                <c:pt idx="0">
                  <c:v>2007</c:v>
                </c:pt>
                <c:pt idx="1">
                  <c:v>2008</c:v>
                </c:pt>
                <c:pt idx="2">
                  <c:v>2009</c:v>
                </c:pt>
                <c:pt idx="3">
                  <c:v>2010</c:v>
                </c:pt>
                <c:pt idx="4">
                  <c:v>2011</c:v>
                </c:pt>
                <c:pt idx="5">
                  <c:v>2012</c:v>
                </c:pt>
                <c:pt idx="6">
                  <c:v>2013</c:v>
                </c:pt>
                <c:pt idx="7">
                  <c:v>2014F</c:v>
                </c:pt>
              </c:strCache>
            </c:strRef>
          </c:cat>
          <c:val>
            <c:numRef>
              <c:f>Sheet1!$B$13:$K$13</c:f>
              <c:numCache>
                <c:formatCode>0</c:formatCode>
                <c:ptCount val="8"/>
                <c:pt idx="0">
                  <c:v>21.902488267025689</c:v>
                </c:pt>
                <c:pt idx="1">
                  <c:v>5</c:v>
                </c:pt>
                <c:pt idx="2">
                  <c:v>35.290639980000513</c:v>
                </c:pt>
                <c:pt idx="3">
                  <c:v>195.52280000000044</c:v>
                </c:pt>
                <c:pt idx="4">
                  <c:v>224.904</c:v>
                </c:pt>
                <c:pt idx="5">
                  <c:v>339.4971953499915</c:v>
                </c:pt>
                <c:pt idx="6">
                  <c:v>325.60646642</c:v>
                </c:pt>
                <c:pt idx="7">
                  <c:v>389.67093046020659</c:v>
                </c:pt>
              </c:numCache>
            </c:numRef>
          </c:val>
        </c:ser>
        <c:ser>
          <c:idx val="5"/>
          <c:order val="5"/>
          <c:tx>
            <c:strRef>
              <c:f>Sheet1!$A$14</c:f>
              <c:strCache>
                <c:ptCount val="1"/>
                <c:pt idx="0">
                  <c:v>Non-Tax Revenue</c:v>
                </c:pt>
              </c:strCache>
            </c:strRef>
          </c:tx>
          <c:invertIfNegative val="0"/>
          <c:cat>
            <c:strRef>
              <c:f>Sheet1!$B$7:$K$8</c:f>
              <c:strCache>
                <c:ptCount val="8"/>
                <c:pt idx="0">
                  <c:v>2007</c:v>
                </c:pt>
                <c:pt idx="1">
                  <c:v>2008</c:v>
                </c:pt>
                <c:pt idx="2">
                  <c:v>2009</c:v>
                </c:pt>
                <c:pt idx="3">
                  <c:v>2010</c:v>
                </c:pt>
                <c:pt idx="4">
                  <c:v>2011</c:v>
                </c:pt>
                <c:pt idx="5">
                  <c:v>2012</c:v>
                </c:pt>
                <c:pt idx="6">
                  <c:v>2013</c:v>
                </c:pt>
                <c:pt idx="7">
                  <c:v>2014F</c:v>
                </c:pt>
              </c:strCache>
            </c:strRef>
          </c:cat>
          <c:val>
            <c:numRef>
              <c:f>Sheet1!$B$14:$K$14</c:f>
              <c:numCache>
                <c:formatCode>#,##0</c:formatCode>
                <c:ptCount val="8"/>
                <c:pt idx="0">
                  <c:v>8.8083988822224182</c:v>
                </c:pt>
                <c:pt idx="1">
                  <c:v>5</c:v>
                </c:pt>
                <c:pt idx="2">
                  <c:v>51.084394469999417</c:v>
                </c:pt>
                <c:pt idx="3">
                  <c:v>124.46690000000002</c:v>
                </c:pt>
                <c:pt idx="4">
                  <c:v>260.97299999999859</c:v>
                </c:pt>
                <c:pt idx="5">
                  <c:v>216.85262771000291</c:v>
                </c:pt>
                <c:pt idx="6">
                  <c:v>326.98505576999179</c:v>
                </c:pt>
                <c:pt idx="7">
                  <c:v>399.75200000000001</c:v>
                </c:pt>
              </c:numCache>
            </c:numRef>
          </c:val>
        </c:ser>
        <c:ser>
          <c:idx val="6"/>
          <c:order val="6"/>
          <c:tx>
            <c:strRef>
              <c:f>Sheet1!$A$15</c:f>
              <c:strCache>
                <c:ptCount val="1"/>
                <c:pt idx="0">
                  <c:v>Budget Grants</c:v>
                </c:pt>
              </c:strCache>
            </c:strRef>
          </c:tx>
          <c:invertIfNegative val="0"/>
          <c:cat>
            <c:strRef>
              <c:f>Sheet1!$B$7:$K$8</c:f>
              <c:strCache>
                <c:ptCount val="8"/>
                <c:pt idx="0">
                  <c:v>2007</c:v>
                </c:pt>
                <c:pt idx="1">
                  <c:v>2008</c:v>
                </c:pt>
                <c:pt idx="2">
                  <c:v>2009</c:v>
                </c:pt>
                <c:pt idx="3">
                  <c:v>2010</c:v>
                </c:pt>
                <c:pt idx="4">
                  <c:v>2011</c:v>
                </c:pt>
                <c:pt idx="5">
                  <c:v>2012</c:v>
                </c:pt>
                <c:pt idx="6">
                  <c:v>2013</c:v>
                </c:pt>
                <c:pt idx="7">
                  <c:v>2014F</c:v>
                </c:pt>
              </c:strCache>
            </c:strRef>
          </c:cat>
          <c:val>
            <c:numRef>
              <c:f>Sheet1!$B$15:$K$15</c:f>
              <c:numCache>
                <c:formatCode>#,##0</c:formatCode>
                <c:ptCount val="8"/>
                <c:pt idx="0">
                  <c:v>0</c:v>
                </c:pt>
                <c:pt idx="1">
                  <c:v>0</c:v>
                </c:pt>
                <c:pt idx="2">
                  <c:v>41.287695800000002</c:v>
                </c:pt>
                <c:pt idx="3">
                  <c:v>1</c:v>
                </c:pt>
                <c:pt idx="4">
                  <c:v>0</c:v>
                </c:pt>
                <c:pt idx="5">
                  <c:v>0</c:v>
                </c:pt>
                <c:pt idx="6">
                  <c:v>0</c:v>
                </c:pt>
                <c:pt idx="7">
                  <c:v>0</c:v>
                </c:pt>
              </c:numCache>
            </c:numRef>
          </c:val>
        </c:ser>
        <c:dLbls>
          <c:showLegendKey val="0"/>
          <c:showVal val="0"/>
          <c:showCatName val="0"/>
          <c:showSerName val="0"/>
          <c:showPercent val="0"/>
          <c:showBubbleSize val="0"/>
        </c:dLbls>
        <c:gapWidth val="150"/>
        <c:overlap val="100"/>
        <c:axId val="419950648"/>
        <c:axId val="419951040"/>
      </c:barChart>
      <c:lineChart>
        <c:grouping val="standard"/>
        <c:varyColors val="0"/>
        <c:ser>
          <c:idx val="7"/>
          <c:order val="7"/>
          <c:tx>
            <c:strRef>
              <c:f>Sheet1!$A$16</c:f>
              <c:strCache>
                <c:ptCount val="1"/>
                <c:pt idx="0">
                  <c:v>Off-Budget Grants</c:v>
                </c:pt>
              </c:strCache>
            </c:strRef>
          </c:tx>
          <c:spPr>
            <a:ln>
              <a:solidFill>
                <a:srgbClr val="FF0000"/>
              </a:solidFill>
            </a:ln>
          </c:spPr>
          <c:marker>
            <c:symbol val="none"/>
          </c:marker>
          <c:cat>
            <c:strRef>
              <c:f>Sheet1!$B$7:$K$8</c:f>
              <c:strCache>
                <c:ptCount val="8"/>
                <c:pt idx="0">
                  <c:v>2007</c:v>
                </c:pt>
                <c:pt idx="1">
                  <c:v>2008</c:v>
                </c:pt>
                <c:pt idx="2">
                  <c:v>2009</c:v>
                </c:pt>
                <c:pt idx="3">
                  <c:v>2010</c:v>
                </c:pt>
                <c:pt idx="4">
                  <c:v>2011</c:v>
                </c:pt>
                <c:pt idx="5">
                  <c:v>2012</c:v>
                </c:pt>
                <c:pt idx="6">
                  <c:v>2013</c:v>
                </c:pt>
                <c:pt idx="7">
                  <c:v>2014F</c:v>
                </c:pt>
              </c:strCache>
            </c:strRef>
          </c:cat>
          <c:val>
            <c:numRef>
              <c:f>Sheet1!$B$16:$K$16</c:f>
              <c:numCache>
                <c:formatCode>#,##0</c:formatCode>
                <c:ptCount val="8"/>
                <c:pt idx="0">
                  <c:v>0</c:v>
                </c:pt>
                <c:pt idx="1">
                  <c:v>0</c:v>
                </c:pt>
                <c:pt idx="2">
                  <c:v>650</c:v>
                </c:pt>
                <c:pt idx="3">
                  <c:v>587.4</c:v>
                </c:pt>
                <c:pt idx="4">
                  <c:v>460.2</c:v>
                </c:pt>
                <c:pt idx="5">
                  <c:v>934.4</c:v>
                </c:pt>
                <c:pt idx="6">
                  <c:v>558.52248745999998</c:v>
                </c:pt>
                <c:pt idx="7">
                  <c:v>500</c:v>
                </c:pt>
              </c:numCache>
            </c:numRef>
          </c:val>
          <c:smooth val="0"/>
        </c:ser>
        <c:dLbls>
          <c:showLegendKey val="0"/>
          <c:showVal val="0"/>
          <c:showCatName val="0"/>
          <c:showSerName val="0"/>
          <c:showPercent val="0"/>
          <c:showBubbleSize val="0"/>
        </c:dLbls>
        <c:marker val="1"/>
        <c:smooth val="0"/>
        <c:axId val="419950648"/>
        <c:axId val="419951040"/>
      </c:lineChart>
      <c:catAx>
        <c:axId val="419950648"/>
        <c:scaling>
          <c:orientation val="minMax"/>
        </c:scaling>
        <c:delete val="0"/>
        <c:axPos val="b"/>
        <c:numFmt formatCode="General" sourceLinked="0"/>
        <c:majorTickMark val="out"/>
        <c:minorTickMark val="none"/>
        <c:tickLblPos val="nextTo"/>
        <c:txPr>
          <a:bodyPr/>
          <a:lstStyle/>
          <a:p>
            <a:pPr>
              <a:defRPr sz="700"/>
            </a:pPr>
            <a:endParaRPr lang="en-US"/>
          </a:p>
        </c:txPr>
        <c:crossAx val="419951040"/>
        <c:crosses val="autoZero"/>
        <c:auto val="1"/>
        <c:lblAlgn val="ctr"/>
        <c:lblOffset val="100"/>
        <c:noMultiLvlLbl val="0"/>
      </c:catAx>
      <c:valAx>
        <c:axId val="419951040"/>
        <c:scaling>
          <c:orientation val="minMax"/>
        </c:scaling>
        <c:delete val="0"/>
        <c:axPos val="l"/>
        <c:majorGridlines>
          <c:spPr>
            <a:ln>
              <a:prstDash val="dash"/>
            </a:ln>
          </c:spPr>
        </c:majorGridlines>
        <c:numFmt formatCode="0" sourceLinked="1"/>
        <c:majorTickMark val="out"/>
        <c:minorTickMark val="none"/>
        <c:tickLblPos val="nextTo"/>
        <c:txPr>
          <a:bodyPr/>
          <a:lstStyle/>
          <a:p>
            <a:pPr>
              <a:defRPr sz="700"/>
            </a:pPr>
            <a:endParaRPr lang="en-US"/>
          </a:p>
        </c:txPr>
        <c:crossAx val="419950648"/>
        <c:crosses val="autoZero"/>
        <c:crossBetween val="between"/>
      </c:valAx>
    </c:plotArea>
    <c:legend>
      <c:legendPos val="b"/>
      <c:layout>
        <c:manualLayout>
          <c:xMode val="edge"/>
          <c:yMode val="edge"/>
          <c:x val="0"/>
          <c:y val="0.84589120672713358"/>
          <c:w val="0.99531725201016497"/>
          <c:h val="0.15410879327287899"/>
        </c:manualLayout>
      </c:layout>
      <c:overlay val="0"/>
      <c:txPr>
        <a:bodyPr/>
        <a:lstStyle/>
        <a:p>
          <a:pPr>
            <a:defRPr sz="700"/>
          </a:pPr>
          <a:endParaRPr lang="en-US"/>
        </a:p>
      </c:txPr>
    </c:legend>
    <c:plotVisOnly val="1"/>
    <c:dispBlanksAs val="gap"/>
    <c:showDLblsOverMax val="0"/>
  </c:chart>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1401302109963528E-2"/>
          <c:y val="5.2774910340067732E-2"/>
          <c:w val="0.84234410092677814"/>
          <c:h val="0.70945937387853364"/>
        </c:manualLayout>
      </c:layout>
      <c:barChart>
        <c:barDir val="col"/>
        <c:grouping val="clustered"/>
        <c:varyColors val="0"/>
        <c:ser>
          <c:idx val="0"/>
          <c:order val="0"/>
          <c:tx>
            <c:strRef>
              <c:f>graphs!$B$42</c:f>
              <c:strCache>
                <c:ptCount val="1"/>
                <c:pt idx="0">
                  <c:v>Health</c:v>
                </c:pt>
              </c:strCache>
            </c:strRef>
          </c:tx>
          <c:invertIfNegative val="0"/>
          <c:cat>
            <c:numRef>
              <c:f>graphs!$C$41:$G$41</c:f>
              <c:numCache>
                <c:formatCode>0</c:formatCode>
                <c:ptCount val="5"/>
                <c:pt idx="0">
                  <c:v>2009</c:v>
                </c:pt>
                <c:pt idx="1">
                  <c:v>2010</c:v>
                </c:pt>
                <c:pt idx="2">
                  <c:v>2011</c:v>
                </c:pt>
                <c:pt idx="3">
                  <c:v>2012</c:v>
                </c:pt>
                <c:pt idx="4">
                  <c:v>2013</c:v>
                </c:pt>
              </c:numCache>
            </c:numRef>
          </c:cat>
          <c:val>
            <c:numRef>
              <c:f>graphs!$C$42:$G$42</c:f>
              <c:numCache>
                <c:formatCode>_(* #,##0_);_(* \(#,##0\);_(* "-"??_);_(@_)</c:formatCode>
                <c:ptCount val="5"/>
                <c:pt idx="0">
                  <c:v>73.400000000000006</c:v>
                </c:pt>
                <c:pt idx="1">
                  <c:v>149.98395099999999</c:v>
                </c:pt>
                <c:pt idx="2">
                  <c:v>232.71957999999984</c:v>
                </c:pt>
                <c:pt idx="3">
                  <c:v>289.27345499999979</c:v>
                </c:pt>
                <c:pt idx="4">
                  <c:v>268.30059256999999</c:v>
                </c:pt>
              </c:numCache>
            </c:numRef>
          </c:val>
        </c:ser>
        <c:ser>
          <c:idx val="1"/>
          <c:order val="1"/>
          <c:tx>
            <c:strRef>
              <c:f>graphs!$B$43</c:f>
              <c:strCache>
                <c:ptCount val="1"/>
                <c:pt idx="0">
                  <c:v>Education</c:v>
                </c:pt>
              </c:strCache>
            </c:strRef>
          </c:tx>
          <c:invertIfNegative val="0"/>
          <c:cat>
            <c:numRef>
              <c:f>graphs!$C$41:$G$41</c:f>
              <c:numCache>
                <c:formatCode>0</c:formatCode>
                <c:ptCount val="5"/>
                <c:pt idx="0">
                  <c:v>2009</c:v>
                </c:pt>
                <c:pt idx="1">
                  <c:v>2010</c:v>
                </c:pt>
                <c:pt idx="2">
                  <c:v>2011</c:v>
                </c:pt>
                <c:pt idx="3">
                  <c:v>2012</c:v>
                </c:pt>
                <c:pt idx="4">
                  <c:v>2013</c:v>
                </c:pt>
              </c:numCache>
            </c:numRef>
          </c:cat>
          <c:val>
            <c:numRef>
              <c:f>graphs!$C$43:$G$43</c:f>
              <c:numCache>
                <c:formatCode>_(* #,##0_);_(* \(#,##0\);_(* "-"??_);_(@_)</c:formatCode>
                <c:ptCount val="5"/>
                <c:pt idx="0">
                  <c:v>208.6</c:v>
                </c:pt>
                <c:pt idx="1">
                  <c:v>313.27786600000002</c:v>
                </c:pt>
                <c:pt idx="2">
                  <c:v>507.73444499999999</c:v>
                </c:pt>
                <c:pt idx="3">
                  <c:v>674.17117800000005</c:v>
                </c:pt>
                <c:pt idx="4">
                  <c:v>745.09432809999998</c:v>
                </c:pt>
              </c:numCache>
            </c:numRef>
          </c:val>
        </c:ser>
        <c:ser>
          <c:idx val="2"/>
          <c:order val="2"/>
          <c:tx>
            <c:strRef>
              <c:f>graphs!$B$44</c:f>
              <c:strCache>
                <c:ptCount val="1"/>
                <c:pt idx="0">
                  <c:v>Labour and Social Services.</c:v>
                </c:pt>
              </c:strCache>
            </c:strRef>
          </c:tx>
          <c:invertIfNegative val="0"/>
          <c:cat>
            <c:numRef>
              <c:f>graphs!$C$41:$G$41</c:f>
              <c:numCache>
                <c:formatCode>0</c:formatCode>
                <c:ptCount val="5"/>
                <c:pt idx="0">
                  <c:v>2009</c:v>
                </c:pt>
                <c:pt idx="1">
                  <c:v>2010</c:v>
                </c:pt>
                <c:pt idx="2">
                  <c:v>2011</c:v>
                </c:pt>
                <c:pt idx="3">
                  <c:v>2012</c:v>
                </c:pt>
                <c:pt idx="4">
                  <c:v>2013</c:v>
                </c:pt>
              </c:numCache>
            </c:numRef>
          </c:cat>
          <c:val>
            <c:numRef>
              <c:f>graphs!$C$44:$G$44</c:f>
              <c:numCache>
                <c:formatCode>_(* #,##0_);_(* \(#,##0\);_(* "-"??_);_(@_)</c:formatCode>
                <c:ptCount val="5"/>
                <c:pt idx="0">
                  <c:v>4.96</c:v>
                </c:pt>
                <c:pt idx="1">
                  <c:v>28.04043399999998</c:v>
                </c:pt>
                <c:pt idx="2">
                  <c:v>24.133979000000014</c:v>
                </c:pt>
                <c:pt idx="3">
                  <c:v>17.35568</c:v>
                </c:pt>
                <c:pt idx="4">
                  <c:v>24.463838079999981</c:v>
                </c:pt>
              </c:numCache>
            </c:numRef>
          </c:val>
        </c:ser>
        <c:ser>
          <c:idx val="3"/>
          <c:order val="3"/>
          <c:tx>
            <c:strRef>
              <c:f>graphs!$B$45</c:f>
              <c:strCache>
                <c:ptCount val="1"/>
                <c:pt idx="0">
                  <c:v>Water</c:v>
                </c:pt>
              </c:strCache>
            </c:strRef>
          </c:tx>
          <c:invertIfNegative val="0"/>
          <c:cat>
            <c:numRef>
              <c:f>graphs!$C$41:$G$41</c:f>
              <c:numCache>
                <c:formatCode>0</c:formatCode>
                <c:ptCount val="5"/>
                <c:pt idx="0">
                  <c:v>2009</c:v>
                </c:pt>
                <c:pt idx="1">
                  <c:v>2010</c:v>
                </c:pt>
                <c:pt idx="2">
                  <c:v>2011</c:v>
                </c:pt>
                <c:pt idx="3">
                  <c:v>2012</c:v>
                </c:pt>
                <c:pt idx="4">
                  <c:v>2013</c:v>
                </c:pt>
              </c:numCache>
            </c:numRef>
          </c:cat>
          <c:val>
            <c:numRef>
              <c:f>graphs!$C$45:$G$45</c:f>
              <c:numCache>
                <c:formatCode>_(* #,##0_);_(* \(#,##0\);_(* "-"??_);_(@_)</c:formatCode>
                <c:ptCount val="5"/>
                <c:pt idx="0">
                  <c:v>2.04</c:v>
                </c:pt>
                <c:pt idx="1">
                  <c:v>39.648019000000012</c:v>
                </c:pt>
                <c:pt idx="2">
                  <c:v>25.647072000000001</c:v>
                </c:pt>
                <c:pt idx="3">
                  <c:v>79.274906999999999</c:v>
                </c:pt>
                <c:pt idx="4">
                  <c:v>105.644976</c:v>
                </c:pt>
              </c:numCache>
            </c:numRef>
          </c:val>
        </c:ser>
        <c:ser>
          <c:idx val="4"/>
          <c:order val="4"/>
          <c:tx>
            <c:strRef>
              <c:f>graphs!$B$46</c:f>
              <c:strCache>
                <c:ptCount val="1"/>
                <c:pt idx="0">
                  <c:v>National Housing</c:v>
                </c:pt>
              </c:strCache>
            </c:strRef>
          </c:tx>
          <c:invertIfNegative val="0"/>
          <c:cat>
            <c:numRef>
              <c:f>graphs!$C$41:$G$41</c:f>
              <c:numCache>
                <c:formatCode>0</c:formatCode>
                <c:ptCount val="5"/>
                <c:pt idx="0">
                  <c:v>2009</c:v>
                </c:pt>
                <c:pt idx="1">
                  <c:v>2010</c:v>
                </c:pt>
                <c:pt idx="2">
                  <c:v>2011</c:v>
                </c:pt>
                <c:pt idx="3">
                  <c:v>2012</c:v>
                </c:pt>
                <c:pt idx="4">
                  <c:v>2013</c:v>
                </c:pt>
              </c:numCache>
            </c:numRef>
          </c:cat>
          <c:val>
            <c:numRef>
              <c:f>graphs!$C$46:$G$46</c:f>
              <c:numCache>
                <c:formatCode>_(* #,##0_);_(* \(#,##0\);_(* "-"??_);_(@_)</c:formatCode>
                <c:ptCount val="5"/>
                <c:pt idx="0">
                  <c:v>2.06</c:v>
                </c:pt>
                <c:pt idx="1">
                  <c:v>7.6899999999999995</c:v>
                </c:pt>
                <c:pt idx="2">
                  <c:v>6.17</c:v>
                </c:pt>
                <c:pt idx="3">
                  <c:v>11.4</c:v>
                </c:pt>
                <c:pt idx="4">
                  <c:v>11.94</c:v>
                </c:pt>
              </c:numCache>
            </c:numRef>
          </c:val>
        </c:ser>
        <c:ser>
          <c:idx val="5"/>
          <c:order val="5"/>
          <c:tx>
            <c:strRef>
              <c:f>graphs!$B$47</c:f>
              <c:strCache>
                <c:ptCount val="1"/>
                <c:pt idx="0">
                  <c:v>Woman Affairs</c:v>
                </c:pt>
              </c:strCache>
            </c:strRef>
          </c:tx>
          <c:invertIfNegative val="0"/>
          <c:cat>
            <c:numRef>
              <c:f>graphs!$C$41:$G$41</c:f>
              <c:numCache>
                <c:formatCode>0</c:formatCode>
                <c:ptCount val="5"/>
                <c:pt idx="0">
                  <c:v>2009</c:v>
                </c:pt>
                <c:pt idx="1">
                  <c:v>2010</c:v>
                </c:pt>
                <c:pt idx="2">
                  <c:v>2011</c:v>
                </c:pt>
                <c:pt idx="3">
                  <c:v>2012</c:v>
                </c:pt>
                <c:pt idx="4">
                  <c:v>2013</c:v>
                </c:pt>
              </c:numCache>
            </c:numRef>
          </c:cat>
          <c:val>
            <c:numRef>
              <c:f>graphs!$C$47:$G$47</c:f>
              <c:numCache>
                <c:formatCode>_(* #,##0_);_(* \(#,##0\);_(* "-"??_);_(@_)</c:formatCode>
                <c:ptCount val="5"/>
                <c:pt idx="0">
                  <c:v>2.3592479999999969</c:v>
                </c:pt>
                <c:pt idx="1">
                  <c:v>4.6507179999999968</c:v>
                </c:pt>
                <c:pt idx="2">
                  <c:v>6.1700439999999999</c:v>
                </c:pt>
                <c:pt idx="3">
                  <c:v>7.5807120000000001</c:v>
                </c:pt>
                <c:pt idx="4">
                  <c:v>6.3670019399999926</c:v>
                </c:pt>
              </c:numCache>
            </c:numRef>
          </c:val>
        </c:ser>
        <c:dLbls>
          <c:showLegendKey val="0"/>
          <c:showVal val="0"/>
          <c:showCatName val="0"/>
          <c:showSerName val="0"/>
          <c:showPercent val="0"/>
          <c:showBubbleSize val="0"/>
        </c:dLbls>
        <c:gapWidth val="150"/>
        <c:axId val="419951824"/>
        <c:axId val="419952216"/>
      </c:barChart>
      <c:lineChart>
        <c:grouping val="standard"/>
        <c:varyColors val="0"/>
        <c:ser>
          <c:idx val="6"/>
          <c:order val="6"/>
          <c:tx>
            <c:strRef>
              <c:f>graphs!$B$48</c:f>
              <c:strCache>
                <c:ptCount val="1"/>
                <c:pt idx="0">
                  <c:v>Social Expenditures/Total expenditures (%) (right)</c:v>
                </c:pt>
              </c:strCache>
            </c:strRef>
          </c:tx>
          <c:spPr>
            <a:ln>
              <a:solidFill>
                <a:srgbClr val="FF0000"/>
              </a:solidFill>
            </a:ln>
          </c:spPr>
          <c:marker>
            <c:symbol val="none"/>
          </c:marker>
          <c:cat>
            <c:numRef>
              <c:f>graphs!$C$41:$G$41</c:f>
              <c:numCache>
                <c:formatCode>0</c:formatCode>
                <c:ptCount val="5"/>
                <c:pt idx="0">
                  <c:v>2009</c:v>
                </c:pt>
                <c:pt idx="1">
                  <c:v>2010</c:v>
                </c:pt>
                <c:pt idx="2">
                  <c:v>2011</c:v>
                </c:pt>
                <c:pt idx="3">
                  <c:v>2012</c:v>
                </c:pt>
                <c:pt idx="4">
                  <c:v>2013</c:v>
                </c:pt>
              </c:numCache>
            </c:numRef>
          </c:cat>
          <c:val>
            <c:numRef>
              <c:f>graphs!$C$48:$G$48</c:f>
              <c:numCache>
                <c:formatCode>_(* #,##0_);_(* \(#,##0\);_(* "-"??_);_(@_)</c:formatCode>
                <c:ptCount val="5"/>
                <c:pt idx="0">
                  <c:v>22</c:v>
                </c:pt>
                <c:pt idx="1">
                  <c:v>23.186189956709942</c:v>
                </c:pt>
                <c:pt idx="2">
                  <c:v>25.036313109085192</c:v>
                </c:pt>
                <c:pt idx="3">
                  <c:v>29.186876216511759</c:v>
                </c:pt>
                <c:pt idx="4">
                  <c:v>28.259295568690106</c:v>
                </c:pt>
              </c:numCache>
            </c:numRef>
          </c:val>
          <c:smooth val="0"/>
        </c:ser>
        <c:dLbls>
          <c:showLegendKey val="0"/>
          <c:showVal val="0"/>
          <c:showCatName val="0"/>
          <c:showSerName val="0"/>
          <c:showPercent val="0"/>
          <c:showBubbleSize val="0"/>
        </c:dLbls>
        <c:marker val="1"/>
        <c:smooth val="0"/>
        <c:axId val="420469328"/>
        <c:axId val="419952608"/>
      </c:lineChart>
      <c:catAx>
        <c:axId val="419951824"/>
        <c:scaling>
          <c:orientation val="minMax"/>
        </c:scaling>
        <c:delete val="0"/>
        <c:axPos val="b"/>
        <c:numFmt formatCode="0" sourceLinked="1"/>
        <c:majorTickMark val="out"/>
        <c:minorTickMark val="none"/>
        <c:tickLblPos val="nextTo"/>
        <c:crossAx val="419952216"/>
        <c:crosses val="autoZero"/>
        <c:auto val="1"/>
        <c:lblAlgn val="ctr"/>
        <c:lblOffset val="100"/>
        <c:noMultiLvlLbl val="0"/>
      </c:catAx>
      <c:valAx>
        <c:axId val="419952216"/>
        <c:scaling>
          <c:orientation val="minMax"/>
        </c:scaling>
        <c:delete val="0"/>
        <c:axPos val="l"/>
        <c:majorGridlines>
          <c:spPr>
            <a:ln>
              <a:prstDash val="dash"/>
            </a:ln>
          </c:spPr>
        </c:majorGridlines>
        <c:title>
          <c:tx>
            <c:rich>
              <a:bodyPr rot="-5400000" vert="horz"/>
              <a:lstStyle/>
              <a:p>
                <a:pPr>
                  <a:defRPr/>
                </a:pPr>
                <a:r>
                  <a:rPr lang="en-US"/>
                  <a:t>US$ Million</a:t>
                </a:r>
              </a:p>
            </c:rich>
          </c:tx>
          <c:overlay val="0"/>
        </c:title>
        <c:numFmt formatCode="_(* #,##0_);_(* \(#,##0\);_(* &quot;-&quot;??_);_(@_)" sourceLinked="1"/>
        <c:majorTickMark val="out"/>
        <c:minorTickMark val="none"/>
        <c:tickLblPos val="nextTo"/>
        <c:crossAx val="419951824"/>
        <c:crosses val="autoZero"/>
        <c:crossBetween val="between"/>
      </c:valAx>
      <c:valAx>
        <c:axId val="419952608"/>
        <c:scaling>
          <c:orientation val="minMax"/>
        </c:scaling>
        <c:delete val="0"/>
        <c:axPos val="r"/>
        <c:title>
          <c:tx>
            <c:rich>
              <a:bodyPr rot="-5400000" vert="horz"/>
              <a:lstStyle/>
              <a:p>
                <a:pPr>
                  <a:defRPr/>
                </a:pPr>
                <a:r>
                  <a:rPr lang="en-US"/>
                  <a:t>Percentage</a:t>
                </a:r>
              </a:p>
            </c:rich>
          </c:tx>
          <c:overlay val="0"/>
        </c:title>
        <c:numFmt formatCode="_(* #,##0_);_(* \(#,##0\);_(* &quot;-&quot;??_);_(@_)" sourceLinked="1"/>
        <c:majorTickMark val="out"/>
        <c:minorTickMark val="none"/>
        <c:tickLblPos val="nextTo"/>
        <c:crossAx val="420469328"/>
        <c:crosses val="max"/>
        <c:crossBetween val="between"/>
      </c:valAx>
      <c:catAx>
        <c:axId val="420469328"/>
        <c:scaling>
          <c:orientation val="minMax"/>
        </c:scaling>
        <c:delete val="1"/>
        <c:axPos val="b"/>
        <c:numFmt formatCode="0" sourceLinked="1"/>
        <c:majorTickMark val="out"/>
        <c:minorTickMark val="none"/>
        <c:tickLblPos val="none"/>
        <c:crossAx val="419952608"/>
        <c:crosses val="autoZero"/>
        <c:auto val="1"/>
        <c:lblAlgn val="ctr"/>
        <c:lblOffset val="100"/>
        <c:noMultiLvlLbl val="0"/>
      </c:catAx>
    </c:plotArea>
    <c:legend>
      <c:legendPos val="b"/>
      <c:layout>
        <c:manualLayout>
          <c:xMode val="edge"/>
          <c:yMode val="edge"/>
          <c:x val="0"/>
          <c:y val="0.82503500735330393"/>
          <c:w val="0.98164084911072869"/>
          <c:h val="0.16406155034106659"/>
        </c:manualLayout>
      </c:layout>
      <c:overlay val="0"/>
      <c:txPr>
        <a:bodyPr/>
        <a:lstStyle/>
        <a:p>
          <a:pPr>
            <a:defRPr sz="900"/>
          </a:pPr>
          <a:endParaRPr lang="en-US"/>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Per Capita Utilization - Public &amp; Not-For-Profit Only</c:v>
          </c:tx>
          <c:invertIfNegative val="0"/>
          <c:cat>
            <c:strRef>
              <c:f>Sheet1!$A$2:$A$11</c:f>
              <c:strCache>
                <c:ptCount val="10"/>
                <c:pt idx="0">
                  <c:v>Mat. North </c:v>
                </c:pt>
                <c:pt idx="1">
                  <c:v>Mash. West </c:v>
                </c:pt>
                <c:pt idx="2">
                  <c:v>Mash. East </c:v>
                </c:pt>
                <c:pt idx="3">
                  <c:v>Mat. South </c:v>
                </c:pt>
                <c:pt idx="4">
                  <c:v>Manicaland </c:v>
                </c:pt>
                <c:pt idx="5">
                  <c:v>Midlands </c:v>
                </c:pt>
                <c:pt idx="6">
                  <c:v>Mash. Central </c:v>
                </c:pt>
                <c:pt idx="7">
                  <c:v>Masvingo </c:v>
                </c:pt>
                <c:pt idx="8">
                  <c:v>Bulawayo </c:v>
                </c:pt>
                <c:pt idx="9">
                  <c:v>Harare </c:v>
                </c:pt>
              </c:strCache>
            </c:strRef>
          </c:cat>
          <c:val>
            <c:numRef>
              <c:f>Sheet1!$E$2:$E$11</c:f>
              <c:numCache>
                <c:formatCode>0.0</c:formatCode>
                <c:ptCount val="10"/>
                <c:pt idx="0">
                  <c:v>1.0081867300742171</c:v>
                </c:pt>
                <c:pt idx="1">
                  <c:v>0.38062245947141021</c:v>
                </c:pt>
                <c:pt idx="2">
                  <c:v>1.0165998118896158</c:v>
                </c:pt>
                <c:pt idx="3">
                  <c:v>0.89731873260875605</c:v>
                </c:pt>
                <c:pt idx="4">
                  <c:v>1.1334137426983999</c:v>
                </c:pt>
                <c:pt idx="5">
                  <c:v>0.74647804470875401</c:v>
                </c:pt>
                <c:pt idx="6">
                  <c:v>1.1235431923090258</c:v>
                </c:pt>
                <c:pt idx="7">
                  <c:v>1.0921822919823041</c:v>
                </c:pt>
                <c:pt idx="8">
                  <c:v>0.71910973969023695</c:v>
                </c:pt>
                <c:pt idx="9">
                  <c:v>0.72832494635284195</c:v>
                </c:pt>
              </c:numCache>
            </c:numRef>
          </c:val>
        </c:ser>
        <c:dLbls>
          <c:showLegendKey val="0"/>
          <c:showVal val="0"/>
          <c:showCatName val="0"/>
          <c:showSerName val="0"/>
          <c:showPercent val="0"/>
          <c:showBubbleSize val="0"/>
        </c:dLbls>
        <c:gapWidth val="150"/>
        <c:axId val="335920248"/>
        <c:axId val="335920640"/>
      </c:barChart>
      <c:lineChart>
        <c:grouping val="standard"/>
        <c:varyColors val="0"/>
        <c:ser>
          <c:idx val="1"/>
          <c:order val="1"/>
          <c:tx>
            <c:v>Extreme Poverty Prevalence</c:v>
          </c:tx>
          <c:spPr>
            <a:ln>
              <a:solidFill>
                <a:srgbClr val="FF6600"/>
              </a:solidFill>
            </a:ln>
          </c:spPr>
          <c:marker>
            <c:symbol val="circle"/>
            <c:size val="5"/>
            <c:spPr>
              <a:solidFill>
                <a:srgbClr val="FF6600"/>
              </a:solidFill>
              <a:ln>
                <a:solidFill>
                  <a:srgbClr val="FF6600"/>
                </a:solidFill>
              </a:ln>
            </c:spPr>
          </c:marker>
          <c:val>
            <c:numRef>
              <c:f>Sheet1!$F$2:$F$11</c:f>
              <c:numCache>
                <c:formatCode>General</c:formatCode>
                <c:ptCount val="10"/>
                <c:pt idx="0">
                  <c:v>36.9</c:v>
                </c:pt>
                <c:pt idx="1">
                  <c:v>22</c:v>
                </c:pt>
                <c:pt idx="2">
                  <c:v>21.8</c:v>
                </c:pt>
                <c:pt idx="3">
                  <c:v>19.399999999999999</c:v>
                </c:pt>
                <c:pt idx="4">
                  <c:v>18.7</c:v>
                </c:pt>
                <c:pt idx="5">
                  <c:v>18.5</c:v>
                </c:pt>
                <c:pt idx="6">
                  <c:v>17.3</c:v>
                </c:pt>
                <c:pt idx="7">
                  <c:v>13.8</c:v>
                </c:pt>
                <c:pt idx="8">
                  <c:v>3.4</c:v>
                </c:pt>
                <c:pt idx="9">
                  <c:v>3.3</c:v>
                </c:pt>
              </c:numCache>
            </c:numRef>
          </c:val>
          <c:smooth val="0"/>
        </c:ser>
        <c:ser>
          <c:idx val="2"/>
          <c:order val="2"/>
          <c:tx>
            <c:v>Mean User Fees - Public Only</c:v>
          </c:tx>
          <c:spPr>
            <a:ln>
              <a:solidFill>
                <a:schemeClr val="tx2"/>
              </a:solidFill>
            </a:ln>
          </c:spPr>
          <c:marker>
            <c:symbol val="circle"/>
            <c:size val="6"/>
            <c:spPr>
              <a:solidFill>
                <a:srgbClr val="FFFF00"/>
              </a:solidFill>
              <a:ln>
                <a:solidFill>
                  <a:schemeClr val="accent1"/>
                </a:solidFill>
              </a:ln>
            </c:spPr>
          </c:marker>
          <c:val>
            <c:numRef>
              <c:f>Sheet1!$G$2:$G$11</c:f>
              <c:numCache>
                <c:formatCode>General</c:formatCode>
                <c:ptCount val="10"/>
                <c:pt idx="0">
                  <c:v>28.36</c:v>
                </c:pt>
                <c:pt idx="1">
                  <c:v>8.25</c:v>
                </c:pt>
                <c:pt idx="2">
                  <c:v>12.55</c:v>
                </c:pt>
                <c:pt idx="3">
                  <c:v>22</c:v>
                </c:pt>
                <c:pt idx="4">
                  <c:v>5.1199999999999966</c:v>
                </c:pt>
                <c:pt idx="5">
                  <c:v>4.83</c:v>
                </c:pt>
                <c:pt idx="6">
                  <c:v>6.98</c:v>
                </c:pt>
                <c:pt idx="7">
                  <c:v>6.5</c:v>
                </c:pt>
                <c:pt idx="8">
                  <c:v>28.75</c:v>
                </c:pt>
                <c:pt idx="9">
                  <c:v>26.5</c:v>
                </c:pt>
              </c:numCache>
            </c:numRef>
          </c:val>
          <c:smooth val="0"/>
        </c:ser>
        <c:dLbls>
          <c:showLegendKey val="0"/>
          <c:showVal val="0"/>
          <c:showCatName val="0"/>
          <c:showSerName val="0"/>
          <c:showPercent val="0"/>
          <c:showBubbleSize val="0"/>
        </c:dLbls>
        <c:marker val="1"/>
        <c:smooth val="0"/>
        <c:axId val="335921424"/>
        <c:axId val="335921032"/>
      </c:lineChart>
      <c:catAx>
        <c:axId val="335920248"/>
        <c:scaling>
          <c:orientation val="minMax"/>
        </c:scaling>
        <c:delete val="0"/>
        <c:axPos val="b"/>
        <c:numFmt formatCode="General" sourceLinked="0"/>
        <c:majorTickMark val="none"/>
        <c:minorTickMark val="none"/>
        <c:tickLblPos val="nextTo"/>
        <c:crossAx val="335920640"/>
        <c:crosses val="autoZero"/>
        <c:auto val="1"/>
        <c:lblAlgn val="ctr"/>
        <c:lblOffset val="100"/>
        <c:noMultiLvlLbl val="0"/>
      </c:catAx>
      <c:valAx>
        <c:axId val="335920640"/>
        <c:scaling>
          <c:orientation val="minMax"/>
        </c:scaling>
        <c:delete val="0"/>
        <c:axPos val="l"/>
        <c:majorGridlines/>
        <c:title>
          <c:tx>
            <c:rich>
              <a:bodyPr rot="-5400000" vert="horz"/>
              <a:lstStyle/>
              <a:p>
                <a:pPr>
                  <a:defRPr sz="800"/>
                </a:pPr>
                <a:r>
                  <a:rPr lang="en-US" sz="800"/>
                  <a:t>Visits p.c. per year (new cases)</a:t>
                </a:r>
              </a:p>
            </c:rich>
          </c:tx>
          <c:overlay val="0"/>
        </c:title>
        <c:numFmt formatCode="0.0" sourceLinked="1"/>
        <c:majorTickMark val="none"/>
        <c:minorTickMark val="none"/>
        <c:tickLblPos val="nextTo"/>
        <c:crossAx val="335920248"/>
        <c:crosses val="autoZero"/>
        <c:crossBetween val="between"/>
      </c:valAx>
      <c:valAx>
        <c:axId val="335921032"/>
        <c:scaling>
          <c:orientation val="minMax"/>
        </c:scaling>
        <c:delete val="0"/>
        <c:axPos val="r"/>
        <c:title>
          <c:tx>
            <c:rich>
              <a:bodyPr rot="-5400000" vert="horz"/>
              <a:lstStyle/>
              <a:p>
                <a:pPr>
                  <a:defRPr sz="800"/>
                </a:pPr>
                <a:r>
                  <a:rPr lang="en-US" sz="800"/>
                  <a:t>Poverty</a:t>
                </a:r>
                <a:r>
                  <a:rPr lang="en-US" sz="800" baseline="0"/>
                  <a:t> Prev. (%), User Fees ($)</a:t>
                </a:r>
                <a:endParaRPr lang="en-US" sz="800"/>
              </a:p>
            </c:rich>
          </c:tx>
          <c:overlay val="0"/>
        </c:title>
        <c:numFmt formatCode="General" sourceLinked="1"/>
        <c:majorTickMark val="out"/>
        <c:minorTickMark val="none"/>
        <c:tickLblPos val="nextTo"/>
        <c:crossAx val="335921424"/>
        <c:crosses val="max"/>
        <c:crossBetween val="between"/>
      </c:valAx>
      <c:catAx>
        <c:axId val="335921424"/>
        <c:scaling>
          <c:orientation val="minMax"/>
        </c:scaling>
        <c:delete val="1"/>
        <c:axPos val="b"/>
        <c:majorTickMark val="out"/>
        <c:minorTickMark val="none"/>
        <c:tickLblPos val="none"/>
        <c:crossAx val="335921032"/>
        <c:crosses val="autoZero"/>
        <c:auto val="1"/>
        <c:lblAlgn val="ctr"/>
        <c:lblOffset val="100"/>
        <c:noMultiLvlLbl val="0"/>
      </c:catAx>
    </c:plotArea>
    <c:legend>
      <c:legendPos val="r"/>
      <c:layout>
        <c:manualLayout>
          <c:xMode val="edge"/>
          <c:yMode val="edge"/>
          <c:x val="0.67439588507813075"/>
          <c:y val="0.13850094687531211"/>
          <c:w val="0.31218129612993223"/>
          <c:h val="0.56266055350676103"/>
        </c:manualLayout>
      </c:layout>
      <c:overlay val="0"/>
      <c:txPr>
        <a:bodyPr/>
        <a:lstStyle/>
        <a:p>
          <a:pPr>
            <a:defRPr sz="800"/>
          </a:pPr>
          <a:endParaRPr lang="en-US"/>
        </a:p>
      </c:txPr>
    </c:legend>
    <c:plotVisOnly val="1"/>
    <c:dispBlanksAs val="gap"/>
    <c:showDLblsOverMax val="0"/>
  </c:chart>
  <c:txPr>
    <a:bodyPr/>
    <a:lstStyle/>
    <a:p>
      <a:pPr>
        <a:defRPr>
          <a:latin typeface="Tahoma"/>
          <a:cs typeface="Tahoma"/>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95539026256404"/>
          <c:y val="5.1400554097404488E-2"/>
          <c:w val="0.86698433913472994"/>
          <c:h val="0.73694444444444496"/>
        </c:manualLayout>
      </c:layout>
      <c:barChart>
        <c:barDir val="col"/>
        <c:grouping val="stacked"/>
        <c:varyColors val="0"/>
        <c:ser>
          <c:idx val="0"/>
          <c:order val="0"/>
          <c:tx>
            <c:strRef>
              <c:f>graphs!$I$42</c:f>
              <c:strCache>
                <c:ptCount val="1"/>
                <c:pt idx="0">
                  <c:v>Health</c:v>
                </c:pt>
              </c:strCache>
            </c:strRef>
          </c:tx>
          <c:invertIfNegative val="0"/>
          <c:cat>
            <c:numRef>
              <c:f>graphs!$J$41:$N$41</c:f>
              <c:numCache>
                <c:formatCode>General</c:formatCode>
                <c:ptCount val="5"/>
                <c:pt idx="0" formatCode="0">
                  <c:v>2009</c:v>
                </c:pt>
                <c:pt idx="1">
                  <c:v>2010</c:v>
                </c:pt>
                <c:pt idx="2">
                  <c:v>2011</c:v>
                </c:pt>
                <c:pt idx="3">
                  <c:v>2012</c:v>
                </c:pt>
                <c:pt idx="4">
                  <c:v>2013</c:v>
                </c:pt>
              </c:numCache>
            </c:numRef>
          </c:cat>
          <c:val>
            <c:numRef>
              <c:f>graphs!$J$42:$N$42</c:f>
              <c:numCache>
                <c:formatCode>_(* #,##0.00_);_(* \(#,##0.00\);_(* "-"??_);_(@_)</c:formatCode>
                <c:ptCount val="5"/>
                <c:pt idx="0" formatCode="_(* #,##0_);_(* \(#,##0\);_(* &quot;-&quot;??_);_(@_)">
                  <c:v>43.13</c:v>
                </c:pt>
                <c:pt idx="1">
                  <c:v>63.739616000000012</c:v>
                </c:pt>
                <c:pt idx="2">
                  <c:v>108.95017</c:v>
                </c:pt>
                <c:pt idx="3">
                  <c:v>139.0849170000001</c:v>
                </c:pt>
                <c:pt idx="4">
                  <c:v>152.99482377999999</c:v>
                </c:pt>
              </c:numCache>
            </c:numRef>
          </c:val>
        </c:ser>
        <c:ser>
          <c:idx val="1"/>
          <c:order val="1"/>
          <c:tx>
            <c:strRef>
              <c:f>graphs!$I$43</c:f>
              <c:strCache>
                <c:ptCount val="1"/>
                <c:pt idx="0">
                  <c:v>Education</c:v>
                </c:pt>
              </c:strCache>
            </c:strRef>
          </c:tx>
          <c:invertIfNegative val="0"/>
          <c:cat>
            <c:numRef>
              <c:f>graphs!$J$41:$N$41</c:f>
              <c:numCache>
                <c:formatCode>General</c:formatCode>
                <c:ptCount val="5"/>
                <c:pt idx="0" formatCode="0">
                  <c:v>2009</c:v>
                </c:pt>
                <c:pt idx="1">
                  <c:v>2010</c:v>
                </c:pt>
                <c:pt idx="2">
                  <c:v>2011</c:v>
                </c:pt>
                <c:pt idx="3">
                  <c:v>2012</c:v>
                </c:pt>
                <c:pt idx="4">
                  <c:v>2013</c:v>
                </c:pt>
              </c:numCache>
            </c:numRef>
          </c:cat>
          <c:val>
            <c:numRef>
              <c:f>graphs!$J$43:$N$43</c:f>
              <c:numCache>
                <c:formatCode>_(* #,##0.00_);_(* \(#,##0.00\);_(* "-"??_);_(@_)</c:formatCode>
                <c:ptCount val="5"/>
                <c:pt idx="0" formatCode="_(* #,##0_);_(* \(#,##0\);_(* &quot;-&quot;??_);_(@_)">
                  <c:v>177.5</c:v>
                </c:pt>
                <c:pt idx="1">
                  <c:v>287.00099999999975</c:v>
                </c:pt>
                <c:pt idx="2">
                  <c:v>486.88645899999977</c:v>
                </c:pt>
                <c:pt idx="3">
                  <c:v>662.58508300000005</c:v>
                </c:pt>
                <c:pt idx="4">
                  <c:v>733.84907539999949</c:v>
                </c:pt>
              </c:numCache>
            </c:numRef>
          </c:val>
        </c:ser>
        <c:ser>
          <c:idx val="2"/>
          <c:order val="2"/>
          <c:tx>
            <c:strRef>
              <c:f>graphs!$I$44</c:f>
              <c:strCache>
                <c:ptCount val="1"/>
                <c:pt idx="0">
                  <c:v>Labour and Social Services.</c:v>
                </c:pt>
              </c:strCache>
            </c:strRef>
          </c:tx>
          <c:invertIfNegative val="0"/>
          <c:cat>
            <c:numRef>
              <c:f>graphs!$J$41:$N$41</c:f>
              <c:numCache>
                <c:formatCode>General</c:formatCode>
                <c:ptCount val="5"/>
                <c:pt idx="0" formatCode="0">
                  <c:v>2009</c:v>
                </c:pt>
                <c:pt idx="1">
                  <c:v>2010</c:v>
                </c:pt>
                <c:pt idx="2">
                  <c:v>2011</c:v>
                </c:pt>
                <c:pt idx="3">
                  <c:v>2012</c:v>
                </c:pt>
                <c:pt idx="4">
                  <c:v>2013</c:v>
                </c:pt>
              </c:numCache>
            </c:numRef>
          </c:cat>
          <c:val>
            <c:numRef>
              <c:f>graphs!$J$44:$N$44</c:f>
              <c:numCache>
                <c:formatCode>_(* #,##0.00_);_(* \(#,##0.00\);_(* "-"??_);_(@_)</c:formatCode>
                <c:ptCount val="5"/>
                <c:pt idx="0" formatCode="_(* #,##0_);_(* \(#,##0\);_(* &quot;-&quot;??_);_(@_)">
                  <c:v>1.3</c:v>
                </c:pt>
                <c:pt idx="1">
                  <c:v>2.3521489999999963</c:v>
                </c:pt>
                <c:pt idx="2">
                  <c:v>3.7581140000000017</c:v>
                </c:pt>
                <c:pt idx="3">
                  <c:v>5.049242000000004</c:v>
                </c:pt>
                <c:pt idx="4">
                  <c:v>8.0321156900000013</c:v>
                </c:pt>
              </c:numCache>
            </c:numRef>
          </c:val>
        </c:ser>
        <c:ser>
          <c:idx val="3"/>
          <c:order val="3"/>
          <c:tx>
            <c:strRef>
              <c:f>graphs!$I$45</c:f>
              <c:strCache>
                <c:ptCount val="1"/>
                <c:pt idx="0">
                  <c:v>Water</c:v>
                </c:pt>
              </c:strCache>
            </c:strRef>
          </c:tx>
          <c:invertIfNegative val="0"/>
          <c:cat>
            <c:numRef>
              <c:f>graphs!$J$41:$N$41</c:f>
              <c:numCache>
                <c:formatCode>General</c:formatCode>
                <c:ptCount val="5"/>
                <c:pt idx="0" formatCode="0">
                  <c:v>2009</c:v>
                </c:pt>
                <c:pt idx="1">
                  <c:v>2010</c:v>
                </c:pt>
                <c:pt idx="2">
                  <c:v>2011</c:v>
                </c:pt>
                <c:pt idx="3">
                  <c:v>2012</c:v>
                </c:pt>
                <c:pt idx="4">
                  <c:v>2013</c:v>
                </c:pt>
              </c:numCache>
            </c:numRef>
          </c:cat>
          <c:val>
            <c:numRef>
              <c:f>graphs!$J$45:$N$45</c:f>
              <c:numCache>
                <c:formatCode>_(* #,##0.00_);_(* \(#,##0.00\);_(* "-"??_);_(@_)</c:formatCode>
                <c:ptCount val="5"/>
                <c:pt idx="0" formatCode="_(* #,##0.0_);_(* \(#,##0.0\);_(* &quot;-&quot;??_);_(@_)">
                  <c:v>0.12000000000000002</c:v>
                </c:pt>
                <c:pt idx="1">
                  <c:v>0.22</c:v>
                </c:pt>
                <c:pt idx="2">
                  <c:v>0.46</c:v>
                </c:pt>
                <c:pt idx="3">
                  <c:v>0.59</c:v>
                </c:pt>
                <c:pt idx="4">
                  <c:v>0.68</c:v>
                </c:pt>
              </c:numCache>
            </c:numRef>
          </c:val>
        </c:ser>
        <c:ser>
          <c:idx val="4"/>
          <c:order val="4"/>
          <c:tx>
            <c:strRef>
              <c:f>graphs!$I$46</c:f>
              <c:strCache>
                <c:ptCount val="1"/>
                <c:pt idx="0">
                  <c:v>National Housing</c:v>
                </c:pt>
              </c:strCache>
            </c:strRef>
          </c:tx>
          <c:invertIfNegative val="0"/>
          <c:cat>
            <c:numRef>
              <c:f>graphs!$J$41:$N$41</c:f>
              <c:numCache>
                <c:formatCode>General</c:formatCode>
                <c:ptCount val="5"/>
                <c:pt idx="0" formatCode="0">
                  <c:v>2009</c:v>
                </c:pt>
                <c:pt idx="1">
                  <c:v>2010</c:v>
                </c:pt>
                <c:pt idx="2">
                  <c:v>2011</c:v>
                </c:pt>
                <c:pt idx="3">
                  <c:v>2012</c:v>
                </c:pt>
                <c:pt idx="4">
                  <c:v>2013</c:v>
                </c:pt>
              </c:numCache>
            </c:numRef>
          </c:cat>
          <c:val>
            <c:numRef>
              <c:f>graphs!$J$46:$N$46</c:f>
              <c:numCache>
                <c:formatCode>_(* #,##0.00_);_(* \(#,##0.00\);_(* "-"??_);_(@_)</c:formatCode>
                <c:ptCount val="5"/>
                <c:pt idx="0" formatCode="_(* #,##0_);_(* \(#,##0\);_(* &quot;-&quot;??_);_(@_)">
                  <c:v>0.94000000000000039</c:v>
                </c:pt>
                <c:pt idx="1">
                  <c:v>1.5</c:v>
                </c:pt>
                <c:pt idx="2">
                  <c:v>2.4</c:v>
                </c:pt>
                <c:pt idx="3">
                  <c:v>3.1</c:v>
                </c:pt>
                <c:pt idx="4">
                  <c:v>3.5</c:v>
                </c:pt>
              </c:numCache>
            </c:numRef>
          </c:val>
        </c:ser>
        <c:ser>
          <c:idx val="5"/>
          <c:order val="5"/>
          <c:tx>
            <c:strRef>
              <c:f>graphs!$I$47</c:f>
              <c:strCache>
                <c:ptCount val="1"/>
                <c:pt idx="0">
                  <c:v>Woman Affairs</c:v>
                </c:pt>
              </c:strCache>
            </c:strRef>
          </c:tx>
          <c:invertIfNegative val="0"/>
          <c:cat>
            <c:numRef>
              <c:f>graphs!$J$41:$N$41</c:f>
              <c:numCache>
                <c:formatCode>General</c:formatCode>
                <c:ptCount val="5"/>
                <c:pt idx="0" formatCode="0">
                  <c:v>2009</c:v>
                </c:pt>
                <c:pt idx="1">
                  <c:v>2010</c:v>
                </c:pt>
                <c:pt idx="2">
                  <c:v>2011</c:v>
                </c:pt>
                <c:pt idx="3">
                  <c:v>2012</c:v>
                </c:pt>
                <c:pt idx="4">
                  <c:v>2013</c:v>
                </c:pt>
              </c:numCache>
            </c:numRef>
          </c:cat>
          <c:val>
            <c:numRef>
              <c:f>graphs!$J$47:$N$47</c:f>
              <c:numCache>
                <c:formatCode>_(* #,##0.00_);_(* \(#,##0.00\);_(* "-"??_);_(@_)</c:formatCode>
                <c:ptCount val="5"/>
                <c:pt idx="0" formatCode="_(* #,##0_);_(* \(#,##0\);_(* &quot;-&quot;??_);_(@_)">
                  <c:v>1.6</c:v>
                </c:pt>
                <c:pt idx="1">
                  <c:v>2.5</c:v>
                </c:pt>
                <c:pt idx="2">
                  <c:v>3.9</c:v>
                </c:pt>
                <c:pt idx="3">
                  <c:v>5.2</c:v>
                </c:pt>
                <c:pt idx="4">
                  <c:v>6.4</c:v>
                </c:pt>
              </c:numCache>
            </c:numRef>
          </c:val>
        </c:ser>
        <c:dLbls>
          <c:showLegendKey val="0"/>
          <c:showVal val="0"/>
          <c:showCatName val="0"/>
          <c:showSerName val="0"/>
          <c:showPercent val="0"/>
          <c:showBubbleSize val="0"/>
        </c:dLbls>
        <c:gapWidth val="150"/>
        <c:overlap val="100"/>
        <c:axId val="420470112"/>
        <c:axId val="420470504"/>
      </c:barChart>
      <c:catAx>
        <c:axId val="420470112"/>
        <c:scaling>
          <c:orientation val="minMax"/>
        </c:scaling>
        <c:delete val="0"/>
        <c:axPos val="b"/>
        <c:numFmt formatCode="0" sourceLinked="1"/>
        <c:majorTickMark val="out"/>
        <c:minorTickMark val="none"/>
        <c:tickLblPos val="nextTo"/>
        <c:crossAx val="420470504"/>
        <c:crosses val="autoZero"/>
        <c:auto val="1"/>
        <c:lblAlgn val="ctr"/>
        <c:lblOffset val="100"/>
        <c:noMultiLvlLbl val="0"/>
      </c:catAx>
      <c:valAx>
        <c:axId val="420470504"/>
        <c:scaling>
          <c:orientation val="minMax"/>
        </c:scaling>
        <c:delete val="0"/>
        <c:axPos val="l"/>
        <c:majorGridlines>
          <c:spPr>
            <a:ln>
              <a:prstDash val="dash"/>
            </a:ln>
          </c:spPr>
        </c:majorGridlines>
        <c:title>
          <c:tx>
            <c:rich>
              <a:bodyPr rot="-5400000" vert="horz"/>
              <a:lstStyle/>
              <a:p>
                <a:pPr>
                  <a:defRPr/>
                </a:pPr>
                <a:r>
                  <a:rPr lang="en-US"/>
                  <a:t>US$ Millions</a:t>
                </a:r>
              </a:p>
            </c:rich>
          </c:tx>
          <c:overlay val="0"/>
        </c:title>
        <c:numFmt formatCode="_(* #,##0_);_(* \(#,##0\);_(* &quot;-&quot;??_);_(@_)" sourceLinked="1"/>
        <c:majorTickMark val="out"/>
        <c:minorTickMark val="none"/>
        <c:tickLblPos val="nextTo"/>
        <c:crossAx val="420470112"/>
        <c:crosses val="autoZero"/>
        <c:crossBetween val="between"/>
      </c:valAx>
    </c:plotArea>
    <c:legend>
      <c:legendPos val="b"/>
      <c:layout>
        <c:manualLayout>
          <c:xMode val="edge"/>
          <c:yMode val="edge"/>
          <c:x val="1.175194429109646E-2"/>
          <c:y val="0.86265820939049376"/>
          <c:w val="0.97649591771508315"/>
          <c:h val="0.10956401283172947"/>
        </c:manualLayout>
      </c:layout>
      <c:overlay val="0"/>
    </c:legend>
    <c:plotVisOnly val="1"/>
    <c:dispBlanksAs val="gap"/>
    <c:showDLblsOverMax val="0"/>
  </c:chart>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800"/>
            </a:pPr>
            <a:r>
              <a:rPr lang="en-US" sz="800">
                <a:latin typeface="+mj-lt"/>
              </a:rPr>
              <a:t>Total Revenue</a:t>
            </a:r>
            <a:r>
              <a:rPr lang="en-US" sz="800" baseline="0">
                <a:latin typeface="+mj-lt"/>
              </a:rPr>
              <a:t> (% of GDP)</a:t>
            </a:r>
            <a:endParaRPr lang="en-US" sz="800">
              <a:latin typeface="+mj-lt"/>
            </a:endParaRPr>
          </a:p>
        </c:rich>
      </c:tx>
      <c:layout>
        <c:manualLayout>
          <c:xMode val="edge"/>
          <c:yMode val="edge"/>
          <c:x val="0.135344750614212"/>
          <c:y val="0"/>
        </c:manualLayout>
      </c:layout>
      <c:overlay val="1"/>
    </c:title>
    <c:autoTitleDeleted val="0"/>
    <c:plotArea>
      <c:layout>
        <c:manualLayout>
          <c:layoutTarget val="inner"/>
          <c:xMode val="edge"/>
          <c:yMode val="edge"/>
          <c:x val="5.9503073482643533E-2"/>
          <c:y val="9.8887206327389898E-2"/>
          <c:w val="0.89699137079376601"/>
          <c:h val="0.67417558604620342"/>
        </c:manualLayout>
      </c:layout>
      <c:barChart>
        <c:barDir val="col"/>
        <c:grouping val="clustered"/>
        <c:varyColors val="0"/>
        <c:ser>
          <c:idx val="0"/>
          <c:order val="0"/>
          <c:tx>
            <c:strRef>
              <c:f>'REV-GDP'!$C$2</c:f>
              <c:strCache>
                <c:ptCount val="1"/>
                <c:pt idx="0">
                  <c:v>2008</c:v>
                </c:pt>
              </c:strCache>
            </c:strRef>
          </c:tx>
          <c:invertIfNegative val="0"/>
          <c:cat>
            <c:strRef>
              <c:f>'REV-GDP'!$B$3:$B$12</c:f>
              <c:strCache>
                <c:ptCount val="10"/>
                <c:pt idx="0">
                  <c:v>Botswana</c:v>
                </c:pt>
                <c:pt idx="1">
                  <c:v>DRC</c:v>
                </c:pt>
                <c:pt idx="2">
                  <c:v>Madagascar</c:v>
                </c:pt>
                <c:pt idx="3">
                  <c:v>Malawi</c:v>
                </c:pt>
                <c:pt idx="4">
                  <c:v>Mozambique</c:v>
                </c:pt>
                <c:pt idx="5">
                  <c:v>Namibia</c:v>
                </c:pt>
                <c:pt idx="6">
                  <c:v>South Africa</c:v>
                </c:pt>
                <c:pt idx="7">
                  <c:v>Tanzania</c:v>
                </c:pt>
                <c:pt idx="8">
                  <c:v>Zambia</c:v>
                </c:pt>
                <c:pt idx="9">
                  <c:v>Zimbabwe</c:v>
                </c:pt>
              </c:strCache>
            </c:strRef>
          </c:cat>
          <c:val>
            <c:numRef>
              <c:f>'REV-GDP'!$C$3:$C$12</c:f>
              <c:numCache>
                <c:formatCode>_(* #,##0_);_(* \(#,##0\);_(* "-"??_);_(@_)</c:formatCode>
                <c:ptCount val="10"/>
                <c:pt idx="0">
                  <c:v>39.419000000000004</c:v>
                </c:pt>
                <c:pt idx="1">
                  <c:v>13.105</c:v>
                </c:pt>
                <c:pt idx="2">
                  <c:v>15.472000000000024</c:v>
                </c:pt>
                <c:pt idx="3">
                  <c:v>34.557000000000002</c:v>
                </c:pt>
                <c:pt idx="4">
                  <c:v>25.338999999999999</c:v>
                </c:pt>
                <c:pt idx="5">
                  <c:v>30.965999999999607</c:v>
                </c:pt>
                <c:pt idx="6">
                  <c:v>29.623999999999999</c:v>
                </c:pt>
                <c:pt idx="7">
                  <c:v>21.888000000000002</c:v>
                </c:pt>
                <c:pt idx="8">
                  <c:v>22.985999999999567</c:v>
                </c:pt>
                <c:pt idx="9">
                  <c:v>2.254</c:v>
                </c:pt>
              </c:numCache>
            </c:numRef>
          </c:val>
        </c:ser>
        <c:ser>
          <c:idx val="1"/>
          <c:order val="1"/>
          <c:tx>
            <c:strRef>
              <c:f>'REV-GDP'!$D$2</c:f>
              <c:strCache>
                <c:ptCount val="1"/>
                <c:pt idx="0">
                  <c:v>2010</c:v>
                </c:pt>
              </c:strCache>
            </c:strRef>
          </c:tx>
          <c:invertIfNegative val="0"/>
          <c:cat>
            <c:strRef>
              <c:f>'REV-GDP'!$B$3:$B$12</c:f>
              <c:strCache>
                <c:ptCount val="10"/>
                <c:pt idx="0">
                  <c:v>Botswana</c:v>
                </c:pt>
                <c:pt idx="1">
                  <c:v>DRC</c:v>
                </c:pt>
                <c:pt idx="2">
                  <c:v>Madagascar</c:v>
                </c:pt>
                <c:pt idx="3">
                  <c:v>Malawi</c:v>
                </c:pt>
                <c:pt idx="4">
                  <c:v>Mozambique</c:v>
                </c:pt>
                <c:pt idx="5">
                  <c:v>Namibia</c:v>
                </c:pt>
                <c:pt idx="6">
                  <c:v>South Africa</c:v>
                </c:pt>
                <c:pt idx="7">
                  <c:v>Tanzania</c:v>
                </c:pt>
                <c:pt idx="8">
                  <c:v>Zambia</c:v>
                </c:pt>
                <c:pt idx="9">
                  <c:v>Zimbabwe</c:v>
                </c:pt>
              </c:strCache>
            </c:strRef>
          </c:cat>
          <c:val>
            <c:numRef>
              <c:f>'REV-GDP'!$D$3:$D$12</c:f>
              <c:numCache>
                <c:formatCode>_(* #,##0_);_(* \(#,##0\);_(* "-"??_);_(@_)</c:formatCode>
                <c:ptCount val="10"/>
                <c:pt idx="0">
                  <c:v>32.454999999999998</c:v>
                </c:pt>
                <c:pt idx="1">
                  <c:v>21.134000000000231</c:v>
                </c:pt>
                <c:pt idx="2">
                  <c:v>12.216000000000001</c:v>
                </c:pt>
                <c:pt idx="3">
                  <c:v>40.149000000000001</c:v>
                </c:pt>
                <c:pt idx="4">
                  <c:v>28.564999999999987</c:v>
                </c:pt>
                <c:pt idx="5">
                  <c:v>28.130000000000031</c:v>
                </c:pt>
                <c:pt idx="6">
                  <c:v>27.461999999999989</c:v>
                </c:pt>
                <c:pt idx="7">
                  <c:v>21.012</c:v>
                </c:pt>
                <c:pt idx="8">
                  <c:v>19.568999999999889</c:v>
                </c:pt>
                <c:pt idx="9">
                  <c:v>23.282999999999689</c:v>
                </c:pt>
              </c:numCache>
            </c:numRef>
          </c:val>
        </c:ser>
        <c:ser>
          <c:idx val="2"/>
          <c:order val="2"/>
          <c:tx>
            <c:strRef>
              <c:f>'REV-GDP'!$E$2</c:f>
              <c:strCache>
                <c:ptCount val="1"/>
                <c:pt idx="0">
                  <c:v>2013</c:v>
                </c:pt>
              </c:strCache>
            </c:strRef>
          </c:tx>
          <c:invertIfNegative val="0"/>
          <c:cat>
            <c:strRef>
              <c:f>'REV-GDP'!$B$3:$B$12</c:f>
              <c:strCache>
                <c:ptCount val="10"/>
                <c:pt idx="0">
                  <c:v>Botswana</c:v>
                </c:pt>
                <c:pt idx="1">
                  <c:v>DRC</c:v>
                </c:pt>
                <c:pt idx="2">
                  <c:v>Madagascar</c:v>
                </c:pt>
                <c:pt idx="3">
                  <c:v>Malawi</c:v>
                </c:pt>
                <c:pt idx="4">
                  <c:v>Mozambique</c:v>
                </c:pt>
                <c:pt idx="5">
                  <c:v>Namibia</c:v>
                </c:pt>
                <c:pt idx="6">
                  <c:v>South Africa</c:v>
                </c:pt>
                <c:pt idx="7">
                  <c:v>Tanzania</c:v>
                </c:pt>
                <c:pt idx="8">
                  <c:v>Zambia</c:v>
                </c:pt>
                <c:pt idx="9">
                  <c:v>Zimbabwe</c:v>
                </c:pt>
              </c:strCache>
            </c:strRef>
          </c:cat>
          <c:val>
            <c:numRef>
              <c:f>'REV-GDP'!$E$3:$E$12</c:f>
              <c:numCache>
                <c:formatCode>_(* #,##0_);_(* \(#,##0\);_(* "-"??_);_(@_)</c:formatCode>
                <c:ptCount val="10"/>
                <c:pt idx="0">
                  <c:v>33.423000000000002</c:v>
                </c:pt>
                <c:pt idx="1">
                  <c:v>17.024999999999999</c:v>
                </c:pt>
                <c:pt idx="2">
                  <c:v>10.999000000000002</c:v>
                </c:pt>
                <c:pt idx="3">
                  <c:v>40.86</c:v>
                </c:pt>
                <c:pt idx="4">
                  <c:v>31.683</c:v>
                </c:pt>
                <c:pt idx="5">
                  <c:v>32.471000000000004</c:v>
                </c:pt>
                <c:pt idx="6">
                  <c:v>28.9</c:v>
                </c:pt>
                <c:pt idx="7">
                  <c:v>21.21</c:v>
                </c:pt>
                <c:pt idx="8">
                  <c:v>21.281999999999989</c:v>
                </c:pt>
                <c:pt idx="9">
                  <c:v>29.555</c:v>
                </c:pt>
              </c:numCache>
            </c:numRef>
          </c:val>
        </c:ser>
        <c:dLbls>
          <c:showLegendKey val="0"/>
          <c:showVal val="0"/>
          <c:showCatName val="0"/>
          <c:showSerName val="0"/>
          <c:showPercent val="0"/>
          <c:showBubbleSize val="0"/>
        </c:dLbls>
        <c:gapWidth val="150"/>
        <c:axId val="420471288"/>
        <c:axId val="420471680"/>
      </c:barChart>
      <c:catAx>
        <c:axId val="420471288"/>
        <c:scaling>
          <c:orientation val="minMax"/>
        </c:scaling>
        <c:delete val="0"/>
        <c:axPos val="b"/>
        <c:numFmt formatCode="General" sourceLinked="0"/>
        <c:majorTickMark val="out"/>
        <c:minorTickMark val="none"/>
        <c:tickLblPos val="nextTo"/>
        <c:txPr>
          <a:bodyPr/>
          <a:lstStyle/>
          <a:p>
            <a:pPr>
              <a:defRPr sz="600"/>
            </a:pPr>
            <a:endParaRPr lang="en-US"/>
          </a:p>
        </c:txPr>
        <c:crossAx val="420471680"/>
        <c:crosses val="autoZero"/>
        <c:auto val="1"/>
        <c:lblAlgn val="ctr"/>
        <c:lblOffset val="100"/>
        <c:noMultiLvlLbl val="0"/>
      </c:catAx>
      <c:valAx>
        <c:axId val="420471680"/>
        <c:scaling>
          <c:orientation val="minMax"/>
        </c:scaling>
        <c:delete val="0"/>
        <c:axPos val="l"/>
        <c:majorGridlines>
          <c:spPr>
            <a:ln>
              <a:prstDash val="dash"/>
            </a:ln>
          </c:spPr>
        </c:majorGridlines>
        <c:numFmt formatCode="_(* #,##0_);_(* \(#,##0\);_(* &quot;-&quot;??_);_(@_)" sourceLinked="1"/>
        <c:majorTickMark val="out"/>
        <c:minorTickMark val="none"/>
        <c:tickLblPos val="nextTo"/>
        <c:txPr>
          <a:bodyPr/>
          <a:lstStyle/>
          <a:p>
            <a:pPr>
              <a:defRPr sz="600"/>
            </a:pPr>
            <a:endParaRPr lang="en-US"/>
          </a:p>
        </c:txPr>
        <c:crossAx val="420471288"/>
        <c:crosses val="autoZero"/>
        <c:crossBetween val="between"/>
      </c:valAx>
    </c:plotArea>
    <c:legend>
      <c:legendPos val="b"/>
      <c:layout>
        <c:manualLayout>
          <c:xMode val="edge"/>
          <c:yMode val="edge"/>
          <c:x val="4.1380793411557003E-2"/>
          <c:y val="0.94918780510742196"/>
          <c:w val="0.883856227818406"/>
          <c:h val="3.39702914352586E-2"/>
        </c:manualLayout>
      </c:layout>
      <c:overlay val="0"/>
      <c:txPr>
        <a:bodyPr/>
        <a:lstStyle/>
        <a:p>
          <a:pPr>
            <a:defRPr sz="600"/>
          </a:pPr>
          <a:endParaRPr lang="en-US"/>
        </a:p>
      </c:txPr>
    </c:legend>
    <c:plotVisOnly val="1"/>
    <c:dispBlanksAs val="gap"/>
    <c:showDLblsOverMax val="0"/>
  </c:chart>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a:lstStyle/>
          <a:p>
            <a:pPr>
              <a:defRPr sz="800"/>
            </a:pPr>
            <a:r>
              <a:rPr lang="en-US" sz="800">
                <a:latin typeface="+mj-lt"/>
              </a:rPr>
              <a:t>Tax Revenue (% of GDP)</a:t>
            </a:r>
          </a:p>
        </c:rich>
      </c:tx>
      <c:layout>
        <c:manualLayout>
          <c:xMode val="edge"/>
          <c:yMode val="edge"/>
          <c:x val="0.15933222953956111"/>
          <c:y val="4.1679965516219263E-3"/>
        </c:manualLayout>
      </c:layout>
      <c:overlay val="1"/>
    </c:title>
    <c:autoTitleDeleted val="0"/>
    <c:plotArea>
      <c:layout>
        <c:manualLayout>
          <c:layoutTarget val="inner"/>
          <c:xMode val="edge"/>
          <c:yMode val="edge"/>
          <c:x val="7.6247704531814106E-2"/>
          <c:y val="7.4036188959345897E-2"/>
          <c:w val="0.90768185625962072"/>
          <c:h val="0.70704201600513972"/>
        </c:manualLayout>
      </c:layout>
      <c:barChart>
        <c:barDir val="col"/>
        <c:grouping val="clustered"/>
        <c:varyColors val="0"/>
        <c:ser>
          <c:idx val="0"/>
          <c:order val="0"/>
          <c:tx>
            <c:strRef>
              <c:f>'Tax-GDP'!$B$2</c:f>
              <c:strCache>
                <c:ptCount val="1"/>
                <c:pt idx="0">
                  <c:v>2008</c:v>
                </c:pt>
              </c:strCache>
            </c:strRef>
          </c:tx>
          <c:spPr>
            <a:solidFill>
              <a:schemeClr val="tx2">
                <a:lumMod val="75000"/>
              </a:schemeClr>
            </a:solidFill>
          </c:spPr>
          <c:invertIfNegative val="0"/>
          <c:cat>
            <c:strRef>
              <c:f>'Tax-GDP'!$A$3:$A$12</c:f>
              <c:strCache>
                <c:ptCount val="10"/>
                <c:pt idx="0">
                  <c:v>Botswana</c:v>
                </c:pt>
                <c:pt idx="1">
                  <c:v>DRC</c:v>
                </c:pt>
                <c:pt idx="2">
                  <c:v>Madagascar</c:v>
                </c:pt>
                <c:pt idx="3">
                  <c:v>Malawi</c:v>
                </c:pt>
                <c:pt idx="4">
                  <c:v>Mozambique</c:v>
                </c:pt>
                <c:pt idx="5">
                  <c:v>Namibia</c:v>
                </c:pt>
                <c:pt idx="6">
                  <c:v>South Africa</c:v>
                </c:pt>
                <c:pt idx="7">
                  <c:v>Tanzania</c:v>
                </c:pt>
                <c:pt idx="8">
                  <c:v>Zambia</c:v>
                </c:pt>
                <c:pt idx="9">
                  <c:v>Zimbabwe</c:v>
                </c:pt>
              </c:strCache>
            </c:strRef>
          </c:cat>
          <c:val>
            <c:numRef>
              <c:f>'Tax-GDP'!$B$3:$B$12</c:f>
              <c:numCache>
                <c:formatCode>0</c:formatCode>
                <c:ptCount val="10"/>
                <c:pt idx="0">
                  <c:v>23</c:v>
                </c:pt>
                <c:pt idx="1">
                  <c:v>14.5</c:v>
                </c:pt>
                <c:pt idx="2">
                  <c:v>12.979373585448871</c:v>
                </c:pt>
                <c:pt idx="3">
                  <c:v>16.2</c:v>
                </c:pt>
                <c:pt idx="4">
                  <c:v>14.2</c:v>
                </c:pt>
                <c:pt idx="5">
                  <c:v>30.248644034290489</c:v>
                </c:pt>
                <c:pt idx="6">
                  <c:v>28.150951590637831</c:v>
                </c:pt>
                <c:pt idx="7">
                  <c:v>15</c:v>
                </c:pt>
                <c:pt idx="8">
                  <c:v>17.39439215814809</c:v>
                </c:pt>
                <c:pt idx="9">
                  <c:v>2.2000000000000002</c:v>
                </c:pt>
              </c:numCache>
            </c:numRef>
          </c:val>
        </c:ser>
        <c:ser>
          <c:idx val="1"/>
          <c:order val="1"/>
          <c:tx>
            <c:strRef>
              <c:f>'Tax-GDP'!$C$2</c:f>
              <c:strCache>
                <c:ptCount val="1"/>
                <c:pt idx="0">
                  <c:v>2010</c:v>
                </c:pt>
              </c:strCache>
            </c:strRef>
          </c:tx>
          <c:invertIfNegative val="0"/>
          <c:cat>
            <c:strRef>
              <c:f>'Tax-GDP'!$A$3:$A$12</c:f>
              <c:strCache>
                <c:ptCount val="10"/>
                <c:pt idx="0">
                  <c:v>Botswana</c:v>
                </c:pt>
                <c:pt idx="1">
                  <c:v>DRC</c:v>
                </c:pt>
                <c:pt idx="2">
                  <c:v>Madagascar</c:v>
                </c:pt>
                <c:pt idx="3">
                  <c:v>Malawi</c:v>
                </c:pt>
                <c:pt idx="4">
                  <c:v>Mozambique</c:v>
                </c:pt>
                <c:pt idx="5">
                  <c:v>Namibia</c:v>
                </c:pt>
                <c:pt idx="6">
                  <c:v>South Africa</c:v>
                </c:pt>
                <c:pt idx="7">
                  <c:v>Tanzania</c:v>
                </c:pt>
                <c:pt idx="8">
                  <c:v>Zambia</c:v>
                </c:pt>
                <c:pt idx="9">
                  <c:v>Zimbabwe</c:v>
                </c:pt>
              </c:strCache>
            </c:strRef>
          </c:cat>
          <c:val>
            <c:numRef>
              <c:f>'Tax-GDP'!$C$3:$C$12</c:f>
              <c:numCache>
                <c:formatCode>0</c:formatCode>
                <c:ptCount val="10"/>
                <c:pt idx="0">
                  <c:v>21.955850909058931</c:v>
                </c:pt>
                <c:pt idx="1">
                  <c:v>13.7</c:v>
                </c:pt>
                <c:pt idx="2">
                  <c:v>9.7880059401142425</c:v>
                </c:pt>
                <c:pt idx="3">
                  <c:v>16.2</c:v>
                </c:pt>
                <c:pt idx="4">
                  <c:v>17.653017339456131</c:v>
                </c:pt>
                <c:pt idx="5">
                  <c:v>21.988926684324031</c:v>
                </c:pt>
                <c:pt idx="6">
                  <c:v>25.736769782231889</c:v>
                </c:pt>
                <c:pt idx="7">
                  <c:v>16.369924216373487</c:v>
                </c:pt>
                <c:pt idx="8">
                  <c:v>16.58215815547036</c:v>
                </c:pt>
                <c:pt idx="9">
                  <c:v>15</c:v>
                </c:pt>
              </c:numCache>
            </c:numRef>
          </c:val>
        </c:ser>
        <c:ser>
          <c:idx val="2"/>
          <c:order val="2"/>
          <c:tx>
            <c:strRef>
              <c:f>'Tax-GDP'!$D$2</c:f>
              <c:strCache>
                <c:ptCount val="1"/>
                <c:pt idx="0">
                  <c:v>2013</c:v>
                </c:pt>
              </c:strCache>
            </c:strRef>
          </c:tx>
          <c:invertIfNegative val="0"/>
          <c:cat>
            <c:strRef>
              <c:f>'Tax-GDP'!$A$3:$A$12</c:f>
              <c:strCache>
                <c:ptCount val="10"/>
                <c:pt idx="0">
                  <c:v>Botswana</c:v>
                </c:pt>
                <c:pt idx="1">
                  <c:v>DRC</c:v>
                </c:pt>
                <c:pt idx="2">
                  <c:v>Madagascar</c:v>
                </c:pt>
                <c:pt idx="3">
                  <c:v>Malawi</c:v>
                </c:pt>
                <c:pt idx="4">
                  <c:v>Mozambique</c:v>
                </c:pt>
                <c:pt idx="5">
                  <c:v>Namibia</c:v>
                </c:pt>
                <c:pt idx="6">
                  <c:v>South Africa</c:v>
                </c:pt>
                <c:pt idx="7">
                  <c:v>Tanzania</c:v>
                </c:pt>
                <c:pt idx="8">
                  <c:v>Zambia</c:v>
                </c:pt>
                <c:pt idx="9">
                  <c:v>Zimbabwe</c:v>
                </c:pt>
              </c:strCache>
            </c:strRef>
          </c:cat>
          <c:val>
            <c:numRef>
              <c:f>'Tax-GDP'!$D$3:$D$12</c:f>
              <c:numCache>
                <c:formatCode>0</c:formatCode>
                <c:ptCount val="10"/>
                <c:pt idx="0">
                  <c:v>23</c:v>
                </c:pt>
                <c:pt idx="1">
                  <c:v>19.100000000000001</c:v>
                </c:pt>
                <c:pt idx="2">
                  <c:v>13</c:v>
                </c:pt>
                <c:pt idx="3">
                  <c:v>12.9</c:v>
                </c:pt>
                <c:pt idx="4">
                  <c:v>22.6</c:v>
                </c:pt>
                <c:pt idx="5">
                  <c:v>31</c:v>
                </c:pt>
                <c:pt idx="6">
                  <c:v>32</c:v>
                </c:pt>
                <c:pt idx="7">
                  <c:v>16.5</c:v>
                </c:pt>
                <c:pt idx="8">
                  <c:v>14.7</c:v>
                </c:pt>
                <c:pt idx="9">
                  <c:v>28</c:v>
                </c:pt>
              </c:numCache>
            </c:numRef>
          </c:val>
        </c:ser>
        <c:dLbls>
          <c:showLegendKey val="0"/>
          <c:showVal val="0"/>
          <c:showCatName val="0"/>
          <c:showSerName val="0"/>
          <c:showPercent val="0"/>
          <c:showBubbleSize val="0"/>
        </c:dLbls>
        <c:gapWidth val="150"/>
        <c:axId val="420472464"/>
        <c:axId val="420472856"/>
      </c:barChart>
      <c:catAx>
        <c:axId val="420472464"/>
        <c:scaling>
          <c:orientation val="minMax"/>
        </c:scaling>
        <c:delete val="0"/>
        <c:axPos val="b"/>
        <c:numFmt formatCode="General" sourceLinked="0"/>
        <c:majorTickMark val="out"/>
        <c:minorTickMark val="none"/>
        <c:tickLblPos val="nextTo"/>
        <c:txPr>
          <a:bodyPr/>
          <a:lstStyle/>
          <a:p>
            <a:pPr>
              <a:defRPr sz="600"/>
            </a:pPr>
            <a:endParaRPr lang="en-US"/>
          </a:p>
        </c:txPr>
        <c:crossAx val="420472856"/>
        <c:crosses val="autoZero"/>
        <c:auto val="1"/>
        <c:lblAlgn val="ctr"/>
        <c:lblOffset val="100"/>
        <c:noMultiLvlLbl val="0"/>
      </c:catAx>
      <c:valAx>
        <c:axId val="420472856"/>
        <c:scaling>
          <c:orientation val="minMax"/>
        </c:scaling>
        <c:delete val="0"/>
        <c:axPos val="l"/>
        <c:majorGridlines>
          <c:spPr>
            <a:ln w="9525">
              <a:prstDash val="dash"/>
            </a:ln>
          </c:spPr>
        </c:majorGridlines>
        <c:numFmt formatCode="0" sourceLinked="1"/>
        <c:majorTickMark val="out"/>
        <c:minorTickMark val="none"/>
        <c:tickLblPos val="nextTo"/>
        <c:txPr>
          <a:bodyPr/>
          <a:lstStyle/>
          <a:p>
            <a:pPr>
              <a:defRPr sz="700"/>
            </a:pPr>
            <a:endParaRPr lang="en-US"/>
          </a:p>
        </c:txPr>
        <c:crossAx val="420472464"/>
        <c:crosses val="autoZero"/>
        <c:crossBetween val="between"/>
      </c:valAx>
    </c:plotArea>
    <c:legend>
      <c:legendPos val="b"/>
      <c:layout>
        <c:manualLayout>
          <c:xMode val="edge"/>
          <c:yMode val="edge"/>
          <c:x val="0.16388877428407986"/>
          <c:y val="0.95557164332284295"/>
          <c:w val="0.51929089010334295"/>
          <c:h val="4.3215622881399199E-2"/>
        </c:manualLayout>
      </c:layout>
      <c:overlay val="0"/>
      <c:txPr>
        <a:bodyPr/>
        <a:lstStyle/>
        <a:p>
          <a:pPr>
            <a:defRPr sz="600"/>
          </a:pPr>
          <a:endParaRPr lang="en-US"/>
        </a:p>
      </c:txPr>
    </c:legend>
    <c:plotVisOnly val="1"/>
    <c:dispBlanksAs val="gap"/>
    <c:showDLblsOverMax val="0"/>
  </c:chart>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ODA!$B$2</c:f>
              <c:strCache>
                <c:ptCount val="1"/>
                <c:pt idx="0">
                  <c:v>2007</c:v>
                </c:pt>
              </c:strCache>
            </c:strRef>
          </c:tx>
          <c:spPr>
            <a:solidFill>
              <a:schemeClr val="accent1"/>
            </a:solidFill>
            <a:ln>
              <a:noFill/>
            </a:ln>
            <a:effectLst/>
          </c:spPr>
          <c:invertIfNegative val="0"/>
          <c:cat>
            <c:strRef>
              <c:f>ODA!$A$3:$A$16</c:f>
              <c:strCache>
                <c:ptCount val="14"/>
                <c:pt idx="0">
                  <c:v>Angola</c:v>
                </c:pt>
                <c:pt idx="1">
                  <c:v>Botswana</c:v>
                </c:pt>
                <c:pt idx="2">
                  <c:v>Congo, Dem. Rep.</c:v>
                </c:pt>
                <c:pt idx="3">
                  <c:v>Lesotho</c:v>
                </c:pt>
                <c:pt idx="4">
                  <c:v>Madagascar</c:v>
                </c:pt>
                <c:pt idx="5">
                  <c:v>Malawi</c:v>
                </c:pt>
                <c:pt idx="6">
                  <c:v>Mauritius</c:v>
                </c:pt>
                <c:pt idx="7">
                  <c:v>Mozambique</c:v>
                </c:pt>
                <c:pt idx="8">
                  <c:v>Namibia</c:v>
                </c:pt>
                <c:pt idx="9">
                  <c:v>South Africa</c:v>
                </c:pt>
                <c:pt idx="10">
                  <c:v>Swaziland</c:v>
                </c:pt>
                <c:pt idx="11">
                  <c:v>Tanzania</c:v>
                </c:pt>
                <c:pt idx="12">
                  <c:v>Zambia</c:v>
                </c:pt>
                <c:pt idx="13">
                  <c:v>Zimbabwe</c:v>
                </c:pt>
              </c:strCache>
            </c:strRef>
          </c:cat>
          <c:val>
            <c:numRef>
              <c:f>ODA!$B$3:$B$16</c:f>
              <c:numCache>
                <c:formatCode>0</c:formatCode>
                <c:ptCount val="14"/>
                <c:pt idx="0">
                  <c:v>247.67</c:v>
                </c:pt>
                <c:pt idx="1">
                  <c:v>107.66999999999999</c:v>
                </c:pt>
                <c:pt idx="2">
                  <c:v>1356.71</c:v>
                </c:pt>
                <c:pt idx="3">
                  <c:v>128.79</c:v>
                </c:pt>
                <c:pt idx="4">
                  <c:v>894.07</c:v>
                </c:pt>
                <c:pt idx="5">
                  <c:v>743.94999999999936</c:v>
                </c:pt>
                <c:pt idx="6">
                  <c:v>68.86999999999999</c:v>
                </c:pt>
                <c:pt idx="7">
                  <c:v>1776.55</c:v>
                </c:pt>
                <c:pt idx="8">
                  <c:v>217.42000000000004</c:v>
                </c:pt>
                <c:pt idx="9">
                  <c:v>807.49</c:v>
                </c:pt>
                <c:pt idx="10">
                  <c:v>50.67</c:v>
                </c:pt>
                <c:pt idx="11">
                  <c:v>2821.59</c:v>
                </c:pt>
                <c:pt idx="12">
                  <c:v>1007.8399999999979</c:v>
                </c:pt>
                <c:pt idx="13">
                  <c:v>478.11</c:v>
                </c:pt>
              </c:numCache>
            </c:numRef>
          </c:val>
        </c:ser>
        <c:ser>
          <c:idx val="1"/>
          <c:order val="1"/>
          <c:tx>
            <c:strRef>
              <c:f>ODA!$C$2</c:f>
              <c:strCache>
                <c:ptCount val="1"/>
                <c:pt idx="0">
                  <c:v>2008</c:v>
                </c:pt>
              </c:strCache>
            </c:strRef>
          </c:tx>
          <c:spPr>
            <a:solidFill>
              <a:schemeClr val="accent2"/>
            </a:solidFill>
            <a:ln>
              <a:noFill/>
            </a:ln>
            <a:effectLst/>
          </c:spPr>
          <c:invertIfNegative val="0"/>
          <c:cat>
            <c:strRef>
              <c:f>ODA!$A$3:$A$16</c:f>
              <c:strCache>
                <c:ptCount val="14"/>
                <c:pt idx="0">
                  <c:v>Angola</c:v>
                </c:pt>
                <c:pt idx="1">
                  <c:v>Botswana</c:v>
                </c:pt>
                <c:pt idx="2">
                  <c:v>Congo, Dem. Rep.</c:v>
                </c:pt>
                <c:pt idx="3">
                  <c:v>Lesotho</c:v>
                </c:pt>
                <c:pt idx="4">
                  <c:v>Madagascar</c:v>
                </c:pt>
                <c:pt idx="5">
                  <c:v>Malawi</c:v>
                </c:pt>
                <c:pt idx="6">
                  <c:v>Mauritius</c:v>
                </c:pt>
                <c:pt idx="7">
                  <c:v>Mozambique</c:v>
                </c:pt>
                <c:pt idx="8">
                  <c:v>Namibia</c:v>
                </c:pt>
                <c:pt idx="9">
                  <c:v>South Africa</c:v>
                </c:pt>
                <c:pt idx="10">
                  <c:v>Swaziland</c:v>
                </c:pt>
                <c:pt idx="11">
                  <c:v>Tanzania</c:v>
                </c:pt>
                <c:pt idx="12">
                  <c:v>Zambia</c:v>
                </c:pt>
                <c:pt idx="13">
                  <c:v>Zimbabwe</c:v>
                </c:pt>
              </c:strCache>
            </c:strRef>
          </c:cat>
          <c:val>
            <c:numRef>
              <c:f>ODA!$C$3:$C$16</c:f>
              <c:numCache>
                <c:formatCode>0</c:formatCode>
                <c:ptCount val="14"/>
                <c:pt idx="0">
                  <c:v>368.82</c:v>
                </c:pt>
                <c:pt idx="1">
                  <c:v>720.26</c:v>
                </c:pt>
                <c:pt idx="2">
                  <c:v>1765.97</c:v>
                </c:pt>
                <c:pt idx="3">
                  <c:v>143.80000000000001</c:v>
                </c:pt>
                <c:pt idx="4">
                  <c:v>842.55</c:v>
                </c:pt>
                <c:pt idx="5">
                  <c:v>923.63</c:v>
                </c:pt>
                <c:pt idx="6">
                  <c:v>109.66999999999999</c:v>
                </c:pt>
                <c:pt idx="7">
                  <c:v>1996.3799999999999</c:v>
                </c:pt>
                <c:pt idx="8">
                  <c:v>210.16</c:v>
                </c:pt>
                <c:pt idx="9">
                  <c:v>1125.1799999999998</c:v>
                </c:pt>
                <c:pt idx="10">
                  <c:v>69.89</c:v>
                </c:pt>
                <c:pt idx="11">
                  <c:v>2331.46</c:v>
                </c:pt>
                <c:pt idx="12">
                  <c:v>1116.24</c:v>
                </c:pt>
                <c:pt idx="13">
                  <c:v>612.41999999999996</c:v>
                </c:pt>
              </c:numCache>
            </c:numRef>
          </c:val>
        </c:ser>
        <c:ser>
          <c:idx val="2"/>
          <c:order val="2"/>
          <c:tx>
            <c:strRef>
              <c:f>ODA!$D$2</c:f>
              <c:strCache>
                <c:ptCount val="1"/>
                <c:pt idx="0">
                  <c:v>2009</c:v>
                </c:pt>
              </c:strCache>
            </c:strRef>
          </c:tx>
          <c:spPr>
            <a:solidFill>
              <a:schemeClr val="accent3"/>
            </a:solidFill>
            <a:ln>
              <a:noFill/>
            </a:ln>
            <a:effectLst/>
          </c:spPr>
          <c:invertIfNegative val="0"/>
          <c:cat>
            <c:strRef>
              <c:f>ODA!$A$3:$A$16</c:f>
              <c:strCache>
                <c:ptCount val="14"/>
                <c:pt idx="0">
                  <c:v>Angola</c:v>
                </c:pt>
                <c:pt idx="1">
                  <c:v>Botswana</c:v>
                </c:pt>
                <c:pt idx="2">
                  <c:v>Congo, Dem. Rep.</c:v>
                </c:pt>
                <c:pt idx="3">
                  <c:v>Lesotho</c:v>
                </c:pt>
                <c:pt idx="4">
                  <c:v>Madagascar</c:v>
                </c:pt>
                <c:pt idx="5">
                  <c:v>Malawi</c:v>
                </c:pt>
                <c:pt idx="6">
                  <c:v>Mauritius</c:v>
                </c:pt>
                <c:pt idx="7">
                  <c:v>Mozambique</c:v>
                </c:pt>
                <c:pt idx="8">
                  <c:v>Namibia</c:v>
                </c:pt>
                <c:pt idx="9">
                  <c:v>South Africa</c:v>
                </c:pt>
                <c:pt idx="10">
                  <c:v>Swaziland</c:v>
                </c:pt>
                <c:pt idx="11">
                  <c:v>Tanzania</c:v>
                </c:pt>
                <c:pt idx="12">
                  <c:v>Zambia</c:v>
                </c:pt>
                <c:pt idx="13">
                  <c:v>Zimbabwe</c:v>
                </c:pt>
              </c:strCache>
            </c:strRef>
          </c:cat>
          <c:val>
            <c:numRef>
              <c:f>ODA!$D$3:$D$16</c:f>
              <c:numCache>
                <c:formatCode>0</c:formatCode>
                <c:ptCount val="14"/>
                <c:pt idx="0">
                  <c:v>238.70999999999998</c:v>
                </c:pt>
                <c:pt idx="1">
                  <c:v>279.16000000000008</c:v>
                </c:pt>
                <c:pt idx="2">
                  <c:v>2356.8500000000022</c:v>
                </c:pt>
                <c:pt idx="3">
                  <c:v>122.39</c:v>
                </c:pt>
                <c:pt idx="4">
                  <c:v>443.96</c:v>
                </c:pt>
                <c:pt idx="5">
                  <c:v>771.39</c:v>
                </c:pt>
                <c:pt idx="6">
                  <c:v>154.97</c:v>
                </c:pt>
                <c:pt idx="7">
                  <c:v>2012.4</c:v>
                </c:pt>
                <c:pt idx="8">
                  <c:v>325.52999999999889</c:v>
                </c:pt>
                <c:pt idx="9">
                  <c:v>1074.54</c:v>
                </c:pt>
                <c:pt idx="10">
                  <c:v>56.03</c:v>
                </c:pt>
                <c:pt idx="11">
                  <c:v>2933.15</c:v>
                </c:pt>
                <c:pt idx="12">
                  <c:v>1267.06</c:v>
                </c:pt>
                <c:pt idx="13">
                  <c:v>736.22</c:v>
                </c:pt>
              </c:numCache>
            </c:numRef>
          </c:val>
        </c:ser>
        <c:ser>
          <c:idx val="3"/>
          <c:order val="3"/>
          <c:tx>
            <c:strRef>
              <c:f>ODA!$E$2</c:f>
              <c:strCache>
                <c:ptCount val="1"/>
                <c:pt idx="0">
                  <c:v>2010</c:v>
                </c:pt>
              </c:strCache>
            </c:strRef>
          </c:tx>
          <c:spPr>
            <a:solidFill>
              <a:schemeClr val="accent4"/>
            </a:solidFill>
            <a:ln>
              <a:noFill/>
            </a:ln>
            <a:effectLst/>
          </c:spPr>
          <c:invertIfNegative val="0"/>
          <c:cat>
            <c:strRef>
              <c:f>ODA!$A$3:$A$16</c:f>
              <c:strCache>
                <c:ptCount val="14"/>
                <c:pt idx="0">
                  <c:v>Angola</c:v>
                </c:pt>
                <c:pt idx="1">
                  <c:v>Botswana</c:v>
                </c:pt>
                <c:pt idx="2">
                  <c:v>Congo, Dem. Rep.</c:v>
                </c:pt>
                <c:pt idx="3">
                  <c:v>Lesotho</c:v>
                </c:pt>
                <c:pt idx="4">
                  <c:v>Madagascar</c:v>
                </c:pt>
                <c:pt idx="5">
                  <c:v>Malawi</c:v>
                </c:pt>
                <c:pt idx="6">
                  <c:v>Mauritius</c:v>
                </c:pt>
                <c:pt idx="7">
                  <c:v>Mozambique</c:v>
                </c:pt>
                <c:pt idx="8">
                  <c:v>Namibia</c:v>
                </c:pt>
                <c:pt idx="9">
                  <c:v>South Africa</c:v>
                </c:pt>
                <c:pt idx="10">
                  <c:v>Swaziland</c:v>
                </c:pt>
                <c:pt idx="11">
                  <c:v>Tanzania</c:v>
                </c:pt>
                <c:pt idx="12">
                  <c:v>Zambia</c:v>
                </c:pt>
                <c:pt idx="13">
                  <c:v>Zimbabwe</c:v>
                </c:pt>
              </c:strCache>
            </c:strRef>
          </c:cat>
          <c:val>
            <c:numRef>
              <c:f>ODA!$E$3:$E$16</c:f>
              <c:numCache>
                <c:formatCode>0</c:formatCode>
                <c:ptCount val="14"/>
                <c:pt idx="0">
                  <c:v>238.23</c:v>
                </c:pt>
                <c:pt idx="1">
                  <c:v>156.13999999999999</c:v>
                </c:pt>
                <c:pt idx="2">
                  <c:v>3486.16</c:v>
                </c:pt>
                <c:pt idx="3">
                  <c:v>256.22999999999865</c:v>
                </c:pt>
                <c:pt idx="4">
                  <c:v>470.08</c:v>
                </c:pt>
                <c:pt idx="5">
                  <c:v>1022.8499999999979</c:v>
                </c:pt>
                <c:pt idx="6">
                  <c:v>125.27</c:v>
                </c:pt>
                <c:pt idx="7">
                  <c:v>1951.53</c:v>
                </c:pt>
                <c:pt idx="8">
                  <c:v>256.44</c:v>
                </c:pt>
                <c:pt idx="9">
                  <c:v>1030.54</c:v>
                </c:pt>
                <c:pt idx="10">
                  <c:v>91.45</c:v>
                </c:pt>
                <c:pt idx="11">
                  <c:v>2958.18</c:v>
                </c:pt>
                <c:pt idx="12">
                  <c:v>914.37</c:v>
                </c:pt>
                <c:pt idx="13">
                  <c:v>732.47</c:v>
                </c:pt>
              </c:numCache>
            </c:numRef>
          </c:val>
        </c:ser>
        <c:ser>
          <c:idx val="4"/>
          <c:order val="4"/>
          <c:tx>
            <c:strRef>
              <c:f>ODA!$F$2</c:f>
              <c:strCache>
                <c:ptCount val="1"/>
                <c:pt idx="0">
                  <c:v>2011</c:v>
                </c:pt>
              </c:strCache>
            </c:strRef>
          </c:tx>
          <c:spPr>
            <a:solidFill>
              <a:schemeClr val="accent5"/>
            </a:solidFill>
            <a:ln>
              <a:noFill/>
            </a:ln>
            <a:effectLst/>
          </c:spPr>
          <c:invertIfNegative val="0"/>
          <c:cat>
            <c:strRef>
              <c:f>ODA!$A$3:$A$16</c:f>
              <c:strCache>
                <c:ptCount val="14"/>
                <c:pt idx="0">
                  <c:v>Angola</c:v>
                </c:pt>
                <c:pt idx="1">
                  <c:v>Botswana</c:v>
                </c:pt>
                <c:pt idx="2">
                  <c:v>Congo, Dem. Rep.</c:v>
                </c:pt>
                <c:pt idx="3">
                  <c:v>Lesotho</c:v>
                </c:pt>
                <c:pt idx="4">
                  <c:v>Madagascar</c:v>
                </c:pt>
                <c:pt idx="5">
                  <c:v>Malawi</c:v>
                </c:pt>
                <c:pt idx="6">
                  <c:v>Mauritius</c:v>
                </c:pt>
                <c:pt idx="7">
                  <c:v>Mozambique</c:v>
                </c:pt>
                <c:pt idx="8">
                  <c:v>Namibia</c:v>
                </c:pt>
                <c:pt idx="9">
                  <c:v>South Africa</c:v>
                </c:pt>
                <c:pt idx="10">
                  <c:v>Swaziland</c:v>
                </c:pt>
                <c:pt idx="11">
                  <c:v>Tanzania</c:v>
                </c:pt>
                <c:pt idx="12">
                  <c:v>Zambia</c:v>
                </c:pt>
                <c:pt idx="13">
                  <c:v>Zimbabwe</c:v>
                </c:pt>
              </c:strCache>
            </c:strRef>
          </c:cat>
          <c:val>
            <c:numRef>
              <c:f>ODA!$F$3:$F$16</c:f>
              <c:numCache>
                <c:formatCode>0</c:formatCode>
                <c:ptCount val="14"/>
                <c:pt idx="0">
                  <c:v>194.25</c:v>
                </c:pt>
                <c:pt idx="1">
                  <c:v>120.14999999999999</c:v>
                </c:pt>
                <c:pt idx="2">
                  <c:v>5534.41</c:v>
                </c:pt>
                <c:pt idx="3">
                  <c:v>264.70999999999913</c:v>
                </c:pt>
                <c:pt idx="4">
                  <c:v>443.27</c:v>
                </c:pt>
                <c:pt idx="5">
                  <c:v>799.64</c:v>
                </c:pt>
                <c:pt idx="6">
                  <c:v>185.33</c:v>
                </c:pt>
                <c:pt idx="7">
                  <c:v>2084.98</c:v>
                </c:pt>
                <c:pt idx="8">
                  <c:v>290.60000000000002</c:v>
                </c:pt>
                <c:pt idx="9">
                  <c:v>1403.1499999999999</c:v>
                </c:pt>
                <c:pt idx="10">
                  <c:v>124.9</c:v>
                </c:pt>
                <c:pt idx="11">
                  <c:v>2445.77</c:v>
                </c:pt>
                <c:pt idx="12">
                  <c:v>1035.06</c:v>
                </c:pt>
                <c:pt idx="13">
                  <c:v>715.68000000000052</c:v>
                </c:pt>
              </c:numCache>
            </c:numRef>
          </c:val>
        </c:ser>
        <c:ser>
          <c:idx val="5"/>
          <c:order val="5"/>
          <c:tx>
            <c:strRef>
              <c:f>ODA!$G$2</c:f>
              <c:strCache>
                <c:ptCount val="1"/>
                <c:pt idx="0">
                  <c:v>2012</c:v>
                </c:pt>
              </c:strCache>
            </c:strRef>
          </c:tx>
          <c:spPr>
            <a:solidFill>
              <a:schemeClr val="accent6"/>
            </a:solidFill>
            <a:ln>
              <a:noFill/>
            </a:ln>
            <a:effectLst/>
          </c:spPr>
          <c:invertIfNegative val="0"/>
          <c:cat>
            <c:strRef>
              <c:f>ODA!$A$3:$A$16</c:f>
              <c:strCache>
                <c:ptCount val="14"/>
                <c:pt idx="0">
                  <c:v>Angola</c:v>
                </c:pt>
                <c:pt idx="1">
                  <c:v>Botswana</c:v>
                </c:pt>
                <c:pt idx="2">
                  <c:v>Congo, Dem. Rep.</c:v>
                </c:pt>
                <c:pt idx="3">
                  <c:v>Lesotho</c:v>
                </c:pt>
                <c:pt idx="4">
                  <c:v>Madagascar</c:v>
                </c:pt>
                <c:pt idx="5">
                  <c:v>Malawi</c:v>
                </c:pt>
                <c:pt idx="6">
                  <c:v>Mauritius</c:v>
                </c:pt>
                <c:pt idx="7">
                  <c:v>Mozambique</c:v>
                </c:pt>
                <c:pt idx="8">
                  <c:v>Namibia</c:v>
                </c:pt>
                <c:pt idx="9">
                  <c:v>South Africa</c:v>
                </c:pt>
                <c:pt idx="10">
                  <c:v>Swaziland</c:v>
                </c:pt>
                <c:pt idx="11">
                  <c:v>Tanzania</c:v>
                </c:pt>
                <c:pt idx="12">
                  <c:v>Zambia</c:v>
                </c:pt>
                <c:pt idx="13">
                  <c:v>Zimbabwe</c:v>
                </c:pt>
              </c:strCache>
            </c:strRef>
          </c:cat>
          <c:val>
            <c:numRef>
              <c:f>ODA!$G$3:$G$16</c:f>
              <c:numCache>
                <c:formatCode>0</c:formatCode>
                <c:ptCount val="14"/>
                <c:pt idx="0">
                  <c:v>242.35000000000124</c:v>
                </c:pt>
                <c:pt idx="1">
                  <c:v>73.86</c:v>
                </c:pt>
                <c:pt idx="2">
                  <c:v>2859.38</c:v>
                </c:pt>
                <c:pt idx="3">
                  <c:v>282.68</c:v>
                </c:pt>
                <c:pt idx="4">
                  <c:v>378.69</c:v>
                </c:pt>
                <c:pt idx="5">
                  <c:v>1174.5999999999999</c:v>
                </c:pt>
                <c:pt idx="6">
                  <c:v>177.89000000000001</c:v>
                </c:pt>
                <c:pt idx="7">
                  <c:v>2096.92</c:v>
                </c:pt>
                <c:pt idx="8">
                  <c:v>264.86</c:v>
                </c:pt>
                <c:pt idx="9">
                  <c:v>1067.1499999999999</c:v>
                </c:pt>
                <c:pt idx="10">
                  <c:v>88.149999999999991</c:v>
                </c:pt>
                <c:pt idx="11">
                  <c:v>2831.8900000000012</c:v>
                </c:pt>
                <c:pt idx="12">
                  <c:v>957.72</c:v>
                </c:pt>
                <c:pt idx="13">
                  <c:v>1001.22</c:v>
                </c:pt>
              </c:numCache>
            </c:numRef>
          </c:val>
        </c:ser>
        <c:dLbls>
          <c:showLegendKey val="0"/>
          <c:showVal val="0"/>
          <c:showCatName val="0"/>
          <c:showSerName val="0"/>
          <c:showPercent val="0"/>
          <c:showBubbleSize val="0"/>
        </c:dLbls>
        <c:gapWidth val="219"/>
        <c:overlap val="-27"/>
        <c:axId val="420473640"/>
        <c:axId val="420474032"/>
      </c:barChart>
      <c:catAx>
        <c:axId val="420473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0474032"/>
        <c:crosses val="autoZero"/>
        <c:auto val="1"/>
        <c:lblAlgn val="ctr"/>
        <c:lblOffset val="100"/>
        <c:noMultiLvlLbl val="0"/>
      </c:catAx>
      <c:valAx>
        <c:axId val="420474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ODA</a:t>
                </a:r>
                <a:r>
                  <a:rPr lang="en-US" baseline="0"/>
                  <a:t> US$ Millions</a:t>
                </a:r>
                <a:endParaRPr lang="en-US"/>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0473640"/>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463360558191094E-2"/>
          <c:y val="0.14583580613254199"/>
          <c:w val="0.90901159094243456"/>
          <c:h val="0.52842543050071744"/>
        </c:manualLayout>
      </c:layout>
      <c:barChart>
        <c:barDir val="col"/>
        <c:grouping val="clustered"/>
        <c:varyColors val="0"/>
        <c:ser>
          <c:idx val="0"/>
          <c:order val="0"/>
          <c:tx>
            <c:strRef>
              <c:f>'ZDHS Util'!$M$23</c:f>
              <c:strCache>
                <c:ptCount val="1"/>
                <c:pt idx="0">
                  <c:v>Percent who sought care in a private facility (out of all household who sought care for their child with cough or diarrhea)</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'ZDHS Util'!$L$24:$L$33</c:f>
              <c:strCache>
                <c:ptCount val="10"/>
                <c:pt idx="0">
                  <c:v>Matabeleland north</c:v>
                </c:pt>
                <c:pt idx="1">
                  <c:v>Mashonaland west</c:v>
                </c:pt>
                <c:pt idx="2">
                  <c:v>Mashonaland east</c:v>
                </c:pt>
                <c:pt idx="3">
                  <c:v>Matabeleland south</c:v>
                </c:pt>
                <c:pt idx="4">
                  <c:v>Manicaland</c:v>
                </c:pt>
                <c:pt idx="5">
                  <c:v>Midlands</c:v>
                </c:pt>
                <c:pt idx="6">
                  <c:v>Mashonaland central</c:v>
                </c:pt>
                <c:pt idx="7">
                  <c:v>Masvingo</c:v>
                </c:pt>
                <c:pt idx="8">
                  <c:v>Bulawayo</c:v>
                </c:pt>
                <c:pt idx="9">
                  <c:v>Harare</c:v>
                </c:pt>
              </c:strCache>
            </c:strRef>
          </c:cat>
          <c:val>
            <c:numRef>
              <c:f>'ZDHS Util'!$M$24:$M$33</c:f>
              <c:numCache>
                <c:formatCode>0.00</c:formatCode>
                <c:ptCount val="10"/>
                <c:pt idx="0">
                  <c:v>5</c:v>
                </c:pt>
                <c:pt idx="1">
                  <c:v>10.810810810810812</c:v>
                </c:pt>
                <c:pt idx="2">
                  <c:v>7.8431372549019356</c:v>
                </c:pt>
                <c:pt idx="3" formatCode="General">
                  <c:v>0</c:v>
                </c:pt>
                <c:pt idx="4">
                  <c:v>9.1836734693877489</c:v>
                </c:pt>
                <c:pt idx="5">
                  <c:v>8.8607594936708853</c:v>
                </c:pt>
                <c:pt idx="6">
                  <c:v>7.3170731707317067</c:v>
                </c:pt>
                <c:pt idx="7">
                  <c:v>2.7777777777778074</c:v>
                </c:pt>
                <c:pt idx="8">
                  <c:v>20</c:v>
                </c:pt>
                <c:pt idx="9">
                  <c:v>29.6875</c:v>
                </c:pt>
              </c:numCache>
            </c:numRef>
          </c:val>
        </c:ser>
        <c:dLbls>
          <c:showLegendKey val="0"/>
          <c:showVal val="1"/>
          <c:showCatName val="0"/>
          <c:showSerName val="0"/>
          <c:showPercent val="0"/>
          <c:showBubbleSize val="0"/>
        </c:dLbls>
        <c:gapWidth val="150"/>
        <c:axId val="420474424"/>
        <c:axId val="420474816"/>
      </c:barChart>
      <c:catAx>
        <c:axId val="420474424"/>
        <c:scaling>
          <c:orientation val="minMax"/>
        </c:scaling>
        <c:delete val="0"/>
        <c:axPos val="b"/>
        <c:numFmt formatCode="General" sourceLinked="0"/>
        <c:majorTickMark val="none"/>
        <c:minorTickMark val="none"/>
        <c:tickLblPos val="nextTo"/>
        <c:crossAx val="420474816"/>
        <c:crosses val="autoZero"/>
        <c:auto val="1"/>
        <c:lblAlgn val="ctr"/>
        <c:lblOffset val="100"/>
        <c:noMultiLvlLbl val="0"/>
      </c:catAx>
      <c:valAx>
        <c:axId val="420474816"/>
        <c:scaling>
          <c:orientation val="minMax"/>
        </c:scaling>
        <c:delete val="1"/>
        <c:axPos val="l"/>
        <c:numFmt formatCode="0.00" sourceLinked="1"/>
        <c:majorTickMark val="out"/>
        <c:minorTickMark val="none"/>
        <c:tickLblPos val="none"/>
        <c:crossAx val="420474424"/>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barChart>
        <c:barDir val="bar"/>
        <c:grouping val="percentStacked"/>
        <c:varyColors val="0"/>
        <c:ser>
          <c:idx val="3"/>
          <c:order val="0"/>
          <c:tx>
            <c:strRef>
              <c:f>'PICES Util'!$E$6</c:f>
              <c:strCache>
                <c:ptCount val="1"/>
                <c:pt idx="0">
                  <c:v>None</c:v>
                </c:pt>
              </c:strCache>
            </c:strRef>
          </c:tx>
          <c:spPr>
            <a:solidFill>
              <a:srgbClr val="C0504D"/>
            </a:solidFill>
          </c:spPr>
          <c:invertIfNegative val="0"/>
          <c:dLbls>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'PICES Util'!$A$7:$A$9</c:f>
              <c:strCache>
                <c:ptCount val="3"/>
                <c:pt idx="0">
                  <c:v>Non Poor</c:v>
                </c:pt>
                <c:pt idx="1">
                  <c:v>Poor</c:v>
                </c:pt>
                <c:pt idx="2">
                  <c:v>Extremely Poor</c:v>
                </c:pt>
              </c:strCache>
            </c:strRef>
          </c:cat>
          <c:val>
            <c:numRef>
              <c:f>'PICES Util'!$E$7:$E$9</c:f>
              <c:numCache>
                <c:formatCode>General</c:formatCode>
                <c:ptCount val="3"/>
                <c:pt idx="0">
                  <c:v>35.700000000000003</c:v>
                </c:pt>
                <c:pt idx="1">
                  <c:v>37.700000000000003</c:v>
                </c:pt>
                <c:pt idx="2">
                  <c:v>37.300000000000004</c:v>
                </c:pt>
              </c:numCache>
            </c:numRef>
          </c:val>
        </c:ser>
        <c:ser>
          <c:idx val="0"/>
          <c:order val="1"/>
          <c:tx>
            <c:strRef>
              <c:f>'PICES Util'!$B$6</c:f>
              <c:strCache>
                <c:ptCount val="1"/>
                <c:pt idx="0">
                  <c:v>Public Health Facility</c:v>
                </c:pt>
              </c:strCache>
            </c:strRef>
          </c:tx>
          <c:invertIfNegative val="0"/>
          <c:dLbls>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'PICES Util'!$A$7:$A$9</c:f>
              <c:strCache>
                <c:ptCount val="3"/>
                <c:pt idx="0">
                  <c:v>Non Poor</c:v>
                </c:pt>
                <c:pt idx="1">
                  <c:v>Poor</c:v>
                </c:pt>
                <c:pt idx="2">
                  <c:v>Extremely Poor</c:v>
                </c:pt>
              </c:strCache>
            </c:strRef>
          </c:cat>
          <c:val>
            <c:numRef>
              <c:f>'PICES Util'!$B$7:$B$9</c:f>
              <c:numCache>
                <c:formatCode>General</c:formatCode>
                <c:ptCount val="3"/>
                <c:pt idx="0">
                  <c:v>43.7</c:v>
                </c:pt>
                <c:pt idx="1">
                  <c:v>48.5</c:v>
                </c:pt>
                <c:pt idx="2">
                  <c:v>50.5</c:v>
                </c:pt>
              </c:numCache>
            </c:numRef>
          </c:val>
        </c:ser>
        <c:ser>
          <c:idx val="2"/>
          <c:order val="2"/>
          <c:tx>
            <c:strRef>
              <c:f>'PICES Util'!$D$6</c:f>
              <c:strCache>
                <c:ptCount val="1"/>
                <c:pt idx="0">
                  <c:v>Private clinic</c:v>
                </c:pt>
              </c:strCache>
            </c:strRef>
          </c:tx>
          <c:spPr>
            <a:solidFill>
              <a:srgbClr val="4BACC6">
                <a:lumMod val="60000"/>
                <a:lumOff val="40000"/>
              </a:srgbClr>
            </a:solidFill>
          </c:spPr>
          <c:invertIfNegative val="0"/>
          <c:dLbls>
            <c:spPr>
              <a:noFill/>
              <a:ln>
                <a:noFill/>
              </a:ln>
              <a:effectLst/>
            </c:spPr>
            <c:txPr>
              <a:bodyPr/>
              <a:lstStyle/>
              <a:p>
                <a:pPr>
                  <a:defRPr sz="1000"/>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'PICES Util'!$A$7:$A$9</c:f>
              <c:strCache>
                <c:ptCount val="3"/>
                <c:pt idx="0">
                  <c:v>Non Poor</c:v>
                </c:pt>
                <c:pt idx="1">
                  <c:v>Poor</c:v>
                </c:pt>
                <c:pt idx="2">
                  <c:v>Extremely Poor</c:v>
                </c:pt>
              </c:strCache>
            </c:strRef>
          </c:cat>
          <c:val>
            <c:numRef>
              <c:f>'PICES Util'!$D$7:$D$9</c:f>
              <c:numCache>
                <c:formatCode>General</c:formatCode>
                <c:ptCount val="3"/>
                <c:pt idx="0">
                  <c:v>18.8</c:v>
                </c:pt>
                <c:pt idx="1">
                  <c:v>10.8</c:v>
                </c:pt>
                <c:pt idx="2">
                  <c:v>8</c:v>
                </c:pt>
              </c:numCache>
            </c:numRef>
          </c:val>
        </c:ser>
        <c:ser>
          <c:idx val="1"/>
          <c:order val="3"/>
          <c:tx>
            <c:strRef>
              <c:f>'PICES Util'!$C$6</c:f>
              <c:strCache>
                <c:ptCount val="1"/>
                <c:pt idx="0">
                  <c:v>Traditional healer</c:v>
                </c:pt>
              </c:strCache>
            </c:strRef>
          </c:tx>
          <c:spPr>
            <a:solidFill>
              <a:srgbClr val="9BBB59"/>
            </a:solidFill>
          </c:spPr>
          <c:invertIfNegative val="0"/>
          <c:dLbls>
            <c:delete val="1"/>
          </c:dLbls>
          <c:cat>
            <c:strRef>
              <c:f>'PICES Util'!$A$7:$A$9</c:f>
              <c:strCache>
                <c:ptCount val="3"/>
                <c:pt idx="0">
                  <c:v>Non Poor</c:v>
                </c:pt>
                <c:pt idx="1">
                  <c:v>Poor</c:v>
                </c:pt>
                <c:pt idx="2">
                  <c:v>Extremely Poor</c:v>
                </c:pt>
              </c:strCache>
            </c:strRef>
          </c:cat>
          <c:val>
            <c:numRef>
              <c:f>'PICES Util'!$C$7:$C$9</c:f>
              <c:numCache>
                <c:formatCode>General</c:formatCode>
                <c:ptCount val="3"/>
                <c:pt idx="0">
                  <c:v>1.7</c:v>
                </c:pt>
                <c:pt idx="1">
                  <c:v>3</c:v>
                </c:pt>
                <c:pt idx="2">
                  <c:v>4.3</c:v>
                </c:pt>
              </c:numCache>
            </c:numRef>
          </c:val>
        </c:ser>
        <c:dLbls>
          <c:showLegendKey val="0"/>
          <c:showVal val="1"/>
          <c:showCatName val="0"/>
          <c:showSerName val="0"/>
          <c:showPercent val="0"/>
          <c:showBubbleSize val="0"/>
        </c:dLbls>
        <c:gapWidth val="55"/>
        <c:overlap val="100"/>
        <c:axId val="335922208"/>
        <c:axId val="336108560"/>
      </c:barChart>
      <c:catAx>
        <c:axId val="335922208"/>
        <c:scaling>
          <c:orientation val="minMax"/>
        </c:scaling>
        <c:delete val="0"/>
        <c:axPos val="l"/>
        <c:numFmt formatCode="General" sourceLinked="0"/>
        <c:majorTickMark val="none"/>
        <c:minorTickMark val="none"/>
        <c:tickLblPos val="nextTo"/>
        <c:crossAx val="336108560"/>
        <c:crosses val="autoZero"/>
        <c:auto val="1"/>
        <c:lblAlgn val="ctr"/>
        <c:lblOffset val="100"/>
        <c:noMultiLvlLbl val="0"/>
      </c:catAx>
      <c:valAx>
        <c:axId val="336108560"/>
        <c:scaling>
          <c:orientation val="minMax"/>
        </c:scaling>
        <c:delete val="0"/>
        <c:axPos val="b"/>
        <c:majorGridlines/>
        <c:numFmt formatCode="0%" sourceLinked="1"/>
        <c:majorTickMark val="none"/>
        <c:minorTickMark val="none"/>
        <c:tickLblPos val="nextTo"/>
        <c:crossAx val="335922208"/>
        <c:crosses val="autoZero"/>
        <c:crossBetween val="between"/>
      </c:valAx>
    </c:plotArea>
    <c:legend>
      <c:legendPos val="b"/>
      <c:overlay val="0"/>
      <c:txPr>
        <a:bodyPr/>
        <a:lstStyle/>
        <a:p>
          <a:pPr>
            <a:defRPr sz="900"/>
          </a:pPr>
          <a:endParaRPr lang="en-US"/>
        </a:p>
      </c:txPr>
    </c:legend>
    <c:plotVisOnly val="1"/>
    <c:dispBlanksAs val="gap"/>
    <c:showDLblsOverMax val="0"/>
  </c:chart>
  <c:txPr>
    <a:bodyPr/>
    <a:lstStyle/>
    <a:p>
      <a:pPr>
        <a:defRPr>
          <a:latin typeface="Tahoma"/>
          <a:cs typeface="Tahoma"/>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barChart>
        <c:barDir val="bar"/>
        <c:grouping val="percentStacked"/>
        <c:varyColors val="0"/>
        <c:ser>
          <c:idx val="0"/>
          <c:order val="0"/>
          <c:tx>
            <c:strRef>
              <c:f>Utilization!$B$49</c:f>
              <c:strCache>
                <c:ptCount val="1"/>
                <c:pt idx="0">
                  <c:v>too far</c:v>
                </c:pt>
              </c:strCache>
            </c:strRef>
          </c:tx>
          <c:invertIfNegative val="0"/>
          <c:dLbls>
            <c:delete val="1"/>
          </c:dLbls>
          <c:cat>
            <c:strRef>
              <c:f>Utilization!$A$50:$A$52</c:f>
              <c:strCache>
                <c:ptCount val="3"/>
                <c:pt idx="0">
                  <c:v>Non Poor</c:v>
                </c:pt>
                <c:pt idx="1">
                  <c:v>Poor</c:v>
                </c:pt>
                <c:pt idx="2">
                  <c:v>Extremely Poor</c:v>
                </c:pt>
              </c:strCache>
            </c:strRef>
          </c:cat>
          <c:val>
            <c:numRef>
              <c:f>Utilization!$B$50:$B$52</c:f>
              <c:numCache>
                <c:formatCode>General</c:formatCode>
                <c:ptCount val="3"/>
                <c:pt idx="0">
                  <c:v>2.9</c:v>
                </c:pt>
                <c:pt idx="1">
                  <c:v>3.9</c:v>
                </c:pt>
                <c:pt idx="2">
                  <c:v>4.3</c:v>
                </c:pt>
              </c:numCache>
            </c:numRef>
          </c:val>
        </c:ser>
        <c:ser>
          <c:idx val="1"/>
          <c:order val="1"/>
          <c:tx>
            <c:strRef>
              <c:f>Utilization!$C$49</c:f>
              <c:strCache>
                <c:ptCount val="1"/>
                <c:pt idx="0">
                  <c:v>cannot afford</c:v>
                </c:pt>
              </c:strCache>
            </c:strRef>
          </c:tx>
          <c:invertIfNegative val="0"/>
          <c:dLbls>
            <c:spPr>
              <a:noFill/>
              <a:ln>
                <a:noFill/>
              </a:ln>
              <a:effectLst/>
            </c:spPr>
            <c:txPr>
              <a:bodyPr/>
              <a:lstStyle/>
              <a:p>
                <a:pPr>
                  <a:defRPr sz="1000"/>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Utilization!$A$50:$A$52</c:f>
              <c:strCache>
                <c:ptCount val="3"/>
                <c:pt idx="0">
                  <c:v>Non Poor</c:v>
                </c:pt>
                <c:pt idx="1">
                  <c:v>Poor</c:v>
                </c:pt>
                <c:pt idx="2">
                  <c:v>Extremely Poor</c:v>
                </c:pt>
              </c:strCache>
            </c:strRef>
          </c:cat>
          <c:val>
            <c:numRef>
              <c:f>Utilization!$C$50:$C$52</c:f>
              <c:numCache>
                <c:formatCode>General</c:formatCode>
                <c:ptCount val="3"/>
                <c:pt idx="0">
                  <c:v>26.2</c:v>
                </c:pt>
                <c:pt idx="1">
                  <c:v>37</c:v>
                </c:pt>
                <c:pt idx="2">
                  <c:v>41.9</c:v>
                </c:pt>
              </c:numCache>
            </c:numRef>
          </c:val>
        </c:ser>
        <c:ser>
          <c:idx val="2"/>
          <c:order val="2"/>
          <c:tx>
            <c:strRef>
              <c:f>Utilization!$D$49</c:f>
              <c:strCache>
                <c:ptCount val="1"/>
                <c:pt idx="0">
                  <c:v>Home treatment</c:v>
                </c:pt>
              </c:strCache>
            </c:strRef>
          </c:tx>
          <c:invertIfNegative val="0"/>
          <c:dLbls>
            <c:spPr>
              <a:noFill/>
              <a:ln>
                <a:noFill/>
              </a:ln>
              <a:effectLst/>
            </c:spPr>
            <c:txPr>
              <a:bodyPr/>
              <a:lstStyle/>
              <a:p>
                <a:pPr>
                  <a:defRPr sz="1000"/>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Utilization!$A$50:$A$52</c:f>
              <c:strCache>
                <c:ptCount val="3"/>
                <c:pt idx="0">
                  <c:v>Non Poor</c:v>
                </c:pt>
                <c:pt idx="1">
                  <c:v>Poor</c:v>
                </c:pt>
                <c:pt idx="2">
                  <c:v>Extremely Poor</c:v>
                </c:pt>
              </c:strCache>
            </c:strRef>
          </c:cat>
          <c:val>
            <c:numRef>
              <c:f>Utilization!$D$50:$D$52</c:f>
              <c:numCache>
                <c:formatCode>General</c:formatCode>
                <c:ptCount val="3"/>
                <c:pt idx="0">
                  <c:v>47.5</c:v>
                </c:pt>
                <c:pt idx="1">
                  <c:v>34.4</c:v>
                </c:pt>
                <c:pt idx="2">
                  <c:v>28.8</c:v>
                </c:pt>
              </c:numCache>
            </c:numRef>
          </c:val>
        </c:ser>
        <c:ser>
          <c:idx val="3"/>
          <c:order val="3"/>
          <c:tx>
            <c:strRef>
              <c:f>Utilization!$E$49</c:f>
              <c:strCache>
                <c:ptCount val="1"/>
                <c:pt idx="0">
                  <c:v>Religion</c:v>
                </c:pt>
              </c:strCache>
            </c:strRef>
          </c:tx>
          <c:invertIfNegative val="0"/>
          <c:dLbls>
            <c:delete val="1"/>
          </c:dLbls>
          <c:cat>
            <c:strRef>
              <c:f>Utilization!$A$50:$A$52</c:f>
              <c:strCache>
                <c:ptCount val="3"/>
                <c:pt idx="0">
                  <c:v>Non Poor</c:v>
                </c:pt>
                <c:pt idx="1">
                  <c:v>Poor</c:v>
                </c:pt>
                <c:pt idx="2">
                  <c:v>Extremely Poor</c:v>
                </c:pt>
              </c:strCache>
            </c:strRef>
          </c:cat>
          <c:val>
            <c:numRef>
              <c:f>Utilization!$E$50:$E$52</c:f>
              <c:numCache>
                <c:formatCode>General</c:formatCode>
                <c:ptCount val="3"/>
                <c:pt idx="0">
                  <c:v>3.1</c:v>
                </c:pt>
                <c:pt idx="1">
                  <c:v>4.0999999999999996</c:v>
                </c:pt>
                <c:pt idx="2">
                  <c:v>7.8</c:v>
                </c:pt>
              </c:numCache>
            </c:numRef>
          </c:val>
        </c:ser>
        <c:ser>
          <c:idx val="4"/>
          <c:order val="4"/>
          <c:tx>
            <c:strRef>
              <c:f>Utilization!$F$49</c:f>
              <c:strCache>
                <c:ptCount val="1"/>
                <c:pt idx="0">
                  <c:v>Not Necessary</c:v>
                </c:pt>
              </c:strCache>
            </c:strRef>
          </c:tx>
          <c:invertIfNegative val="0"/>
          <c:dLbls>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Utilization!$A$50:$A$52</c:f>
              <c:strCache>
                <c:ptCount val="3"/>
                <c:pt idx="0">
                  <c:v>Non Poor</c:v>
                </c:pt>
                <c:pt idx="1">
                  <c:v>Poor</c:v>
                </c:pt>
                <c:pt idx="2">
                  <c:v>Extremely Poor</c:v>
                </c:pt>
              </c:strCache>
            </c:strRef>
          </c:cat>
          <c:val>
            <c:numRef>
              <c:f>Utilization!$F$50:$F$52</c:f>
              <c:numCache>
                <c:formatCode>General</c:formatCode>
                <c:ptCount val="3"/>
                <c:pt idx="0">
                  <c:v>17.899999999999999</c:v>
                </c:pt>
                <c:pt idx="1">
                  <c:v>18.600000000000001</c:v>
                </c:pt>
                <c:pt idx="2">
                  <c:v>15.8</c:v>
                </c:pt>
              </c:numCache>
            </c:numRef>
          </c:val>
        </c:ser>
        <c:ser>
          <c:idx val="5"/>
          <c:order val="5"/>
          <c:tx>
            <c:strRef>
              <c:f>Utilization!$G$49</c:f>
              <c:strCache>
                <c:ptCount val="1"/>
                <c:pt idx="0">
                  <c:v>Other</c:v>
                </c:pt>
              </c:strCache>
            </c:strRef>
          </c:tx>
          <c:invertIfNegative val="0"/>
          <c:dLbls>
            <c:delete val="1"/>
          </c:dLbls>
          <c:cat>
            <c:strRef>
              <c:f>Utilization!$A$50:$A$52</c:f>
              <c:strCache>
                <c:ptCount val="3"/>
                <c:pt idx="0">
                  <c:v>Non Poor</c:v>
                </c:pt>
                <c:pt idx="1">
                  <c:v>Poor</c:v>
                </c:pt>
                <c:pt idx="2">
                  <c:v>Extremely Poor</c:v>
                </c:pt>
              </c:strCache>
            </c:strRef>
          </c:cat>
          <c:val>
            <c:numRef>
              <c:f>Utilization!$G$50:$G$52</c:f>
              <c:numCache>
                <c:formatCode>General</c:formatCode>
                <c:ptCount val="3"/>
                <c:pt idx="0">
                  <c:v>2.5</c:v>
                </c:pt>
                <c:pt idx="1">
                  <c:v>2</c:v>
                </c:pt>
                <c:pt idx="2">
                  <c:v>1.9000000000000001</c:v>
                </c:pt>
              </c:numCache>
            </c:numRef>
          </c:val>
        </c:ser>
        <c:dLbls>
          <c:showLegendKey val="0"/>
          <c:showVal val="1"/>
          <c:showCatName val="0"/>
          <c:showSerName val="0"/>
          <c:showPercent val="0"/>
          <c:showBubbleSize val="0"/>
        </c:dLbls>
        <c:gapWidth val="55"/>
        <c:overlap val="100"/>
        <c:axId val="336108952"/>
        <c:axId val="336109344"/>
      </c:barChart>
      <c:catAx>
        <c:axId val="336108952"/>
        <c:scaling>
          <c:orientation val="minMax"/>
        </c:scaling>
        <c:delete val="0"/>
        <c:axPos val="l"/>
        <c:numFmt formatCode="General" sourceLinked="0"/>
        <c:majorTickMark val="none"/>
        <c:minorTickMark val="none"/>
        <c:tickLblPos val="nextTo"/>
        <c:crossAx val="336109344"/>
        <c:crosses val="autoZero"/>
        <c:auto val="1"/>
        <c:lblAlgn val="ctr"/>
        <c:lblOffset val="100"/>
        <c:noMultiLvlLbl val="0"/>
      </c:catAx>
      <c:valAx>
        <c:axId val="336109344"/>
        <c:scaling>
          <c:orientation val="minMax"/>
        </c:scaling>
        <c:delete val="0"/>
        <c:axPos val="b"/>
        <c:majorGridlines/>
        <c:numFmt formatCode="0%" sourceLinked="1"/>
        <c:majorTickMark val="none"/>
        <c:minorTickMark val="none"/>
        <c:tickLblPos val="nextTo"/>
        <c:crossAx val="336108952"/>
        <c:crosses val="autoZero"/>
        <c:crossBetween val="between"/>
      </c:valAx>
    </c:plotArea>
    <c:legend>
      <c:legendPos val="b"/>
      <c:overlay val="0"/>
      <c:txPr>
        <a:bodyPr/>
        <a:lstStyle/>
        <a:p>
          <a:pPr>
            <a:defRPr sz="900"/>
          </a:pPr>
          <a:endParaRPr lang="en-US"/>
        </a:p>
      </c:txPr>
    </c:legend>
    <c:plotVisOnly val="1"/>
    <c:dispBlanksAs val="gap"/>
    <c:showDLblsOverMax val="0"/>
  </c:chart>
  <c:txPr>
    <a:bodyPr/>
    <a:lstStyle/>
    <a:p>
      <a:pPr>
        <a:defRPr>
          <a:latin typeface="Tahoma"/>
          <a:cs typeface="Tahoma"/>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190136116706825"/>
          <c:y val="4.8503799410394802E-2"/>
          <c:w val="0.82967486622314102"/>
          <c:h val="0.66439493228486401"/>
        </c:manualLayout>
      </c:layout>
      <c:barChart>
        <c:barDir val="col"/>
        <c:grouping val="clustered"/>
        <c:varyColors val="0"/>
        <c:ser>
          <c:idx val="0"/>
          <c:order val="0"/>
          <c:tx>
            <c:strRef>
              <c:f>'hh survey'!$B$51</c:f>
              <c:strCache>
                <c:ptCount val="1"/>
                <c:pt idx="0">
                  <c:v>sought care given sick last 4 weeks</c:v>
                </c:pt>
              </c:strCache>
            </c:strRef>
          </c:tx>
          <c:invertIfNegative val="0"/>
          <c:cat>
            <c:strRef>
              <c:f>'hh survey'!$A$52:$A$56</c:f>
              <c:strCache>
                <c:ptCount val="5"/>
                <c:pt idx="0">
                  <c:v>1 (poorest)</c:v>
                </c:pt>
                <c:pt idx="1">
                  <c:v>2</c:v>
                </c:pt>
                <c:pt idx="2">
                  <c:v>3</c:v>
                </c:pt>
                <c:pt idx="3">
                  <c:v>4</c:v>
                </c:pt>
                <c:pt idx="4">
                  <c:v>5 (richest)</c:v>
                </c:pt>
              </c:strCache>
            </c:strRef>
          </c:cat>
          <c:val>
            <c:numRef>
              <c:f>'hh survey'!$B$52:$B$56</c:f>
              <c:numCache>
                <c:formatCode>General</c:formatCode>
                <c:ptCount val="5"/>
                <c:pt idx="0">
                  <c:v>52</c:v>
                </c:pt>
                <c:pt idx="1">
                  <c:v>51</c:v>
                </c:pt>
                <c:pt idx="2">
                  <c:v>59</c:v>
                </c:pt>
                <c:pt idx="3">
                  <c:v>47</c:v>
                </c:pt>
                <c:pt idx="4">
                  <c:v>56</c:v>
                </c:pt>
              </c:numCache>
            </c:numRef>
          </c:val>
        </c:ser>
        <c:ser>
          <c:idx val="1"/>
          <c:order val="1"/>
          <c:tx>
            <c:strRef>
              <c:f>'hh survey'!$C$51</c:f>
              <c:strCache>
                <c:ptCount val="1"/>
                <c:pt idx="0">
                  <c:v>reported cost as a reason for not seeking care</c:v>
                </c:pt>
              </c:strCache>
            </c:strRef>
          </c:tx>
          <c:invertIfNegative val="0"/>
          <c:cat>
            <c:strRef>
              <c:f>'hh survey'!$A$52:$A$56</c:f>
              <c:strCache>
                <c:ptCount val="5"/>
                <c:pt idx="0">
                  <c:v>1 (poorest)</c:v>
                </c:pt>
                <c:pt idx="1">
                  <c:v>2</c:v>
                </c:pt>
                <c:pt idx="2">
                  <c:v>3</c:v>
                </c:pt>
                <c:pt idx="3">
                  <c:v>4</c:v>
                </c:pt>
                <c:pt idx="4">
                  <c:v>5 (richest)</c:v>
                </c:pt>
              </c:strCache>
            </c:strRef>
          </c:cat>
          <c:val>
            <c:numRef>
              <c:f>'hh survey'!$C$52:$C$56</c:f>
              <c:numCache>
                <c:formatCode>General</c:formatCode>
                <c:ptCount val="5"/>
                <c:pt idx="0">
                  <c:v>13</c:v>
                </c:pt>
                <c:pt idx="1">
                  <c:v>30</c:v>
                </c:pt>
                <c:pt idx="2">
                  <c:v>25</c:v>
                </c:pt>
                <c:pt idx="3">
                  <c:v>23</c:v>
                </c:pt>
                <c:pt idx="4">
                  <c:v>26</c:v>
                </c:pt>
              </c:numCache>
            </c:numRef>
          </c:val>
        </c:ser>
        <c:dLbls>
          <c:showLegendKey val="0"/>
          <c:showVal val="0"/>
          <c:showCatName val="0"/>
          <c:showSerName val="0"/>
          <c:showPercent val="0"/>
          <c:showBubbleSize val="0"/>
        </c:dLbls>
        <c:gapWidth val="150"/>
        <c:axId val="336110520"/>
        <c:axId val="336110912"/>
      </c:barChart>
      <c:catAx>
        <c:axId val="336110520"/>
        <c:scaling>
          <c:orientation val="minMax"/>
        </c:scaling>
        <c:delete val="0"/>
        <c:axPos val="b"/>
        <c:numFmt formatCode="General" sourceLinked="0"/>
        <c:majorTickMark val="out"/>
        <c:minorTickMark val="none"/>
        <c:tickLblPos val="nextTo"/>
        <c:crossAx val="336110912"/>
        <c:crosses val="autoZero"/>
        <c:auto val="1"/>
        <c:lblAlgn val="ctr"/>
        <c:lblOffset val="100"/>
        <c:noMultiLvlLbl val="0"/>
      </c:catAx>
      <c:valAx>
        <c:axId val="336110912"/>
        <c:scaling>
          <c:orientation val="minMax"/>
          <c:max val="60"/>
        </c:scaling>
        <c:delete val="0"/>
        <c:axPos val="l"/>
        <c:majorGridlines/>
        <c:numFmt formatCode="General" sourceLinked="1"/>
        <c:majorTickMark val="out"/>
        <c:minorTickMark val="none"/>
        <c:tickLblPos val="nextTo"/>
        <c:crossAx val="336110520"/>
        <c:crosses val="autoZero"/>
        <c:crossBetween val="between"/>
      </c:valAx>
    </c:plotArea>
    <c:legend>
      <c:legendPos val="b"/>
      <c:layout>
        <c:manualLayout>
          <c:xMode val="edge"/>
          <c:yMode val="edge"/>
          <c:x val="0.17040771298010099"/>
          <c:y val="0.81087000364736495"/>
          <c:w val="0.71496146647009173"/>
          <c:h val="0.15643244866871411"/>
        </c:manualLayout>
      </c:layout>
      <c:overlay val="0"/>
    </c:legend>
    <c:plotVisOnly val="1"/>
    <c:dispBlanksAs val="gap"/>
    <c:showDLblsOverMax val="0"/>
  </c:chart>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2280929169568101"/>
          <c:y val="0.11872631890595506"/>
          <c:w val="0.75714571392863073"/>
          <c:h val="0.55831032885593534"/>
        </c:manualLayout>
      </c:layout>
      <c:barChart>
        <c:barDir val="col"/>
        <c:grouping val="percentStacked"/>
        <c:varyColors val="0"/>
        <c:ser>
          <c:idx val="0"/>
          <c:order val="0"/>
          <c:tx>
            <c:strRef>
              <c:f>'hh survey'!$B$3</c:f>
              <c:strCache>
                <c:ptCount val="1"/>
                <c:pt idx="0">
                  <c:v>health centers</c:v>
                </c:pt>
              </c:strCache>
            </c:strRef>
          </c:tx>
          <c:invertIfNegative val="0"/>
          <c:cat>
            <c:strRef>
              <c:f>'hh survey'!$A$4:$A$8</c:f>
              <c:strCache>
                <c:ptCount val="5"/>
                <c:pt idx="0">
                  <c:v>1 (poorest)</c:v>
                </c:pt>
                <c:pt idx="1">
                  <c:v>2</c:v>
                </c:pt>
                <c:pt idx="2">
                  <c:v>3</c:v>
                </c:pt>
                <c:pt idx="3">
                  <c:v>4</c:v>
                </c:pt>
                <c:pt idx="4">
                  <c:v>5 (richest)</c:v>
                </c:pt>
              </c:strCache>
            </c:strRef>
          </c:cat>
          <c:val>
            <c:numRef>
              <c:f>'hh survey'!$B$4:$B$8</c:f>
              <c:numCache>
                <c:formatCode>_(* #,##0_);_(* \(#,##0\);_(* "-"??_);_(@_)</c:formatCode>
                <c:ptCount val="5"/>
                <c:pt idx="0">
                  <c:v>88</c:v>
                </c:pt>
                <c:pt idx="1">
                  <c:v>88.19</c:v>
                </c:pt>
                <c:pt idx="2">
                  <c:v>78.53</c:v>
                </c:pt>
                <c:pt idx="3">
                  <c:v>70.09</c:v>
                </c:pt>
                <c:pt idx="4">
                  <c:v>50</c:v>
                </c:pt>
              </c:numCache>
            </c:numRef>
          </c:val>
        </c:ser>
        <c:ser>
          <c:idx val="1"/>
          <c:order val="1"/>
          <c:tx>
            <c:strRef>
              <c:f>'hh survey'!$C$3</c:f>
              <c:strCache>
                <c:ptCount val="1"/>
                <c:pt idx="0">
                  <c:v>hospitals</c:v>
                </c:pt>
              </c:strCache>
            </c:strRef>
          </c:tx>
          <c:invertIfNegative val="0"/>
          <c:cat>
            <c:strRef>
              <c:f>'hh survey'!$A$4:$A$8</c:f>
              <c:strCache>
                <c:ptCount val="5"/>
                <c:pt idx="0">
                  <c:v>1 (poorest)</c:v>
                </c:pt>
                <c:pt idx="1">
                  <c:v>2</c:v>
                </c:pt>
                <c:pt idx="2">
                  <c:v>3</c:v>
                </c:pt>
                <c:pt idx="3">
                  <c:v>4</c:v>
                </c:pt>
                <c:pt idx="4">
                  <c:v>5 (richest)</c:v>
                </c:pt>
              </c:strCache>
            </c:strRef>
          </c:cat>
          <c:val>
            <c:numRef>
              <c:f>'hh survey'!$C$4:$C$8</c:f>
              <c:numCache>
                <c:formatCode>_(* #,##0_);_(* \(#,##0\);_(* "-"??_);_(@_)</c:formatCode>
                <c:ptCount val="5"/>
                <c:pt idx="0">
                  <c:v>12</c:v>
                </c:pt>
                <c:pt idx="1">
                  <c:v>11.81</c:v>
                </c:pt>
                <c:pt idx="2">
                  <c:v>21.47</c:v>
                </c:pt>
                <c:pt idx="3">
                  <c:v>29.91</c:v>
                </c:pt>
                <c:pt idx="4">
                  <c:v>50</c:v>
                </c:pt>
              </c:numCache>
            </c:numRef>
          </c:val>
        </c:ser>
        <c:dLbls>
          <c:showLegendKey val="0"/>
          <c:showVal val="0"/>
          <c:showCatName val="0"/>
          <c:showSerName val="0"/>
          <c:showPercent val="0"/>
          <c:showBubbleSize val="0"/>
        </c:dLbls>
        <c:gapWidth val="100"/>
        <c:overlap val="100"/>
        <c:axId val="336111696"/>
        <c:axId val="336112088"/>
      </c:barChart>
      <c:catAx>
        <c:axId val="336111696"/>
        <c:scaling>
          <c:orientation val="minMax"/>
        </c:scaling>
        <c:delete val="0"/>
        <c:axPos val="b"/>
        <c:numFmt formatCode="General" sourceLinked="0"/>
        <c:majorTickMark val="out"/>
        <c:minorTickMark val="none"/>
        <c:tickLblPos val="nextTo"/>
        <c:txPr>
          <a:bodyPr/>
          <a:lstStyle/>
          <a:p>
            <a:pPr>
              <a:defRPr sz="800"/>
            </a:pPr>
            <a:endParaRPr lang="en-US"/>
          </a:p>
        </c:txPr>
        <c:crossAx val="336112088"/>
        <c:crosses val="autoZero"/>
        <c:auto val="1"/>
        <c:lblAlgn val="ctr"/>
        <c:lblOffset val="100"/>
        <c:noMultiLvlLbl val="0"/>
      </c:catAx>
      <c:valAx>
        <c:axId val="336112088"/>
        <c:scaling>
          <c:orientation val="minMax"/>
        </c:scaling>
        <c:delete val="0"/>
        <c:axPos val="l"/>
        <c:majorGridlines/>
        <c:numFmt formatCode="0%" sourceLinked="1"/>
        <c:majorTickMark val="out"/>
        <c:minorTickMark val="none"/>
        <c:tickLblPos val="nextTo"/>
        <c:txPr>
          <a:bodyPr/>
          <a:lstStyle/>
          <a:p>
            <a:pPr>
              <a:defRPr sz="900"/>
            </a:pPr>
            <a:endParaRPr lang="en-US"/>
          </a:p>
        </c:txPr>
        <c:crossAx val="336111696"/>
        <c:crosses val="autoZero"/>
        <c:crossBetween val="between"/>
        <c:majorUnit val="0.2"/>
      </c:valAx>
    </c:plotArea>
    <c:legend>
      <c:legendPos val="b"/>
      <c:layout>
        <c:manualLayout>
          <c:xMode val="edge"/>
          <c:yMode val="edge"/>
          <c:x val="0.17301976787785411"/>
          <c:y val="0.89237482719240302"/>
          <c:w val="0.68386915921224056"/>
          <c:h val="7.6395916289931434E-2"/>
        </c:manualLayout>
      </c:layout>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18971264955517"/>
          <c:y val="0.11872631890595506"/>
          <c:w val="0.75116985376829071"/>
          <c:h val="0.55545470938270058"/>
        </c:manualLayout>
      </c:layout>
      <c:barChart>
        <c:barDir val="col"/>
        <c:grouping val="percentStacked"/>
        <c:varyColors val="0"/>
        <c:ser>
          <c:idx val="1"/>
          <c:order val="0"/>
          <c:tx>
            <c:strRef>
              <c:f>'hh survey'!$B$29</c:f>
              <c:strCache>
                <c:ptCount val="1"/>
                <c:pt idx="0">
                  <c:v>health centers</c:v>
                </c:pt>
              </c:strCache>
            </c:strRef>
          </c:tx>
          <c:spPr>
            <a:solidFill>
              <a:schemeClr val="accent1">
                <a:lumMod val="75000"/>
              </a:schemeClr>
            </a:solidFill>
          </c:spPr>
          <c:invertIfNegative val="0"/>
          <c:cat>
            <c:strRef>
              <c:f>'hh survey'!$A$30:$A$34</c:f>
              <c:strCache>
                <c:ptCount val="5"/>
                <c:pt idx="0">
                  <c:v>1 (poorest)</c:v>
                </c:pt>
                <c:pt idx="1">
                  <c:v>2</c:v>
                </c:pt>
                <c:pt idx="2">
                  <c:v>3</c:v>
                </c:pt>
                <c:pt idx="3">
                  <c:v>4</c:v>
                </c:pt>
                <c:pt idx="4">
                  <c:v>5 (richest)</c:v>
                </c:pt>
              </c:strCache>
            </c:strRef>
          </c:cat>
          <c:val>
            <c:numRef>
              <c:f>'hh survey'!$B$30:$B$34</c:f>
              <c:numCache>
                <c:formatCode>General</c:formatCode>
                <c:ptCount val="5"/>
                <c:pt idx="0">
                  <c:v>60</c:v>
                </c:pt>
                <c:pt idx="1">
                  <c:v>40</c:v>
                </c:pt>
                <c:pt idx="2">
                  <c:v>22</c:v>
                </c:pt>
                <c:pt idx="3">
                  <c:v>21</c:v>
                </c:pt>
                <c:pt idx="4">
                  <c:v>16</c:v>
                </c:pt>
              </c:numCache>
            </c:numRef>
          </c:val>
        </c:ser>
        <c:ser>
          <c:idx val="2"/>
          <c:order val="1"/>
          <c:tx>
            <c:strRef>
              <c:f>'hh survey'!$C$29</c:f>
              <c:strCache>
                <c:ptCount val="1"/>
                <c:pt idx="0">
                  <c:v>hospitals</c:v>
                </c:pt>
              </c:strCache>
            </c:strRef>
          </c:tx>
          <c:spPr>
            <a:solidFill>
              <a:schemeClr val="accent2">
                <a:lumMod val="75000"/>
              </a:schemeClr>
            </a:solidFill>
          </c:spPr>
          <c:invertIfNegative val="0"/>
          <c:cat>
            <c:strRef>
              <c:f>'hh survey'!$A$30:$A$34</c:f>
              <c:strCache>
                <c:ptCount val="5"/>
                <c:pt idx="0">
                  <c:v>1 (poorest)</c:v>
                </c:pt>
                <c:pt idx="1">
                  <c:v>2</c:v>
                </c:pt>
                <c:pt idx="2">
                  <c:v>3</c:v>
                </c:pt>
                <c:pt idx="3">
                  <c:v>4</c:v>
                </c:pt>
                <c:pt idx="4">
                  <c:v>5 (richest)</c:v>
                </c:pt>
              </c:strCache>
            </c:strRef>
          </c:cat>
          <c:val>
            <c:numRef>
              <c:f>'hh survey'!$C$30:$C$34</c:f>
              <c:numCache>
                <c:formatCode>General</c:formatCode>
                <c:ptCount val="5"/>
                <c:pt idx="0">
                  <c:v>40</c:v>
                </c:pt>
                <c:pt idx="1">
                  <c:v>60</c:v>
                </c:pt>
                <c:pt idx="2">
                  <c:v>78</c:v>
                </c:pt>
                <c:pt idx="3">
                  <c:v>79</c:v>
                </c:pt>
                <c:pt idx="4">
                  <c:v>84</c:v>
                </c:pt>
              </c:numCache>
            </c:numRef>
          </c:val>
        </c:ser>
        <c:dLbls>
          <c:showLegendKey val="0"/>
          <c:showVal val="0"/>
          <c:showCatName val="0"/>
          <c:showSerName val="0"/>
          <c:showPercent val="0"/>
          <c:showBubbleSize val="0"/>
        </c:dLbls>
        <c:gapWidth val="100"/>
        <c:overlap val="100"/>
        <c:axId val="419295856"/>
        <c:axId val="419296248"/>
      </c:barChart>
      <c:catAx>
        <c:axId val="419295856"/>
        <c:scaling>
          <c:orientation val="minMax"/>
        </c:scaling>
        <c:delete val="0"/>
        <c:axPos val="b"/>
        <c:numFmt formatCode="General" sourceLinked="0"/>
        <c:majorTickMark val="out"/>
        <c:minorTickMark val="none"/>
        <c:tickLblPos val="nextTo"/>
        <c:txPr>
          <a:bodyPr/>
          <a:lstStyle/>
          <a:p>
            <a:pPr>
              <a:defRPr sz="800"/>
            </a:pPr>
            <a:endParaRPr lang="en-US"/>
          </a:p>
        </c:txPr>
        <c:crossAx val="419296248"/>
        <c:crosses val="autoZero"/>
        <c:auto val="1"/>
        <c:lblAlgn val="ctr"/>
        <c:lblOffset val="100"/>
        <c:noMultiLvlLbl val="0"/>
      </c:catAx>
      <c:valAx>
        <c:axId val="419296248"/>
        <c:scaling>
          <c:orientation val="minMax"/>
        </c:scaling>
        <c:delete val="0"/>
        <c:axPos val="l"/>
        <c:majorGridlines/>
        <c:numFmt formatCode="0%" sourceLinked="1"/>
        <c:majorTickMark val="out"/>
        <c:minorTickMark val="none"/>
        <c:tickLblPos val="nextTo"/>
        <c:txPr>
          <a:bodyPr/>
          <a:lstStyle/>
          <a:p>
            <a:pPr>
              <a:defRPr sz="900"/>
            </a:pPr>
            <a:endParaRPr lang="en-US"/>
          </a:p>
        </c:txPr>
        <c:crossAx val="419295856"/>
        <c:crosses val="autoZero"/>
        <c:crossBetween val="between"/>
        <c:majorUnit val="0.2"/>
      </c:valAx>
    </c:plotArea>
    <c:legend>
      <c:legendPos val="b"/>
      <c:layout>
        <c:manualLayout>
          <c:xMode val="edge"/>
          <c:yMode val="edge"/>
          <c:x val="0.1770727688165189"/>
          <c:y val="0.89832481817635401"/>
          <c:w val="0.65665827485852402"/>
          <c:h val="7.6395916289931434E-2"/>
        </c:manualLayout>
      </c:layout>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sz="900"/>
            </a:pPr>
            <a:r>
              <a:rPr lang="en-US" sz="900"/>
              <a:t>Per Capita Distribution of Health Facilities, Nurses and Midwives Across Provinces</a:t>
            </a:r>
          </a:p>
        </c:rich>
      </c:tx>
      <c:overlay val="0"/>
    </c:title>
    <c:autoTitleDeleted val="0"/>
    <c:plotArea>
      <c:layout/>
      <c:barChart>
        <c:barDir val="col"/>
        <c:grouping val="clustered"/>
        <c:varyColors val="0"/>
        <c:ser>
          <c:idx val="1"/>
          <c:order val="0"/>
          <c:tx>
            <c:v>PC Facilities Per 100,000 Pop</c:v>
          </c:tx>
          <c:invertIfNegative val="0"/>
          <c:cat>
            <c:strRef>
              <c:f>Sheet1!$A$20:$A$29</c:f>
              <c:strCache>
                <c:ptCount val="10"/>
                <c:pt idx="0">
                  <c:v>Mat. North</c:v>
                </c:pt>
                <c:pt idx="1">
                  <c:v>Mash. East</c:v>
                </c:pt>
                <c:pt idx="2">
                  <c:v>Mash. West</c:v>
                </c:pt>
                <c:pt idx="3">
                  <c:v>Mat. South</c:v>
                </c:pt>
                <c:pt idx="4">
                  <c:v>Manicaland</c:v>
                </c:pt>
                <c:pt idx="5">
                  <c:v>Midlands</c:v>
                </c:pt>
                <c:pt idx="6">
                  <c:v>Mash. Central</c:v>
                </c:pt>
                <c:pt idx="7">
                  <c:v>Masvingo</c:v>
                </c:pt>
                <c:pt idx="8">
                  <c:v>Bulawayo</c:v>
                </c:pt>
                <c:pt idx="9">
                  <c:v>Harare</c:v>
                </c:pt>
              </c:strCache>
            </c:strRef>
          </c:cat>
          <c:val>
            <c:numRef>
              <c:f>Sheet1!$C$20:$C$29</c:f>
              <c:numCache>
                <c:formatCode>0.0</c:formatCode>
                <c:ptCount val="10"/>
                <c:pt idx="0">
                  <c:v>10.907629599862242</c:v>
                </c:pt>
                <c:pt idx="1">
                  <c:v>4.9815793093449336</c:v>
                </c:pt>
                <c:pt idx="2">
                  <c:v>4.8213439029977572</c:v>
                </c:pt>
                <c:pt idx="3">
                  <c:v>10.352496662489651</c:v>
                </c:pt>
                <c:pt idx="4">
                  <c:v>4.028075572631435</c:v>
                </c:pt>
                <c:pt idx="5">
                  <c:v>4.1487583756929816</c:v>
                </c:pt>
                <c:pt idx="6">
                  <c:v>6.5421858189011761</c:v>
                </c:pt>
                <c:pt idx="7">
                  <c:v>4.2893023318452084</c:v>
                </c:pt>
                <c:pt idx="8">
                  <c:v>5.2805826089751475</c:v>
                </c:pt>
                <c:pt idx="9">
                  <c:v>0.16814781181763511</c:v>
                </c:pt>
              </c:numCache>
            </c:numRef>
          </c:val>
        </c:ser>
        <c:ser>
          <c:idx val="2"/>
          <c:order val="1"/>
          <c:tx>
            <c:v>Nurses Per 10,000 Pop</c:v>
          </c:tx>
          <c:invertIfNegative val="0"/>
          <c:cat>
            <c:strRef>
              <c:f>Sheet1!$A$20:$A$29</c:f>
              <c:strCache>
                <c:ptCount val="10"/>
                <c:pt idx="0">
                  <c:v>Mat. North</c:v>
                </c:pt>
                <c:pt idx="1">
                  <c:v>Mash. East</c:v>
                </c:pt>
                <c:pt idx="2">
                  <c:v>Mash. West</c:v>
                </c:pt>
                <c:pt idx="3">
                  <c:v>Mat. South</c:v>
                </c:pt>
                <c:pt idx="4">
                  <c:v>Manicaland</c:v>
                </c:pt>
                <c:pt idx="5">
                  <c:v>Midlands</c:v>
                </c:pt>
                <c:pt idx="6">
                  <c:v>Mash. Central</c:v>
                </c:pt>
                <c:pt idx="7">
                  <c:v>Masvingo</c:v>
                </c:pt>
                <c:pt idx="8">
                  <c:v>Bulawayo</c:v>
                </c:pt>
                <c:pt idx="9">
                  <c:v>Harare</c:v>
                </c:pt>
              </c:strCache>
            </c:strRef>
          </c:cat>
          <c:val>
            <c:numRef>
              <c:f>Sheet1!$D$20:$D$29</c:f>
              <c:numCache>
                <c:formatCode>0.00</c:formatCode>
                <c:ptCount val="10"/>
                <c:pt idx="0">
                  <c:v>7.6633774667330652</c:v>
                </c:pt>
                <c:pt idx="1">
                  <c:v>8.0746195969381862</c:v>
                </c:pt>
                <c:pt idx="2">
                  <c:v>6.7592045048932734</c:v>
                </c:pt>
                <c:pt idx="3">
                  <c:v>10.410985344198568</c:v>
                </c:pt>
                <c:pt idx="4">
                  <c:v>6.8351763966182366</c:v>
                </c:pt>
                <c:pt idx="5">
                  <c:v>7.4987259596480609</c:v>
                </c:pt>
                <c:pt idx="6">
                  <c:v>6.51615590184986</c:v>
                </c:pt>
                <c:pt idx="7">
                  <c:v>7.2992209226376934</c:v>
                </c:pt>
                <c:pt idx="8">
                  <c:v>18.107041235993059</c:v>
                </c:pt>
                <c:pt idx="9">
                  <c:v>10.720011756216742</c:v>
                </c:pt>
              </c:numCache>
            </c:numRef>
          </c:val>
        </c:ser>
        <c:ser>
          <c:idx val="3"/>
          <c:order val="2"/>
          <c:tx>
            <c:v>Midwives Per 10,000 Pop</c:v>
          </c:tx>
          <c:invertIfNegative val="0"/>
          <c:cat>
            <c:strRef>
              <c:f>Sheet1!$A$20:$A$29</c:f>
              <c:strCache>
                <c:ptCount val="10"/>
                <c:pt idx="0">
                  <c:v>Mat. North</c:v>
                </c:pt>
                <c:pt idx="1">
                  <c:v>Mash. East</c:v>
                </c:pt>
                <c:pt idx="2">
                  <c:v>Mash. West</c:v>
                </c:pt>
                <c:pt idx="3">
                  <c:v>Mat. South</c:v>
                </c:pt>
                <c:pt idx="4">
                  <c:v>Manicaland</c:v>
                </c:pt>
                <c:pt idx="5">
                  <c:v>Midlands</c:v>
                </c:pt>
                <c:pt idx="6">
                  <c:v>Mash. Central</c:v>
                </c:pt>
                <c:pt idx="7">
                  <c:v>Masvingo</c:v>
                </c:pt>
                <c:pt idx="8">
                  <c:v>Bulawayo</c:v>
                </c:pt>
                <c:pt idx="9">
                  <c:v>Harare</c:v>
                </c:pt>
              </c:strCache>
            </c:strRef>
          </c:cat>
          <c:val>
            <c:numRef>
              <c:f>Sheet1!$E$20:$E$29</c:f>
              <c:numCache>
                <c:formatCode>0.0</c:formatCode>
                <c:ptCount val="10"/>
                <c:pt idx="0">
                  <c:v>2.5633597101267402</c:v>
                </c:pt>
                <c:pt idx="1">
                  <c:v>1.7100943897751211</c:v>
                </c:pt>
                <c:pt idx="2">
                  <c:v>2.7969122089213556</c:v>
                </c:pt>
                <c:pt idx="3">
                  <c:v>2.9390562558762827</c:v>
                </c:pt>
                <c:pt idx="4">
                  <c:v>1.825756633487343</c:v>
                </c:pt>
                <c:pt idx="5">
                  <c:v>2.8422090961836912</c:v>
                </c:pt>
                <c:pt idx="6">
                  <c:v>1.483705271925867</c:v>
                </c:pt>
                <c:pt idx="7">
                  <c:v>2.3298251284433937</c:v>
                </c:pt>
                <c:pt idx="8">
                  <c:v>5.1887463896886334</c:v>
                </c:pt>
                <c:pt idx="9">
                  <c:v>2.8684038486537808</c:v>
                </c:pt>
              </c:numCache>
            </c:numRef>
          </c:val>
        </c:ser>
        <c:dLbls>
          <c:showLegendKey val="0"/>
          <c:showVal val="0"/>
          <c:showCatName val="0"/>
          <c:showSerName val="0"/>
          <c:showPercent val="0"/>
          <c:showBubbleSize val="0"/>
        </c:dLbls>
        <c:gapWidth val="150"/>
        <c:axId val="336110128"/>
        <c:axId val="336166496"/>
      </c:barChart>
      <c:lineChart>
        <c:grouping val="standard"/>
        <c:varyColors val="0"/>
        <c:ser>
          <c:idx val="4"/>
          <c:order val="3"/>
          <c:tx>
            <c:v>"Extreme Poverty Prevalence"</c:v>
          </c:tx>
          <c:spPr>
            <a:ln>
              <a:solidFill>
                <a:schemeClr val="accent6">
                  <a:lumMod val="75000"/>
                </a:schemeClr>
              </a:solidFill>
            </a:ln>
          </c:spPr>
          <c:marker>
            <c:symbol val="circle"/>
            <c:size val="6"/>
            <c:spPr>
              <a:ln>
                <a:solidFill>
                  <a:srgbClr val="FF6600"/>
                </a:solidFill>
              </a:ln>
            </c:spPr>
          </c:marker>
          <c:cat>
            <c:strRef>
              <c:f>Sheet1!$A$20:$A$29</c:f>
              <c:strCache>
                <c:ptCount val="10"/>
                <c:pt idx="0">
                  <c:v>Mat. North</c:v>
                </c:pt>
                <c:pt idx="1">
                  <c:v>Mash. East</c:v>
                </c:pt>
                <c:pt idx="2">
                  <c:v>Mash. West</c:v>
                </c:pt>
                <c:pt idx="3">
                  <c:v>Mat. South</c:v>
                </c:pt>
                <c:pt idx="4">
                  <c:v>Manicaland</c:v>
                </c:pt>
                <c:pt idx="5">
                  <c:v>Midlands</c:v>
                </c:pt>
                <c:pt idx="6">
                  <c:v>Mash. Central</c:v>
                </c:pt>
                <c:pt idx="7">
                  <c:v>Masvingo</c:v>
                </c:pt>
                <c:pt idx="8">
                  <c:v>Bulawayo</c:v>
                </c:pt>
                <c:pt idx="9">
                  <c:v>Harare</c:v>
                </c:pt>
              </c:strCache>
            </c:strRef>
          </c:cat>
          <c:val>
            <c:numRef>
              <c:f>Sheet1!$G$20:$G$29</c:f>
              <c:numCache>
                <c:formatCode>General</c:formatCode>
                <c:ptCount val="10"/>
                <c:pt idx="0">
                  <c:v>36.9</c:v>
                </c:pt>
                <c:pt idx="1">
                  <c:v>22</c:v>
                </c:pt>
                <c:pt idx="2">
                  <c:v>21.8</c:v>
                </c:pt>
                <c:pt idx="3">
                  <c:v>19.399999999999999</c:v>
                </c:pt>
                <c:pt idx="4">
                  <c:v>18.7</c:v>
                </c:pt>
                <c:pt idx="5">
                  <c:v>18.5</c:v>
                </c:pt>
                <c:pt idx="6">
                  <c:v>17.3</c:v>
                </c:pt>
                <c:pt idx="7">
                  <c:v>13.8</c:v>
                </c:pt>
                <c:pt idx="8">
                  <c:v>3.4</c:v>
                </c:pt>
                <c:pt idx="9">
                  <c:v>3.3</c:v>
                </c:pt>
              </c:numCache>
            </c:numRef>
          </c:val>
          <c:smooth val="0"/>
        </c:ser>
        <c:dLbls>
          <c:showLegendKey val="0"/>
          <c:showVal val="0"/>
          <c:showCatName val="0"/>
          <c:showSerName val="0"/>
          <c:showPercent val="0"/>
          <c:showBubbleSize val="0"/>
        </c:dLbls>
        <c:marker val="1"/>
        <c:smooth val="0"/>
        <c:axId val="336167280"/>
        <c:axId val="336166888"/>
      </c:lineChart>
      <c:catAx>
        <c:axId val="336110128"/>
        <c:scaling>
          <c:orientation val="minMax"/>
        </c:scaling>
        <c:delete val="0"/>
        <c:axPos val="b"/>
        <c:numFmt formatCode="General" sourceLinked="0"/>
        <c:majorTickMark val="none"/>
        <c:minorTickMark val="none"/>
        <c:tickLblPos val="nextTo"/>
        <c:txPr>
          <a:bodyPr/>
          <a:lstStyle/>
          <a:p>
            <a:pPr>
              <a:defRPr sz="800"/>
            </a:pPr>
            <a:endParaRPr lang="en-US"/>
          </a:p>
        </c:txPr>
        <c:crossAx val="336166496"/>
        <c:crosses val="autoZero"/>
        <c:auto val="1"/>
        <c:lblAlgn val="ctr"/>
        <c:lblOffset val="100"/>
        <c:noMultiLvlLbl val="0"/>
      </c:catAx>
      <c:valAx>
        <c:axId val="336166496"/>
        <c:scaling>
          <c:orientation val="minMax"/>
        </c:scaling>
        <c:delete val="0"/>
        <c:axPos val="l"/>
        <c:majorGridlines/>
        <c:title>
          <c:tx>
            <c:rich>
              <a:bodyPr rot="-5400000" vert="horz"/>
              <a:lstStyle/>
              <a:p>
                <a:pPr>
                  <a:defRPr/>
                </a:pPr>
                <a:r>
                  <a:rPr lang="en-US"/>
                  <a:t>Per Capita Estimates</a:t>
                </a:r>
              </a:p>
            </c:rich>
          </c:tx>
          <c:overlay val="0"/>
        </c:title>
        <c:numFmt formatCode="0.0" sourceLinked="1"/>
        <c:majorTickMark val="none"/>
        <c:minorTickMark val="none"/>
        <c:tickLblPos val="nextTo"/>
        <c:crossAx val="336110128"/>
        <c:crosses val="autoZero"/>
        <c:crossBetween val="between"/>
      </c:valAx>
      <c:valAx>
        <c:axId val="336166888"/>
        <c:scaling>
          <c:orientation val="minMax"/>
        </c:scaling>
        <c:delete val="0"/>
        <c:axPos val="r"/>
        <c:title>
          <c:tx>
            <c:rich>
              <a:bodyPr rot="-5400000" vert="horz"/>
              <a:lstStyle/>
              <a:p>
                <a:pPr>
                  <a:defRPr sz="900"/>
                </a:pPr>
                <a:r>
                  <a:rPr lang="en-US" sz="900"/>
                  <a:t>Extreme Poverty</a:t>
                </a:r>
                <a:r>
                  <a:rPr lang="en-US" sz="900" baseline="0"/>
                  <a:t> Prevalence (%)</a:t>
                </a:r>
                <a:endParaRPr lang="en-US" sz="900"/>
              </a:p>
            </c:rich>
          </c:tx>
          <c:overlay val="0"/>
        </c:title>
        <c:numFmt formatCode="General" sourceLinked="1"/>
        <c:majorTickMark val="out"/>
        <c:minorTickMark val="none"/>
        <c:tickLblPos val="nextTo"/>
        <c:crossAx val="336167280"/>
        <c:crosses val="max"/>
        <c:crossBetween val="between"/>
      </c:valAx>
      <c:catAx>
        <c:axId val="336167280"/>
        <c:scaling>
          <c:orientation val="minMax"/>
        </c:scaling>
        <c:delete val="1"/>
        <c:axPos val="b"/>
        <c:numFmt formatCode="General" sourceLinked="1"/>
        <c:majorTickMark val="out"/>
        <c:minorTickMark val="none"/>
        <c:tickLblPos val="none"/>
        <c:crossAx val="336166888"/>
        <c:crosses val="autoZero"/>
        <c:auto val="1"/>
        <c:lblAlgn val="ctr"/>
        <c:lblOffset val="100"/>
        <c:noMultiLvlLbl val="0"/>
      </c:catAx>
    </c:plotArea>
    <c:legend>
      <c:legendPos val="b"/>
      <c:overlay val="0"/>
      <c:txPr>
        <a:bodyPr/>
        <a:lstStyle/>
        <a:p>
          <a:pPr>
            <a:defRPr sz="800"/>
          </a:pPr>
          <a:endParaRPr lang="en-US"/>
        </a:p>
      </c:txPr>
    </c:legend>
    <c:plotVisOnly val="1"/>
    <c:dispBlanksAs val="gap"/>
    <c:showDLblsOverMax val="0"/>
  </c:chart>
  <c:txPr>
    <a:bodyPr/>
    <a:lstStyle/>
    <a:p>
      <a:pPr>
        <a:defRPr>
          <a:latin typeface="Tahoma"/>
          <a:cs typeface="Tahoma"/>
        </a:defRPr>
      </a:pPr>
      <a:endParaRPr lang="en-US"/>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0.01705</cdr:x>
      <cdr:y>0.11402</cdr:y>
    </cdr:from>
    <cdr:to>
      <cdr:x>0.07442</cdr:x>
      <cdr:y>0.57798</cdr:y>
    </cdr:to>
    <cdr:sp macro="" textlink="">
      <cdr:nvSpPr>
        <cdr:cNvPr id="2" name="TextBox 1"/>
        <cdr:cNvSpPr txBox="1"/>
      </cdr:nvSpPr>
      <cdr:spPr>
        <a:xfrm xmlns:a="http://schemas.openxmlformats.org/drawingml/2006/main">
          <a:off x="83820" y="331470"/>
          <a:ext cx="281940" cy="1348740"/>
        </a:xfrm>
        <a:prstGeom xmlns:a="http://schemas.openxmlformats.org/drawingml/2006/main" prst="rect">
          <a:avLst/>
        </a:prstGeom>
      </cdr:spPr>
      <cdr:txBody>
        <a:bodyPr xmlns:a="http://schemas.openxmlformats.org/drawingml/2006/main" vertOverflow="clip" vert="vert270" wrap="square" rtlCol="0"/>
        <a:lstStyle xmlns:a="http://schemas.openxmlformats.org/drawingml/2006/main"/>
        <a:p xmlns:a="http://schemas.openxmlformats.org/drawingml/2006/main">
          <a:r>
            <a:rPr lang="en-US" sz="1100"/>
            <a:t>% of respondents</a:t>
          </a:r>
        </a:p>
      </cdr:txBody>
    </cdr:sp>
  </cdr:relSizeAnchor>
</c:userShapes>
</file>

<file path=word/drawings/drawing2.xml><?xml version="1.0" encoding="utf-8"?>
<c:userShapes xmlns:c="http://schemas.openxmlformats.org/drawingml/2006/chart">
  <cdr:relSizeAnchor xmlns:cdr="http://schemas.openxmlformats.org/drawingml/2006/chartDrawing">
    <cdr:from>
      <cdr:x>0.01716</cdr:x>
      <cdr:y>0.17582</cdr:y>
    </cdr:from>
    <cdr:to>
      <cdr:x>0.08112</cdr:x>
      <cdr:y>0.52747</cdr:y>
    </cdr:to>
    <cdr:sp macro="" textlink="">
      <cdr:nvSpPr>
        <cdr:cNvPr id="2" name="Text Box 1"/>
        <cdr:cNvSpPr txBox="1"/>
      </cdr:nvSpPr>
      <cdr:spPr>
        <a:xfrm xmlns:a="http://schemas.openxmlformats.org/drawingml/2006/main">
          <a:off x="83820" y="487680"/>
          <a:ext cx="312420" cy="975360"/>
        </a:xfrm>
        <a:prstGeom xmlns:a="http://schemas.openxmlformats.org/drawingml/2006/main" prst="rect">
          <a:avLst/>
        </a:prstGeom>
      </cdr:spPr>
      <cdr:txBody>
        <a:bodyPr xmlns:a="http://schemas.openxmlformats.org/drawingml/2006/main" vertOverflow="clip" vert="vert270" wrap="square" rtlCol="0"/>
        <a:lstStyle xmlns:a="http://schemas.openxmlformats.org/drawingml/2006/main"/>
        <a:p xmlns:a="http://schemas.openxmlformats.org/drawingml/2006/main">
          <a:r>
            <a:rPr lang="en-US" sz="1100"/>
            <a:t>US$ million</a:t>
          </a:r>
        </a:p>
      </cdr:txBody>
    </cdr:sp>
  </cdr:relSizeAnchor>
</c:userShapes>
</file>

<file path=word/drawings/drawing3.xml><?xml version="1.0" encoding="utf-8"?>
<c:userShapes xmlns:c="http://schemas.openxmlformats.org/drawingml/2006/chart">
  <cdr:relSizeAnchor xmlns:cdr="http://schemas.openxmlformats.org/drawingml/2006/chartDrawing">
    <cdr:from>
      <cdr:x>0.0292</cdr:x>
      <cdr:y>0.16057</cdr:y>
    </cdr:from>
    <cdr:to>
      <cdr:x>0.10826</cdr:x>
      <cdr:y>0.6095</cdr:y>
    </cdr:to>
    <cdr:sp macro="" textlink="">
      <cdr:nvSpPr>
        <cdr:cNvPr id="2" name="Text Box 1"/>
        <cdr:cNvSpPr txBox="1"/>
      </cdr:nvSpPr>
      <cdr:spPr>
        <a:xfrm xmlns:a="http://schemas.openxmlformats.org/drawingml/2006/main">
          <a:off x="80107" y="373185"/>
          <a:ext cx="216877" cy="1043353"/>
        </a:xfrm>
        <a:prstGeom xmlns:a="http://schemas.openxmlformats.org/drawingml/2006/main" prst="rect">
          <a:avLst/>
        </a:prstGeom>
      </cdr:spPr>
    </cdr:sp>
  </cdr:relSizeAnchor>
  <cdr:relSizeAnchor xmlns:cdr="http://schemas.openxmlformats.org/drawingml/2006/chartDrawing">
    <cdr:from>
      <cdr:x>0.02564</cdr:x>
      <cdr:y>0.2451</cdr:y>
    </cdr:from>
    <cdr:to>
      <cdr:x>0.11498</cdr:x>
      <cdr:y>0.63556</cdr:y>
    </cdr:to>
    <cdr:sp macro="" textlink="">
      <cdr:nvSpPr>
        <cdr:cNvPr id="3" name="Text Box 2"/>
        <cdr:cNvSpPr txBox="1"/>
      </cdr:nvSpPr>
      <cdr:spPr>
        <a:xfrm xmlns:a="http://schemas.openxmlformats.org/drawingml/2006/main">
          <a:off x="70091" y="714375"/>
          <a:ext cx="244234" cy="1138060"/>
        </a:xfrm>
        <a:prstGeom xmlns:a="http://schemas.openxmlformats.org/drawingml/2006/main" prst="rect">
          <a:avLst/>
        </a:prstGeom>
      </cdr:spPr>
      <cdr:txBody>
        <a:bodyPr xmlns:a="http://schemas.openxmlformats.org/drawingml/2006/main" vertOverflow="clip" vert="vert270" wrap="square" rtlCol="0"/>
        <a:lstStyle xmlns:a="http://schemas.openxmlformats.org/drawingml/2006/main"/>
        <a:p xmlns:a="http://schemas.openxmlformats.org/drawingml/2006/main">
          <a:r>
            <a:rPr lang="en-US" sz="800"/>
            <a:t>% of total revenue</a:t>
          </a:r>
        </a:p>
      </cdr:txBody>
    </cdr:sp>
  </cdr:relSizeAnchor>
</c:userShapes>
</file>

<file path=word/drawings/drawing4.xml><?xml version="1.0" encoding="utf-8"?>
<c:userShapes xmlns:c="http://schemas.openxmlformats.org/drawingml/2006/chart">
  <cdr:relSizeAnchor xmlns:cdr="http://schemas.openxmlformats.org/drawingml/2006/chartDrawing">
    <cdr:from>
      <cdr:x>0.01012</cdr:x>
      <cdr:y>0.13909</cdr:y>
    </cdr:from>
    <cdr:to>
      <cdr:x>0.08502</cdr:x>
      <cdr:y>0.58925</cdr:y>
    </cdr:to>
    <cdr:sp macro="" textlink="">
      <cdr:nvSpPr>
        <cdr:cNvPr id="2" name="Text Box 1"/>
        <cdr:cNvSpPr txBox="1"/>
      </cdr:nvSpPr>
      <cdr:spPr>
        <a:xfrm xmlns:a="http://schemas.openxmlformats.org/drawingml/2006/main">
          <a:off x="29307" y="322385"/>
          <a:ext cx="216877" cy="1043353"/>
        </a:xfrm>
        <a:prstGeom xmlns:a="http://schemas.openxmlformats.org/drawingml/2006/main" prst="rect">
          <a:avLst/>
        </a:prstGeom>
      </cdr:spPr>
      <cdr:txBody>
        <a:bodyPr xmlns:a="http://schemas.openxmlformats.org/drawingml/2006/main" vertOverflow="clip" vert="vert270" wrap="square" rtlCol="0"/>
        <a:lstStyle xmlns:a="http://schemas.openxmlformats.org/drawingml/2006/main"/>
        <a:p xmlns:a="http://schemas.openxmlformats.org/drawingml/2006/main">
          <a:r>
            <a:rPr lang="en-US" sz="800"/>
            <a:t>% of total revenue</a:t>
          </a:r>
        </a:p>
      </cdr:txBody>
    </cdr:sp>
  </cdr:relSizeAnchor>
</c:userShape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A2A86E-EC34-4289-8E45-6792DFF5E797}">
  <ds:schemaRefs>
    <ds:schemaRef ds:uri="http://schemas.openxmlformats.org/officeDocument/2006/bibliography"/>
  </ds:schemaRefs>
</ds:datastoreItem>
</file>

<file path=customXml/itemProps2.xml><?xml version="1.0" encoding="utf-8"?>
<ds:datastoreItem xmlns:ds="http://schemas.openxmlformats.org/officeDocument/2006/customXml" ds:itemID="{F7A6AE11-8AB3-46DA-8173-F38D1B9570C2}">
  <ds:schemaRefs>
    <ds:schemaRef ds:uri="http://schemas.openxmlformats.org/officeDocument/2006/bibliography"/>
  </ds:schemaRefs>
</ds:datastoreItem>
</file>

<file path=customXml/itemProps3.xml><?xml version="1.0" encoding="utf-8"?>
<ds:datastoreItem xmlns:ds="http://schemas.openxmlformats.org/officeDocument/2006/customXml" ds:itemID="{8981246A-9815-49B9-81D1-0B381BEF3A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87</Pages>
  <Words>29100</Words>
  <Characters>165872</Characters>
  <Application>Microsoft Office Word</Application>
  <DocSecurity>0</DocSecurity>
  <Lines>1382</Lines>
  <Paragraphs>389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PSRT Centre</Company>
  <LinksUpToDate>false</LinksUpToDate>
  <CharactersWithSpaces>194583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Chenjerai Sisimayi</dc:creator>
  <cp:lastModifiedBy>Margaret Matewa</cp:lastModifiedBy>
  <cp:revision>2</cp:revision>
  <cp:lastPrinted>2015-06-09T22:02:00Z</cp:lastPrinted>
  <dcterms:created xsi:type="dcterms:W3CDTF">2015-07-16T09:14:00Z</dcterms:created>
  <dcterms:modified xsi:type="dcterms:W3CDTF">2015-07-16T09:14:00Z</dcterms:modified>
</cp:coreProperties>
</file>