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AC" w:rsidRDefault="004031AC" w:rsidP="004031AC">
      <w:pPr>
        <w:jc w:val="center"/>
        <w:rPr>
          <w:b/>
          <w:bCs/>
        </w:rPr>
      </w:pPr>
      <w:r>
        <w:rPr>
          <w:b/>
          <w:bCs/>
        </w:rPr>
        <w:t>PROJECT INFORMATION DOCUMENT (</w:t>
      </w:r>
      <w:proofErr w:type="spellStart"/>
      <w:r>
        <w:rPr>
          <w:b/>
          <w:bCs/>
        </w:rPr>
        <w:t>PID</w:t>
      </w:r>
      <w:proofErr w:type="spellEnd"/>
      <w:r>
        <w:rPr>
          <w:b/>
          <w:bCs/>
        </w:rPr>
        <w:t>)</w:t>
      </w:r>
    </w:p>
    <w:p w:rsidR="004031AC" w:rsidRDefault="000808DB" w:rsidP="004031AC">
      <w:pPr>
        <w:jc w:val="center"/>
        <w:rPr>
          <w:b/>
          <w:bCs/>
        </w:rPr>
      </w:pPr>
      <w:r>
        <w:rPr>
          <w:b/>
          <w:bCs/>
        </w:rPr>
        <w:t xml:space="preserve">APPRAISAL </w:t>
      </w:r>
      <w:r w:rsidR="004031AC">
        <w:rPr>
          <w:b/>
          <w:bCs/>
        </w:rPr>
        <w:t>STAGE</w:t>
      </w:r>
    </w:p>
    <w:p w:rsidR="004031AC" w:rsidRDefault="000808DB" w:rsidP="004031AC">
      <w:pPr>
        <w:jc w:val="right"/>
      </w:pPr>
      <w:r>
        <w:t xml:space="preserve">Report No.:  </w:t>
      </w:r>
      <w:r w:rsidR="00A2121B" w:rsidRPr="00A2121B">
        <w:t>AB7143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660"/>
      </w:tblGrid>
      <w:tr w:rsidR="004031AC">
        <w:tc>
          <w:tcPr>
            <w:tcW w:w="2880" w:type="dxa"/>
          </w:tcPr>
          <w:p w:rsidR="004031AC" w:rsidRDefault="004031AC" w:rsidP="007136B0">
            <w:pPr>
              <w:rPr>
                <w:b/>
                <w:bCs/>
              </w:rPr>
            </w:pPr>
            <w:r>
              <w:rPr>
                <w:b/>
                <w:bCs/>
              </w:rPr>
              <w:t>Project Name</w:t>
            </w:r>
          </w:p>
        </w:tc>
        <w:tc>
          <w:tcPr>
            <w:tcW w:w="6660" w:type="dxa"/>
          </w:tcPr>
          <w:p w:rsidR="004031AC" w:rsidRDefault="000808DB" w:rsidP="000808DB">
            <w:r w:rsidRPr="000808DB">
              <w:t>Energy Sector Clean</w:t>
            </w:r>
            <w:r w:rsidR="00E851F4">
              <w:t>-</w:t>
            </w:r>
            <w:r w:rsidRPr="000808DB">
              <w:t>up and Land Reclamation Project</w:t>
            </w:r>
            <w:r>
              <w:t>, Additional Financing</w:t>
            </w:r>
          </w:p>
        </w:tc>
      </w:tr>
      <w:tr w:rsidR="004031AC">
        <w:tc>
          <w:tcPr>
            <w:tcW w:w="2880" w:type="dxa"/>
          </w:tcPr>
          <w:p w:rsidR="004031AC" w:rsidRDefault="004031AC" w:rsidP="007136B0">
            <w:pPr>
              <w:rPr>
                <w:b/>
                <w:bCs/>
              </w:rPr>
            </w:pPr>
            <w:r>
              <w:rPr>
                <w:b/>
                <w:bCs/>
              </w:rPr>
              <w:t>Region</w:t>
            </w:r>
          </w:p>
        </w:tc>
        <w:tc>
          <w:tcPr>
            <w:tcW w:w="6660" w:type="dxa"/>
          </w:tcPr>
          <w:p w:rsidR="004031AC" w:rsidRDefault="004031AC" w:rsidP="007136B0">
            <w:bookmarkStart w:id="0" w:name="REGION"/>
            <w:r>
              <w:t xml:space="preserve">EUROPE AND </w:t>
            </w:r>
            <w:smartTag w:uri="urn:schemas-microsoft-com:office:smarttags" w:element="place">
              <w:r>
                <w:t>CENTRAL ASIA</w:t>
              </w:r>
            </w:smartTag>
            <w:bookmarkEnd w:id="0"/>
          </w:p>
        </w:tc>
      </w:tr>
      <w:tr w:rsidR="004031AC">
        <w:tc>
          <w:tcPr>
            <w:tcW w:w="2880" w:type="dxa"/>
          </w:tcPr>
          <w:p w:rsidR="004031AC" w:rsidRDefault="004031AC" w:rsidP="007136B0">
            <w:pPr>
              <w:rPr>
                <w:b/>
                <w:bCs/>
              </w:rPr>
            </w:pPr>
            <w:r>
              <w:rPr>
                <w:b/>
                <w:bCs/>
              </w:rPr>
              <w:t>Sector</w:t>
            </w:r>
          </w:p>
        </w:tc>
        <w:tc>
          <w:tcPr>
            <w:tcW w:w="6660" w:type="dxa"/>
          </w:tcPr>
          <w:p w:rsidR="004031AC" w:rsidRDefault="000808DB" w:rsidP="007136B0">
            <w:r w:rsidRPr="000808DB">
              <w:t>Mining and other Extractives (70%); General energy sector (30%)</w:t>
            </w:r>
          </w:p>
        </w:tc>
      </w:tr>
      <w:tr w:rsidR="004031AC">
        <w:tc>
          <w:tcPr>
            <w:tcW w:w="2880" w:type="dxa"/>
          </w:tcPr>
          <w:p w:rsidR="004031AC" w:rsidRDefault="004031AC" w:rsidP="007136B0">
            <w:pPr>
              <w:rPr>
                <w:b/>
                <w:bCs/>
              </w:rPr>
            </w:pPr>
            <w:r>
              <w:rPr>
                <w:b/>
                <w:bCs/>
              </w:rPr>
              <w:t>Project ID</w:t>
            </w:r>
          </w:p>
        </w:tc>
        <w:tc>
          <w:tcPr>
            <w:tcW w:w="6660" w:type="dxa"/>
          </w:tcPr>
          <w:p w:rsidR="004031AC" w:rsidRDefault="000808DB" w:rsidP="007136B0">
            <w:r w:rsidRPr="000808DB">
              <w:t>P131539</w:t>
            </w:r>
          </w:p>
        </w:tc>
      </w:tr>
      <w:tr w:rsidR="004031AC">
        <w:tc>
          <w:tcPr>
            <w:tcW w:w="2880" w:type="dxa"/>
            <w:tcBorders>
              <w:bottom w:val="single" w:sz="4" w:space="0" w:color="auto"/>
            </w:tcBorders>
          </w:tcPr>
          <w:p w:rsidR="004031AC" w:rsidRDefault="004031AC" w:rsidP="007136B0">
            <w:pPr>
              <w:rPr>
                <w:b/>
                <w:bCs/>
              </w:rPr>
            </w:pPr>
            <w:r>
              <w:rPr>
                <w:b/>
                <w:bCs/>
              </w:rPr>
              <w:t>Borrower(s)</w:t>
            </w:r>
          </w:p>
        </w:tc>
        <w:tc>
          <w:tcPr>
            <w:tcW w:w="6660" w:type="dxa"/>
            <w:tcBorders>
              <w:bottom w:val="single" w:sz="4" w:space="0" w:color="auto"/>
            </w:tcBorders>
          </w:tcPr>
          <w:p w:rsidR="004031AC" w:rsidRDefault="000808DB" w:rsidP="007136B0">
            <w:bookmarkStart w:id="1" w:name="BORROWERNAME"/>
            <w:bookmarkEnd w:id="1"/>
            <w:r>
              <w:t>Republic of Kosovo</w:t>
            </w:r>
          </w:p>
        </w:tc>
      </w:tr>
      <w:tr w:rsidR="004031AC">
        <w:trPr>
          <w:cantSplit/>
          <w:trHeight w:val="140"/>
        </w:trPr>
        <w:tc>
          <w:tcPr>
            <w:tcW w:w="2880" w:type="dxa"/>
            <w:tcBorders>
              <w:bottom w:val="nil"/>
              <w:right w:val="single" w:sz="4" w:space="0" w:color="auto"/>
            </w:tcBorders>
          </w:tcPr>
          <w:p w:rsidR="004031AC" w:rsidRDefault="004031AC" w:rsidP="007136B0">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4031AC" w:rsidRDefault="000808DB" w:rsidP="000808DB">
            <w:bookmarkStart w:id="2" w:name="IMPLEMENTINGAGENCY"/>
            <w:bookmarkEnd w:id="2"/>
            <w:r w:rsidRPr="000808DB">
              <w:t>Kosovo Energy Cooperation</w:t>
            </w:r>
            <w:r>
              <w:t xml:space="preserve"> and Ministry of Environment and Spatial Planning</w:t>
            </w:r>
          </w:p>
        </w:tc>
      </w:tr>
      <w:tr w:rsidR="004031AC">
        <w:trPr>
          <w:cantSplit/>
          <w:trHeight w:val="285"/>
        </w:trPr>
        <w:tc>
          <w:tcPr>
            <w:tcW w:w="2880" w:type="dxa"/>
          </w:tcPr>
          <w:p w:rsidR="004031AC" w:rsidRDefault="004031AC" w:rsidP="007136B0">
            <w:pPr>
              <w:rPr>
                <w:b/>
                <w:bCs/>
              </w:rPr>
            </w:pPr>
            <w:r>
              <w:rPr>
                <w:b/>
                <w:bCs/>
              </w:rPr>
              <w:t>Environment Category</w:t>
            </w:r>
          </w:p>
        </w:tc>
        <w:tc>
          <w:tcPr>
            <w:tcW w:w="6660" w:type="dxa"/>
            <w:tcBorders>
              <w:top w:val="single" w:sz="4" w:space="0" w:color="auto"/>
            </w:tcBorders>
          </w:tcPr>
          <w:p w:rsidR="004031AC" w:rsidRDefault="004031AC" w:rsidP="000808DB">
            <w:r>
              <w:t>[</w:t>
            </w:r>
            <w:r w:rsidR="000808DB">
              <w:t>X</w:t>
            </w:r>
            <w:r>
              <w:t>] A   [] B   [] C   [</w:t>
            </w:r>
            <w:bookmarkStart w:id="3" w:name="ENVCAT_FI"/>
            <w:r>
              <w:t xml:space="preserve"> </w:t>
            </w:r>
            <w:bookmarkEnd w:id="3"/>
            <w:r>
              <w:t xml:space="preserve">] </w:t>
            </w:r>
            <w:proofErr w:type="spellStart"/>
            <w:r>
              <w:t>FI</w:t>
            </w:r>
            <w:proofErr w:type="spellEnd"/>
            <w:r>
              <w:t xml:space="preserve">   [</w:t>
            </w:r>
            <w:bookmarkStart w:id="4" w:name="ENVCAT_TBD"/>
            <w:r>
              <w:t xml:space="preserve"> </w:t>
            </w:r>
            <w:bookmarkEnd w:id="4"/>
            <w:r>
              <w:t>] TBD (to be determined)</w:t>
            </w:r>
          </w:p>
        </w:tc>
      </w:tr>
      <w:tr w:rsidR="004031AC">
        <w:tc>
          <w:tcPr>
            <w:tcW w:w="2880" w:type="dxa"/>
          </w:tcPr>
          <w:p w:rsidR="004031AC" w:rsidRDefault="004031AC" w:rsidP="007136B0">
            <w:pPr>
              <w:rPr>
                <w:b/>
                <w:bCs/>
              </w:rPr>
            </w:pPr>
            <w:r>
              <w:rPr>
                <w:b/>
                <w:bCs/>
              </w:rPr>
              <w:t xml:space="preserve">Date </w:t>
            </w:r>
            <w:proofErr w:type="spellStart"/>
            <w:r>
              <w:rPr>
                <w:b/>
                <w:bCs/>
              </w:rPr>
              <w:t>PID</w:t>
            </w:r>
            <w:proofErr w:type="spellEnd"/>
            <w:r>
              <w:rPr>
                <w:b/>
                <w:bCs/>
              </w:rPr>
              <w:t xml:space="preserve"> Prepared</w:t>
            </w:r>
          </w:p>
        </w:tc>
        <w:tc>
          <w:tcPr>
            <w:tcW w:w="6660" w:type="dxa"/>
          </w:tcPr>
          <w:p w:rsidR="004031AC" w:rsidRPr="000E7983" w:rsidRDefault="000E7983" w:rsidP="000E7983">
            <w:r>
              <w:t>February 27, 2013</w:t>
            </w:r>
          </w:p>
        </w:tc>
      </w:tr>
      <w:tr w:rsidR="004031AC">
        <w:tc>
          <w:tcPr>
            <w:tcW w:w="2880" w:type="dxa"/>
          </w:tcPr>
          <w:p w:rsidR="004031AC" w:rsidRDefault="004031AC" w:rsidP="007136B0">
            <w:pPr>
              <w:rPr>
                <w:b/>
                <w:bCs/>
              </w:rPr>
            </w:pPr>
            <w:r>
              <w:rPr>
                <w:b/>
                <w:bCs/>
              </w:rPr>
              <w:t>Estimated Date of Appraisal Authorization</w:t>
            </w:r>
          </w:p>
        </w:tc>
        <w:tc>
          <w:tcPr>
            <w:tcW w:w="6660" w:type="dxa"/>
          </w:tcPr>
          <w:p w:rsidR="004031AC" w:rsidRPr="000E7983" w:rsidRDefault="000E7983" w:rsidP="007136B0">
            <w:r>
              <w:t>March 1, 2013</w:t>
            </w:r>
          </w:p>
        </w:tc>
      </w:tr>
      <w:tr w:rsidR="004031AC">
        <w:tc>
          <w:tcPr>
            <w:tcW w:w="2880" w:type="dxa"/>
          </w:tcPr>
          <w:p w:rsidR="004031AC" w:rsidRDefault="004031AC" w:rsidP="007136B0">
            <w:pPr>
              <w:rPr>
                <w:b/>
                <w:bCs/>
              </w:rPr>
            </w:pPr>
            <w:r>
              <w:rPr>
                <w:b/>
                <w:bCs/>
              </w:rPr>
              <w:t>Estimated Date of Board Approval</w:t>
            </w:r>
          </w:p>
        </w:tc>
        <w:tc>
          <w:tcPr>
            <w:tcW w:w="6660" w:type="dxa"/>
          </w:tcPr>
          <w:p w:rsidR="004031AC" w:rsidRPr="000E7983" w:rsidRDefault="000E7983" w:rsidP="000E7983">
            <w:r>
              <w:t>May 2, 2013</w:t>
            </w:r>
          </w:p>
        </w:tc>
      </w:tr>
    </w:tbl>
    <w:p w:rsidR="004031AC" w:rsidRDefault="004031AC" w:rsidP="004031AC"/>
    <w:p w:rsidR="004031AC" w:rsidRDefault="004031AC" w:rsidP="004031AC"/>
    <w:p w:rsidR="004031AC" w:rsidRPr="00917E64" w:rsidRDefault="00A2121B" w:rsidP="004031AC">
      <w:pPr>
        <w:numPr>
          <w:ilvl w:val="0"/>
          <w:numId w:val="1"/>
        </w:numPr>
        <w:tabs>
          <w:tab w:val="clear" w:pos="720"/>
          <w:tab w:val="num" w:pos="360"/>
        </w:tabs>
        <w:ind w:left="360"/>
        <w:rPr>
          <w:b/>
          <w:i/>
        </w:rPr>
      </w:pPr>
      <w:bookmarkStart w:id="5" w:name="KeyDevelopmentIssues"/>
      <w:r>
        <w:rPr>
          <w:b/>
          <w:i/>
        </w:rPr>
        <w:t>Country and Sector Background</w:t>
      </w:r>
    </w:p>
    <w:p w:rsidR="00F16AA1" w:rsidRDefault="00F16AA1" w:rsidP="00F16AA1">
      <w:pPr>
        <w:tabs>
          <w:tab w:val="left" w:pos="1080"/>
        </w:tabs>
      </w:pPr>
    </w:p>
    <w:p w:rsidR="00F16AA1" w:rsidRDefault="00F16AA1" w:rsidP="0036535D">
      <w:pPr>
        <w:tabs>
          <w:tab w:val="left" w:pos="1080"/>
        </w:tabs>
        <w:spacing w:after="100" w:afterAutospacing="1"/>
        <w:jc w:val="both"/>
      </w:pPr>
      <w:r w:rsidRPr="00534892">
        <w:t>The main objectives of the C</w:t>
      </w:r>
      <w:r>
        <w:t xml:space="preserve">ountry </w:t>
      </w:r>
      <w:r w:rsidRPr="00534892">
        <w:t>P</w:t>
      </w:r>
      <w:r>
        <w:t xml:space="preserve">artnership </w:t>
      </w:r>
      <w:r w:rsidRPr="00534892">
        <w:t>S</w:t>
      </w:r>
      <w:r>
        <w:t>trategy (CPS) FY12-FY15</w:t>
      </w:r>
      <w:r w:rsidRPr="00534892">
        <w:t xml:space="preserve"> are to support Kosovo to (</w:t>
      </w:r>
      <w:proofErr w:type="spellStart"/>
      <w:r w:rsidRPr="00534892">
        <w:t>i</w:t>
      </w:r>
      <w:proofErr w:type="spellEnd"/>
      <w:r w:rsidRPr="00534892">
        <w:t>) accelerate broad-based economic growth and employment generation; and (ii) improve environmental management</w:t>
      </w:r>
      <w:r>
        <w:t xml:space="preserve">. The </w:t>
      </w:r>
      <w:r w:rsidRPr="00534892">
        <w:t>main focus of the new lending under the CPS is the energy sector with the aim of addressing Kosovo’s energy crisis in a comprehensive way, taking full account of environmental considerations and mitigating adverse impacts</w:t>
      </w:r>
      <w:r>
        <w:t>.</w:t>
      </w:r>
    </w:p>
    <w:p w:rsidR="00F16AA1" w:rsidRDefault="00F16AA1" w:rsidP="0036535D">
      <w:pPr>
        <w:jc w:val="both"/>
      </w:pPr>
      <w:r>
        <w:t>The Kosovo Energy Sector Clean-up and Land Reclamation Project (</w:t>
      </w:r>
      <w:proofErr w:type="spellStart"/>
      <w:r>
        <w:t>CLRP</w:t>
      </w:r>
      <w:proofErr w:type="spellEnd"/>
      <w:r>
        <w:t xml:space="preserve">) </w:t>
      </w:r>
      <w:r w:rsidRPr="00850C2D">
        <w:t xml:space="preserve">has been under implementation for several years </w:t>
      </w:r>
      <w:r>
        <w:t xml:space="preserve">and was planned to close in </w:t>
      </w:r>
      <w:r w:rsidR="000E7983">
        <w:t>December 2012</w:t>
      </w:r>
      <w:r w:rsidRPr="00850C2D">
        <w:t>.</w:t>
      </w:r>
      <w:r w:rsidR="000E7983">
        <w:t xml:space="preserve"> S</w:t>
      </w:r>
      <w:r w:rsidRPr="00850C2D">
        <w:t xml:space="preserve">ome of the original expected outcomes were partial (due in part to limited availability of funding) and some works on ash dump remediation and land reclamation were to </w:t>
      </w:r>
      <w:r>
        <w:t xml:space="preserve">be completed by </w:t>
      </w:r>
      <w:r w:rsidR="000E7983">
        <w:t>the Implementing Agency the Kosovo Energy Corporation (</w:t>
      </w:r>
      <w:proofErr w:type="spellStart"/>
      <w:r>
        <w:t>KEK</w:t>
      </w:r>
      <w:proofErr w:type="spellEnd"/>
      <w:r w:rsidR="000E7983">
        <w:t>)</w:t>
      </w:r>
      <w:r>
        <w:t xml:space="preserve"> itself,</w:t>
      </w:r>
      <w:r w:rsidRPr="00850C2D">
        <w:t xml:space="preserve"> after the Project’s original closing date.  To support these efforts, </w:t>
      </w:r>
      <w:r w:rsidR="000E7983">
        <w:t xml:space="preserve">the World </w:t>
      </w:r>
      <w:r>
        <w:t xml:space="preserve">Bank has included in its CPS the </w:t>
      </w:r>
      <w:r w:rsidRPr="00850C2D">
        <w:t>proposed Additional Financing for the Energy Sector Clean</w:t>
      </w:r>
      <w:r>
        <w:t>-</w:t>
      </w:r>
      <w:r w:rsidRPr="00850C2D">
        <w:t>up and Land Recl</w:t>
      </w:r>
      <w:r>
        <w:t>amation Project</w:t>
      </w:r>
      <w:r w:rsidRPr="00850C2D">
        <w:t xml:space="preserve">, which, inter alia, will finance </w:t>
      </w:r>
      <w:r>
        <w:t xml:space="preserve">additional tree planting at </w:t>
      </w:r>
      <w:r w:rsidRPr="00850C2D">
        <w:t xml:space="preserve">the </w:t>
      </w:r>
      <w:r>
        <w:t xml:space="preserve">overburden dumps and the </w:t>
      </w:r>
      <w:r w:rsidR="000E7983">
        <w:t xml:space="preserve">removal of all hazardous chemicals from the </w:t>
      </w:r>
      <w:r>
        <w:t xml:space="preserve">gasification site as well as </w:t>
      </w:r>
      <w:r w:rsidRPr="00850C2D">
        <w:t>assist the Ministry of Environment and Spatial Planning (</w:t>
      </w:r>
      <w:proofErr w:type="spellStart"/>
      <w:r w:rsidRPr="00850C2D">
        <w:t>MESP</w:t>
      </w:r>
      <w:proofErr w:type="spellEnd"/>
      <w:r w:rsidRPr="00850C2D">
        <w:t>) in the identification, monitoring and assessment of environmental and social impacts related to the proposed Kosovo Power Project through the preparation of an Environmental and Social Impact Assessment (</w:t>
      </w:r>
      <w:proofErr w:type="spellStart"/>
      <w:r w:rsidRPr="00850C2D">
        <w:t>ESIA</w:t>
      </w:r>
      <w:proofErr w:type="spellEnd"/>
      <w:r w:rsidRPr="00850C2D">
        <w:t>) in line with World Bank’s policies</w:t>
      </w:r>
      <w:r>
        <w:t>.</w:t>
      </w:r>
    </w:p>
    <w:p w:rsidR="00F16AA1" w:rsidRDefault="00F16AA1" w:rsidP="00FF2952">
      <w:pPr>
        <w:tabs>
          <w:tab w:val="left" w:pos="1080"/>
        </w:tabs>
        <w:spacing w:after="100" w:afterAutospacing="1"/>
      </w:pPr>
    </w:p>
    <w:bookmarkEnd w:id="5"/>
    <w:p w:rsidR="004031AC" w:rsidRPr="00917E64" w:rsidRDefault="00A2121B" w:rsidP="004031AC">
      <w:pPr>
        <w:numPr>
          <w:ilvl w:val="0"/>
          <w:numId w:val="1"/>
        </w:numPr>
        <w:tabs>
          <w:tab w:val="clear" w:pos="720"/>
          <w:tab w:val="num" w:pos="360"/>
        </w:tabs>
        <w:ind w:left="360"/>
        <w:rPr>
          <w:b/>
          <w:i/>
        </w:rPr>
      </w:pPr>
      <w:r>
        <w:rPr>
          <w:b/>
          <w:i/>
        </w:rPr>
        <w:t>O</w:t>
      </w:r>
      <w:r w:rsidR="004031AC" w:rsidRPr="00917E64">
        <w:rPr>
          <w:b/>
          <w:i/>
        </w:rPr>
        <w:t>bjective(s)</w:t>
      </w:r>
      <w:bookmarkStart w:id="6" w:name="ProjectDevelopmentObjectives"/>
    </w:p>
    <w:p w:rsidR="004031AC" w:rsidRDefault="004031AC" w:rsidP="004031AC"/>
    <w:p w:rsidR="0036535D" w:rsidRDefault="00850C2D" w:rsidP="0036535D">
      <w:pPr>
        <w:jc w:val="both"/>
      </w:pPr>
      <w:r w:rsidRPr="00850C2D">
        <w:t xml:space="preserve">The </w:t>
      </w:r>
      <w:proofErr w:type="spellStart"/>
      <w:r w:rsidRPr="00850C2D">
        <w:t>CLRP</w:t>
      </w:r>
      <w:proofErr w:type="spellEnd"/>
      <w:r w:rsidRPr="00850C2D">
        <w:t xml:space="preserve"> </w:t>
      </w:r>
      <w:r w:rsidR="0036535D">
        <w:t xml:space="preserve">of the original Project </w:t>
      </w:r>
      <w:r w:rsidRPr="00850C2D">
        <w:t xml:space="preserve">aims at supporting the beneficiary, </w:t>
      </w:r>
      <w:proofErr w:type="spellStart"/>
      <w:r w:rsidRPr="00850C2D">
        <w:t>KEK</w:t>
      </w:r>
      <w:proofErr w:type="spellEnd"/>
      <w:r w:rsidRPr="00850C2D">
        <w:t xml:space="preserve"> and the Kosovo authorities to address environmental issues related to open dumping of ashes from the mines on land.  Specifically, the </w:t>
      </w:r>
      <w:proofErr w:type="spellStart"/>
      <w:r w:rsidRPr="00850C2D">
        <w:t>CLRP’s</w:t>
      </w:r>
      <w:proofErr w:type="spellEnd"/>
      <w:r w:rsidRPr="00850C2D">
        <w:t xml:space="preserve"> objectives are to: (a) address environmental legacy issues related </w:t>
      </w:r>
      <w:r w:rsidRPr="00850C2D">
        <w:lastRenderedPageBreak/>
        <w:t xml:space="preserve">to open dumping of ashes on land; (b) enable </w:t>
      </w:r>
      <w:proofErr w:type="spellStart"/>
      <w:r w:rsidRPr="00850C2D">
        <w:t>KEK</w:t>
      </w:r>
      <w:proofErr w:type="spellEnd"/>
      <w:r w:rsidRPr="00850C2D">
        <w:t xml:space="preserve"> to free land for community development purposes currently taken by overburden material and to enable </w:t>
      </w:r>
      <w:proofErr w:type="spellStart"/>
      <w:r w:rsidRPr="00850C2D">
        <w:t>KEK</w:t>
      </w:r>
      <w:proofErr w:type="spellEnd"/>
      <w:r w:rsidRPr="00850C2D">
        <w:t xml:space="preserve"> to remediate the Kosovo A Ash Dump; and (c) build capacity in </w:t>
      </w:r>
      <w:proofErr w:type="spellStart"/>
      <w:r w:rsidRPr="00850C2D">
        <w:t>KEK</w:t>
      </w:r>
      <w:proofErr w:type="spellEnd"/>
      <w:r w:rsidRPr="00850C2D">
        <w:t xml:space="preserve"> for continued clean-up and environmentally good practice mining operations.</w:t>
      </w:r>
    </w:p>
    <w:p w:rsidR="0036535D" w:rsidRDefault="0036535D" w:rsidP="0036535D">
      <w:pPr>
        <w:jc w:val="both"/>
      </w:pPr>
    </w:p>
    <w:p w:rsidR="004031AC" w:rsidRDefault="0036535D" w:rsidP="0036535D">
      <w:pPr>
        <w:jc w:val="both"/>
      </w:pPr>
      <w:r w:rsidRPr="0036535D">
        <w:t xml:space="preserve">The Additional Financing will lead to a minor change in the development objective of the project.  In general, the proposed additional financing will in fact contribute to the achievement of </w:t>
      </w:r>
      <w:proofErr w:type="spellStart"/>
      <w:r w:rsidRPr="0036535D">
        <w:t>CLRP’s</w:t>
      </w:r>
      <w:proofErr w:type="spellEnd"/>
      <w:r w:rsidRPr="0036535D">
        <w:t xml:space="preserve"> development objective by scaling-up existing activities and supporting additional activities that further enhance its overall impact as well as strengthen sector development.  However, some of the proposed additional activities will build capacity not only at </w:t>
      </w:r>
      <w:proofErr w:type="spellStart"/>
      <w:r w:rsidRPr="0036535D">
        <w:t>KEK</w:t>
      </w:r>
      <w:proofErr w:type="spellEnd"/>
      <w:r w:rsidRPr="0036535D">
        <w:t xml:space="preserve"> but also at the Ministry of Environment and Spatial Planning </w:t>
      </w:r>
      <w:r w:rsidR="000E7983">
        <w:t>(</w:t>
      </w:r>
      <w:proofErr w:type="spellStart"/>
      <w:r w:rsidR="000E7983">
        <w:t>MESP</w:t>
      </w:r>
      <w:proofErr w:type="spellEnd"/>
      <w:r w:rsidR="000E7983">
        <w:t xml:space="preserve">) </w:t>
      </w:r>
      <w:r w:rsidRPr="0036535D">
        <w:t xml:space="preserve">in Kosovo; hence, under the additional financing, section (c) of the </w:t>
      </w:r>
      <w:proofErr w:type="spellStart"/>
      <w:r w:rsidRPr="0036535D">
        <w:t>PDO</w:t>
      </w:r>
      <w:proofErr w:type="spellEnd"/>
      <w:r w:rsidRPr="0036535D">
        <w:t xml:space="preserve"> will be further elaborated to state: (c) support </w:t>
      </w:r>
      <w:proofErr w:type="spellStart"/>
      <w:r w:rsidRPr="0036535D">
        <w:t>KEK</w:t>
      </w:r>
      <w:proofErr w:type="spellEnd"/>
      <w:r w:rsidRPr="0036535D">
        <w:t xml:space="preserve"> and </w:t>
      </w:r>
      <w:proofErr w:type="spellStart"/>
      <w:r w:rsidRPr="0036535D">
        <w:t>MESP</w:t>
      </w:r>
      <w:proofErr w:type="spellEnd"/>
      <w:r w:rsidRPr="0036535D">
        <w:t xml:space="preserve"> to implement continued clean-up operations and environmental good practices in the mining and energy sector.</w:t>
      </w:r>
    </w:p>
    <w:p w:rsidR="00A2121B" w:rsidRDefault="00A2121B" w:rsidP="004031AC"/>
    <w:p w:rsidR="00A2121B" w:rsidRPr="00A2121B" w:rsidRDefault="00A2121B" w:rsidP="004031AC">
      <w:pPr>
        <w:rPr>
          <w:b/>
          <w:i/>
        </w:rPr>
      </w:pPr>
      <w:r w:rsidRPr="00A2121B">
        <w:rPr>
          <w:b/>
          <w:i/>
        </w:rPr>
        <w:t>3.  Rationale for Bank Involvement</w:t>
      </w:r>
    </w:p>
    <w:p w:rsidR="004031AC" w:rsidRDefault="004031AC" w:rsidP="004031AC"/>
    <w:p w:rsidR="0081253D" w:rsidRDefault="00F16AA1" w:rsidP="00F16AA1">
      <w:pPr>
        <w:jc w:val="both"/>
      </w:pPr>
      <w:r w:rsidRPr="00F16AA1">
        <w:t xml:space="preserve">The </w:t>
      </w:r>
      <w:r w:rsidR="0036535D">
        <w:t>activities for hazardous chemical removal are</w:t>
      </w:r>
      <w:r w:rsidRPr="00F16AA1">
        <w:t xml:space="preserve"> an integral part of a least-cost financial </w:t>
      </w:r>
      <w:r w:rsidR="000E7983">
        <w:t xml:space="preserve">option </w:t>
      </w:r>
      <w:r w:rsidRPr="00F16AA1">
        <w:t xml:space="preserve">for a relatively costly </w:t>
      </w:r>
      <w:r w:rsidR="0036535D">
        <w:t xml:space="preserve">reclamation </w:t>
      </w:r>
      <w:r w:rsidRPr="00F16AA1">
        <w:t>program that would yield significant financial and environmental benefits.  The Bank’s involvement would complement the role of donors such as the EC, which has been providing significant contributions to the e</w:t>
      </w:r>
      <w:r>
        <w:t>nergy and mining sector</w:t>
      </w:r>
      <w:r w:rsidRPr="00F16AA1">
        <w:t xml:space="preserve"> and bilateral i</w:t>
      </w:r>
      <w:r>
        <w:t xml:space="preserve">nstitutions from the US </w:t>
      </w:r>
      <w:r w:rsidR="0036535D">
        <w:t xml:space="preserve">and the Netherlands. </w:t>
      </w:r>
    </w:p>
    <w:p w:rsidR="0081253D" w:rsidRDefault="0081253D" w:rsidP="00F16AA1">
      <w:pPr>
        <w:jc w:val="both"/>
      </w:pPr>
    </w:p>
    <w:p w:rsidR="0081253D" w:rsidRDefault="0081253D" w:rsidP="00F16AA1">
      <w:pPr>
        <w:jc w:val="both"/>
      </w:pPr>
      <w:r w:rsidRPr="0081253D">
        <w:t xml:space="preserve">The objective of the Environmental and Social Impact Assessment for the proposed Kosovo Power Project </w:t>
      </w:r>
      <w:r w:rsidR="000E7983">
        <w:t>(</w:t>
      </w:r>
      <w:proofErr w:type="spellStart"/>
      <w:r w:rsidR="000E7983">
        <w:t>KPP</w:t>
      </w:r>
      <w:proofErr w:type="spellEnd"/>
      <w:r w:rsidR="000E7983">
        <w:t xml:space="preserve">) </w:t>
      </w:r>
      <w:r w:rsidRPr="0081253D">
        <w:t>and associated infrastructure</w:t>
      </w:r>
      <w:r w:rsidR="000E7983">
        <w:t xml:space="preserve"> </w:t>
      </w:r>
      <w:r w:rsidRPr="0081253D">
        <w:t>is to inform the decision-making process of the proposed investment</w:t>
      </w:r>
      <w:r w:rsidR="000E7983">
        <w:t xml:space="preserve"> under the </w:t>
      </w:r>
      <w:proofErr w:type="spellStart"/>
      <w:r w:rsidR="000E7983">
        <w:t>KPP</w:t>
      </w:r>
      <w:proofErr w:type="spellEnd"/>
      <w:r w:rsidRPr="0081253D">
        <w:t xml:space="preserve">, including the Bank’s decision on the possible partial risk guarantee, and to increase the monitoring and management capacity of the </w:t>
      </w:r>
      <w:proofErr w:type="spellStart"/>
      <w:r w:rsidRPr="0081253D">
        <w:t>MESP</w:t>
      </w:r>
      <w:proofErr w:type="spellEnd"/>
      <w:r w:rsidRPr="0081253D">
        <w:t xml:space="preserve">. </w:t>
      </w:r>
    </w:p>
    <w:p w:rsidR="00DD6DC7" w:rsidRDefault="00DD6DC7" w:rsidP="00F16AA1">
      <w:pPr>
        <w:jc w:val="both"/>
      </w:pPr>
    </w:p>
    <w:bookmarkEnd w:id="6"/>
    <w:p w:rsidR="004031AC" w:rsidRDefault="00A2121B" w:rsidP="00A2121B">
      <w:pPr>
        <w:rPr>
          <w:b/>
          <w:i/>
        </w:rPr>
      </w:pPr>
      <w:r>
        <w:rPr>
          <w:b/>
          <w:i/>
        </w:rPr>
        <w:t>4</w:t>
      </w:r>
      <w:r w:rsidR="004031AC">
        <w:rPr>
          <w:b/>
          <w:i/>
        </w:rPr>
        <w:t>. Description</w:t>
      </w:r>
    </w:p>
    <w:p w:rsidR="004031AC" w:rsidRDefault="004031AC" w:rsidP="004031AC">
      <w:pPr>
        <w:ind w:left="360"/>
        <w:rPr>
          <w:b/>
          <w:i/>
        </w:rPr>
      </w:pPr>
    </w:p>
    <w:p w:rsidR="0047484A" w:rsidRDefault="0047484A" w:rsidP="004031AC">
      <w:pPr>
        <w:pStyle w:val="BankNormal"/>
        <w:rPr>
          <w:szCs w:val="24"/>
        </w:rPr>
      </w:pPr>
      <w:r w:rsidRPr="0047484A">
        <w:rPr>
          <w:szCs w:val="24"/>
        </w:rPr>
        <w:t xml:space="preserve">There are no additional or new activities proposed under components A (Preparation of the </w:t>
      </w:r>
      <w:proofErr w:type="spellStart"/>
      <w:r w:rsidRPr="0047484A">
        <w:rPr>
          <w:szCs w:val="24"/>
        </w:rPr>
        <w:t>Mirash</w:t>
      </w:r>
      <w:proofErr w:type="spellEnd"/>
      <w:r w:rsidRPr="0047484A">
        <w:rPr>
          <w:szCs w:val="24"/>
        </w:rPr>
        <w:t xml:space="preserve"> Open Pit Mine for Ash Management) and B (Relocation of Kosovo </w:t>
      </w:r>
      <w:proofErr w:type="gramStart"/>
      <w:r w:rsidRPr="0047484A">
        <w:rPr>
          <w:szCs w:val="24"/>
        </w:rPr>
        <w:t>A</w:t>
      </w:r>
      <w:proofErr w:type="gramEnd"/>
      <w:r w:rsidRPr="0047484A">
        <w:rPr>
          <w:szCs w:val="24"/>
        </w:rPr>
        <w:t xml:space="preserve"> Ash Dumps into </w:t>
      </w:r>
      <w:proofErr w:type="spellStart"/>
      <w:r w:rsidRPr="0047484A">
        <w:rPr>
          <w:szCs w:val="24"/>
        </w:rPr>
        <w:t>Mirash</w:t>
      </w:r>
      <w:proofErr w:type="spellEnd"/>
      <w:r w:rsidRPr="0047484A">
        <w:rPr>
          <w:szCs w:val="24"/>
        </w:rPr>
        <w:t xml:space="preserve"> Open Pit Mine).  The proposed changes to the other components </w:t>
      </w:r>
      <w:r>
        <w:rPr>
          <w:szCs w:val="24"/>
        </w:rPr>
        <w:t>under the Additional Financing will be</w:t>
      </w:r>
      <w:r w:rsidRPr="0047484A">
        <w:rPr>
          <w:szCs w:val="24"/>
        </w:rPr>
        <w:t>:</w:t>
      </w:r>
    </w:p>
    <w:p w:rsidR="00086D96" w:rsidRDefault="005962E5" w:rsidP="005962E5">
      <w:pPr>
        <w:jc w:val="both"/>
        <w:rPr>
          <w:szCs w:val="22"/>
        </w:rPr>
      </w:pPr>
      <w:r w:rsidRPr="00C74CC0">
        <w:rPr>
          <w:bCs/>
          <w:i/>
          <w:iCs/>
        </w:rPr>
        <w:t>Componen</w:t>
      </w:r>
      <w:r>
        <w:rPr>
          <w:bCs/>
          <w:i/>
          <w:iCs/>
        </w:rPr>
        <w:t>t C:</w:t>
      </w:r>
      <w:r w:rsidRPr="00C74CC0">
        <w:rPr>
          <w:bCs/>
          <w:i/>
          <w:iCs/>
        </w:rPr>
        <w:t xml:space="preserve"> Reclamation of Overburden Dump Areas. </w:t>
      </w:r>
      <w:r w:rsidRPr="00D274E6">
        <w:t xml:space="preserve">This </w:t>
      </w:r>
      <w:r>
        <w:t>component intends</w:t>
      </w:r>
      <w:r w:rsidRPr="00C332AD">
        <w:t xml:space="preserve"> to invest in reclaiming about 6.5 km</w:t>
      </w:r>
      <w:r w:rsidRPr="00C332AD">
        <w:rPr>
          <w:vertAlign w:val="superscript"/>
        </w:rPr>
        <w:t>2</w:t>
      </w:r>
      <w:r w:rsidRPr="00C332AD">
        <w:t xml:space="preserve"> of land through reshapin</w:t>
      </w:r>
      <w:r w:rsidRPr="00D274E6">
        <w:t xml:space="preserve">g and re-cultivating the overburden dump areas in the South Field and locations west of the </w:t>
      </w:r>
      <w:proofErr w:type="spellStart"/>
      <w:r w:rsidRPr="00D274E6">
        <w:t>Bardh</w:t>
      </w:r>
      <w:proofErr w:type="spellEnd"/>
      <w:r w:rsidRPr="00D274E6">
        <w:t xml:space="preserve"> mine.  </w:t>
      </w:r>
      <w:r w:rsidRPr="00C74CC0">
        <w:rPr>
          <w:szCs w:val="22"/>
        </w:rPr>
        <w:t>Overall</w:t>
      </w:r>
      <w:r w:rsidR="00E851F4">
        <w:rPr>
          <w:szCs w:val="22"/>
        </w:rPr>
        <w:t>,</w:t>
      </w:r>
      <w:r w:rsidRPr="00C74CC0">
        <w:rPr>
          <w:szCs w:val="22"/>
        </w:rPr>
        <w:t xml:space="preserve"> the reclaimed land should represent in the future an area suitable for purposes such as agriculture, new housi</w:t>
      </w:r>
      <w:r>
        <w:rPr>
          <w:szCs w:val="22"/>
        </w:rPr>
        <w:t xml:space="preserve">ng developments or recreation. </w:t>
      </w:r>
      <w:r w:rsidRPr="00C74CC0">
        <w:rPr>
          <w:szCs w:val="22"/>
        </w:rPr>
        <w:t>The</w:t>
      </w:r>
      <w:r>
        <w:rPr>
          <w:szCs w:val="22"/>
        </w:rPr>
        <w:t xml:space="preserve"> Additional F</w:t>
      </w:r>
      <w:r w:rsidRPr="00C74CC0">
        <w:rPr>
          <w:szCs w:val="22"/>
        </w:rPr>
        <w:t>inancing will fund only one activity: (</w:t>
      </w:r>
      <w:proofErr w:type="spellStart"/>
      <w:r w:rsidRPr="00C74CC0">
        <w:rPr>
          <w:szCs w:val="22"/>
        </w:rPr>
        <w:t>i</w:t>
      </w:r>
      <w:proofErr w:type="spellEnd"/>
      <w:r w:rsidRPr="00C74CC0">
        <w:rPr>
          <w:szCs w:val="22"/>
        </w:rPr>
        <w:t>) additional tr</w:t>
      </w:r>
      <w:r w:rsidR="00086D96">
        <w:rPr>
          <w:szCs w:val="22"/>
        </w:rPr>
        <w:t>ee planting in overburden areas.</w:t>
      </w:r>
    </w:p>
    <w:p w:rsidR="005962E5" w:rsidRDefault="00086D96" w:rsidP="005962E5">
      <w:pPr>
        <w:jc w:val="both"/>
        <w:rPr>
          <w:szCs w:val="22"/>
        </w:rPr>
      </w:pPr>
      <w:r>
        <w:rPr>
          <w:szCs w:val="22"/>
        </w:rPr>
        <w:t xml:space="preserve"> </w:t>
      </w:r>
    </w:p>
    <w:p w:rsidR="005962E5" w:rsidRDefault="005962E5" w:rsidP="005962E5">
      <w:pPr>
        <w:jc w:val="both"/>
        <w:rPr>
          <w:szCs w:val="22"/>
        </w:rPr>
      </w:pPr>
      <w:r>
        <w:rPr>
          <w:bCs/>
          <w:i/>
          <w:iCs/>
        </w:rPr>
        <w:t>Component D: Project Management</w:t>
      </w:r>
      <w:r w:rsidRPr="006C1C0E">
        <w:rPr>
          <w:bCs/>
          <w:i/>
          <w:iCs/>
        </w:rPr>
        <w:t xml:space="preserve">. </w:t>
      </w:r>
      <w:r w:rsidRPr="00D274E6">
        <w:t xml:space="preserve">The </w:t>
      </w:r>
      <w:r w:rsidR="00E851F4">
        <w:t xml:space="preserve">original </w:t>
      </w:r>
      <w:r w:rsidRPr="00D274E6">
        <w:t>project provide</w:t>
      </w:r>
      <w:r>
        <w:t>d</w:t>
      </w:r>
      <w:r w:rsidRPr="00D274E6">
        <w:t xml:space="preserve"> support to </w:t>
      </w:r>
      <w:proofErr w:type="spellStart"/>
      <w:r w:rsidRPr="00D274E6">
        <w:t>KEK</w:t>
      </w:r>
      <w:proofErr w:type="spellEnd"/>
      <w:r w:rsidRPr="00D274E6">
        <w:t xml:space="preserve"> to implement the project.  It include</w:t>
      </w:r>
      <w:r>
        <w:t>d</w:t>
      </w:r>
      <w:r w:rsidRPr="00D274E6">
        <w:t xml:space="preserve"> support for overall project management and technical assistance in such areas as detailed design, construction supervision, procurement and financial management.</w:t>
      </w:r>
      <w:r>
        <w:t xml:space="preserve"> </w:t>
      </w:r>
      <w:r w:rsidRPr="006C1C0E">
        <w:rPr>
          <w:szCs w:val="22"/>
        </w:rPr>
        <w:t xml:space="preserve">The Additional </w:t>
      </w:r>
      <w:r>
        <w:rPr>
          <w:szCs w:val="22"/>
        </w:rPr>
        <w:t>F</w:t>
      </w:r>
      <w:r w:rsidRPr="006C1C0E">
        <w:rPr>
          <w:szCs w:val="22"/>
        </w:rPr>
        <w:t>inancing is expected to finance: (</w:t>
      </w:r>
      <w:proofErr w:type="spellStart"/>
      <w:r w:rsidRPr="006C1C0E">
        <w:rPr>
          <w:szCs w:val="22"/>
        </w:rPr>
        <w:t>i</w:t>
      </w:r>
      <w:proofErr w:type="spellEnd"/>
      <w:r w:rsidRPr="006C1C0E">
        <w:rPr>
          <w:szCs w:val="22"/>
        </w:rPr>
        <w:t xml:space="preserve">) </w:t>
      </w:r>
      <w:r w:rsidR="00E851F4">
        <w:rPr>
          <w:szCs w:val="22"/>
        </w:rPr>
        <w:t>p</w:t>
      </w:r>
      <w:r w:rsidRPr="006C1C0E">
        <w:rPr>
          <w:szCs w:val="22"/>
        </w:rPr>
        <w:t xml:space="preserve">roject </w:t>
      </w:r>
      <w:r w:rsidR="00E851F4">
        <w:rPr>
          <w:szCs w:val="22"/>
        </w:rPr>
        <w:t>m</w:t>
      </w:r>
      <w:r w:rsidRPr="006C1C0E">
        <w:rPr>
          <w:szCs w:val="22"/>
        </w:rPr>
        <w:t>anagement</w:t>
      </w:r>
      <w:r w:rsidR="0036535D">
        <w:rPr>
          <w:szCs w:val="22"/>
        </w:rPr>
        <w:t xml:space="preserve"> for both </w:t>
      </w:r>
      <w:proofErr w:type="spellStart"/>
      <w:r w:rsidR="0036535D">
        <w:rPr>
          <w:szCs w:val="22"/>
        </w:rPr>
        <w:t>KEK</w:t>
      </w:r>
      <w:proofErr w:type="spellEnd"/>
      <w:r w:rsidR="0036535D">
        <w:rPr>
          <w:szCs w:val="22"/>
        </w:rPr>
        <w:t xml:space="preserve"> and </w:t>
      </w:r>
      <w:proofErr w:type="spellStart"/>
      <w:r w:rsidR="0036535D">
        <w:rPr>
          <w:szCs w:val="22"/>
        </w:rPr>
        <w:t>MESP</w:t>
      </w:r>
      <w:proofErr w:type="spellEnd"/>
      <w:r w:rsidRPr="006C1C0E">
        <w:rPr>
          <w:szCs w:val="22"/>
        </w:rPr>
        <w:t xml:space="preserve">; (ii) </w:t>
      </w:r>
      <w:r>
        <w:rPr>
          <w:szCs w:val="22"/>
        </w:rPr>
        <w:t>s</w:t>
      </w:r>
      <w:r w:rsidRPr="006C1C0E">
        <w:rPr>
          <w:szCs w:val="22"/>
        </w:rPr>
        <w:t>hort</w:t>
      </w:r>
      <w:r w:rsidR="00E851F4">
        <w:rPr>
          <w:szCs w:val="22"/>
        </w:rPr>
        <w:t>-t</w:t>
      </w:r>
      <w:r w:rsidRPr="006C1C0E">
        <w:rPr>
          <w:szCs w:val="22"/>
        </w:rPr>
        <w:t xml:space="preserve">erm </w:t>
      </w:r>
      <w:r w:rsidR="00E851F4">
        <w:rPr>
          <w:szCs w:val="22"/>
        </w:rPr>
        <w:t>e</w:t>
      </w:r>
      <w:r w:rsidRPr="006C1C0E">
        <w:rPr>
          <w:szCs w:val="22"/>
        </w:rPr>
        <w:t xml:space="preserve">xperts; and (iii) office equipment </w:t>
      </w:r>
      <w:r>
        <w:rPr>
          <w:szCs w:val="22"/>
        </w:rPr>
        <w:t xml:space="preserve">for </w:t>
      </w:r>
      <w:proofErr w:type="spellStart"/>
      <w:r>
        <w:rPr>
          <w:szCs w:val="22"/>
        </w:rPr>
        <w:t>MESP</w:t>
      </w:r>
      <w:proofErr w:type="spellEnd"/>
      <w:r>
        <w:rPr>
          <w:szCs w:val="22"/>
        </w:rPr>
        <w:t xml:space="preserve"> </w:t>
      </w:r>
      <w:r w:rsidRPr="006C1C0E">
        <w:rPr>
          <w:szCs w:val="22"/>
        </w:rPr>
        <w:t>and audits.</w:t>
      </w:r>
    </w:p>
    <w:p w:rsidR="005962E5" w:rsidRPr="005359E4" w:rsidRDefault="005962E5" w:rsidP="005962E5">
      <w:pPr>
        <w:pStyle w:val="Default"/>
        <w:spacing w:before="120" w:after="120"/>
        <w:jc w:val="both"/>
        <w:rPr>
          <w:bCs/>
          <w:i/>
          <w:iCs/>
        </w:rPr>
      </w:pPr>
      <w:r w:rsidRPr="007A771D">
        <w:rPr>
          <w:bCs/>
          <w:i/>
          <w:iCs/>
        </w:rPr>
        <w:lastRenderedPageBreak/>
        <w:t xml:space="preserve">Component </w:t>
      </w:r>
      <w:r>
        <w:rPr>
          <w:bCs/>
          <w:i/>
          <w:iCs/>
        </w:rPr>
        <w:t>E:</w:t>
      </w:r>
      <w:r w:rsidRPr="007A771D">
        <w:rPr>
          <w:bCs/>
          <w:i/>
          <w:iCs/>
        </w:rPr>
        <w:t xml:space="preserve"> </w:t>
      </w:r>
      <w:r w:rsidRPr="00750E93">
        <w:rPr>
          <w:bCs/>
          <w:i/>
          <w:iCs/>
        </w:rPr>
        <w:t>Removal of Hazardous Chemicals from Kosovo A</w:t>
      </w:r>
      <w:r>
        <w:rPr>
          <w:bCs/>
          <w:i/>
          <w:iCs/>
        </w:rPr>
        <w:t>’</w:t>
      </w:r>
      <w:r w:rsidRPr="00750E93">
        <w:rPr>
          <w:bCs/>
          <w:i/>
          <w:iCs/>
        </w:rPr>
        <w:t>s Gasification Site</w:t>
      </w:r>
      <w:r>
        <w:rPr>
          <w:bCs/>
          <w:i/>
          <w:iCs/>
        </w:rPr>
        <w:t xml:space="preserve">. </w:t>
      </w:r>
      <w:r>
        <w:rPr>
          <w:bCs/>
        </w:rPr>
        <w:t>This component intends</w:t>
      </w:r>
      <w:r w:rsidRPr="005359E4">
        <w:rPr>
          <w:bCs/>
        </w:rPr>
        <w:t xml:space="preserve"> to secure and remove </w:t>
      </w:r>
      <w:r>
        <w:rPr>
          <w:bCs/>
        </w:rPr>
        <w:t xml:space="preserve">high priority </w:t>
      </w:r>
      <w:r w:rsidRPr="005359E4">
        <w:rPr>
          <w:bCs/>
        </w:rPr>
        <w:t>hazardous chemicals that were left at the Kosovo A’s gasification site.</w:t>
      </w:r>
      <w:r>
        <w:rPr>
          <w:bCs/>
        </w:rPr>
        <w:t xml:space="preserve">  </w:t>
      </w:r>
      <w:r w:rsidRPr="00750E93">
        <w:rPr>
          <w:szCs w:val="22"/>
        </w:rPr>
        <w:t>The</w:t>
      </w:r>
      <w:r>
        <w:rPr>
          <w:szCs w:val="22"/>
        </w:rPr>
        <w:t xml:space="preserve"> Additional Financing will: (</w:t>
      </w:r>
      <w:proofErr w:type="spellStart"/>
      <w:r>
        <w:rPr>
          <w:szCs w:val="22"/>
        </w:rPr>
        <w:t>i</w:t>
      </w:r>
      <w:proofErr w:type="spellEnd"/>
      <w:r>
        <w:rPr>
          <w:szCs w:val="22"/>
        </w:rPr>
        <w:t xml:space="preserve">) </w:t>
      </w:r>
      <w:r w:rsidR="00E851F4">
        <w:rPr>
          <w:szCs w:val="22"/>
        </w:rPr>
        <w:t xml:space="preserve">fund </w:t>
      </w:r>
      <w:r>
        <w:rPr>
          <w:szCs w:val="22"/>
        </w:rPr>
        <w:t xml:space="preserve">scale-up the </w:t>
      </w:r>
      <w:r w:rsidR="0081253D">
        <w:rPr>
          <w:szCs w:val="22"/>
        </w:rPr>
        <w:t>ongoing tar deposits/tar sludge</w:t>
      </w:r>
      <w:r>
        <w:rPr>
          <w:szCs w:val="22"/>
        </w:rPr>
        <w:t xml:space="preserve"> removal activity to ensure that all found tars are removed f</w:t>
      </w:r>
      <w:r w:rsidR="0036535D">
        <w:rPr>
          <w:szCs w:val="22"/>
        </w:rPr>
        <w:t>rom site and properly disposed</w:t>
      </w:r>
      <w:r>
        <w:rPr>
          <w:szCs w:val="22"/>
        </w:rPr>
        <w:t>;</w:t>
      </w:r>
      <w:r w:rsidR="000E7983">
        <w:rPr>
          <w:szCs w:val="22"/>
        </w:rPr>
        <w:t xml:space="preserve"> and (ii) continue financing of a </w:t>
      </w:r>
      <w:r>
        <w:rPr>
          <w:szCs w:val="22"/>
        </w:rPr>
        <w:t>supervisi</w:t>
      </w:r>
      <w:r w:rsidR="00E851F4">
        <w:rPr>
          <w:szCs w:val="22"/>
        </w:rPr>
        <w:t>on</w:t>
      </w:r>
      <w:r>
        <w:rPr>
          <w:szCs w:val="22"/>
        </w:rPr>
        <w:t xml:space="preserve"> engineer to monitor the implementation of tar sludge and tar deposits removal.</w:t>
      </w:r>
    </w:p>
    <w:p w:rsidR="0081253D" w:rsidRDefault="005962E5" w:rsidP="005962E5">
      <w:pPr>
        <w:pStyle w:val="Default"/>
        <w:spacing w:before="120" w:after="120"/>
        <w:jc w:val="both"/>
        <w:rPr>
          <w:bCs/>
        </w:rPr>
      </w:pPr>
      <w:r w:rsidRPr="009B3BDD">
        <w:rPr>
          <w:bCs/>
          <w:i/>
          <w:iCs/>
        </w:rPr>
        <w:t>Component F</w:t>
      </w:r>
      <w:r>
        <w:rPr>
          <w:bCs/>
          <w:i/>
          <w:iCs/>
        </w:rPr>
        <w:t>:</w:t>
      </w:r>
      <w:r w:rsidRPr="00636F0F">
        <w:t xml:space="preserve"> </w:t>
      </w:r>
      <w:r>
        <w:rPr>
          <w:bCs/>
          <w:i/>
          <w:iCs/>
        </w:rPr>
        <w:t>E</w:t>
      </w:r>
      <w:r w:rsidRPr="00636F0F">
        <w:rPr>
          <w:bCs/>
          <w:i/>
          <w:iCs/>
        </w:rPr>
        <w:t xml:space="preserve">nvironmental </w:t>
      </w:r>
      <w:r w:rsidR="00E851F4">
        <w:rPr>
          <w:bCs/>
          <w:i/>
          <w:iCs/>
        </w:rPr>
        <w:t>M</w:t>
      </w:r>
      <w:r w:rsidRPr="00636F0F">
        <w:rPr>
          <w:bCs/>
          <w:i/>
          <w:iCs/>
        </w:rPr>
        <w:t xml:space="preserve">onitoring and </w:t>
      </w:r>
      <w:r w:rsidR="00E851F4">
        <w:rPr>
          <w:bCs/>
          <w:i/>
          <w:iCs/>
        </w:rPr>
        <w:t>M</w:t>
      </w:r>
      <w:r w:rsidRPr="00636F0F">
        <w:rPr>
          <w:bCs/>
          <w:i/>
          <w:iCs/>
        </w:rPr>
        <w:t>anagement</w:t>
      </w:r>
      <w:r w:rsidRPr="009B3BDD">
        <w:rPr>
          <w:bCs/>
          <w:i/>
          <w:iCs/>
        </w:rPr>
        <w:t xml:space="preserve">. </w:t>
      </w:r>
      <w:r>
        <w:rPr>
          <w:bCs/>
          <w:i/>
          <w:iCs/>
        </w:rPr>
        <w:t xml:space="preserve"> </w:t>
      </w:r>
      <w:r w:rsidR="0081253D" w:rsidRPr="0081253D">
        <w:rPr>
          <w:bCs/>
        </w:rPr>
        <w:t>This will be an additional new component with the focus to improve the review and monitoring function of the Ministry of Environment and Spatial Planning regarding environmental and social impacts of large power plant projects and in particular the proposed Kosovo Power Project (</w:t>
      </w:r>
      <w:proofErr w:type="spellStart"/>
      <w:r w:rsidR="0081253D" w:rsidRPr="0081253D">
        <w:rPr>
          <w:bCs/>
        </w:rPr>
        <w:t>KPP</w:t>
      </w:r>
      <w:proofErr w:type="spellEnd"/>
      <w:r w:rsidR="0081253D" w:rsidRPr="0081253D">
        <w:rPr>
          <w:bCs/>
        </w:rPr>
        <w:t>). The Additional Financing will fund: (</w:t>
      </w:r>
      <w:proofErr w:type="spellStart"/>
      <w:r w:rsidR="0081253D" w:rsidRPr="0081253D">
        <w:rPr>
          <w:bCs/>
        </w:rPr>
        <w:t>i</w:t>
      </w:r>
      <w:proofErr w:type="spellEnd"/>
      <w:r w:rsidR="0081253D" w:rsidRPr="0081253D">
        <w:rPr>
          <w:bCs/>
        </w:rPr>
        <w:t>) Air Monitoring Equipment to measure baseline air quality data; (iii) Soil and Water Monitoring to collect data on current pollution baseline data in soil and water; (iii) the Environmental and Social Impact Assessment (</w:t>
      </w:r>
      <w:proofErr w:type="spellStart"/>
      <w:r w:rsidR="0081253D" w:rsidRPr="0081253D">
        <w:rPr>
          <w:bCs/>
        </w:rPr>
        <w:t>ESIA</w:t>
      </w:r>
      <w:proofErr w:type="spellEnd"/>
      <w:r w:rsidR="0081253D" w:rsidRPr="0081253D">
        <w:rPr>
          <w:bCs/>
        </w:rPr>
        <w:t xml:space="preserve">) for the proposed Kosovo Power Project; (iv) Monitoring of the implementation of the Resettlement Action Plan (RAP) for the </w:t>
      </w:r>
      <w:proofErr w:type="spellStart"/>
      <w:r w:rsidR="0081253D" w:rsidRPr="0081253D">
        <w:rPr>
          <w:bCs/>
        </w:rPr>
        <w:t>Shala</w:t>
      </w:r>
      <w:proofErr w:type="spellEnd"/>
      <w:r w:rsidR="0081253D" w:rsidRPr="0081253D">
        <w:rPr>
          <w:bCs/>
        </w:rPr>
        <w:t xml:space="preserve"> neighborhood of Hade village; (v) Panel of Environmental and Social Experts; and (vi) Low carbon growth energy strategy. </w:t>
      </w:r>
    </w:p>
    <w:p w:rsidR="005962E5" w:rsidRDefault="005962E5" w:rsidP="005962E5">
      <w:pPr>
        <w:pStyle w:val="Default"/>
        <w:spacing w:before="120" w:after="120"/>
        <w:jc w:val="both"/>
        <w:rPr>
          <w:szCs w:val="22"/>
        </w:rPr>
      </w:pPr>
      <w:r>
        <w:rPr>
          <w:szCs w:val="22"/>
        </w:rPr>
        <w:t xml:space="preserve">Regarding the </w:t>
      </w:r>
      <w:r w:rsidRPr="000E3DE0">
        <w:rPr>
          <w:b/>
          <w:szCs w:val="22"/>
        </w:rPr>
        <w:t>air monitoring equipment</w:t>
      </w:r>
      <w:r>
        <w:rPr>
          <w:szCs w:val="22"/>
        </w:rPr>
        <w:t xml:space="preserve">, </w:t>
      </w:r>
      <w:r w:rsidRPr="000E3DE0">
        <w:rPr>
          <w:szCs w:val="22"/>
        </w:rPr>
        <w:t xml:space="preserve">three </w:t>
      </w:r>
      <w:r>
        <w:rPr>
          <w:szCs w:val="22"/>
        </w:rPr>
        <w:t xml:space="preserve">online </w:t>
      </w:r>
      <w:r w:rsidRPr="000E3DE0">
        <w:rPr>
          <w:szCs w:val="22"/>
        </w:rPr>
        <w:t xml:space="preserve">air quality monitoring stations will be established in the proposed project area to collect baseline data on the air quality at their locations.  The </w:t>
      </w:r>
      <w:r>
        <w:rPr>
          <w:szCs w:val="22"/>
        </w:rPr>
        <w:t xml:space="preserve">equipment </w:t>
      </w:r>
      <w:r w:rsidRPr="000E3DE0">
        <w:rPr>
          <w:szCs w:val="22"/>
        </w:rPr>
        <w:t>will monitor Sulfur Dioxide, Nitrogen Oxides, PM2.5 and PM10, Carbon Monoxide, Ozone, temperature, relative humidity, and wind speed and direction</w:t>
      </w:r>
      <w:r>
        <w:rPr>
          <w:szCs w:val="22"/>
        </w:rPr>
        <w:t>.</w:t>
      </w:r>
    </w:p>
    <w:p w:rsidR="005962E5" w:rsidRDefault="005962E5" w:rsidP="005962E5">
      <w:pPr>
        <w:pStyle w:val="Default"/>
        <w:spacing w:before="120" w:after="120"/>
        <w:jc w:val="both"/>
        <w:rPr>
          <w:szCs w:val="22"/>
        </w:rPr>
      </w:pPr>
      <w:r w:rsidRPr="000E3DE0">
        <w:rPr>
          <w:szCs w:val="22"/>
        </w:rPr>
        <w:t xml:space="preserve">An elaborate </w:t>
      </w:r>
      <w:r w:rsidRPr="000E3DE0">
        <w:rPr>
          <w:b/>
          <w:szCs w:val="22"/>
        </w:rPr>
        <w:t xml:space="preserve">soil and water sampling and </w:t>
      </w:r>
      <w:r>
        <w:rPr>
          <w:b/>
          <w:szCs w:val="22"/>
        </w:rPr>
        <w:t xml:space="preserve">laboratory analysis </w:t>
      </w:r>
      <w:r w:rsidRPr="000E3DE0">
        <w:rPr>
          <w:b/>
          <w:szCs w:val="22"/>
        </w:rPr>
        <w:t>program</w:t>
      </w:r>
      <w:r w:rsidRPr="000E3DE0">
        <w:rPr>
          <w:szCs w:val="22"/>
        </w:rPr>
        <w:t xml:space="preserve"> will be undertaken to collect and analyze the baseline environmental data in the soil, groundwater and surface water and river sediments.  This activity will serve to collect data related to </w:t>
      </w:r>
      <w:r>
        <w:rPr>
          <w:szCs w:val="22"/>
        </w:rPr>
        <w:t xml:space="preserve">existing </w:t>
      </w:r>
      <w:r w:rsidRPr="000E3DE0">
        <w:rPr>
          <w:szCs w:val="22"/>
        </w:rPr>
        <w:t>lignite mining activ</w:t>
      </w:r>
      <w:r>
        <w:rPr>
          <w:szCs w:val="22"/>
        </w:rPr>
        <w:t>ities; operation of the power plants</w:t>
      </w:r>
      <w:r w:rsidRPr="000E3DE0">
        <w:rPr>
          <w:szCs w:val="22"/>
        </w:rPr>
        <w:t xml:space="preserve"> Kosovo A and Kosovo B</w:t>
      </w:r>
      <w:r>
        <w:rPr>
          <w:szCs w:val="22"/>
        </w:rPr>
        <w:t>;</w:t>
      </w:r>
      <w:r w:rsidRPr="000E3DE0">
        <w:rPr>
          <w:szCs w:val="22"/>
        </w:rPr>
        <w:t xml:space="preserve"> and environmental rehabilitation activities undertaken under the clean-u</w:t>
      </w:r>
      <w:r>
        <w:rPr>
          <w:szCs w:val="22"/>
        </w:rPr>
        <w:t xml:space="preserve">p and land reclamation project. The data will underpin the </w:t>
      </w:r>
      <w:r w:rsidRPr="000E3DE0">
        <w:rPr>
          <w:szCs w:val="22"/>
        </w:rPr>
        <w:t xml:space="preserve">environmental baseline for the </w:t>
      </w:r>
      <w:proofErr w:type="spellStart"/>
      <w:r w:rsidRPr="000E3DE0">
        <w:rPr>
          <w:szCs w:val="22"/>
        </w:rPr>
        <w:t>ESIA</w:t>
      </w:r>
      <w:proofErr w:type="spellEnd"/>
      <w:r w:rsidRPr="000E3DE0">
        <w:rPr>
          <w:szCs w:val="22"/>
        </w:rPr>
        <w:t xml:space="preserve"> for the</w:t>
      </w:r>
      <w:r>
        <w:rPr>
          <w:szCs w:val="22"/>
        </w:rPr>
        <w:t xml:space="preserve"> </w:t>
      </w:r>
      <w:proofErr w:type="spellStart"/>
      <w:r>
        <w:rPr>
          <w:szCs w:val="22"/>
        </w:rPr>
        <w:t>KPP</w:t>
      </w:r>
      <w:proofErr w:type="spellEnd"/>
      <w:r w:rsidRPr="000E3DE0">
        <w:rPr>
          <w:szCs w:val="22"/>
        </w:rPr>
        <w:t xml:space="preserve">, taking into consideration the existing mining activities in </w:t>
      </w:r>
      <w:proofErr w:type="spellStart"/>
      <w:r w:rsidRPr="000E3DE0">
        <w:rPr>
          <w:szCs w:val="22"/>
        </w:rPr>
        <w:t>Bardh</w:t>
      </w:r>
      <w:proofErr w:type="spellEnd"/>
      <w:r w:rsidRPr="000E3DE0">
        <w:rPr>
          <w:szCs w:val="22"/>
        </w:rPr>
        <w:t xml:space="preserve"> and </w:t>
      </w:r>
      <w:proofErr w:type="spellStart"/>
      <w:r w:rsidRPr="000E3DE0">
        <w:rPr>
          <w:szCs w:val="22"/>
        </w:rPr>
        <w:t>Mirash</w:t>
      </w:r>
      <w:proofErr w:type="spellEnd"/>
      <w:r w:rsidRPr="000E3DE0">
        <w:rPr>
          <w:szCs w:val="22"/>
        </w:rPr>
        <w:t xml:space="preserve"> open cast mines as well as already abandoned open cast and underground mining activities; the current disposal of ash and waste water of existing </w:t>
      </w:r>
      <w:r>
        <w:rPr>
          <w:szCs w:val="22"/>
        </w:rPr>
        <w:t xml:space="preserve">plants </w:t>
      </w:r>
      <w:r w:rsidRPr="000E3DE0">
        <w:rPr>
          <w:szCs w:val="22"/>
        </w:rPr>
        <w:t>Kosovo A and B; and fresh water s</w:t>
      </w:r>
      <w:r>
        <w:rPr>
          <w:szCs w:val="22"/>
        </w:rPr>
        <w:t>upply related to existing fresh water consumption of the power plants.</w:t>
      </w:r>
    </w:p>
    <w:p w:rsidR="0081253D" w:rsidRDefault="0081253D" w:rsidP="005962E5">
      <w:pPr>
        <w:pStyle w:val="Default"/>
        <w:spacing w:before="120" w:after="120"/>
        <w:jc w:val="both"/>
        <w:rPr>
          <w:bCs/>
          <w:iCs/>
        </w:rPr>
      </w:pPr>
      <w:r w:rsidRPr="0081253D">
        <w:rPr>
          <w:bCs/>
          <w:iCs/>
        </w:rPr>
        <w:t xml:space="preserve">The objective of the </w:t>
      </w:r>
      <w:r w:rsidRPr="0081253D">
        <w:rPr>
          <w:b/>
          <w:bCs/>
          <w:iCs/>
        </w:rPr>
        <w:t>Environmental and Social Impact Assessment</w:t>
      </w:r>
      <w:r w:rsidRPr="0081253D">
        <w:rPr>
          <w:bCs/>
          <w:iCs/>
        </w:rPr>
        <w:t xml:space="preserve"> for the proposed Kosovo Power Project and associated infrastruc</w:t>
      </w:r>
      <w:r w:rsidR="00504424">
        <w:rPr>
          <w:bCs/>
          <w:iCs/>
        </w:rPr>
        <w:t xml:space="preserve">ture </w:t>
      </w:r>
      <w:r w:rsidRPr="0081253D">
        <w:rPr>
          <w:bCs/>
          <w:iCs/>
        </w:rPr>
        <w:t xml:space="preserve">is to inform the decision-making process of the proposed investment, including the Bank’s decision on the possible partial risk guarantee, and to increase the monitoring and management capacity of the </w:t>
      </w:r>
      <w:proofErr w:type="spellStart"/>
      <w:r w:rsidRPr="0081253D">
        <w:rPr>
          <w:bCs/>
          <w:iCs/>
        </w:rPr>
        <w:t>MESP</w:t>
      </w:r>
      <w:proofErr w:type="spellEnd"/>
      <w:r w:rsidRPr="0081253D">
        <w:rPr>
          <w:bCs/>
          <w:iCs/>
        </w:rPr>
        <w:t xml:space="preserve">. Normally, it is the responsibility of the investor, in this case the winning private sector bidder for each of the concessions for the proposed </w:t>
      </w:r>
      <w:proofErr w:type="spellStart"/>
      <w:r w:rsidRPr="0081253D">
        <w:rPr>
          <w:bCs/>
          <w:iCs/>
        </w:rPr>
        <w:t>KPP</w:t>
      </w:r>
      <w:proofErr w:type="spellEnd"/>
      <w:r w:rsidRPr="0081253D">
        <w:rPr>
          <w:bCs/>
          <w:iCs/>
        </w:rPr>
        <w:t xml:space="preserve">, to prepare an Environmental Impact Assessment. This </w:t>
      </w:r>
      <w:proofErr w:type="spellStart"/>
      <w:r w:rsidRPr="0081253D">
        <w:rPr>
          <w:bCs/>
          <w:iCs/>
        </w:rPr>
        <w:t>ESIA</w:t>
      </w:r>
      <w:proofErr w:type="spellEnd"/>
      <w:r w:rsidRPr="0081253D">
        <w:rPr>
          <w:bCs/>
          <w:iCs/>
        </w:rPr>
        <w:t xml:space="preserve">, as financed under the </w:t>
      </w:r>
      <w:proofErr w:type="spellStart"/>
      <w:r w:rsidRPr="0081253D">
        <w:rPr>
          <w:bCs/>
          <w:iCs/>
        </w:rPr>
        <w:t>CLRP</w:t>
      </w:r>
      <w:proofErr w:type="spellEnd"/>
      <w:r w:rsidRPr="0081253D">
        <w:rPr>
          <w:bCs/>
          <w:iCs/>
        </w:rPr>
        <w:t xml:space="preserve"> AF, is not intended to serve as the document to inform national </w:t>
      </w:r>
      <w:r w:rsidR="00504424">
        <w:rPr>
          <w:bCs/>
          <w:iCs/>
        </w:rPr>
        <w:t>permitting and other authorizations</w:t>
      </w:r>
      <w:r w:rsidR="002151BC">
        <w:rPr>
          <w:bCs/>
          <w:iCs/>
        </w:rPr>
        <w:t>.</w:t>
      </w:r>
      <w:r w:rsidRPr="0081253D">
        <w:rPr>
          <w:bCs/>
          <w:iCs/>
        </w:rPr>
        <w:t xml:space="preserve"> Financing of the Environmental and Social Impact Assessment for the proposed </w:t>
      </w:r>
      <w:proofErr w:type="spellStart"/>
      <w:r w:rsidRPr="0081253D">
        <w:rPr>
          <w:bCs/>
          <w:iCs/>
        </w:rPr>
        <w:t>KPP</w:t>
      </w:r>
      <w:proofErr w:type="spellEnd"/>
      <w:r w:rsidRPr="0081253D">
        <w:rPr>
          <w:bCs/>
          <w:iCs/>
        </w:rPr>
        <w:t xml:space="preserve"> under the </w:t>
      </w:r>
      <w:proofErr w:type="spellStart"/>
      <w:r w:rsidRPr="0081253D">
        <w:rPr>
          <w:bCs/>
          <w:iCs/>
        </w:rPr>
        <w:t>CLRP</w:t>
      </w:r>
      <w:proofErr w:type="spellEnd"/>
      <w:r w:rsidRPr="0081253D">
        <w:rPr>
          <w:bCs/>
          <w:iCs/>
        </w:rPr>
        <w:t xml:space="preserve"> AF does not imply that a</w:t>
      </w:r>
      <w:r w:rsidR="00504424">
        <w:rPr>
          <w:bCs/>
          <w:iCs/>
        </w:rPr>
        <w:t>ssumptions as to the financing</w:t>
      </w:r>
      <w:r w:rsidRPr="0081253D">
        <w:rPr>
          <w:bCs/>
          <w:iCs/>
        </w:rPr>
        <w:t xml:space="preserve"> of the </w:t>
      </w:r>
      <w:proofErr w:type="spellStart"/>
      <w:r w:rsidRPr="0081253D">
        <w:rPr>
          <w:bCs/>
          <w:iCs/>
        </w:rPr>
        <w:t>KPP</w:t>
      </w:r>
      <w:proofErr w:type="spellEnd"/>
      <w:r w:rsidRPr="0081253D">
        <w:rPr>
          <w:bCs/>
          <w:iCs/>
        </w:rPr>
        <w:t xml:space="preserve"> have been made. In addition, a Grant from the Government of the Netherlands will support strengthening of the capacity of </w:t>
      </w:r>
      <w:proofErr w:type="spellStart"/>
      <w:r w:rsidRPr="0081253D">
        <w:rPr>
          <w:bCs/>
          <w:iCs/>
        </w:rPr>
        <w:t>MESP</w:t>
      </w:r>
      <w:proofErr w:type="spellEnd"/>
      <w:r w:rsidRPr="0081253D">
        <w:rPr>
          <w:bCs/>
          <w:iCs/>
        </w:rPr>
        <w:t xml:space="preserve"> in terms of applicable EU standards, mitigation measures and environmental conditions to be expected from </w:t>
      </w:r>
      <w:proofErr w:type="spellStart"/>
      <w:r w:rsidRPr="0081253D">
        <w:rPr>
          <w:bCs/>
          <w:iCs/>
        </w:rPr>
        <w:t>KPP</w:t>
      </w:r>
      <w:proofErr w:type="spellEnd"/>
      <w:r w:rsidRPr="0081253D">
        <w:rPr>
          <w:bCs/>
          <w:iCs/>
        </w:rPr>
        <w:t xml:space="preserve"> bidders in line with </w:t>
      </w:r>
      <w:proofErr w:type="spellStart"/>
      <w:r w:rsidRPr="0081253D">
        <w:rPr>
          <w:bCs/>
          <w:iCs/>
        </w:rPr>
        <w:t>IPPC</w:t>
      </w:r>
      <w:proofErr w:type="spellEnd"/>
      <w:r w:rsidRPr="0081253D">
        <w:rPr>
          <w:bCs/>
          <w:iCs/>
        </w:rPr>
        <w:t xml:space="preserve"> permit procedures.</w:t>
      </w:r>
    </w:p>
    <w:p w:rsidR="0081253D" w:rsidRDefault="0081253D" w:rsidP="005962E5">
      <w:pPr>
        <w:pStyle w:val="Default"/>
        <w:spacing w:before="120" w:after="120"/>
        <w:jc w:val="both"/>
        <w:rPr>
          <w:bCs/>
          <w:iCs/>
        </w:rPr>
      </w:pPr>
      <w:r w:rsidRPr="0081253D">
        <w:rPr>
          <w:bCs/>
          <w:iCs/>
        </w:rPr>
        <w:lastRenderedPageBreak/>
        <w:t xml:space="preserve">With regard to the </w:t>
      </w:r>
      <w:r w:rsidRPr="0081253D">
        <w:rPr>
          <w:b/>
          <w:bCs/>
          <w:iCs/>
        </w:rPr>
        <w:t>monitoring contract</w:t>
      </w:r>
      <w:r w:rsidRPr="0081253D">
        <w:rPr>
          <w:bCs/>
          <w:iCs/>
        </w:rPr>
        <w:t xml:space="preserve"> for RAP implementation, a Resettlement Policy Framework (</w:t>
      </w:r>
      <w:proofErr w:type="spellStart"/>
      <w:r w:rsidRPr="0081253D">
        <w:rPr>
          <w:bCs/>
          <w:iCs/>
        </w:rPr>
        <w:t>RPF</w:t>
      </w:r>
      <w:proofErr w:type="spellEnd"/>
      <w:r w:rsidRPr="0081253D">
        <w:rPr>
          <w:bCs/>
          <w:iCs/>
        </w:rPr>
        <w:t>) has been developed by the Government consistent with Bank policies with financing from the now closed Lignite Power Technical Assistance Project (</w:t>
      </w:r>
      <w:proofErr w:type="spellStart"/>
      <w:r w:rsidRPr="0081253D">
        <w:rPr>
          <w:bCs/>
          <w:iCs/>
        </w:rPr>
        <w:t>LPTAP</w:t>
      </w:r>
      <w:proofErr w:type="spellEnd"/>
      <w:r w:rsidRPr="0081253D">
        <w:rPr>
          <w:bCs/>
          <w:iCs/>
        </w:rPr>
        <w:t xml:space="preserve">) that would govern the relocation and resettlement of any population that might be displaced by the proposed </w:t>
      </w:r>
      <w:proofErr w:type="spellStart"/>
      <w:r w:rsidRPr="0081253D">
        <w:rPr>
          <w:bCs/>
          <w:iCs/>
        </w:rPr>
        <w:t>KPP</w:t>
      </w:r>
      <w:proofErr w:type="spellEnd"/>
      <w:r w:rsidRPr="0081253D">
        <w:rPr>
          <w:bCs/>
          <w:iCs/>
        </w:rPr>
        <w:t xml:space="preserve">. Based on the </w:t>
      </w:r>
      <w:proofErr w:type="spellStart"/>
      <w:r w:rsidRPr="0081253D">
        <w:rPr>
          <w:bCs/>
          <w:iCs/>
        </w:rPr>
        <w:t>RPF</w:t>
      </w:r>
      <w:proofErr w:type="spellEnd"/>
      <w:r w:rsidRPr="0081253D">
        <w:rPr>
          <w:bCs/>
          <w:iCs/>
        </w:rPr>
        <w:t xml:space="preserve">, a Resettlement Action Plan (RAP), also financed through </w:t>
      </w:r>
      <w:proofErr w:type="spellStart"/>
      <w:r w:rsidRPr="0081253D">
        <w:rPr>
          <w:bCs/>
          <w:iCs/>
        </w:rPr>
        <w:t>LPTAP</w:t>
      </w:r>
      <w:proofErr w:type="spellEnd"/>
      <w:r w:rsidRPr="0081253D">
        <w:rPr>
          <w:bCs/>
          <w:iCs/>
        </w:rPr>
        <w:t xml:space="preserve">, has been prepared for the </w:t>
      </w:r>
      <w:proofErr w:type="spellStart"/>
      <w:r w:rsidRPr="0081253D">
        <w:rPr>
          <w:bCs/>
          <w:iCs/>
        </w:rPr>
        <w:t>Shala</w:t>
      </w:r>
      <w:proofErr w:type="spellEnd"/>
      <w:r w:rsidRPr="0081253D">
        <w:rPr>
          <w:bCs/>
          <w:iCs/>
        </w:rPr>
        <w:t xml:space="preserve"> neighborhood of Hade village, in consultation with the affected communities. The </w:t>
      </w:r>
      <w:proofErr w:type="spellStart"/>
      <w:r w:rsidRPr="0081253D">
        <w:rPr>
          <w:bCs/>
          <w:iCs/>
        </w:rPr>
        <w:t>Shala</w:t>
      </w:r>
      <w:proofErr w:type="spellEnd"/>
      <w:r w:rsidRPr="0081253D">
        <w:rPr>
          <w:bCs/>
          <w:iCs/>
        </w:rPr>
        <w:t xml:space="preserve"> neighborhood of Hade village will be relocated since it is close to the edge of the mine from which extraction of lignite has started. The </w:t>
      </w:r>
      <w:proofErr w:type="spellStart"/>
      <w:r w:rsidRPr="0081253D">
        <w:rPr>
          <w:bCs/>
          <w:iCs/>
        </w:rPr>
        <w:t>Shala</w:t>
      </w:r>
      <w:proofErr w:type="spellEnd"/>
      <w:r w:rsidRPr="0081253D">
        <w:rPr>
          <w:bCs/>
          <w:iCs/>
        </w:rPr>
        <w:t xml:space="preserve"> community is proposed to be relocated to a new site (</w:t>
      </w:r>
      <w:proofErr w:type="spellStart"/>
      <w:r w:rsidRPr="0081253D">
        <w:rPr>
          <w:bCs/>
          <w:iCs/>
        </w:rPr>
        <w:t>Shkabaj</w:t>
      </w:r>
      <w:proofErr w:type="spellEnd"/>
      <w:r w:rsidRPr="0081253D">
        <w:rPr>
          <w:bCs/>
          <w:iCs/>
        </w:rPr>
        <w:t xml:space="preserve">) close to </w:t>
      </w:r>
      <w:proofErr w:type="spellStart"/>
      <w:r w:rsidRPr="0081253D">
        <w:rPr>
          <w:bCs/>
          <w:iCs/>
        </w:rPr>
        <w:t>Pristina</w:t>
      </w:r>
      <w:proofErr w:type="spellEnd"/>
      <w:r w:rsidRPr="0081253D">
        <w:rPr>
          <w:bCs/>
          <w:iCs/>
        </w:rPr>
        <w:t xml:space="preserve"> city where infrastructure and housing plots are already being developed. In order to provide an extra level of oversight and support, the Additional Financing will assist the Hade Project Office under the Ministry of Environment and Spatial Planning which is responsible for the implementation of the RAP, through support for a monitoring contract to oversee implementation of the RAP. Also a resettlement completion audit of the RAP will be included. Preparation and implementation of possible future </w:t>
      </w:r>
      <w:proofErr w:type="spellStart"/>
      <w:r w:rsidRPr="0081253D">
        <w:rPr>
          <w:bCs/>
          <w:iCs/>
        </w:rPr>
        <w:t>RAPs</w:t>
      </w:r>
      <w:proofErr w:type="spellEnd"/>
      <w:r w:rsidRPr="0081253D">
        <w:rPr>
          <w:bCs/>
          <w:iCs/>
        </w:rPr>
        <w:t xml:space="preserve"> related to the proposed </w:t>
      </w:r>
      <w:proofErr w:type="spellStart"/>
      <w:r w:rsidRPr="0081253D">
        <w:rPr>
          <w:bCs/>
          <w:iCs/>
        </w:rPr>
        <w:t>KPP</w:t>
      </w:r>
      <w:proofErr w:type="spellEnd"/>
      <w:r w:rsidRPr="0081253D">
        <w:rPr>
          <w:bCs/>
          <w:iCs/>
        </w:rPr>
        <w:t xml:space="preserve"> will not be part of the AF of the </w:t>
      </w:r>
      <w:proofErr w:type="spellStart"/>
      <w:r w:rsidRPr="0081253D">
        <w:rPr>
          <w:bCs/>
          <w:iCs/>
        </w:rPr>
        <w:t>CLRP</w:t>
      </w:r>
      <w:proofErr w:type="spellEnd"/>
      <w:r w:rsidRPr="0081253D">
        <w:rPr>
          <w:bCs/>
          <w:iCs/>
        </w:rPr>
        <w:t xml:space="preserve">. The monitoring contract will also not cover the people displaced in 2004 from Hade village, which was carried out by </w:t>
      </w:r>
      <w:proofErr w:type="spellStart"/>
      <w:r w:rsidRPr="0081253D">
        <w:rPr>
          <w:bCs/>
          <w:iCs/>
        </w:rPr>
        <w:t>UNMIK</w:t>
      </w:r>
      <w:proofErr w:type="spellEnd"/>
      <w:r w:rsidRPr="0081253D">
        <w:rPr>
          <w:bCs/>
          <w:iCs/>
        </w:rPr>
        <w:t xml:space="preserve">, though the Bank will provide the Government with technical advice and use its good offices to encourage the Government to engage the resettled households to resolve outstanding issues. Resettlement has not been and will not be needed for the Clean-up and Land Reclamation Project </w:t>
      </w:r>
      <w:proofErr w:type="gramStart"/>
      <w:r w:rsidRPr="0081253D">
        <w:rPr>
          <w:bCs/>
          <w:iCs/>
        </w:rPr>
        <w:t>itself</w:t>
      </w:r>
      <w:proofErr w:type="gramEnd"/>
      <w:r w:rsidRPr="0081253D">
        <w:rPr>
          <w:bCs/>
          <w:iCs/>
        </w:rPr>
        <w:t>.</w:t>
      </w:r>
    </w:p>
    <w:p w:rsidR="005962E5" w:rsidRDefault="005962E5" w:rsidP="005962E5">
      <w:pPr>
        <w:pStyle w:val="Default"/>
        <w:spacing w:before="120" w:after="120"/>
        <w:jc w:val="both"/>
        <w:rPr>
          <w:szCs w:val="22"/>
        </w:rPr>
      </w:pPr>
      <w:r w:rsidRPr="00E851F4">
        <w:rPr>
          <w:szCs w:val="22"/>
        </w:rPr>
        <w:t xml:space="preserve">An </w:t>
      </w:r>
      <w:r>
        <w:rPr>
          <w:b/>
          <w:szCs w:val="22"/>
        </w:rPr>
        <w:t xml:space="preserve">Independent </w:t>
      </w:r>
      <w:r w:rsidRPr="00557D37">
        <w:rPr>
          <w:b/>
          <w:szCs w:val="22"/>
        </w:rPr>
        <w:t xml:space="preserve">Panel of </w:t>
      </w:r>
      <w:r>
        <w:rPr>
          <w:b/>
          <w:szCs w:val="22"/>
        </w:rPr>
        <w:t xml:space="preserve">Environmental and Social </w:t>
      </w:r>
      <w:r w:rsidRPr="00557D37">
        <w:rPr>
          <w:b/>
          <w:szCs w:val="22"/>
        </w:rPr>
        <w:t>Experts</w:t>
      </w:r>
      <w:r w:rsidRPr="00557D37">
        <w:rPr>
          <w:szCs w:val="22"/>
        </w:rPr>
        <w:t xml:space="preserve"> </w:t>
      </w:r>
      <w:r>
        <w:rPr>
          <w:szCs w:val="22"/>
        </w:rPr>
        <w:t xml:space="preserve">will be recruited for both the </w:t>
      </w:r>
      <w:proofErr w:type="spellStart"/>
      <w:r>
        <w:rPr>
          <w:szCs w:val="22"/>
        </w:rPr>
        <w:t>ESIA</w:t>
      </w:r>
      <w:proofErr w:type="spellEnd"/>
      <w:r>
        <w:rPr>
          <w:szCs w:val="22"/>
        </w:rPr>
        <w:t xml:space="preserve"> as well as the RAP </w:t>
      </w:r>
      <w:r w:rsidRPr="00557D37">
        <w:rPr>
          <w:szCs w:val="22"/>
        </w:rPr>
        <w:t xml:space="preserve">to assist the government of Kosovo in the supervision of </w:t>
      </w:r>
      <w:r>
        <w:rPr>
          <w:szCs w:val="22"/>
        </w:rPr>
        <w:t xml:space="preserve">the </w:t>
      </w:r>
      <w:proofErr w:type="spellStart"/>
      <w:r w:rsidRPr="00557D37">
        <w:rPr>
          <w:szCs w:val="22"/>
        </w:rPr>
        <w:t>ESIA</w:t>
      </w:r>
      <w:proofErr w:type="spellEnd"/>
      <w:r w:rsidRPr="00557D37">
        <w:rPr>
          <w:szCs w:val="22"/>
        </w:rPr>
        <w:t xml:space="preserve"> </w:t>
      </w:r>
      <w:r>
        <w:rPr>
          <w:szCs w:val="22"/>
        </w:rPr>
        <w:t xml:space="preserve">preparation </w:t>
      </w:r>
      <w:r w:rsidRPr="00557D37">
        <w:rPr>
          <w:szCs w:val="22"/>
        </w:rPr>
        <w:t>and RAP implementation</w:t>
      </w:r>
      <w:r>
        <w:rPr>
          <w:szCs w:val="22"/>
        </w:rPr>
        <w:t xml:space="preserve">. </w:t>
      </w:r>
      <w:r w:rsidRPr="00880FE8">
        <w:rPr>
          <w:szCs w:val="22"/>
        </w:rPr>
        <w:t xml:space="preserve"> </w:t>
      </w:r>
    </w:p>
    <w:p w:rsidR="0081253D" w:rsidRDefault="0081253D" w:rsidP="005962E5">
      <w:pPr>
        <w:pStyle w:val="Default"/>
        <w:spacing w:before="120" w:after="120"/>
        <w:jc w:val="both"/>
        <w:rPr>
          <w:szCs w:val="22"/>
        </w:rPr>
      </w:pPr>
      <w:r>
        <w:rPr>
          <w:szCs w:val="22"/>
        </w:rPr>
        <w:t xml:space="preserve">A </w:t>
      </w:r>
      <w:r w:rsidRPr="00557D37">
        <w:rPr>
          <w:b/>
          <w:szCs w:val="22"/>
        </w:rPr>
        <w:t>low carbon growth energy strategy</w:t>
      </w:r>
      <w:r>
        <w:rPr>
          <w:szCs w:val="22"/>
        </w:rPr>
        <w:t xml:space="preserve"> will be prepared to </w:t>
      </w:r>
      <w:r w:rsidRPr="0047423E">
        <w:rPr>
          <w:szCs w:val="22"/>
        </w:rPr>
        <w:t xml:space="preserve">help </w:t>
      </w:r>
      <w:r>
        <w:rPr>
          <w:szCs w:val="22"/>
        </w:rPr>
        <w:t xml:space="preserve">reduce demand and </w:t>
      </w:r>
      <w:r w:rsidRPr="0047423E">
        <w:rPr>
          <w:szCs w:val="22"/>
        </w:rPr>
        <w:t xml:space="preserve">promote renewable energy projects for perspective investments </w:t>
      </w:r>
      <w:r>
        <w:rPr>
          <w:szCs w:val="22"/>
        </w:rPr>
        <w:t xml:space="preserve">by the private sector and others, which </w:t>
      </w:r>
      <w:r w:rsidRPr="0047423E">
        <w:rPr>
          <w:szCs w:val="22"/>
        </w:rPr>
        <w:t>will help identify the opportunities for reducing future demand of electricity, increase power generation without increasing emissions, and possibly reduce G</w:t>
      </w:r>
      <w:r>
        <w:rPr>
          <w:szCs w:val="22"/>
        </w:rPr>
        <w:t>reenhouse Gas (</w:t>
      </w:r>
      <w:proofErr w:type="spellStart"/>
      <w:r>
        <w:rPr>
          <w:szCs w:val="22"/>
        </w:rPr>
        <w:t>GHG</w:t>
      </w:r>
      <w:proofErr w:type="spellEnd"/>
      <w:r>
        <w:rPr>
          <w:szCs w:val="22"/>
        </w:rPr>
        <w:t xml:space="preserve">) </w:t>
      </w:r>
      <w:r w:rsidRPr="0047423E">
        <w:rPr>
          <w:szCs w:val="22"/>
        </w:rPr>
        <w:t>emissions</w:t>
      </w:r>
      <w:r>
        <w:rPr>
          <w:szCs w:val="22"/>
        </w:rPr>
        <w:t xml:space="preserve">. </w:t>
      </w:r>
      <w:r w:rsidRPr="00880FE8">
        <w:rPr>
          <w:szCs w:val="22"/>
        </w:rPr>
        <w:t>The strategy will include: (</w:t>
      </w:r>
      <w:proofErr w:type="spellStart"/>
      <w:r w:rsidRPr="00880FE8">
        <w:rPr>
          <w:szCs w:val="22"/>
        </w:rPr>
        <w:t>i</w:t>
      </w:r>
      <w:proofErr w:type="spellEnd"/>
      <w:r w:rsidRPr="00880FE8">
        <w:rPr>
          <w:szCs w:val="22"/>
        </w:rPr>
        <w:t>) building a</w:t>
      </w:r>
      <w:r>
        <w:rPr>
          <w:szCs w:val="22"/>
        </w:rPr>
        <w:t xml:space="preserve">n energy sector </w:t>
      </w:r>
      <w:proofErr w:type="spellStart"/>
      <w:r>
        <w:rPr>
          <w:szCs w:val="22"/>
        </w:rPr>
        <w:t>GHG</w:t>
      </w:r>
      <w:proofErr w:type="spellEnd"/>
      <w:r>
        <w:rPr>
          <w:szCs w:val="22"/>
        </w:rPr>
        <w:t xml:space="preserve"> inventory; (ii) identification of</w:t>
      </w:r>
      <w:r w:rsidRPr="00880FE8">
        <w:rPr>
          <w:szCs w:val="22"/>
        </w:rPr>
        <w:t xml:space="preserve"> mitigation options in the energy sector (both on the demand and supply sides); (iii) </w:t>
      </w:r>
      <w:r>
        <w:rPr>
          <w:szCs w:val="22"/>
        </w:rPr>
        <w:t>c</w:t>
      </w:r>
      <w:r w:rsidRPr="00101FF8">
        <w:rPr>
          <w:szCs w:val="22"/>
        </w:rPr>
        <w:t>onducting an econom</w:t>
      </w:r>
      <w:r>
        <w:rPr>
          <w:szCs w:val="22"/>
        </w:rPr>
        <w:t>ic analysis that will generate Marginal Abatement C</w:t>
      </w:r>
      <w:r w:rsidRPr="00101FF8">
        <w:rPr>
          <w:szCs w:val="22"/>
        </w:rPr>
        <w:t>ost (MAC) curves</w:t>
      </w:r>
      <w:r>
        <w:rPr>
          <w:rStyle w:val="FootnoteReference"/>
          <w:szCs w:val="22"/>
        </w:rPr>
        <w:footnoteReference w:id="1"/>
      </w:r>
      <w:r>
        <w:rPr>
          <w:szCs w:val="22"/>
        </w:rPr>
        <w:t xml:space="preserve"> and</w:t>
      </w:r>
      <w:r w:rsidRPr="00101FF8">
        <w:rPr>
          <w:szCs w:val="22"/>
        </w:rPr>
        <w:t xml:space="preserve"> indicating which technology would be the preferred choice dependent on different carbon prices</w:t>
      </w:r>
      <w:r>
        <w:rPr>
          <w:szCs w:val="22"/>
        </w:rPr>
        <w:t>; (iv) describing</w:t>
      </w:r>
      <w:r w:rsidRPr="00880FE8">
        <w:rPr>
          <w:szCs w:val="22"/>
        </w:rPr>
        <w:t>/quantify</w:t>
      </w:r>
      <w:r>
        <w:rPr>
          <w:szCs w:val="22"/>
        </w:rPr>
        <w:t>ing</w:t>
      </w:r>
      <w:r w:rsidRPr="00880FE8">
        <w:rPr>
          <w:szCs w:val="22"/>
        </w:rPr>
        <w:t xml:space="preserve"> the potential for reducing future emissions based on MAC; (v) identify</w:t>
      </w:r>
      <w:r>
        <w:rPr>
          <w:szCs w:val="22"/>
        </w:rPr>
        <w:t>ing</w:t>
      </w:r>
      <w:r w:rsidRPr="00880FE8">
        <w:rPr>
          <w:szCs w:val="22"/>
        </w:rPr>
        <w:t xml:space="preserve"> barriers against the implementation of low carbon options; and (vi) review</w:t>
      </w:r>
      <w:r>
        <w:rPr>
          <w:szCs w:val="22"/>
        </w:rPr>
        <w:t>ing</w:t>
      </w:r>
      <w:r w:rsidRPr="00880FE8">
        <w:rPr>
          <w:szCs w:val="22"/>
        </w:rPr>
        <w:t xml:space="preserve"> existing</w:t>
      </w:r>
      <w:r>
        <w:rPr>
          <w:szCs w:val="22"/>
        </w:rPr>
        <w:t xml:space="preserve"> mitigation measures and proposing</w:t>
      </w:r>
      <w:r w:rsidRPr="00880FE8">
        <w:rPr>
          <w:szCs w:val="22"/>
        </w:rPr>
        <w:t xml:space="preserve"> new applicable measures</w:t>
      </w:r>
      <w:r>
        <w:rPr>
          <w:szCs w:val="22"/>
        </w:rPr>
        <w:t>. This strategy will be developed in close cooperation with the Ministry of Economic Development, which is responsible for Kosovo’s energy strategy.</w:t>
      </w:r>
    </w:p>
    <w:p w:rsidR="0081253D" w:rsidRDefault="0081253D" w:rsidP="005962E5">
      <w:pPr>
        <w:pStyle w:val="Default"/>
        <w:spacing w:before="120" w:after="120"/>
        <w:jc w:val="both"/>
        <w:rPr>
          <w:szCs w:val="22"/>
        </w:rPr>
      </w:pPr>
    </w:p>
    <w:p w:rsidR="004031AC" w:rsidRDefault="00A2121B" w:rsidP="004031AC">
      <w:pPr>
        <w:pStyle w:val="BankNormal"/>
        <w:rPr>
          <w:szCs w:val="24"/>
        </w:rPr>
      </w:pPr>
      <w:r>
        <w:rPr>
          <w:szCs w:val="24"/>
        </w:rPr>
        <w:t>5</w:t>
      </w:r>
      <w:r w:rsidR="004031AC">
        <w:rPr>
          <w:szCs w:val="24"/>
        </w:rPr>
        <w:t xml:space="preserve">.   </w:t>
      </w:r>
      <w:r w:rsidR="004031AC" w:rsidRPr="00D539E6">
        <w:rPr>
          <w:b/>
          <w:i/>
          <w:szCs w:val="24"/>
        </w:rPr>
        <w:t>Financing</w:t>
      </w:r>
    </w:p>
    <w:tbl>
      <w:tblPr>
        <w:tblW w:w="0" w:type="auto"/>
        <w:tblLook w:val="0000"/>
      </w:tblPr>
      <w:tblGrid>
        <w:gridCol w:w="7488"/>
        <w:gridCol w:w="1368"/>
      </w:tblGrid>
      <w:tr w:rsidR="004031AC">
        <w:tc>
          <w:tcPr>
            <w:tcW w:w="7488" w:type="dxa"/>
          </w:tcPr>
          <w:p w:rsidR="004031AC" w:rsidRDefault="004031AC" w:rsidP="007136B0">
            <w:r>
              <w:t>Source:</w:t>
            </w:r>
          </w:p>
        </w:tc>
        <w:tc>
          <w:tcPr>
            <w:tcW w:w="1368" w:type="dxa"/>
          </w:tcPr>
          <w:p w:rsidR="004031AC" w:rsidRDefault="004031AC" w:rsidP="007136B0">
            <w:pPr>
              <w:tabs>
                <w:tab w:val="decimal" w:pos="252"/>
              </w:tabs>
              <w:jc w:val="center"/>
            </w:pPr>
            <w:r>
              <w:t>($m.)</w:t>
            </w:r>
          </w:p>
        </w:tc>
      </w:tr>
      <w:tr w:rsidR="004031AC">
        <w:tc>
          <w:tcPr>
            <w:tcW w:w="7488" w:type="dxa"/>
          </w:tcPr>
          <w:p w:rsidR="004031AC" w:rsidRDefault="004031AC" w:rsidP="007136B0">
            <w:pPr>
              <w:tabs>
                <w:tab w:val="right" w:pos="7200"/>
              </w:tabs>
            </w:pPr>
            <w:r>
              <w:lastRenderedPageBreak/>
              <w:t>BORROWER</w:t>
            </w:r>
          </w:p>
        </w:tc>
        <w:tc>
          <w:tcPr>
            <w:tcW w:w="1368" w:type="dxa"/>
          </w:tcPr>
          <w:p w:rsidR="004031AC" w:rsidRDefault="004031AC" w:rsidP="007136B0">
            <w:pPr>
              <w:tabs>
                <w:tab w:val="decimal" w:pos="252"/>
              </w:tabs>
              <w:jc w:val="center"/>
            </w:pPr>
            <w:r>
              <w:t>0</w:t>
            </w:r>
          </w:p>
        </w:tc>
      </w:tr>
      <w:tr w:rsidR="004031AC">
        <w:tc>
          <w:tcPr>
            <w:tcW w:w="7488" w:type="dxa"/>
          </w:tcPr>
          <w:p w:rsidR="004031AC" w:rsidRDefault="0003390B" w:rsidP="007136B0">
            <w:pPr>
              <w:tabs>
                <w:tab w:val="right" w:pos="7200"/>
              </w:tabs>
            </w:pPr>
            <w:r>
              <w:t>IDA Credit</w:t>
            </w:r>
          </w:p>
        </w:tc>
        <w:tc>
          <w:tcPr>
            <w:tcW w:w="1368" w:type="dxa"/>
          </w:tcPr>
          <w:p w:rsidR="004031AC" w:rsidRDefault="0003390B" w:rsidP="007136B0">
            <w:pPr>
              <w:tabs>
                <w:tab w:val="decimal" w:pos="252"/>
              </w:tabs>
              <w:jc w:val="center"/>
            </w:pPr>
            <w:r>
              <w:t>4.2</w:t>
            </w:r>
          </w:p>
        </w:tc>
      </w:tr>
      <w:tr w:rsidR="004031AC">
        <w:tc>
          <w:tcPr>
            <w:tcW w:w="7488" w:type="dxa"/>
          </w:tcPr>
          <w:p w:rsidR="004031AC" w:rsidRDefault="004031AC" w:rsidP="007136B0">
            <w:pPr>
              <w:tabs>
                <w:tab w:val="right" w:pos="7200"/>
              </w:tabs>
            </w:pPr>
            <w:r>
              <w:tab/>
              <w:t>Total</w:t>
            </w:r>
          </w:p>
        </w:tc>
        <w:tc>
          <w:tcPr>
            <w:tcW w:w="1368" w:type="dxa"/>
          </w:tcPr>
          <w:p w:rsidR="004031AC" w:rsidRDefault="0003390B" w:rsidP="007136B0">
            <w:pPr>
              <w:tabs>
                <w:tab w:val="decimal" w:pos="252"/>
              </w:tabs>
              <w:jc w:val="center"/>
            </w:pPr>
            <w:r>
              <w:t>4.2</w:t>
            </w:r>
          </w:p>
        </w:tc>
      </w:tr>
    </w:tbl>
    <w:p w:rsidR="004031AC" w:rsidRDefault="004031AC" w:rsidP="004031AC">
      <w:pPr>
        <w:pStyle w:val="BankNormal"/>
        <w:ind w:left="360"/>
        <w:rPr>
          <w:szCs w:val="24"/>
        </w:rPr>
      </w:pPr>
    </w:p>
    <w:p w:rsidR="004031AC" w:rsidRPr="00D539E6" w:rsidRDefault="00A2121B" w:rsidP="004031AC">
      <w:pPr>
        <w:rPr>
          <w:b/>
          <w:i/>
        </w:rPr>
      </w:pPr>
      <w:r>
        <w:t>6</w:t>
      </w:r>
      <w:r w:rsidR="004031AC">
        <w:t xml:space="preserve">.  </w:t>
      </w:r>
      <w:r w:rsidR="004031AC">
        <w:rPr>
          <w:b/>
          <w:i/>
        </w:rPr>
        <w:t>Implementation</w:t>
      </w:r>
    </w:p>
    <w:p w:rsidR="004031AC" w:rsidRDefault="004031AC" w:rsidP="004031AC"/>
    <w:p w:rsidR="00945894" w:rsidRDefault="004031AC" w:rsidP="005757C4">
      <w:pPr>
        <w:jc w:val="both"/>
      </w:pPr>
      <w:r>
        <w:t xml:space="preserve">The </w:t>
      </w:r>
      <w:proofErr w:type="spellStart"/>
      <w:r w:rsidR="00945894">
        <w:t>CLRP</w:t>
      </w:r>
      <w:proofErr w:type="spellEnd"/>
      <w:r w:rsidR="00945894">
        <w:t xml:space="preserve"> AF</w:t>
      </w:r>
      <w:r>
        <w:t xml:space="preserve"> </w:t>
      </w:r>
      <w:r w:rsidR="005757C4">
        <w:t xml:space="preserve">is envisaged to </w:t>
      </w:r>
      <w:r w:rsidR="00504424">
        <w:t xml:space="preserve">be implemented over the </w:t>
      </w:r>
      <w:r w:rsidR="0081253D">
        <w:t xml:space="preserve">period until </w:t>
      </w:r>
      <w:r w:rsidR="00945894">
        <w:t>December 2014</w:t>
      </w:r>
      <w:r>
        <w:t>.</w:t>
      </w:r>
      <w:r w:rsidR="00945894">
        <w:t xml:space="preserve"> </w:t>
      </w:r>
      <w:r w:rsidR="00945894" w:rsidRPr="00945894">
        <w:t xml:space="preserve">The additional funds will be implemented through the institutional arrangements that already exist for </w:t>
      </w:r>
      <w:proofErr w:type="spellStart"/>
      <w:r w:rsidR="00945894" w:rsidRPr="00945894">
        <w:t>CLRP</w:t>
      </w:r>
      <w:proofErr w:type="spellEnd"/>
      <w:r w:rsidR="00945894" w:rsidRPr="00945894">
        <w:t xml:space="preserve"> and, in addition, </w:t>
      </w:r>
      <w:r w:rsidR="00E2714B">
        <w:t xml:space="preserve">to </w:t>
      </w:r>
      <w:r w:rsidR="00945894" w:rsidRPr="00945894">
        <w:t xml:space="preserve">new arrangements within the </w:t>
      </w:r>
      <w:proofErr w:type="spellStart"/>
      <w:r w:rsidR="00945894" w:rsidRPr="00945894">
        <w:t>MESP</w:t>
      </w:r>
      <w:proofErr w:type="spellEnd"/>
      <w:r w:rsidR="00945894" w:rsidRPr="00945894">
        <w:t>. The Project Management Unit (</w:t>
      </w:r>
      <w:proofErr w:type="spellStart"/>
      <w:r w:rsidR="00945894" w:rsidRPr="00945894">
        <w:t>PMU</w:t>
      </w:r>
      <w:proofErr w:type="spellEnd"/>
      <w:r w:rsidR="00945894" w:rsidRPr="00945894">
        <w:t xml:space="preserve">) in </w:t>
      </w:r>
      <w:proofErr w:type="spellStart"/>
      <w:r w:rsidR="00945894" w:rsidRPr="00945894">
        <w:t>KEK</w:t>
      </w:r>
      <w:proofErr w:type="spellEnd"/>
      <w:r w:rsidR="00945894" w:rsidRPr="00945894">
        <w:t xml:space="preserve"> established under </w:t>
      </w:r>
      <w:proofErr w:type="spellStart"/>
      <w:r w:rsidR="00945894" w:rsidRPr="00945894">
        <w:t>CLRP</w:t>
      </w:r>
      <w:proofErr w:type="spellEnd"/>
      <w:r w:rsidR="00945894" w:rsidRPr="00945894">
        <w:t xml:space="preserve"> will continue to oversee, monitor and evaluate the overall performance of scaled-up activities</w:t>
      </w:r>
      <w:r w:rsidR="00504424">
        <w:t xml:space="preserve"> to be implemented by </w:t>
      </w:r>
      <w:proofErr w:type="spellStart"/>
      <w:r w:rsidR="00504424">
        <w:t>KEK</w:t>
      </w:r>
      <w:proofErr w:type="spellEnd"/>
      <w:r w:rsidR="00504424">
        <w:t>. T</w:t>
      </w:r>
      <w:r w:rsidR="00945894" w:rsidRPr="00945894">
        <w:t xml:space="preserve">his </w:t>
      </w:r>
      <w:proofErr w:type="spellStart"/>
      <w:r w:rsidR="00945894" w:rsidRPr="00945894">
        <w:t>PMU</w:t>
      </w:r>
      <w:proofErr w:type="spellEnd"/>
      <w:r w:rsidR="00945894" w:rsidRPr="00945894">
        <w:t xml:space="preserve"> will be supplemented with a second </w:t>
      </w:r>
      <w:proofErr w:type="spellStart"/>
      <w:r w:rsidR="00945894" w:rsidRPr="00945894">
        <w:t>PMU</w:t>
      </w:r>
      <w:proofErr w:type="spellEnd"/>
      <w:r w:rsidR="00945894" w:rsidRPr="00945894">
        <w:t xml:space="preserve"> under the </w:t>
      </w:r>
      <w:proofErr w:type="spellStart"/>
      <w:r w:rsidR="00945894" w:rsidRPr="00945894">
        <w:t>MESP</w:t>
      </w:r>
      <w:proofErr w:type="spellEnd"/>
      <w:r w:rsidR="00945894" w:rsidRPr="00945894">
        <w:t xml:space="preserve"> to manage the new activities under new Component F: Environmental Monitoring and Management. The </w:t>
      </w:r>
      <w:proofErr w:type="spellStart"/>
      <w:r w:rsidR="00945894" w:rsidRPr="00945894">
        <w:t>MESP</w:t>
      </w:r>
      <w:proofErr w:type="spellEnd"/>
      <w:r w:rsidR="00945894" w:rsidRPr="00945894">
        <w:t xml:space="preserve"> will work closely with the Ministry of Economic Development, in particular for the development of the low carbon growth energy strategy. A public information center will be established in the municipality of </w:t>
      </w:r>
      <w:proofErr w:type="spellStart"/>
      <w:r w:rsidR="00945894" w:rsidRPr="00945894">
        <w:t>Obiliq</w:t>
      </w:r>
      <w:proofErr w:type="spellEnd"/>
      <w:r w:rsidR="00945894" w:rsidRPr="00945894">
        <w:t>.</w:t>
      </w:r>
    </w:p>
    <w:p w:rsidR="00945894" w:rsidRDefault="00945894" w:rsidP="004031AC"/>
    <w:p w:rsidR="004031AC" w:rsidRDefault="00A2121B" w:rsidP="004031AC">
      <w:pPr>
        <w:rPr>
          <w:b/>
          <w:i/>
        </w:rPr>
      </w:pPr>
      <w:r>
        <w:rPr>
          <w:b/>
          <w:i/>
        </w:rPr>
        <w:t>7</w:t>
      </w:r>
      <w:r w:rsidR="004031AC">
        <w:rPr>
          <w:b/>
          <w:i/>
        </w:rPr>
        <w:t>. Sustainability</w:t>
      </w:r>
    </w:p>
    <w:p w:rsidR="004031AC" w:rsidRDefault="004031AC" w:rsidP="004031AC">
      <w:pPr>
        <w:rPr>
          <w:b/>
          <w:i/>
        </w:rPr>
      </w:pPr>
    </w:p>
    <w:p w:rsidR="008D6917" w:rsidRPr="008D6917" w:rsidRDefault="008D6917" w:rsidP="005757C4">
      <w:pPr>
        <w:jc w:val="both"/>
      </w:pPr>
      <w:r w:rsidRPr="008D6917">
        <w:t xml:space="preserve">The </w:t>
      </w:r>
      <w:proofErr w:type="spellStart"/>
      <w:r w:rsidRPr="008D6917">
        <w:t>CLRP</w:t>
      </w:r>
      <w:proofErr w:type="spellEnd"/>
      <w:r w:rsidRPr="008D6917">
        <w:t xml:space="preserve"> has the strong support of th</w:t>
      </w:r>
      <w:r w:rsidR="005757C4">
        <w:t xml:space="preserve">e </w:t>
      </w:r>
      <w:proofErr w:type="spellStart"/>
      <w:r w:rsidR="005757C4">
        <w:t>Kosovar</w:t>
      </w:r>
      <w:proofErr w:type="spellEnd"/>
      <w:r w:rsidR="005757C4">
        <w:t xml:space="preserve"> authorities and </w:t>
      </w:r>
      <w:proofErr w:type="spellStart"/>
      <w:r w:rsidR="005757C4">
        <w:t>KEK</w:t>
      </w:r>
      <w:proofErr w:type="spellEnd"/>
      <w:r w:rsidR="005757C4">
        <w:t xml:space="preserve">. </w:t>
      </w:r>
      <w:r w:rsidRPr="008D6917">
        <w:t xml:space="preserve"> The Ministry of Environme</w:t>
      </w:r>
      <w:r>
        <w:t>nt and Spatial Planning (</w:t>
      </w:r>
      <w:proofErr w:type="spellStart"/>
      <w:r>
        <w:t>MESP</w:t>
      </w:r>
      <w:proofErr w:type="spellEnd"/>
      <w:r>
        <w:t>) had identified</w:t>
      </w:r>
      <w:r w:rsidRPr="008D6917">
        <w:t xml:space="preserve"> the ash </w:t>
      </w:r>
      <w:r>
        <w:t xml:space="preserve">and overburden </w:t>
      </w:r>
      <w:r w:rsidRPr="008D6917">
        <w:t>dumps as one of Kosovo’s environmental hotspots needing remediation.  Similarly, the Energy Strategy of Kosovo 2006-2015 identifies the need to: mitigate ash disposal emissions, remediate ash sites, and reclaim land occupied from mining activities.</w:t>
      </w:r>
    </w:p>
    <w:p w:rsidR="008D6917" w:rsidRPr="008D6917" w:rsidRDefault="008D6917" w:rsidP="005757C4">
      <w:pPr>
        <w:jc w:val="both"/>
      </w:pPr>
    </w:p>
    <w:p w:rsidR="008D6917" w:rsidRPr="008D6917" w:rsidRDefault="008D6917" w:rsidP="005757C4">
      <w:pPr>
        <w:jc w:val="both"/>
      </w:pPr>
      <w:r w:rsidRPr="008D6917">
        <w:t xml:space="preserve">The authorities consider the </w:t>
      </w:r>
      <w:proofErr w:type="spellStart"/>
      <w:r w:rsidRPr="008D6917">
        <w:t>CLRP</w:t>
      </w:r>
      <w:proofErr w:type="spellEnd"/>
      <w:r w:rsidRPr="008D6917">
        <w:t xml:space="preserve"> important to demonstrate to international investors their willingness to manage environmental problems and regulate the sector in an environmentally a</w:t>
      </w:r>
      <w:r>
        <w:t xml:space="preserve">nd socially sustainable manner. </w:t>
      </w:r>
      <w:r w:rsidRPr="008D6917">
        <w:t xml:space="preserve">The </w:t>
      </w:r>
      <w:proofErr w:type="spellStart"/>
      <w:r w:rsidRPr="008D6917">
        <w:t>Kosovar</w:t>
      </w:r>
      <w:proofErr w:type="spellEnd"/>
      <w:r w:rsidRPr="008D6917">
        <w:t xml:space="preserve"> authorities and </w:t>
      </w:r>
      <w:proofErr w:type="spellStart"/>
      <w:r w:rsidRPr="008D6917">
        <w:t>KEK</w:t>
      </w:r>
      <w:proofErr w:type="spellEnd"/>
      <w:r w:rsidRPr="008D6917">
        <w:t xml:space="preserve"> regard good environmental practice and land reclamation activities as an integrated part of sustainable mining and the </w:t>
      </w:r>
      <w:proofErr w:type="spellStart"/>
      <w:r w:rsidRPr="008D6917">
        <w:t>CLRP</w:t>
      </w:r>
      <w:proofErr w:type="spellEnd"/>
      <w:r w:rsidRPr="008D6917">
        <w:t xml:space="preserve"> as the tool to commence and integrate these activities in mining operations.</w:t>
      </w:r>
    </w:p>
    <w:p w:rsidR="008D6917" w:rsidRDefault="008D6917" w:rsidP="005757C4">
      <w:pPr>
        <w:jc w:val="both"/>
      </w:pPr>
    </w:p>
    <w:p w:rsidR="00DE1048" w:rsidRDefault="00DE1048" w:rsidP="005757C4">
      <w:pPr>
        <w:jc w:val="both"/>
      </w:pPr>
      <w:r>
        <w:t xml:space="preserve">The activities under </w:t>
      </w:r>
      <w:r w:rsidRPr="00DE1048">
        <w:t>new Component F: Environm</w:t>
      </w:r>
      <w:r>
        <w:t xml:space="preserve">ental Monitoring and Management, to be implemented by the </w:t>
      </w:r>
      <w:proofErr w:type="spellStart"/>
      <w:r>
        <w:t>MESP</w:t>
      </w:r>
      <w:proofErr w:type="spellEnd"/>
      <w:r>
        <w:t xml:space="preserve"> fall within their institutional mandate.</w:t>
      </w:r>
    </w:p>
    <w:p w:rsidR="008D6917" w:rsidRDefault="008D6917" w:rsidP="004031AC">
      <w:pPr>
        <w:rPr>
          <w:b/>
          <w:i/>
        </w:rPr>
      </w:pPr>
    </w:p>
    <w:p w:rsidR="004031AC" w:rsidRPr="0074750D" w:rsidRDefault="004A3D1C" w:rsidP="004031AC">
      <w:pPr>
        <w:rPr>
          <w:b/>
          <w:i/>
        </w:rPr>
      </w:pPr>
      <w:r>
        <w:t>8</w:t>
      </w:r>
      <w:r w:rsidR="004031AC">
        <w:t xml:space="preserve">.   </w:t>
      </w:r>
      <w:r w:rsidR="004031AC">
        <w:rPr>
          <w:b/>
          <w:i/>
        </w:rPr>
        <w:t>Lessons Learned from Past Operations in the Country/Sector</w:t>
      </w:r>
    </w:p>
    <w:p w:rsidR="004031AC" w:rsidRDefault="004031AC" w:rsidP="004031AC"/>
    <w:p w:rsidR="008D6917" w:rsidRDefault="008D6917" w:rsidP="005757C4">
      <w:pPr>
        <w:jc w:val="both"/>
      </w:pPr>
      <w:r w:rsidRPr="008D6917">
        <w:t xml:space="preserve">The </w:t>
      </w:r>
      <w:proofErr w:type="spellStart"/>
      <w:r w:rsidRPr="008D6917">
        <w:t>CLRP</w:t>
      </w:r>
      <w:proofErr w:type="spellEnd"/>
      <w:r w:rsidRPr="008D6917">
        <w:t xml:space="preserve"> design reflects lessons learned from Bank financed previous and ongoing Energy Sector Technical Assistance Projects (</w:t>
      </w:r>
      <w:proofErr w:type="spellStart"/>
      <w:r w:rsidRPr="008D6917">
        <w:t>ESTAP</w:t>
      </w:r>
      <w:proofErr w:type="spellEnd"/>
      <w:r w:rsidRPr="008D6917">
        <w:t xml:space="preserve"> I, II, and III), the Lignite Power Technical Assistance Project (LP-TAP) and EC-funded financial and technical assistance for the rehabilitation of power plants.  The lessons learned include the importance of ownership by local institutions, preparation of comprehensive implementation arrangements, selection of competent consultants, detailed reviews to ensure quality of consultants’ outputs, realistic timeframe, and wide consultations with local institutions, donors and other stakeholders, and have been taken into account.  </w:t>
      </w:r>
    </w:p>
    <w:p w:rsidR="004031AC" w:rsidRDefault="004031AC" w:rsidP="004031AC"/>
    <w:p w:rsidR="004031AC" w:rsidRPr="00917E64" w:rsidRDefault="004A3D1C" w:rsidP="004031AC">
      <w:pPr>
        <w:rPr>
          <w:b/>
          <w:i/>
        </w:rPr>
      </w:pPr>
      <w:r>
        <w:t>9</w:t>
      </w:r>
      <w:r w:rsidR="004031AC">
        <w:t xml:space="preserve">.   </w:t>
      </w:r>
      <w:r w:rsidR="004031AC" w:rsidRPr="00917E64">
        <w:rPr>
          <w:b/>
          <w:i/>
        </w:rPr>
        <w:t xml:space="preserve">Safeguard </w:t>
      </w:r>
      <w:r w:rsidR="004031AC">
        <w:rPr>
          <w:b/>
          <w:i/>
        </w:rPr>
        <w:t>Policies (including public consultation)</w:t>
      </w:r>
    </w:p>
    <w:p w:rsidR="004031AC" w:rsidRDefault="004031AC" w:rsidP="004031AC"/>
    <w:p w:rsidR="00917500" w:rsidRDefault="00945894" w:rsidP="00984F7E">
      <w:pPr>
        <w:pStyle w:val="BankNormal"/>
        <w:jc w:val="both"/>
        <w:rPr>
          <w:szCs w:val="24"/>
        </w:rPr>
      </w:pPr>
      <w:r w:rsidRPr="00945894">
        <w:rPr>
          <w:szCs w:val="24"/>
        </w:rPr>
        <w:t xml:space="preserve">In relation to the Additional Financing for component C: Reclamation of Overburden Dump Areas and Component </w:t>
      </w:r>
      <w:r w:rsidR="00E2714B">
        <w:rPr>
          <w:szCs w:val="24"/>
        </w:rPr>
        <w:t>E</w:t>
      </w:r>
      <w:r w:rsidRPr="00945894">
        <w:rPr>
          <w:szCs w:val="24"/>
        </w:rPr>
        <w:t xml:space="preserve">: Removal of Hazardous Chemicals from Kosovo A’s Gasification site: OP4.01 is already triggered for the original </w:t>
      </w:r>
      <w:proofErr w:type="spellStart"/>
      <w:r w:rsidRPr="00945894">
        <w:rPr>
          <w:szCs w:val="24"/>
        </w:rPr>
        <w:t>CRLP</w:t>
      </w:r>
      <w:proofErr w:type="spellEnd"/>
      <w:r w:rsidRPr="00945894">
        <w:rPr>
          <w:szCs w:val="24"/>
        </w:rPr>
        <w:t xml:space="preserve"> which is a category </w:t>
      </w:r>
      <w:proofErr w:type="gramStart"/>
      <w:r w:rsidRPr="00945894">
        <w:rPr>
          <w:szCs w:val="24"/>
        </w:rPr>
        <w:t>A</w:t>
      </w:r>
      <w:proofErr w:type="gramEnd"/>
      <w:r w:rsidRPr="00945894">
        <w:rPr>
          <w:szCs w:val="24"/>
        </w:rPr>
        <w:t xml:space="preserve"> activity. The additional activities foreseen to be implemented by </w:t>
      </w:r>
      <w:proofErr w:type="spellStart"/>
      <w:r w:rsidRPr="00945894">
        <w:rPr>
          <w:szCs w:val="24"/>
        </w:rPr>
        <w:t>KEK</w:t>
      </w:r>
      <w:proofErr w:type="spellEnd"/>
      <w:r w:rsidRPr="00945894">
        <w:rPr>
          <w:szCs w:val="24"/>
        </w:rPr>
        <w:t xml:space="preserve"> are covered under the existing </w:t>
      </w:r>
      <w:proofErr w:type="spellStart"/>
      <w:r w:rsidRPr="00945894">
        <w:rPr>
          <w:szCs w:val="24"/>
        </w:rPr>
        <w:t>ESIA</w:t>
      </w:r>
      <w:proofErr w:type="spellEnd"/>
      <w:r w:rsidRPr="00945894">
        <w:rPr>
          <w:szCs w:val="24"/>
        </w:rPr>
        <w:t xml:space="preserve"> and </w:t>
      </w:r>
      <w:proofErr w:type="spellStart"/>
      <w:r w:rsidRPr="00945894">
        <w:rPr>
          <w:szCs w:val="24"/>
        </w:rPr>
        <w:t>EMP</w:t>
      </w:r>
      <w:proofErr w:type="spellEnd"/>
      <w:r w:rsidRPr="00945894">
        <w:rPr>
          <w:szCs w:val="24"/>
        </w:rPr>
        <w:t xml:space="preserve"> as the additional activities under this additional financing are the same as the original activities, only the quantities are higher than originally estimated. The new Component F: Environmental Monitoring and Management consist </w:t>
      </w:r>
      <w:r>
        <w:rPr>
          <w:szCs w:val="24"/>
        </w:rPr>
        <w:t xml:space="preserve">of the following </w:t>
      </w:r>
      <w:r w:rsidRPr="00945894">
        <w:rPr>
          <w:szCs w:val="24"/>
        </w:rPr>
        <w:t xml:space="preserve">activities, the preparation of a category A- </w:t>
      </w:r>
      <w:proofErr w:type="spellStart"/>
      <w:r w:rsidRPr="00945894">
        <w:rPr>
          <w:szCs w:val="24"/>
        </w:rPr>
        <w:t>ESIA</w:t>
      </w:r>
      <w:proofErr w:type="spellEnd"/>
      <w:r w:rsidRPr="00945894">
        <w:rPr>
          <w:szCs w:val="24"/>
        </w:rPr>
        <w:t xml:space="preserve"> for the proposed Kosovo Power Project and a monitoring contract for the implementation of the Resettlement Action Plan for the </w:t>
      </w:r>
      <w:proofErr w:type="spellStart"/>
      <w:r w:rsidRPr="00945894">
        <w:rPr>
          <w:szCs w:val="24"/>
        </w:rPr>
        <w:t>Shala</w:t>
      </w:r>
      <w:proofErr w:type="spellEnd"/>
      <w:r w:rsidRPr="00945894">
        <w:rPr>
          <w:szCs w:val="24"/>
        </w:rPr>
        <w:t xml:space="preserve"> neighborhood of Hade village</w:t>
      </w:r>
      <w:r w:rsidR="00FE05B6">
        <w:rPr>
          <w:szCs w:val="24"/>
        </w:rPr>
        <w:t>.</w:t>
      </w:r>
      <w:r w:rsidRPr="00945894">
        <w:rPr>
          <w:szCs w:val="24"/>
        </w:rPr>
        <w:t xml:space="preserve"> </w:t>
      </w:r>
    </w:p>
    <w:p w:rsidR="00917500" w:rsidRDefault="00917500" w:rsidP="00917500">
      <w:pPr>
        <w:pStyle w:val="BankNormal"/>
        <w:jc w:val="both"/>
        <w:rPr>
          <w:szCs w:val="24"/>
        </w:rPr>
      </w:pPr>
      <w:r w:rsidRPr="00917500">
        <w:rPr>
          <w:szCs w:val="24"/>
        </w:rPr>
        <w:t>A Resettlement Policy Framework (</w:t>
      </w:r>
      <w:proofErr w:type="spellStart"/>
      <w:r w:rsidRPr="00917500">
        <w:rPr>
          <w:szCs w:val="24"/>
        </w:rPr>
        <w:t>RPF</w:t>
      </w:r>
      <w:proofErr w:type="spellEnd"/>
      <w:r w:rsidRPr="00917500">
        <w:rPr>
          <w:szCs w:val="24"/>
        </w:rPr>
        <w:t>) has been developed by the Government consistent with Bank policies with financing from the now closed Bank financed Lignite Power Technical Assistance Project (</w:t>
      </w:r>
      <w:proofErr w:type="spellStart"/>
      <w:r w:rsidRPr="00917500">
        <w:rPr>
          <w:szCs w:val="24"/>
        </w:rPr>
        <w:t>LPTAP</w:t>
      </w:r>
      <w:proofErr w:type="spellEnd"/>
      <w:r w:rsidRPr="00917500">
        <w:rPr>
          <w:szCs w:val="24"/>
        </w:rPr>
        <w:t xml:space="preserve">), which applies and will apply to all resettlement linked with the proposed Kosovo Power Project.  Based on this </w:t>
      </w:r>
      <w:proofErr w:type="spellStart"/>
      <w:r w:rsidRPr="00917500">
        <w:rPr>
          <w:szCs w:val="24"/>
        </w:rPr>
        <w:t>RPF</w:t>
      </w:r>
      <w:proofErr w:type="spellEnd"/>
      <w:r w:rsidRPr="00917500">
        <w:rPr>
          <w:szCs w:val="24"/>
        </w:rPr>
        <w:t xml:space="preserve">, a Resettlement Action Plan (RAP), also financed through </w:t>
      </w:r>
      <w:proofErr w:type="spellStart"/>
      <w:r w:rsidRPr="00917500">
        <w:rPr>
          <w:szCs w:val="24"/>
        </w:rPr>
        <w:t>LPTAP</w:t>
      </w:r>
      <w:proofErr w:type="spellEnd"/>
      <w:r w:rsidRPr="00917500">
        <w:rPr>
          <w:szCs w:val="24"/>
        </w:rPr>
        <w:t xml:space="preserve">, has been prepared for the </w:t>
      </w:r>
      <w:proofErr w:type="spellStart"/>
      <w:r w:rsidRPr="00917500">
        <w:rPr>
          <w:szCs w:val="24"/>
        </w:rPr>
        <w:t>Shala</w:t>
      </w:r>
      <w:proofErr w:type="spellEnd"/>
      <w:r w:rsidRPr="00917500">
        <w:rPr>
          <w:szCs w:val="24"/>
        </w:rPr>
        <w:t xml:space="preserve"> neighborhood of Hade village, in consultation with the affected communities. The </w:t>
      </w:r>
      <w:proofErr w:type="spellStart"/>
      <w:r w:rsidRPr="00917500">
        <w:rPr>
          <w:szCs w:val="24"/>
        </w:rPr>
        <w:t>Shala</w:t>
      </w:r>
      <w:proofErr w:type="spellEnd"/>
      <w:r w:rsidRPr="00917500">
        <w:rPr>
          <w:szCs w:val="24"/>
        </w:rPr>
        <w:t xml:space="preserve"> neighborhood of Hade village </w:t>
      </w:r>
      <w:r w:rsidR="00FE05B6">
        <w:rPr>
          <w:szCs w:val="24"/>
        </w:rPr>
        <w:t>will be relocated</w:t>
      </w:r>
      <w:r w:rsidRPr="00917500">
        <w:rPr>
          <w:szCs w:val="24"/>
        </w:rPr>
        <w:t xml:space="preserve">, since it is close to the edge of the mine from which extraction of lignite has started by </w:t>
      </w:r>
      <w:proofErr w:type="spellStart"/>
      <w:r w:rsidRPr="00917500">
        <w:rPr>
          <w:szCs w:val="24"/>
        </w:rPr>
        <w:t>KEK</w:t>
      </w:r>
      <w:proofErr w:type="spellEnd"/>
      <w:r w:rsidRPr="00917500">
        <w:rPr>
          <w:szCs w:val="24"/>
        </w:rPr>
        <w:t xml:space="preserve">. The additional financing for the </w:t>
      </w:r>
      <w:proofErr w:type="spellStart"/>
      <w:r w:rsidRPr="00917500">
        <w:rPr>
          <w:szCs w:val="24"/>
        </w:rPr>
        <w:t>CLRP</w:t>
      </w:r>
      <w:proofErr w:type="spellEnd"/>
      <w:r w:rsidRPr="00917500">
        <w:rPr>
          <w:szCs w:val="24"/>
        </w:rPr>
        <w:t xml:space="preserve"> will finance a contract to assist the Hade Project Office under the Ministry of Environment and Spatial Planning to monitor the implementation of the RAP -financed under the </w:t>
      </w:r>
      <w:proofErr w:type="spellStart"/>
      <w:r w:rsidRPr="00917500">
        <w:rPr>
          <w:szCs w:val="24"/>
        </w:rPr>
        <w:t>LPTAP</w:t>
      </w:r>
      <w:proofErr w:type="spellEnd"/>
      <w:r w:rsidRPr="00917500">
        <w:rPr>
          <w:szCs w:val="24"/>
        </w:rPr>
        <w:t xml:space="preserve">. Therefore OP4.12 is triggered for this additional financing. No resettlement was needed for the original </w:t>
      </w:r>
      <w:proofErr w:type="spellStart"/>
      <w:r w:rsidRPr="00917500">
        <w:rPr>
          <w:szCs w:val="24"/>
        </w:rPr>
        <w:t>CLRP</w:t>
      </w:r>
      <w:proofErr w:type="spellEnd"/>
      <w:r w:rsidRPr="00917500">
        <w:rPr>
          <w:szCs w:val="24"/>
        </w:rPr>
        <w:t xml:space="preserve"> and therefore OP4.12 was not triggered for the original project; resettlement is also not required for the activities which are to be financed under the additional financing.</w:t>
      </w:r>
    </w:p>
    <w:p w:rsidR="00945894" w:rsidRPr="00945894" w:rsidRDefault="00945894" w:rsidP="00917500">
      <w:pPr>
        <w:pStyle w:val="BankNormal"/>
        <w:jc w:val="both"/>
        <w:rPr>
          <w:szCs w:val="24"/>
        </w:rPr>
      </w:pPr>
      <w:r w:rsidRPr="00945894">
        <w:rPr>
          <w:szCs w:val="24"/>
        </w:rPr>
        <w:t xml:space="preserve">The draft Terms of Reference for the Environmental and Social Impact Assessment has been disclosed in Kosovo and in the Bank’s </w:t>
      </w:r>
      <w:proofErr w:type="spellStart"/>
      <w:r w:rsidRPr="00945894">
        <w:rPr>
          <w:szCs w:val="24"/>
        </w:rPr>
        <w:t>Infoshop</w:t>
      </w:r>
      <w:proofErr w:type="spellEnd"/>
      <w:r w:rsidRPr="00945894">
        <w:rPr>
          <w:szCs w:val="24"/>
        </w:rPr>
        <w:t xml:space="preserve"> on July 26, 2012. The Ministry of Environment and Spatial Planning has organized the first public consultations on the draft </w:t>
      </w:r>
      <w:proofErr w:type="spellStart"/>
      <w:r w:rsidRPr="00945894">
        <w:rPr>
          <w:szCs w:val="24"/>
        </w:rPr>
        <w:t>ToR</w:t>
      </w:r>
      <w:proofErr w:type="spellEnd"/>
      <w:r w:rsidRPr="00945894">
        <w:rPr>
          <w:szCs w:val="24"/>
        </w:rPr>
        <w:t xml:space="preserve"> on September 13, 2012.</w:t>
      </w:r>
    </w:p>
    <w:p w:rsidR="004031AC" w:rsidRDefault="00945894" w:rsidP="00917500">
      <w:pPr>
        <w:pStyle w:val="BankNormal"/>
        <w:spacing w:after="0"/>
        <w:jc w:val="both"/>
        <w:rPr>
          <w:szCs w:val="24"/>
        </w:rPr>
      </w:pPr>
      <w:r w:rsidRPr="00945894">
        <w:rPr>
          <w:szCs w:val="24"/>
        </w:rPr>
        <w:t>The Environmental and Social Assessment will include a social assessment that will describe the current social and economic impacts of the proposed project on directly- and indirectly-affected communities. This socio-economic information will develop a robust sampling base of the affected population regarding the salient demographic and socio-economic characteristics of the population in the project’s area of influence.   This assessment will include: (</w:t>
      </w:r>
      <w:proofErr w:type="spellStart"/>
      <w:r w:rsidRPr="00945894">
        <w:rPr>
          <w:szCs w:val="24"/>
        </w:rPr>
        <w:t>i</w:t>
      </w:r>
      <w:proofErr w:type="spellEnd"/>
      <w:r w:rsidRPr="00945894">
        <w:rPr>
          <w:szCs w:val="24"/>
        </w:rPr>
        <w:t xml:space="preserve">) anticipated social and economic impacts; (ii) current social and economic baseline characteristics; (iii) assess social and economic impacts; </w:t>
      </w:r>
      <w:proofErr w:type="gramStart"/>
      <w:r w:rsidRPr="00945894">
        <w:rPr>
          <w:szCs w:val="24"/>
        </w:rPr>
        <w:t>(iv) describe</w:t>
      </w:r>
      <w:proofErr w:type="gramEnd"/>
      <w:r w:rsidRPr="00945894">
        <w:rPr>
          <w:szCs w:val="24"/>
        </w:rPr>
        <w:t xml:space="preserve"> measures for mitigation of adverse impacts and enhancement of positive impacts; and (v) identify community development opportunities and priorities.</w:t>
      </w:r>
    </w:p>
    <w:p w:rsidR="00945894" w:rsidRDefault="00945894" w:rsidP="00945894">
      <w:pPr>
        <w:pStyle w:val="BankNormal"/>
        <w:spacing w:after="0"/>
        <w:rPr>
          <w:szCs w:val="24"/>
        </w:rPr>
      </w:pPr>
    </w:p>
    <w:tbl>
      <w:tblPr>
        <w:tblW w:w="0" w:type="auto"/>
        <w:jc w:val="center"/>
        <w:tblInd w:w="-1044" w:type="dxa"/>
        <w:tblBorders>
          <w:top w:val="single" w:sz="12" w:space="0" w:color="auto"/>
          <w:bottom w:val="single" w:sz="12" w:space="0" w:color="auto"/>
        </w:tblBorders>
        <w:tblLayout w:type="fixed"/>
        <w:tblLook w:val="0000"/>
      </w:tblPr>
      <w:tblGrid>
        <w:gridCol w:w="6066"/>
        <w:gridCol w:w="1593"/>
        <w:gridCol w:w="1593"/>
      </w:tblGrid>
      <w:tr w:rsidR="004031AC" w:rsidRPr="00305EC5">
        <w:trPr>
          <w:jc w:val="center"/>
        </w:trPr>
        <w:tc>
          <w:tcPr>
            <w:tcW w:w="6066" w:type="dxa"/>
            <w:tcBorders>
              <w:top w:val="single" w:sz="12" w:space="0" w:color="auto"/>
              <w:bottom w:val="single" w:sz="4" w:space="0" w:color="auto"/>
            </w:tcBorders>
          </w:tcPr>
          <w:p w:rsidR="004031AC" w:rsidRPr="00305EC5" w:rsidRDefault="004031AC" w:rsidP="007136B0">
            <w:pPr>
              <w:rPr>
                <w:b/>
                <w:bCs/>
                <w:sz w:val="20"/>
                <w:szCs w:val="20"/>
              </w:rPr>
            </w:pPr>
            <w:r w:rsidRPr="00305EC5">
              <w:rPr>
                <w:b/>
                <w:bCs/>
              </w:rPr>
              <w:t>Safeguard Policies Triggered by the Project</w:t>
            </w:r>
          </w:p>
        </w:tc>
        <w:tc>
          <w:tcPr>
            <w:tcW w:w="1593" w:type="dxa"/>
            <w:tcBorders>
              <w:top w:val="single" w:sz="12" w:space="0" w:color="auto"/>
              <w:bottom w:val="single" w:sz="4" w:space="0" w:color="auto"/>
            </w:tcBorders>
            <w:vAlign w:val="center"/>
          </w:tcPr>
          <w:p w:rsidR="004031AC" w:rsidRPr="00305EC5" w:rsidRDefault="004031AC" w:rsidP="007136B0">
            <w:pPr>
              <w:jc w:val="center"/>
              <w:rPr>
                <w:sz w:val="20"/>
                <w:szCs w:val="20"/>
              </w:rPr>
            </w:pPr>
            <w:r w:rsidRPr="00305EC5">
              <w:t>Yes</w:t>
            </w:r>
          </w:p>
        </w:tc>
        <w:tc>
          <w:tcPr>
            <w:tcW w:w="1593" w:type="dxa"/>
            <w:tcBorders>
              <w:top w:val="single" w:sz="12" w:space="0" w:color="auto"/>
              <w:bottom w:val="single" w:sz="4" w:space="0" w:color="auto"/>
            </w:tcBorders>
            <w:vAlign w:val="center"/>
          </w:tcPr>
          <w:p w:rsidR="004031AC" w:rsidRPr="00305EC5" w:rsidRDefault="004031AC" w:rsidP="007136B0">
            <w:pPr>
              <w:jc w:val="center"/>
              <w:rPr>
                <w:sz w:val="20"/>
                <w:szCs w:val="20"/>
              </w:rPr>
            </w:pPr>
            <w:r w:rsidRPr="00305EC5">
              <w:t>No</w:t>
            </w:r>
          </w:p>
        </w:tc>
      </w:tr>
      <w:tr w:rsidR="004031AC" w:rsidRPr="00305EC5">
        <w:trPr>
          <w:trHeight w:val="20"/>
          <w:jc w:val="center"/>
        </w:trPr>
        <w:tc>
          <w:tcPr>
            <w:tcW w:w="6066" w:type="dxa"/>
            <w:tcBorders>
              <w:top w:val="single" w:sz="4" w:space="0" w:color="auto"/>
            </w:tcBorders>
            <w:vAlign w:val="center"/>
          </w:tcPr>
          <w:p w:rsidR="004031AC" w:rsidRPr="00305EC5" w:rsidRDefault="00994E35" w:rsidP="007136B0">
            <w:hyperlink r:id="rId7" w:history="1">
              <w:r w:rsidR="004031AC" w:rsidRPr="00305EC5">
                <w:rPr>
                  <w:rStyle w:val="Hyperlink"/>
                </w:rPr>
                <w:t>Environmental Assessment</w:t>
              </w:r>
            </w:hyperlink>
            <w:r w:rsidR="004031AC" w:rsidRPr="00305EC5">
              <w:t xml:space="preserve"> (</w:t>
            </w:r>
            <w:hyperlink r:id="rId8" w:history="1">
              <w:r w:rsidR="004031AC" w:rsidRPr="00305EC5">
                <w:rPr>
                  <w:rStyle w:val="Hyperlink"/>
                </w:rPr>
                <w:t>OP</w:t>
              </w:r>
            </w:hyperlink>
            <w:r w:rsidR="004031AC" w:rsidRPr="00305EC5">
              <w:t>/</w:t>
            </w:r>
            <w:hyperlink r:id="rId9" w:history="1">
              <w:r w:rsidR="004031AC" w:rsidRPr="00305EC5">
                <w:rPr>
                  <w:rStyle w:val="Hyperlink"/>
                </w:rPr>
                <w:t>BP</w:t>
              </w:r>
            </w:hyperlink>
            <w:r w:rsidR="004031AC" w:rsidRPr="00305EC5">
              <w:t>/</w:t>
            </w:r>
            <w:hyperlink r:id="rId10" w:history="1">
              <w:r w:rsidR="004031AC" w:rsidRPr="00305EC5">
                <w:rPr>
                  <w:rStyle w:val="Hyperlink"/>
                </w:rPr>
                <w:t>GP</w:t>
              </w:r>
            </w:hyperlink>
            <w:r w:rsidR="004031AC" w:rsidRPr="00305EC5">
              <w:t xml:space="preserve"> 4.01)</w:t>
            </w:r>
          </w:p>
        </w:tc>
        <w:tc>
          <w:tcPr>
            <w:tcW w:w="1593" w:type="dxa"/>
            <w:tcBorders>
              <w:top w:val="single" w:sz="4" w:space="0" w:color="auto"/>
            </w:tcBorders>
            <w:vAlign w:val="center"/>
          </w:tcPr>
          <w:p w:rsidR="004031AC" w:rsidRPr="00305EC5" w:rsidRDefault="004031AC" w:rsidP="007136B0">
            <w:pPr>
              <w:jc w:val="center"/>
            </w:pPr>
            <w:r w:rsidRPr="00305EC5">
              <w:t>[X]</w:t>
            </w:r>
          </w:p>
        </w:tc>
        <w:tc>
          <w:tcPr>
            <w:tcW w:w="1593" w:type="dxa"/>
            <w:tcBorders>
              <w:top w:val="single" w:sz="4" w:space="0" w:color="auto"/>
            </w:tcBorders>
            <w:vAlign w:val="center"/>
          </w:tcPr>
          <w:p w:rsidR="004031AC" w:rsidRPr="00305EC5" w:rsidRDefault="004031AC" w:rsidP="007136B0">
            <w:pPr>
              <w:jc w:val="center"/>
            </w:pPr>
            <w:r w:rsidRPr="00305EC5">
              <w:t>[ ]</w:t>
            </w:r>
          </w:p>
        </w:tc>
      </w:tr>
      <w:tr w:rsidR="004031AC" w:rsidRPr="00305EC5">
        <w:trPr>
          <w:trHeight w:val="20"/>
          <w:jc w:val="center"/>
        </w:trPr>
        <w:tc>
          <w:tcPr>
            <w:tcW w:w="6066" w:type="dxa"/>
            <w:vAlign w:val="center"/>
          </w:tcPr>
          <w:p w:rsidR="004031AC" w:rsidRPr="00305EC5" w:rsidRDefault="004031AC" w:rsidP="007136B0">
            <w:pPr>
              <w:rPr>
                <w:sz w:val="20"/>
                <w:szCs w:val="20"/>
              </w:rPr>
            </w:pPr>
            <w:r w:rsidRPr="00305EC5">
              <w:t>Natural Habitats (</w:t>
            </w:r>
            <w:hyperlink r:id="rId11" w:history="1">
              <w:r w:rsidRPr="00305EC5">
                <w:rPr>
                  <w:rStyle w:val="Hyperlink"/>
                </w:rPr>
                <w:t>OP</w:t>
              </w:r>
            </w:hyperlink>
            <w:r w:rsidRPr="00305EC5">
              <w:t>/</w:t>
            </w:r>
            <w:hyperlink r:id="rId12" w:history="1">
              <w:r w:rsidRPr="00305EC5">
                <w:rPr>
                  <w:rStyle w:val="Hyperlink"/>
                </w:rPr>
                <w:t>BP</w:t>
              </w:r>
            </w:hyperlink>
            <w:r w:rsidRPr="00305EC5">
              <w:t xml:space="preserve"> 4.04)</w:t>
            </w:r>
          </w:p>
        </w:tc>
        <w:tc>
          <w:tcPr>
            <w:tcW w:w="1593" w:type="dxa"/>
            <w:vAlign w:val="center"/>
          </w:tcPr>
          <w:p w:rsidR="004031AC" w:rsidRPr="00305EC5" w:rsidRDefault="004031AC" w:rsidP="007136B0">
            <w:pPr>
              <w:jc w:val="center"/>
            </w:pPr>
            <w:r w:rsidRPr="00305EC5">
              <w:t>[ ]</w:t>
            </w:r>
          </w:p>
        </w:tc>
        <w:tc>
          <w:tcPr>
            <w:tcW w:w="1593" w:type="dxa"/>
            <w:vAlign w:val="center"/>
          </w:tcPr>
          <w:p w:rsidR="004031AC" w:rsidRPr="00305EC5" w:rsidRDefault="004031AC" w:rsidP="007136B0">
            <w:pPr>
              <w:jc w:val="center"/>
            </w:pPr>
            <w:r w:rsidRPr="00305EC5">
              <w:t>[X]</w:t>
            </w:r>
          </w:p>
        </w:tc>
      </w:tr>
      <w:tr w:rsidR="004031AC" w:rsidRPr="00305EC5">
        <w:trPr>
          <w:trHeight w:val="20"/>
          <w:jc w:val="center"/>
        </w:trPr>
        <w:tc>
          <w:tcPr>
            <w:tcW w:w="6066" w:type="dxa"/>
            <w:vAlign w:val="center"/>
          </w:tcPr>
          <w:p w:rsidR="004031AC" w:rsidRPr="00305EC5" w:rsidRDefault="004031AC" w:rsidP="007136B0">
            <w:pPr>
              <w:rPr>
                <w:sz w:val="20"/>
                <w:szCs w:val="20"/>
              </w:rPr>
            </w:pPr>
            <w:smartTag w:uri="urn:schemas-microsoft-com:office:smarttags" w:element="place">
              <w:r w:rsidRPr="00305EC5">
                <w:t>Pest</w:t>
              </w:r>
            </w:smartTag>
            <w:r w:rsidRPr="00305EC5">
              <w:t xml:space="preserve"> Management (</w:t>
            </w:r>
            <w:hyperlink r:id="rId13" w:history="1">
              <w:r w:rsidRPr="00305EC5">
                <w:rPr>
                  <w:rStyle w:val="Hyperlink"/>
                </w:rPr>
                <w:t>OP 4.09</w:t>
              </w:r>
            </w:hyperlink>
            <w:r w:rsidRPr="00305EC5">
              <w:t>)</w:t>
            </w:r>
          </w:p>
        </w:tc>
        <w:tc>
          <w:tcPr>
            <w:tcW w:w="1593" w:type="dxa"/>
            <w:vAlign w:val="center"/>
          </w:tcPr>
          <w:p w:rsidR="004031AC" w:rsidRPr="00305EC5" w:rsidRDefault="004031AC" w:rsidP="007136B0">
            <w:pPr>
              <w:jc w:val="center"/>
            </w:pPr>
            <w:r w:rsidRPr="00305EC5">
              <w:t>[ ]</w:t>
            </w:r>
          </w:p>
        </w:tc>
        <w:tc>
          <w:tcPr>
            <w:tcW w:w="1593" w:type="dxa"/>
            <w:vAlign w:val="center"/>
          </w:tcPr>
          <w:p w:rsidR="004031AC" w:rsidRPr="00305EC5" w:rsidRDefault="004031AC" w:rsidP="007136B0">
            <w:pPr>
              <w:jc w:val="center"/>
            </w:pPr>
            <w:r w:rsidRPr="00305EC5">
              <w:t>[X]</w:t>
            </w:r>
          </w:p>
        </w:tc>
      </w:tr>
      <w:tr w:rsidR="004031AC" w:rsidRPr="00305EC5">
        <w:trPr>
          <w:trHeight w:val="20"/>
          <w:jc w:val="center"/>
        </w:trPr>
        <w:tc>
          <w:tcPr>
            <w:tcW w:w="6066" w:type="dxa"/>
            <w:vAlign w:val="center"/>
          </w:tcPr>
          <w:p w:rsidR="004031AC" w:rsidRPr="00305EC5" w:rsidRDefault="004031AC" w:rsidP="007136B0">
            <w:pPr>
              <w:rPr>
                <w:sz w:val="20"/>
                <w:szCs w:val="20"/>
              </w:rPr>
            </w:pPr>
            <w:r w:rsidRPr="00305EC5">
              <w:t>Cultural Property (</w:t>
            </w:r>
            <w:proofErr w:type="spellStart"/>
            <w:r w:rsidR="00994E35">
              <w:fldChar w:fldCharType="begin"/>
            </w:r>
            <w:r w:rsidR="00000904">
              <w:instrText>HYPERLINK "http://wbln0011.worldbank.org/Institutional/Manuals/OpManual.nsf/tocall/55FA484A98BC2E68852567CC005BCBDB?OpenDocument"</w:instrText>
            </w:r>
            <w:r w:rsidR="00994E35">
              <w:fldChar w:fldCharType="separate"/>
            </w:r>
            <w:r w:rsidRPr="00305EC5">
              <w:rPr>
                <w:rStyle w:val="Hyperlink"/>
              </w:rPr>
              <w:t>OPN</w:t>
            </w:r>
            <w:proofErr w:type="spellEnd"/>
            <w:r w:rsidRPr="00305EC5">
              <w:rPr>
                <w:rStyle w:val="Hyperlink"/>
              </w:rPr>
              <w:t xml:space="preserve"> 11.03</w:t>
            </w:r>
            <w:r w:rsidR="00994E35">
              <w:fldChar w:fldCharType="end"/>
            </w:r>
            <w:r w:rsidRPr="00305EC5">
              <w:t>, being revised as OP 4.11)</w:t>
            </w:r>
          </w:p>
        </w:tc>
        <w:tc>
          <w:tcPr>
            <w:tcW w:w="1593" w:type="dxa"/>
            <w:vAlign w:val="center"/>
          </w:tcPr>
          <w:p w:rsidR="004031AC" w:rsidRPr="00305EC5" w:rsidRDefault="004031AC" w:rsidP="007136B0">
            <w:pPr>
              <w:jc w:val="center"/>
            </w:pPr>
            <w:r w:rsidRPr="00305EC5">
              <w:t>[ ]</w:t>
            </w:r>
          </w:p>
        </w:tc>
        <w:tc>
          <w:tcPr>
            <w:tcW w:w="1593" w:type="dxa"/>
            <w:vAlign w:val="center"/>
          </w:tcPr>
          <w:p w:rsidR="004031AC" w:rsidRPr="00305EC5" w:rsidRDefault="004031AC" w:rsidP="007136B0">
            <w:pPr>
              <w:jc w:val="center"/>
            </w:pPr>
            <w:r w:rsidRPr="00305EC5">
              <w:t>[X]</w:t>
            </w:r>
          </w:p>
        </w:tc>
      </w:tr>
      <w:tr w:rsidR="004031AC" w:rsidRPr="00305EC5">
        <w:trPr>
          <w:trHeight w:val="387"/>
          <w:jc w:val="center"/>
        </w:trPr>
        <w:tc>
          <w:tcPr>
            <w:tcW w:w="6066" w:type="dxa"/>
            <w:vAlign w:val="center"/>
          </w:tcPr>
          <w:p w:rsidR="004031AC" w:rsidRPr="00305EC5" w:rsidRDefault="004031AC" w:rsidP="007136B0">
            <w:pPr>
              <w:rPr>
                <w:sz w:val="20"/>
                <w:szCs w:val="20"/>
              </w:rPr>
            </w:pPr>
            <w:r w:rsidRPr="00305EC5">
              <w:t>Involuntary Resettlement (</w:t>
            </w:r>
            <w:hyperlink r:id="rId14" w:history="1">
              <w:r w:rsidRPr="00305EC5">
                <w:rPr>
                  <w:rStyle w:val="Hyperlink"/>
                </w:rPr>
                <w:t>OP</w:t>
              </w:r>
            </w:hyperlink>
            <w:r w:rsidRPr="00305EC5">
              <w:t>/</w:t>
            </w:r>
            <w:hyperlink r:id="rId15" w:history="1">
              <w:r w:rsidRPr="00305EC5">
                <w:rPr>
                  <w:rStyle w:val="Hyperlink"/>
                </w:rPr>
                <w:t>BP</w:t>
              </w:r>
            </w:hyperlink>
            <w:r w:rsidRPr="00305EC5">
              <w:t xml:space="preserve"> 4.12)</w:t>
            </w:r>
          </w:p>
        </w:tc>
        <w:tc>
          <w:tcPr>
            <w:tcW w:w="1593" w:type="dxa"/>
            <w:vAlign w:val="center"/>
          </w:tcPr>
          <w:p w:rsidR="004031AC" w:rsidRPr="00305EC5" w:rsidRDefault="004031AC" w:rsidP="007136B0">
            <w:pPr>
              <w:jc w:val="center"/>
            </w:pPr>
            <w:r w:rsidRPr="00305EC5">
              <w:t>[</w:t>
            </w:r>
            <w:r w:rsidR="0003390B">
              <w:t>X</w:t>
            </w:r>
            <w:r w:rsidRPr="00305EC5">
              <w:t>]</w:t>
            </w:r>
          </w:p>
        </w:tc>
        <w:tc>
          <w:tcPr>
            <w:tcW w:w="1593" w:type="dxa"/>
            <w:vAlign w:val="center"/>
          </w:tcPr>
          <w:p w:rsidR="004031AC" w:rsidRPr="00305EC5" w:rsidRDefault="004031AC" w:rsidP="0003390B">
            <w:pPr>
              <w:jc w:val="center"/>
            </w:pPr>
            <w:r w:rsidRPr="00305EC5">
              <w:t>[</w:t>
            </w:r>
            <w:r w:rsidR="0003390B">
              <w:t xml:space="preserve"> </w:t>
            </w:r>
            <w:r w:rsidRPr="00305EC5">
              <w:t>]</w:t>
            </w:r>
          </w:p>
        </w:tc>
      </w:tr>
      <w:tr w:rsidR="004031AC" w:rsidRPr="00305EC5">
        <w:trPr>
          <w:trHeight w:val="20"/>
          <w:jc w:val="center"/>
        </w:trPr>
        <w:tc>
          <w:tcPr>
            <w:tcW w:w="6066" w:type="dxa"/>
            <w:vAlign w:val="center"/>
          </w:tcPr>
          <w:p w:rsidR="004031AC" w:rsidRPr="00305EC5" w:rsidRDefault="004031AC" w:rsidP="007136B0">
            <w:pPr>
              <w:rPr>
                <w:sz w:val="20"/>
                <w:szCs w:val="20"/>
              </w:rPr>
            </w:pPr>
            <w:r w:rsidRPr="00305EC5">
              <w:lastRenderedPageBreak/>
              <w:t>Indigenous Peoples (</w:t>
            </w:r>
            <w:hyperlink r:id="rId16" w:history="1">
              <w:r w:rsidRPr="00305EC5">
                <w:rPr>
                  <w:rStyle w:val="Hyperlink"/>
                </w:rPr>
                <w:t>OD 4.20</w:t>
              </w:r>
            </w:hyperlink>
            <w:r w:rsidRPr="00305EC5">
              <w:t>, being revised as OP 4.10)</w:t>
            </w:r>
          </w:p>
        </w:tc>
        <w:tc>
          <w:tcPr>
            <w:tcW w:w="1593" w:type="dxa"/>
            <w:vAlign w:val="center"/>
          </w:tcPr>
          <w:p w:rsidR="004031AC" w:rsidRPr="00305EC5" w:rsidRDefault="004031AC" w:rsidP="007136B0">
            <w:pPr>
              <w:jc w:val="center"/>
            </w:pPr>
            <w:r w:rsidRPr="00305EC5">
              <w:t>[ ]</w:t>
            </w:r>
          </w:p>
        </w:tc>
        <w:tc>
          <w:tcPr>
            <w:tcW w:w="1593" w:type="dxa"/>
            <w:vAlign w:val="center"/>
          </w:tcPr>
          <w:p w:rsidR="004031AC" w:rsidRPr="00305EC5" w:rsidRDefault="004031AC" w:rsidP="007136B0">
            <w:pPr>
              <w:jc w:val="center"/>
            </w:pPr>
            <w:r w:rsidRPr="00305EC5">
              <w:t>[X]</w:t>
            </w:r>
          </w:p>
        </w:tc>
      </w:tr>
      <w:tr w:rsidR="004031AC" w:rsidRPr="00305EC5">
        <w:trPr>
          <w:trHeight w:val="20"/>
          <w:jc w:val="center"/>
        </w:trPr>
        <w:tc>
          <w:tcPr>
            <w:tcW w:w="6066" w:type="dxa"/>
            <w:vAlign w:val="center"/>
          </w:tcPr>
          <w:p w:rsidR="004031AC" w:rsidRPr="00305EC5" w:rsidRDefault="004031AC" w:rsidP="007136B0">
            <w:pPr>
              <w:rPr>
                <w:sz w:val="20"/>
                <w:szCs w:val="20"/>
              </w:rPr>
            </w:pPr>
            <w:r w:rsidRPr="00305EC5">
              <w:t>Forests (</w:t>
            </w:r>
            <w:hyperlink r:id="rId17" w:history="1">
              <w:r w:rsidRPr="00305EC5">
                <w:rPr>
                  <w:rStyle w:val="Hyperlink"/>
                </w:rPr>
                <w:t>OP</w:t>
              </w:r>
            </w:hyperlink>
            <w:r w:rsidRPr="00305EC5">
              <w:t>/</w:t>
            </w:r>
            <w:hyperlink r:id="rId18" w:history="1">
              <w:r w:rsidRPr="00305EC5">
                <w:rPr>
                  <w:rStyle w:val="Hyperlink"/>
                </w:rPr>
                <w:t>BP</w:t>
              </w:r>
            </w:hyperlink>
            <w:r w:rsidRPr="00305EC5">
              <w:t xml:space="preserve"> 4.36)</w:t>
            </w:r>
          </w:p>
        </w:tc>
        <w:tc>
          <w:tcPr>
            <w:tcW w:w="1593" w:type="dxa"/>
            <w:vAlign w:val="center"/>
          </w:tcPr>
          <w:p w:rsidR="004031AC" w:rsidRPr="00305EC5" w:rsidRDefault="004031AC" w:rsidP="007136B0">
            <w:pPr>
              <w:jc w:val="center"/>
            </w:pPr>
            <w:r w:rsidRPr="00305EC5">
              <w:t>[ ]</w:t>
            </w:r>
          </w:p>
        </w:tc>
        <w:tc>
          <w:tcPr>
            <w:tcW w:w="1593" w:type="dxa"/>
            <w:vAlign w:val="center"/>
          </w:tcPr>
          <w:p w:rsidR="004031AC" w:rsidRPr="00305EC5" w:rsidRDefault="004031AC" w:rsidP="007136B0">
            <w:pPr>
              <w:jc w:val="center"/>
            </w:pPr>
            <w:r w:rsidRPr="00305EC5">
              <w:t>[X]</w:t>
            </w:r>
          </w:p>
        </w:tc>
      </w:tr>
      <w:tr w:rsidR="004031AC" w:rsidRPr="00305EC5">
        <w:trPr>
          <w:trHeight w:val="20"/>
          <w:jc w:val="center"/>
        </w:trPr>
        <w:tc>
          <w:tcPr>
            <w:tcW w:w="6066" w:type="dxa"/>
            <w:vAlign w:val="center"/>
          </w:tcPr>
          <w:p w:rsidR="004031AC" w:rsidRPr="00305EC5" w:rsidRDefault="004031AC" w:rsidP="007136B0">
            <w:pPr>
              <w:rPr>
                <w:sz w:val="20"/>
                <w:szCs w:val="20"/>
              </w:rPr>
            </w:pPr>
            <w:r w:rsidRPr="00305EC5">
              <w:t>Safety of Dams (</w:t>
            </w:r>
            <w:hyperlink r:id="rId19" w:history="1">
              <w:r w:rsidRPr="00305EC5">
                <w:rPr>
                  <w:rStyle w:val="Hyperlink"/>
                </w:rPr>
                <w:t>OP</w:t>
              </w:r>
            </w:hyperlink>
            <w:r w:rsidRPr="00305EC5">
              <w:t>/</w:t>
            </w:r>
            <w:hyperlink r:id="rId20" w:history="1">
              <w:r w:rsidRPr="00305EC5">
                <w:rPr>
                  <w:rStyle w:val="Hyperlink"/>
                </w:rPr>
                <w:t>BP</w:t>
              </w:r>
            </w:hyperlink>
            <w:r w:rsidRPr="00305EC5">
              <w:t xml:space="preserve"> 4.37)</w:t>
            </w:r>
          </w:p>
        </w:tc>
        <w:tc>
          <w:tcPr>
            <w:tcW w:w="1593" w:type="dxa"/>
            <w:vAlign w:val="center"/>
          </w:tcPr>
          <w:p w:rsidR="004031AC" w:rsidRPr="00305EC5" w:rsidRDefault="004031AC" w:rsidP="007136B0">
            <w:pPr>
              <w:jc w:val="center"/>
            </w:pPr>
            <w:r w:rsidRPr="00305EC5">
              <w:t>[ ]</w:t>
            </w:r>
          </w:p>
        </w:tc>
        <w:tc>
          <w:tcPr>
            <w:tcW w:w="1593" w:type="dxa"/>
            <w:vAlign w:val="center"/>
          </w:tcPr>
          <w:p w:rsidR="004031AC" w:rsidRPr="00305EC5" w:rsidRDefault="004031AC" w:rsidP="007136B0">
            <w:pPr>
              <w:jc w:val="center"/>
            </w:pPr>
            <w:r w:rsidRPr="00305EC5">
              <w:t>[X]</w:t>
            </w:r>
          </w:p>
        </w:tc>
      </w:tr>
      <w:tr w:rsidR="004031AC" w:rsidRPr="00305EC5">
        <w:trPr>
          <w:trHeight w:val="20"/>
          <w:jc w:val="center"/>
        </w:trPr>
        <w:tc>
          <w:tcPr>
            <w:tcW w:w="6066" w:type="dxa"/>
            <w:vAlign w:val="center"/>
          </w:tcPr>
          <w:p w:rsidR="004031AC" w:rsidRPr="00305EC5" w:rsidRDefault="004031AC" w:rsidP="007136B0">
            <w:pPr>
              <w:rPr>
                <w:sz w:val="20"/>
                <w:szCs w:val="20"/>
              </w:rPr>
            </w:pPr>
            <w:r w:rsidRPr="00305EC5">
              <w:t>Projects in Disputed Areas (</w:t>
            </w:r>
            <w:hyperlink r:id="rId21" w:history="1">
              <w:r w:rsidRPr="00305EC5">
                <w:rPr>
                  <w:rStyle w:val="Hyperlink"/>
                </w:rPr>
                <w:t>OP</w:t>
              </w:r>
            </w:hyperlink>
            <w:r w:rsidRPr="00305EC5">
              <w:t>/</w:t>
            </w:r>
            <w:hyperlink r:id="rId22" w:history="1">
              <w:r w:rsidRPr="00305EC5">
                <w:rPr>
                  <w:rStyle w:val="Hyperlink"/>
                </w:rPr>
                <w:t>BP</w:t>
              </w:r>
            </w:hyperlink>
            <w:r w:rsidRPr="00305EC5">
              <w:t>/</w:t>
            </w:r>
            <w:hyperlink r:id="rId23" w:history="1">
              <w:r w:rsidRPr="00305EC5">
                <w:rPr>
                  <w:rStyle w:val="Hyperlink"/>
                </w:rPr>
                <w:t>GP</w:t>
              </w:r>
            </w:hyperlink>
            <w:r w:rsidRPr="00305EC5">
              <w:t xml:space="preserve"> 7.60)</w:t>
            </w:r>
            <w:r w:rsidRPr="00305EC5">
              <w:rPr>
                <w:rStyle w:val="FootnoteReference"/>
              </w:rPr>
              <w:footnoteReference w:customMarkFollows="1" w:id="2"/>
              <w:t>*</w:t>
            </w:r>
          </w:p>
        </w:tc>
        <w:tc>
          <w:tcPr>
            <w:tcW w:w="1593" w:type="dxa"/>
            <w:vAlign w:val="center"/>
          </w:tcPr>
          <w:p w:rsidR="004031AC" w:rsidRPr="00305EC5" w:rsidRDefault="004031AC" w:rsidP="007136B0">
            <w:pPr>
              <w:jc w:val="center"/>
            </w:pPr>
            <w:r w:rsidRPr="00305EC5">
              <w:t>[ ]</w:t>
            </w:r>
          </w:p>
        </w:tc>
        <w:tc>
          <w:tcPr>
            <w:tcW w:w="1593" w:type="dxa"/>
            <w:vAlign w:val="center"/>
          </w:tcPr>
          <w:p w:rsidR="004031AC" w:rsidRPr="00305EC5" w:rsidRDefault="004031AC" w:rsidP="007136B0">
            <w:pPr>
              <w:jc w:val="center"/>
            </w:pPr>
            <w:r w:rsidRPr="00305EC5">
              <w:t>[X]</w:t>
            </w:r>
          </w:p>
        </w:tc>
      </w:tr>
      <w:tr w:rsidR="004031AC" w:rsidRPr="00305EC5">
        <w:trPr>
          <w:trHeight w:val="20"/>
          <w:jc w:val="center"/>
        </w:trPr>
        <w:tc>
          <w:tcPr>
            <w:tcW w:w="6066" w:type="dxa"/>
            <w:vAlign w:val="center"/>
          </w:tcPr>
          <w:p w:rsidR="004031AC" w:rsidRPr="00305EC5" w:rsidRDefault="004031AC" w:rsidP="007136B0">
            <w:pPr>
              <w:rPr>
                <w:sz w:val="20"/>
                <w:szCs w:val="20"/>
              </w:rPr>
            </w:pPr>
            <w:r w:rsidRPr="00305EC5">
              <w:t>Projects on International Waterways (</w:t>
            </w:r>
            <w:hyperlink r:id="rId24" w:history="1">
              <w:r w:rsidRPr="00305EC5">
                <w:rPr>
                  <w:rStyle w:val="Hyperlink"/>
                </w:rPr>
                <w:t>OP</w:t>
              </w:r>
            </w:hyperlink>
            <w:r w:rsidRPr="00305EC5">
              <w:t>/</w:t>
            </w:r>
            <w:hyperlink r:id="rId25" w:history="1">
              <w:r w:rsidRPr="00305EC5">
                <w:rPr>
                  <w:rStyle w:val="Hyperlink"/>
                </w:rPr>
                <w:t>BP</w:t>
              </w:r>
            </w:hyperlink>
            <w:r w:rsidRPr="00305EC5">
              <w:t>/</w:t>
            </w:r>
            <w:hyperlink r:id="rId26" w:history="1">
              <w:r w:rsidRPr="00305EC5">
                <w:rPr>
                  <w:rStyle w:val="Hyperlink"/>
                </w:rPr>
                <w:t>GP</w:t>
              </w:r>
            </w:hyperlink>
            <w:r w:rsidRPr="00305EC5">
              <w:t xml:space="preserve"> 7.50)</w:t>
            </w:r>
          </w:p>
        </w:tc>
        <w:tc>
          <w:tcPr>
            <w:tcW w:w="1593" w:type="dxa"/>
            <w:vAlign w:val="center"/>
          </w:tcPr>
          <w:p w:rsidR="004031AC" w:rsidRPr="00305EC5" w:rsidRDefault="004031AC" w:rsidP="007136B0">
            <w:pPr>
              <w:jc w:val="center"/>
            </w:pPr>
            <w:r w:rsidRPr="00305EC5">
              <w:t>[ ]</w:t>
            </w:r>
          </w:p>
        </w:tc>
        <w:tc>
          <w:tcPr>
            <w:tcW w:w="1593" w:type="dxa"/>
            <w:vAlign w:val="center"/>
          </w:tcPr>
          <w:p w:rsidR="004031AC" w:rsidRPr="00305EC5" w:rsidRDefault="004031AC" w:rsidP="007136B0">
            <w:pPr>
              <w:jc w:val="center"/>
            </w:pPr>
            <w:r w:rsidRPr="00305EC5">
              <w:t>[X]</w:t>
            </w:r>
          </w:p>
        </w:tc>
      </w:tr>
    </w:tbl>
    <w:p w:rsidR="004031AC" w:rsidRDefault="004031AC" w:rsidP="004031AC">
      <w:pPr>
        <w:ind w:left="360"/>
        <w:rPr>
          <w:b/>
          <w:i/>
        </w:rPr>
      </w:pPr>
    </w:p>
    <w:p w:rsidR="004031AC" w:rsidRDefault="004A3D1C" w:rsidP="004A3D1C">
      <w:pPr>
        <w:rPr>
          <w:b/>
          <w:i/>
        </w:rPr>
      </w:pPr>
      <w:r>
        <w:rPr>
          <w:b/>
          <w:i/>
        </w:rPr>
        <w:t xml:space="preserve">10. </w:t>
      </w:r>
      <w:r w:rsidR="004031AC">
        <w:rPr>
          <w:b/>
          <w:i/>
        </w:rPr>
        <w:t xml:space="preserve">  List of Factual Technical Documents</w:t>
      </w:r>
    </w:p>
    <w:p w:rsidR="004031AC" w:rsidRPr="00097495" w:rsidRDefault="00097495" w:rsidP="00097495">
      <w:pPr>
        <w:numPr>
          <w:ilvl w:val="0"/>
          <w:numId w:val="1"/>
        </w:numPr>
        <w:rPr>
          <w:b/>
          <w:i/>
        </w:rPr>
      </w:pPr>
      <w:r>
        <w:t>Project Appraisal Document; Kosovo Energy Sector Clean-up and Land Reclamation Project, 2006</w:t>
      </w:r>
    </w:p>
    <w:p w:rsidR="00097495" w:rsidRPr="00097495" w:rsidRDefault="00097495" w:rsidP="00097495">
      <w:pPr>
        <w:numPr>
          <w:ilvl w:val="0"/>
          <w:numId w:val="1"/>
        </w:numPr>
        <w:rPr>
          <w:b/>
          <w:i/>
        </w:rPr>
      </w:pPr>
      <w:r>
        <w:t xml:space="preserve">Project Paper; Kosovo Energy Sector Clean-up and Land Reclamation Project, </w:t>
      </w:r>
      <w:r w:rsidR="00984F7E">
        <w:t xml:space="preserve">Additional Financing, </w:t>
      </w:r>
      <w:r>
        <w:t>2007</w:t>
      </w:r>
    </w:p>
    <w:p w:rsidR="00097495" w:rsidRDefault="00984F7E" w:rsidP="00097495">
      <w:pPr>
        <w:numPr>
          <w:ilvl w:val="0"/>
          <w:numId w:val="1"/>
        </w:numPr>
        <w:rPr>
          <w:b/>
          <w:i/>
        </w:rPr>
      </w:pPr>
      <w:r>
        <w:t>Project Paper, Restructuring Kosovo Energy Sector Clean-up and Land Reclamation Project, 2009</w:t>
      </w:r>
    </w:p>
    <w:p w:rsidR="00097495" w:rsidRPr="00917E64" w:rsidRDefault="00097495" w:rsidP="004031AC">
      <w:pPr>
        <w:rPr>
          <w:b/>
          <w:i/>
        </w:rPr>
      </w:pPr>
    </w:p>
    <w:p w:rsidR="004031AC" w:rsidRDefault="00984F7E" w:rsidP="004031AC">
      <w:pPr>
        <w:rPr>
          <w:b/>
          <w:bCs/>
        </w:rPr>
      </w:pPr>
      <w:r>
        <w:rPr>
          <w:b/>
          <w:bCs/>
        </w:rPr>
        <w:br w:type="page"/>
      </w:r>
    </w:p>
    <w:p w:rsidR="004031AC" w:rsidRPr="00003978" w:rsidRDefault="004031AC" w:rsidP="004031AC">
      <w:pPr>
        <w:rPr>
          <w:b/>
          <w:i/>
          <w:lang w:val="nl-NL"/>
        </w:rPr>
      </w:pPr>
      <w:r w:rsidRPr="00003978">
        <w:rPr>
          <w:b/>
          <w:i/>
          <w:lang w:val="nl-NL"/>
        </w:rPr>
        <w:lastRenderedPageBreak/>
        <w:t>11.   Contact point</w:t>
      </w:r>
    </w:p>
    <w:p w:rsidR="004031AC" w:rsidRPr="0047484A" w:rsidRDefault="004031AC" w:rsidP="004031AC">
      <w:pPr>
        <w:rPr>
          <w:lang w:val="nl-NL"/>
        </w:rPr>
      </w:pPr>
      <w:r w:rsidRPr="0047484A">
        <w:rPr>
          <w:lang w:val="nl-NL"/>
        </w:rPr>
        <w:t xml:space="preserve">Contact: </w:t>
      </w:r>
      <w:r w:rsidR="0003390B" w:rsidRPr="0047484A">
        <w:rPr>
          <w:lang w:val="nl-NL"/>
        </w:rPr>
        <w:t xml:space="preserve"> Katelijn van den Berg</w:t>
      </w:r>
    </w:p>
    <w:p w:rsidR="004031AC" w:rsidRPr="00003978" w:rsidRDefault="004031AC" w:rsidP="004031AC">
      <w:r w:rsidRPr="00003978">
        <w:t>Title: S</w:t>
      </w:r>
      <w:r w:rsidR="00FE05B6">
        <w:t>enio</w:t>
      </w:r>
      <w:r w:rsidRPr="00003978">
        <w:t xml:space="preserve">r </w:t>
      </w:r>
      <w:r w:rsidR="0003390B" w:rsidRPr="00003978">
        <w:t>Environmental Economist</w:t>
      </w:r>
    </w:p>
    <w:p w:rsidR="004031AC" w:rsidRDefault="0003390B" w:rsidP="004031AC">
      <w:r>
        <w:t>Tel:</w:t>
      </w:r>
      <w:r w:rsidR="00FE05B6">
        <w:t xml:space="preserve"> +1 </w:t>
      </w:r>
      <w:r>
        <w:t>(202) 478-5743</w:t>
      </w:r>
    </w:p>
    <w:p w:rsidR="004031AC" w:rsidRDefault="004031AC" w:rsidP="004031AC">
      <w:r>
        <w:t xml:space="preserve">Fax: </w:t>
      </w:r>
      <w:r w:rsidR="00FE05B6">
        <w:t xml:space="preserve"> + 1 (202) 5220895</w:t>
      </w:r>
    </w:p>
    <w:p w:rsidR="004031AC" w:rsidRDefault="004031AC" w:rsidP="004031AC">
      <w:r>
        <w:t xml:space="preserve">Email: </w:t>
      </w:r>
      <w:hyperlink r:id="rId27" w:history="1">
        <w:r w:rsidR="0003390B" w:rsidRPr="00C06F3D">
          <w:rPr>
            <w:rStyle w:val="Hyperlink"/>
          </w:rPr>
          <w:t>kvandenberg@worldbank.org</w:t>
        </w:r>
      </w:hyperlink>
    </w:p>
    <w:p w:rsidR="00C62221" w:rsidRDefault="00C62221" w:rsidP="004031AC">
      <w:r>
        <w:t>1818 H Street, NW</w:t>
      </w:r>
      <w:r>
        <w:br/>
        <w:t>Washington DC</w:t>
      </w:r>
      <w:r w:rsidR="009B60CB">
        <w:t xml:space="preserve">, </w:t>
      </w:r>
      <w:r>
        <w:t>20433, U.S.A.</w:t>
      </w:r>
    </w:p>
    <w:p w:rsidR="00C62221" w:rsidRDefault="00C62221" w:rsidP="004031AC"/>
    <w:p w:rsidR="00D80BA3" w:rsidRDefault="00D80BA3" w:rsidP="00D80BA3">
      <w:r>
        <w:t>Contact: Kosovo Energy Corporation</w:t>
      </w:r>
    </w:p>
    <w:p w:rsidR="00D80BA3" w:rsidRDefault="00D80BA3" w:rsidP="00D80BA3">
      <w:r>
        <w:t xml:space="preserve">Ms </w:t>
      </w:r>
      <w:proofErr w:type="spellStart"/>
      <w:r>
        <w:t>Mimoza</w:t>
      </w:r>
      <w:proofErr w:type="spellEnd"/>
      <w:r>
        <w:t xml:space="preserve"> </w:t>
      </w:r>
      <w:proofErr w:type="spellStart"/>
      <w:r>
        <w:t>Dugolli</w:t>
      </w:r>
      <w:proofErr w:type="spellEnd"/>
    </w:p>
    <w:p w:rsidR="00D80BA3" w:rsidRDefault="00D80BA3" w:rsidP="00D80BA3">
      <w:r>
        <w:t xml:space="preserve">Project Management Unit Director, </w:t>
      </w:r>
      <w:proofErr w:type="spellStart"/>
      <w:r>
        <w:t>CRLP</w:t>
      </w:r>
      <w:proofErr w:type="spellEnd"/>
    </w:p>
    <w:p w:rsidR="00D80BA3" w:rsidRDefault="00D80BA3" w:rsidP="00D80BA3">
      <w:r>
        <w:t>Tel</w:t>
      </w:r>
      <w:r>
        <w:t>:</w:t>
      </w:r>
      <w:r>
        <w:t xml:space="preserve"> </w:t>
      </w:r>
      <w:r>
        <w:t>+386 49 790 437</w:t>
      </w:r>
    </w:p>
    <w:p w:rsidR="00D80BA3" w:rsidRDefault="00D80BA3" w:rsidP="004031AC">
      <w:r>
        <w:t xml:space="preserve">Email: </w:t>
      </w:r>
      <w:hyperlink r:id="rId28" w:history="1">
        <w:r w:rsidRPr="00145983">
          <w:rPr>
            <w:rStyle w:val="Hyperlink"/>
          </w:rPr>
          <w:t>mimoza.dugolli@kek-energy.com</w:t>
        </w:r>
      </w:hyperlink>
    </w:p>
    <w:p w:rsidR="0087223A" w:rsidRDefault="0087223A" w:rsidP="0087223A">
      <w:proofErr w:type="spellStart"/>
      <w:r>
        <w:t>Bulevardi</w:t>
      </w:r>
      <w:proofErr w:type="spellEnd"/>
      <w:r>
        <w:t xml:space="preserve"> Bill </w:t>
      </w:r>
      <w:proofErr w:type="spellStart"/>
      <w:r>
        <w:t>Klinton</w:t>
      </w:r>
      <w:proofErr w:type="spellEnd"/>
      <w:r>
        <w:t xml:space="preserve"> no. 3</w:t>
      </w:r>
    </w:p>
    <w:p w:rsidR="00D80BA3" w:rsidRDefault="0087223A" w:rsidP="0087223A">
      <w:proofErr w:type="spellStart"/>
      <w:r>
        <w:t>Prishtina</w:t>
      </w:r>
      <w:proofErr w:type="spellEnd"/>
      <w:r>
        <w:t xml:space="preserve"> 10</w:t>
      </w:r>
      <w:r>
        <w:t>000</w:t>
      </w:r>
    </w:p>
    <w:p w:rsidR="0087223A" w:rsidRDefault="0087223A" w:rsidP="0087223A">
      <w:r>
        <w:t>Kosovo</w:t>
      </w:r>
    </w:p>
    <w:p w:rsidR="00423EAE" w:rsidRDefault="00423EAE" w:rsidP="004031AC"/>
    <w:p w:rsidR="00D80BA3" w:rsidRDefault="00D80BA3" w:rsidP="004031AC">
      <w:r>
        <w:t>Contact: Ministry of Environment and Spatial Planning</w:t>
      </w:r>
    </w:p>
    <w:p w:rsidR="00D80BA3" w:rsidRDefault="00D80BA3" w:rsidP="00D80BA3">
      <w:proofErr w:type="spellStart"/>
      <w:r>
        <w:t>Mr</w:t>
      </w:r>
      <w:proofErr w:type="spellEnd"/>
      <w:r>
        <w:t xml:space="preserve"> </w:t>
      </w:r>
      <w:proofErr w:type="spellStart"/>
      <w:r>
        <w:t>Arben</w:t>
      </w:r>
      <w:proofErr w:type="spellEnd"/>
      <w:r>
        <w:t xml:space="preserve"> </w:t>
      </w:r>
      <w:proofErr w:type="spellStart"/>
      <w:r>
        <w:t>Citaku</w:t>
      </w:r>
      <w:proofErr w:type="spellEnd"/>
      <w:r>
        <w:t>, Permanent Secretary</w:t>
      </w:r>
    </w:p>
    <w:p w:rsidR="00D80BA3" w:rsidRDefault="00D80BA3" w:rsidP="00D80BA3">
      <w:r>
        <w:t>Telephone No.: +381(0) 517 638 / ext 32 307</w:t>
      </w:r>
    </w:p>
    <w:p w:rsidR="00D80BA3" w:rsidRDefault="00D80BA3" w:rsidP="00D80BA3">
      <w:proofErr w:type="gramStart"/>
      <w:r>
        <w:t>Email :</w:t>
      </w:r>
      <w:proofErr w:type="gramEnd"/>
      <w:r>
        <w:t xml:space="preserve"> </w:t>
      </w:r>
      <w:hyperlink r:id="rId29" w:history="1">
        <w:r w:rsidRPr="00145983">
          <w:rPr>
            <w:rStyle w:val="Hyperlink"/>
          </w:rPr>
          <w:t>arben.citaku@ks-gov.net</w:t>
        </w:r>
      </w:hyperlink>
    </w:p>
    <w:p w:rsidR="00FB327A" w:rsidRDefault="00FB327A" w:rsidP="00D80BA3">
      <w:r w:rsidRPr="00FB327A">
        <w:t>Str. “</w:t>
      </w:r>
      <w:proofErr w:type="spellStart"/>
      <w:r w:rsidRPr="00FB327A">
        <w:t>Pashko</w:t>
      </w:r>
      <w:proofErr w:type="spellEnd"/>
      <w:r w:rsidRPr="00FB327A">
        <w:t xml:space="preserve"> </w:t>
      </w:r>
      <w:proofErr w:type="spellStart"/>
      <w:r w:rsidRPr="00FB327A">
        <w:t>Vasa</w:t>
      </w:r>
      <w:proofErr w:type="spellEnd"/>
      <w:r w:rsidRPr="00FB327A">
        <w:t xml:space="preserve">”, former </w:t>
      </w:r>
      <w:proofErr w:type="spellStart"/>
      <w:r w:rsidRPr="00FB327A">
        <w:t>Rilindja</w:t>
      </w:r>
      <w:proofErr w:type="spellEnd"/>
      <w:r w:rsidRPr="00FB327A">
        <w:t xml:space="preserve"> building</w:t>
      </w:r>
    </w:p>
    <w:p w:rsidR="002956A6" w:rsidRDefault="002956A6" w:rsidP="00D80BA3">
      <w:proofErr w:type="spellStart"/>
      <w:r>
        <w:t>Prishtina</w:t>
      </w:r>
      <w:proofErr w:type="spellEnd"/>
      <w:r w:rsidR="0087223A">
        <w:t xml:space="preserve"> 10000</w:t>
      </w:r>
    </w:p>
    <w:p w:rsidR="002956A6" w:rsidRDefault="002956A6" w:rsidP="00D80BA3">
      <w:r>
        <w:t>Kosovo</w:t>
      </w:r>
    </w:p>
    <w:p w:rsidR="00D80BA3" w:rsidRDefault="00D80BA3" w:rsidP="00D80BA3"/>
    <w:p w:rsidR="004031AC" w:rsidRDefault="004031AC" w:rsidP="004031AC"/>
    <w:p w:rsidR="004031AC" w:rsidRDefault="004031AC" w:rsidP="004031AC"/>
    <w:p w:rsidR="004A3D1C" w:rsidRPr="004A3D1C" w:rsidRDefault="004A3D1C" w:rsidP="004A3D1C">
      <w:pPr>
        <w:rPr>
          <w:b/>
        </w:rPr>
      </w:pPr>
      <w:r w:rsidRPr="004A3D1C">
        <w:rPr>
          <w:b/>
        </w:rPr>
        <w:t xml:space="preserve">12. </w:t>
      </w:r>
      <w:proofErr w:type="gramStart"/>
      <w:r w:rsidRPr="004A3D1C">
        <w:rPr>
          <w:b/>
        </w:rPr>
        <w:t>For</w:t>
      </w:r>
      <w:proofErr w:type="gramEnd"/>
      <w:r w:rsidRPr="004A3D1C">
        <w:rPr>
          <w:b/>
        </w:rPr>
        <w:t xml:space="preserve"> more information contact:</w:t>
      </w:r>
    </w:p>
    <w:p w:rsidR="004A3D1C" w:rsidRDefault="004A3D1C" w:rsidP="004A3D1C">
      <w:pPr>
        <w:ind w:left="720"/>
      </w:pPr>
      <w:r>
        <w:t xml:space="preserve">The </w:t>
      </w:r>
      <w:proofErr w:type="spellStart"/>
      <w:r>
        <w:t>InfoShop</w:t>
      </w:r>
      <w:proofErr w:type="spellEnd"/>
    </w:p>
    <w:p w:rsidR="004A3D1C" w:rsidRDefault="004A3D1C" w:rsidP="004A3D1C">
      <w:pPr>
        <w:ind w:left="720"/>
      </w:pPr>
      <w:r>
        <w:t>The World Bank</w:t>
      </w:r>
    </w:p>
    <w:p w:rsidR="004A3D1C" w:rsidRDefault="004A3D1C" w:rsidP="004A3D1C">
      <w:pPr>
        <w:ind w:left="720"/>
      </w:pPr>
      <w:smartTag w:uri="urn:schemas-microsoft-com:office:smarttags" w:element="Street">
        <w:smartTag w:uri="urn:schemas-microsoft-com:office:smarttags" w:element="address">
          <w:r>
            <w:t>1818 H Street, NW</w:t>
          </w:r>
        </w:smartTag>
      </w:smartTag>
    </w:p>
    <w:p w:rsidR="004A3D1C" w:rsidRDefault="004A3D1C" w:rsidP="004A3D1C">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4A3D1C" w:rsidRDefault="004A3D1C" w:rsidP="004A3D1C">
      <w:pPr>
        <w:ind w:left="720"/>
      </w:pPr>
      <w:r>
        <w:t>Telephone:  (202) 458-4500</w:t>
      </w:r>
    </w:p>
    <w:p w:rsidR="004A3D1C" w:rsidRDefault="004A3D1C" w:rsidP="004A3D1C">
      <w:pPr>
        <w:ind w:left="720"/>
      </w:pPr>
      <w:r>
        <w:t>Fax:  (202) 522-1500</w:t>
      </w:r>
    </w:p>
    <w:p w:rsidR="004A3D1C" w:rsidRPr="00681AD4" w:rsidRDefault="004A3D1C" w:rsidP="004A3D1C">
      <w:pPr>
        <w:ind w:left="720"/>
      </w:pPr>
      <w:r>
        <w:t xml:space="preserve">Email: </w:t>
      </w:r>
      <w:r w:rsidRPr="00681AD4">
        <w:t>pic@worldbank.org</w:t>
      </w:r>
    </w:p>
    <w:p w:rsidR="004A3D1C" w:rsidRDefault="004A3D1C" w:rsidP="004A3D1C">
      <w:pPr>
        <w:ind w:left="720"/>
      </w:pPr>
      <w:r>
        <w:t>Web: http://www.worldbank.org/infoshop</w:t>
      </w:r>
    </w:p>
    <w:p w:rsidR="004031AC" w:rsidRDefault="004031AC" w:rsidP="004A3D1C"/>
    <w:p w:rsidR="00FB37E8" w:rsidRDefault="00FB37E8"/>
    <w:sectPr w:rsidR="00FB37E8" w:rsidSect="000009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17" w:rsidRDefault="002A6E17">
      <w:r>
        <w:separator/>
      </w:r>
    </w:p>
  </w:endnote>
  <w:endnote w:type="continuationSeparator" w:id="0">
    <w:p w:rsidR="002A6E17" w:rsidRDefault="002A6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17" w:rsidRDefault="002A6E17">
      <w:r>
        <w:separator/>
      </w:r>
    </w:p>
  </w:footnote>
  <w:footnote w:type="continuationSeparator" w:id="0">
    <w:p w:rsidR="002A6E17" w:rsidRDefault="002A6E17">
      <w:r>
        <w:continuationSeparator/>
      </w:r>
    </w:p>
  </w:footnote>
  <w:footnote w:id="1">
    <w:p w:rsidR="0081253D" w:rsidRDefault="0081253D" w:rsidP="0081253D">
      <w:pPr>
        <w:pStyle w:val="FootnoteText"/>
      </w:pPr>
      <w:r>
        <w:rPr>
          <w:rStyle w:val="FootnoteReference"/>
        </w:rPr>
        <w:footnoteRef/>
      </w:r>
      <w:r>
        <w:t xml:space="preserve"> A marginal abatement cost curve or MAC curve is a set of options available to an economy to reduce pollution starting with the measure which has the lowest costs and then ranking the abatement costs for pollution reduction in accordance with their marginal costs. Typically, MAC curves cover emissions reduction opportunities across a number of sectors in an economy including power, industry, waste, buildings, transport, agriculture, and forestry.</w:t>
      </w:r>
    </w:p>
    <w:p w:rsidR="0081253D" w:rsidRDefault="0081253D" w:rsidP="0081253D">
      <w:pPr>
        <w:pStyle w:val="FootnoteText"/>
      </w:pPr>
    </w:p>
  </w:footnote>
  <w:footnote w:id="2">
    <w:p w:rsidR="004031AC" w:rsidRPr="00305EC5" w:rsidRDefault="004031AC" w:rsidP="004031A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F2D686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40DB2"/>
    <w:multiLevelType w:val="hybridMultilevel"/>
    <w:tmpl w:val="E86658CA"/>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36E59"/>
    <w:multiLevelType w:val="hybridMultilevel"/>
    <w:tmpl w:val="B05E712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17D4F"/>
    <w:multiLevelType w:val="hybridMultilevel"/>
    <w:tmpl w:val="1668E4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9312756"/>
    <w:multiLevelType w:val="hybridMultilevel"/>
    <w:tmpl w:val="88C43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4E5889"/>
    <w:multiLevelType w:val="hybridMultilevel"/>
    <w:tmpl w:val="7BA87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4031AC"/>
    <w:rsid w:val="00000904"/>
    <w:rsid w:val="00003978"/>
    <w:rsid w:val="00023400"/>
    <w:rsid w:val="0003390B"/>
    <w:rsid w:val="000808DB"/>
    <w:rsid w:val="00086D96"/>
    <w:rsid w:val="00097495"/>
    <w:rsid w:val="000E7983"/>
    <w:rsid w:val="002151BC"/>
    <w:rsid w:val="002956A6"/>
    <w:rsid w:val="002A6E17"/>
    <w:rsid w:val="00337F28"/>
    <w:rsid w:val="00363A63"/>
    <w:rsid w:val="0036535D"/>
    <w:rsid w:val="00387CA4"/>
    <w:rsid w:val="003A4718"/>
    <w:rsid w:val="004031AC"/>
    <w:rsid w:val="00423EAE"/>
    <w:rsid w:val="00433078"/>
    <w:rsid w:val="0047484A"/>
    <w:rsid w:val="004A3D1C"/>
    <w:rsid w:val="004D474E"/>
    <w:rsid w:val="00504424"/>
    <w:rsid w:val="00534892"/>
    <w:rsid w:val="005757C4"/>
    <w:rsid w:val="005962E5"/>
    <w:rsid w:val="005D48CD"/>
    <w:rsid w:val="007136B0"/>
    <w:rsid w:val="0081253D"/>
    <w:rsid w:val="008359A8"/>
    <w:rsid w:val="00850C2D"/>
    <w:rsid w:val="0087223A"/>
    <w:rsid w:val="008D6917"/>
    <w:rsid w:val="00917500"/>
    <w:rsid w:val="00945894"/>
    <w:rsid w:val="00984F7E"/>
    <w:rsid w:val="00994E35"/>
    <w:rsid w:val="009B60CB"/>
    <w:rsid w:val="009C2D58"/>
    <w:rsid w:val="00A2121B"/>
    <w:rsid w:val="00AA6E1B"/>
    <w:rsid w:val="00B22B3C"/>
    <w:rsid w:val="00B720A2"/>
    <w:rsid w:val="00BD0C82"/>
    <w:rsid w:val="00C62221"/>
    <w:rsid w:val="00C775FD"/>
    <w:rsid w:val="00D80BA3"/>
    <w:rsid w:val="00DD6DC7"/>
    <w:rsid w:val="00DE1048"/>
    <w:rsid w:val="00E244F1"/>
    <w:rsid w:val="00E2714B"/>
    <w:rsid w:val="00E851F4"/>
    <w:rsid w:val="00F16AA1"/>
    <w:rsid w:val="00FB327A"/>
    <w:rsid w:val="00FB37E8"/>
    <w:rsid w:val="00FE05B6"/>
    <w:rsid w:val="00FF2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1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31AC"/>
    <w:pPr>
      <w:spacing w:after="240"/>
    </w:pPr>
    <w:rPr>
      <w:szCs w:val="20"/>
    </w:rPr>
  </w:style>
  <w:style w:type="character" w:styleId="FootnoteReference">
    <w:name w:val="footnote reference"/>
    <w:basedOn w:val="DefaultParagraphFont"/>
    <w:uiPriority w:val="99"/>
    <w:semiHidden/>
    <w:rsid w:val="004031AC"/>
    <w:rPr>
      <w:vertAlign w:val="superscript"/>
    </w:rPr>
  </w:style>
  <w:style w:type="paragraph" w:styleId="FootnoteText">
    <w:name w:val="footnote text"/>
    <w:aliases w:val="Geneva 9,Font: Geneva 9,Boston 10,f,single space,footnote text,fn,FOOTNOTES"/>
    <w:basedOn w:val="Normal"/>
    <w:link w:val="FootnoteTextChar"/>
    <w:uiPriority w:val="99"/>
    <w:rsid w:val="004031AC"/>
    <w:rPr>
      <w:sz w:val="20"/>
      <w:szCs w:val="20"/>
    </w:rPr>
  </w:style>
  <w:style w:type="character" w:styleId="Hyperlink">
    <w:name w:val="Hyperlink"/>
    <w:basedOn w:val="DefaultParagraphFont"/>
    <w:rsid w:val="004031AC"/>
    <w:rPr>
      <w:color w:val="0000FF"/>
      <w:u w:val="single"/>
    </w:rPr>
  </w:style>
  <w:style w:type="paragraph" w:customStyle="1" w:styleId="Default">
    <w:name w:val="Default"/>
    <w:rsid w:val="005962E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851F4"/>
    <w:rPr>
      <w:rFonts w:ascii="Tahoma" w:hAnsi="Tahoma" w:cs="Tahoma"/>
      <w:sz w:val="16"/>
      <w:szCs w:val="16"/>
    </w:rPr>
  </w:style>
  <w:style w:type="character" w:customStyle="1" w:styleId="BalloonTextChar">
    <w:name w:val="Balloon Text Char"/>
    <w:basedOn w:val="DefaultParagraphFont"/>
    <w:link w:val="BalloonText"/>
    <w:rsid w:val="00E851F4"/>
    <w:rPr>
      <w:rFonts w:ascii="Tahoma" w:hAnsi="Tahoma" w:cs="Tahoma"/>
      <w:sz w:val="16"/>
      <w:szCs w:val="16"/>
    </w:rPr>
  </w:style>
  <w:style w:type="character" w:styleId="CommentReference">
    <w:name w:val="annotation reference"/>
    <w:basedOn w:val="DefaultParagraphFont"/>
    <w:rsid w:val="00E851F4"/>
    <w:rPr>
      <w:sz w:val="16"/>
      <w:szCs w:val="16"/>
    </w:rPr>
  </w:style>
  <w:style w:type="paragraph" w:styleId="CommentText">
    <w:name w:val="annotation text"/>
    <w:basedOn w:val="Normal"/>
    <w:link w:val="CommentTextChar"/>
    <w:rsid w:val="00E851F4"/>
    <w:rPr>
      <w:sz w:val="20"/>
      <w:szCs w:val="20"/>
    </w:rPr>
  </w:style>
  <w:style w:type="character" w:customStyle="1" w:styleId="CommentTextChar">
    <w:name w:val="Comment Text Char"/>
    <w:basedOn w:val="DefaultParagraphFont"/>
    <w:link w:val="CommentText"/>
    <w:rsid w:val="00E851F4"/>
  </w:style>
  <w:style w:type="paragraph" w:styleId="CommentSubject">
    <w:name w:val="annotation subject"/>
    <w:basedOn w:val="CommentText"/>
    <w:next w:val="CommentText"/>
    <w:link w:val="CommentSubjectChar"/>
    <w:rsid w:val="00E851F4"/>
    <w:rPr>
      <w:b/>
      <w:bCs/>
    </w:rPr>
  </w:style>
  <w:style w:type="character" w:customStyle="1" w:styleId="CommentSubjectChar">
    <w:name w:val="Comment Subject Char"/>
    <w:basedOn w:val="CommentTextChar"/>
    <w:link w:val="CommentSubject"/>
    <w:rsid w:val="00E851F4"/>
    <w:rPr>
      <w:b/>
      <w:bCs/>
    </w:rPr>
  </w:style>
  <w:style w:type="character" w:customStyle="1" w:styleId="FootnoteTextChar">
    <w:name w:val="Footnote Text Char"/>
    <w:aliases w:val="Geneva 9 Char,Font: Geneva 9 Char,Boston 10 Char,f Char,single space Char,footnote text Char,fn Char,FOOTNOTES Char"/>
    <w:basedOn w:val="DefaultParagraphFont"/>
    <w:link w:val="FootnoteText"/>
    <w:uiPriority w:val="99"/>
    <w:rsid w:val="00812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bln0011.worldbank.org/Institutional/Manuals/OpManual.nsf/OPolw/9367A2A9D9DAEED38525672C007D0972?OpenDocument" TargetMode="External"/><Relationship Id="rId13" Type="http://schemas.openxmlformats.org/officeDocument/2006/relationships/hyperlink" Target="http://wbln0011.worldbank.org/Institutional/Manuals/OpManual.nsf/OPolw/665DA6CA847982168525672C007D07A3?OpenDocument" TargetMode="External"/><Relationship Id="rId18" Type="http://schemas.openxmlformats.org/officeDocument/2006/relationships/hyperlink" Target="http://wbln0011.worldbank.org/Institutional/Manuals/OpManual.nsf/GPraw/97FA41A3D754DE318525672C007D07EB?OpenDocument" TargetMode="External"/><Relationship Id="rId26" Type="http://schemas.openxmlformats.org/officeDocument/2006/relationships/hyperlink" Target="http://wbln0011.worldbank.org/Institutional/Manuals/OpManual.nsf/GPraw/CC209CF484469D2C8525672C007D07EE?OpenDocument" TargetMode="External"/><Relationship Id="rId3" Type="http://schemas.openxmlformats.org/officeDocument/2006/relationships/settings" Target="settings.xml"/><Relationship Id="rId21" Type="http://schemas.openxmlformats.org/officeDocument/2006/relationships/hyperlink" Target="http://wbln0011.worldbank.org/Institutional/Manuals/OpManual.nsf/OPolw/72CC6840FC533D508525672C007D076B?OpenDocument" TargetMode="External"/><Relationship Id="rId7" Type="http://schemas.openxmlformats.org/officeDocument/2006/relationships/hyperlink" Target="http://www.worldbank.org/environmentalassessment" TargetMode="External"/><Relationship Id="rId12" Type="http://schemas.openxmlformats.org/officeDocument/2006/relationships/hyperlink" Target="http://wbln0011.worldbank.org/Institutional/Manuals/OpManual.nsf/BProw/62B0042EF3FBA64D8525672C007D0773?OpenDocument" TargetMode="External"/><Relationship Id="rId17" Type="http://schemas.openxmlformats.org/officeDocument/2006/relationships/hyperlink" Target="http://wbln0011.worldbank.org/Institutional/Manuals/OpManual.nsf/OPolw/C972D5438F4D1FB78525672C007D077A?OpenDocument" TargetMode="External"/><Relationship Id="rId25" Type="http://schemas.openxmlformats.org/officeDocument/2006/relationships/hyperlink" Target="http://wbln0011.worldbank.org/Institutional/Manuals/OpManual.nsf/BProw/47D35C1186367F338525672C007D07AE?OpenDocument" TargetMode="External"/><Relationship Id="rId2" Type="http://schemas.openxmlformats.org/officeDocument/2006/relationships/styles" Target="styles.xml"/><Relationship Id="rId16" Type="http://schemas.openxmlformats.org/officeDocument/2006/relationships/hyperlink" Target="http://wbln0011.worldbank.org/Institutional/Manuals/OpManual.nsf/bytype/0F7D6F3F04DD70398525672C007D08ED?OpenDocument" TargetMode="External"/><Relationship Id="rId20" Type="http://schemas.openxmlformats.org/officeDocument/2006/relationships/hyperlink" Target="http://wbln0011.worldbank.org/Institutional/Manuals/OpManual.nsf/BProw/D3448207C94C92628525672C007D0733?OpenDocument" TargetMode="External"/><Relationship Id="rId29" Type="http://schemas.openxmlformats.org/officeDocument/2006/relationships/hyperlink" Target="mailto:arben.citaku@ks-gov.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ln0011.worldbank.org/Institutional/Manuals/OpManual.nsf/OPolw/71432937FA0B753F8525672C007D07AA?OpenDocument" TargetMode="External"/><Relationship Id="rId24" Type="http://schemas.openxmlformats.org/officeDocument/2006/relationships/hyperlink" Target="http://wbln0011.worldbank.org/Institutional/Manuals/OpManual.nsf/OPolw/5F511C57E7F3A3DD8525672C007D07A2?OpenDocument" TargetMode="External"/><Relationship Id="rId5" Type="http://schemas.openxmlformats.org/officeDocument/2006/relationships/footnotes" Target="footnotes.xml"/><Relationship Id="rId15" Type="http://schemas.openxmlformats.org/officeDocument/2006/relationships/hyperlink" Target="http://wbln0011.worldbank.org/Institutional/Manuals/OpManual.nsf/bytype/383197ED73D421A385256B180072D46D?OpenDocument" TargetMode="External"/><Relationship Id="rId23" Type="http://schemas.openxmlformats.org/officeDocument/2006/relationships/hyperlink" Target="http://wbln0011.worldbank.org/Institutional/Manuals/OpManual.nsf/GPraw/C6B0F62BE7A10B338525672C007D078B?OpenDocument" TargetMode="External"/><Relationship Id="rId28" Type="http://schemas.openxmlformats.org/officeDocument/2006/relationships/hyperlink" Target="mailto:mimoza.dugolli@kek-energy.com" TargetMode="External"/><Relationship Id="rId10" Type="http://schemas.openxmlformats.org/officeDocument/2006/relationships/hyperlink" Target="http://lnweb18.worldbank.org/ESSD/envext.nsf/47ByDocName/EnvironmentalAssessment" TargetMode="External"/><Relationship Id="rId19" Type="http://schemas.openxmlformats.org/officeDocument/2006/relationships/hyperlink" Target="http://wbln0011.worldbank.org/Institutional/Manuals/OpManual.nsf/OPolw/C12766B6C9D109548525672C007D07B9?OpenDocume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bln0011.worldbank.org/Institutional/Manuals/OpManual.nsf/BProw/C4241D657823FD818525672C007D096E?OpenDocument" TargetMode="External"/><Relationship Id="rId14" Type="http://schemas.openxmlformats.org/officeDocument/2006/relationships/hyperlink" Target="http://wbln0011.worldbank.org/Institutional/Manuals/OpManual.nsf/bytype/AA37778A8BCF64A585256B1800645AC5?OpenDocument" TargetMode="External"/><Relationship Id="rId22" Type="http://schemas.openxmlformats.org/officeDocument/2006/relationships/hyperlink" Target="http://wbln0011.worldbank.org/Institutional/Manuals/OpManual.nsf/BProw/5DB8B30312AD33108525672C007D0788?OpenDocument" TargetMode="External"/><Relationship Id="rId27" Type="http://schemas.openxmlformats.org/officeDocument/2006/relationships/hyperlink" Target="mailto:kvandenberg@worldbank.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2984</Words>
  <Characters>19779</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The World Bank Group</Company>
  <LinksUpToDate>false</LinksUpToDate>
  <CharactersWithSpaces>22718</CharactersWithSpaces>
  <SharedDoc>false</SharedDoc>
  <HLinks>
    <vt:vector size="132" baseType="variant">
      <vt:variant>
        <vt:i4>196660</vt:i4>
      </vt:variant>
      <vt:variant>
        <vt:i4>63</vt:i4>
      </vt:variant>
      <vt:variant>
        <vt:i4>0</vt:i4>
      </vt:variant>
      <vt:variant>
        <vt:i4>5</vt:i4>
      </vt:variant>
      <vt:variant>
        <vt:lpwstr>mailto:kvandenberg@worldbank.org</vt:lpwstr>
      </vt:variant>
      <vt:variant>
        <vt:lpwstr/>
      </vt:variant>
      <vt:variant>
        <vt:i4>1179655</vt:i4>
      </vt:variant>
      <vt:variant>
        <vt:i4>60</vt:i4>
      </vt:variant>
      <vt:variant>
        <vt:i4>0</vt:i4>
      </vt:variant>
      <vt:variant>
        <vt:i4>5</vt:i4>
      </vt:variant>
      <vt:variant>
        <vt:lpwstr>http://wbln0011.worldbank.org/Institutional/Manuals/OpManual.nsf/GPraw/CC209CF484469D2C8525672C007D07EE?OpenDocument</vt:lpwstr>
      </vt:variant>
      <vt:variant>
        <vt:lpwstr/>
      </vt:variant>
      <vt:variant>
        <vt:i4>4259851</vt:i4>
      </vt:variant>
      <vt:variant>
        <vt:i4>57</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54</vt:i4>
      </vt:variant>
      <vt:variant>
        <vt:i4>0</vt:i4>
      </vt:variant>
      <vt:variant>
        <vt:i4>5</vt:i4>
      </vt:variant>
      <vt:variant>
        <vt:lpwstr>http://wbln0011.worldbank.org/Institutional/Manuals/OpManual.nsf/OPolw/5F511C57E7F3A3DD8525672C007D07A2?OpenDocument</vt:lpwstr>
      </vt:variant>
      <vt:variant>
        <vt:lpwstr/>
      </vt:variant>
      <vt:variant>
        <vt:i4>1310724</vt:i4>
      </vt:variant>
      <vt:variant>
        <vt:i4>51</vt:i4>
      </vt:variant>
      <vt:variant>
        <vt:i4>0</vt:i4>
      </vt:variant>
      <vt:variant>
        <vt:i4>5</vt:i4>
      </vt:variant>
      <vt:variant>
        <vt:lpwstr>http://wbln0011.worldbank.org/Institutional/Manuals/OpManual.nsf/GPraw/C6B0F62BE7A10B338525672C007D078B?OpenDocument</vt:lpwstr>
      </vt:variant>
      <vt:variant>
        <vt:lpwstr/>
      </vt:variant>
      <vt:variant>
        <vt:i4>1310812</vt:i4>
      </vt:variant>
      <vt:variant>
        <vt:i4>48</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45</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42</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39</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36</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33</vt:i4>
      </vt:variant>
      <vt:variant>
        <vt:i4>0</vt:i4>
      </vt:variant>
      <vt:variant>
        <vt:i4>5</vt:i4>
      </vt:variant>
      <vt:variant>
        <vt:lpwstr>http://wbln0011.worldbank.org/Institutional/Manuals/OpManual.nsf/OPolw/C972D5438F4D1FB78525672C007D077A?OpenDocument</vt:lpwstr>
      </vt:variant>
      <vt:variant>
        <vt:lpwstr/>
      </vt:variant>
      <vt:variant>
        <vt:i4>5177425</vt:i4>
      </vt:variant>
      <vt:variant>
        <vt:i4>30</vt:i4>
      </vt:variant>
      <vt:variant>
        <vt:i4>0</vt:i4>
      </vt:variant>
      <vt:variant>
        <vt:i4>5</vt:i4>
      </vt:variant>
      <vt:variant>
        <vt:lpwstr>http://wbln0011.worldbank.org/Institutional/Manuals/OpManual.nsf/bytype/0F7D6F3F04DD70398525672C007D08ED?OpenDocument</vt:lpwstr>
      </vt:variant>
      <vt:variant>
        <vt:lpwstr/>
      </vt:variant>
      <vt:variant>
        <vt:i4>2031707</vt:i4>
      </vt:variant>
      <vt:variant>
        <vt:i4>27</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24</vt:i4>
      </vt:variant>
      <vt:variant>
        <vt:i4>0</vt:i4>
      </vt:variant>
      <vt:variant>
        <vt:i4>5</vt:i4>
      </vt:variant>
      <vt:variant>
        <vt:lpwstr>http://wbln0011.worldbank.org/Institutional/Manuals/OpManual.nsf/bytype/AA37778A8BCF64A585256B1800645AC5?OpenDocument</vt:lpwstr>
      </vt:variant>
      <vt:variant>
        <vt:lpwstr/>
      </vt:variant>
      <vt:variant>
        <vt:i4>5767177</vt:i4>
      </vt:variant>
      <vt:variant>
        <vt:i4>21</vt:i4>
      </vt:variant>
      <vt:variant>
        <vt:i4>0</vt:i4>
      </vt:variant>
      <vt:variant>
        <vt:i4>5</vt:i4>
      </vt:variant>
      <vt:variant>
        <vt:lpwstr>http://wbln0011.worldbank.org/Institutional/Manuals/OpManual.nsf/tocall/55FA484A98BC2E68852567CC005BCBDB?OpenDocument</vt:lpwstr>
      </vt:variant>
      <vt:variant>
        <vt:lpwstr/>
      </vt:variant>
      <vt:variant>
        <vt:i4>852049</vt:i4>
      </vt:variant>
      <vt:variant>
        <vt:i4>18</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15</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12</vt:i4>
      </vt:variant>
      <vt:variant>
        <vt:i4>0</vt:i4>
      </vt:variant>
      <vt:variant>
        <vt:i4>5</vt:i4>
      </vt:variant>
      <vt:variant>
        <vt:lpwstr>http://wbln0011.worldbank.org/Institutional/Manuals/OpManual.nsf/OPolw/71432937FA0B753F8525672C007D07AA?OpenDocument</vt:lpwstr>
      </vt:variant>
      <vt:variant>
        <vt:lpwstr/>
      </vt:variant>
      <vt:variant>
        <vt:i4>1310730</vt:i4>
      </vt:variant>
      <vt:variant>
        <vt:i4>9</vt:i4>
      </vt:variant>
      <vt:variant>
        <vt:i4>0</vt:i4>
      </vt:variant>
      <vt:variant>
        <vt:i4>5</vt:i4>
      </vt:variant>
      <vt:variant>
        <vt:lpwstr>http://lnweb18.worldbank.org/ESSD/envext.nsf/47ByDocName/EnvironmentalAssessment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wb76335</dc:creator>
  <cp:lastModifiedBy>wb221748</cp:lastModifiedBy>
  <cp:revision>11</cp:revision>
  <cp:lastPrinted>2013-01-28T18:25:00Z</cp:lastPrinted>
  <dcterms:created xsi:type="dcterms:W3CDTF">2013-02-28T16:44:00Z</dcterms:created>
  <dcterms:modified xsi:type="dcterms:W3CDTF">2013-02-28T17:18:00Z</dcterms:modified>
</cp:coreProperties>
</file>