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1B94" w14:textId="11C8F2F3" w:rsidR="00945D32" w:rsidRDefault="008404A3" w:rsidP="00945D32">
      <w:pPr>
        <w:jc w:val="center"/>
        <w:rPr>
          <w:rFonts w:cstheme="minorHAnsi"/>
          <w:b/>
        </w:rPr>
      </w:pPr>
      <w:r w:rsidRPr="00E92B8F">
        <w:rPr>
          <w:rFonts w:cstheme="minorHAnsi"/>
          <w:b/>
        </w:rPr>
        <w:t>TERMS OF REFERENCE</w:t>
      </w:r>
    </w:p>
    <w:p w14:paraId="17661B7A" w14:textId="07CD5955" w:rsidR="002A3276" w:rsidRPr="00E92B8F" w:rsidRDefault="002A3276" w:rsidP="00945D32">
      <w:pPr>
        <w:jc w:val="center"/>
        <w:rPr>
          <w:rFonts w:cstheme="minorHAnsi"/>
          <w:b/>
        </w:rPr>
      </w:pPr>
      <w:r>
        <w:rPr>
          <w:rFonts w:cstheme="minorHAnsi"/>
          <w:b/>
        </w:rPr>
        <w:t>INEY IPF Component</w:t>
      </w:r>
    </w:p>
    <w:p w14:paraId="181FE5D1" w14:textId="77777777" w:rsidR="00945D32" w:rsidRPr="00E92B8F" w:rsidRDefault="00945D32" w:rsidP="00945D32">
      <w:pPr>
        <w:jc w:val="center"/>
        <w:rPr>
          <w:rFonts w:cstheme="minorHAnsi"/>
          <w:b/>
        </w:rPr>
      </w:pPr>
      <w:bookmarkStart w:id="0" w:name="_GoBack"/>
      <w:r w:rsidRPr="00E92B8F">
        <w:rPr>
          <w:rFonts w:cstheme="minorHAnsi"/>
          <w:b/>
        </w:rPr>
        <w:t xml:space="preserve">Strengthening National and Subnational Capacity </w:t>
      </w:r>
    </w:p>
    <w:bookmarkEnd w:id="0"/>
    <w:p w14:paraId="1AC04FBB" w14:textId="13308F55" w:rsidR="00324B2A" w:rsidRPr="00E92B8F" w:rsidRDefault="00945D32" w:rsidP="00945D32">
      <w:pPr>
        <w:jc w:val="center"/>
        <w:rPr>
          <w:rFonts w:cstheme="minorHAnsi"/>
          <w:b/>
        </w:rPr>
      </w:pPr>
      <w:r w:rsidRPr="00E92B8F">
        <w:rPr>
          <w:rFonts w:cstheme="minorHAnsi"/>
          <w:b/>
        </w:rPr>
        <w:t xml:space="preserve">to Implement the </w:t>
      </w:r>
      <w:r w:rsidR="002A3276">
        <w:rPr>
          <w:rFonts w:cstheme="minorHAnsi"/>
          <w:b/>
        </w:rPr>
        <w:t xml:space="preserve">National Strategy to Accelerate </w:t>
      </w:r>
      <w:r w:rsidRPr="00E92B8F">
        <w:rPr>
          <w:rFonts w:cstheme="minorHAnsi"/>
          <w:b/>
        </w:rPr>
        <w:t xml:space="preserve">Stunting Reduction </w:t>
      </w:r>
      <w:r w:rsidR="002A3276">
        <w:rPr>
          <w:rFonts w:cstheme="minorHAnsi"/>
          <w:b/>
        </w:rPr>
        <w:t>(StratNas Stunting)</w:t>
      </w:r>
    </w:p>
    <w:p w14:paraId="5EBF7360" w14:textId="77777777" w:rsidR="00945D32" w:rsidRPr="00E92B8F" w:rsidRDefault="00945D32" w:rsidP="00945D32">
      <w:pPr>
        <w:rPr>
          <w:rFonts w:cstheme="minorHAnsi"/>
        </w:rPr>
      </w:pPr>
    </w:p>
    <w:p w14:paraId="71BA1DC9" w14:textId="77777777" w:rsidR="00945D32" w:rsidRPr="00E92B8F" w:rsidRDefault="00945D32" w:rsidP="00945D32">
      <w:pPr>
        <w:rPr>
          <w:rFonts w:cstheme="minorHAnsi"/>
          <w:b/>
        </w:rPr>
      </w:pPr>
      <w:r w:rsidRPr="00E92B8F">
        <w:rPr>
          <w:rFonts w:cstheme="minorHAnsi"/>
          <w:b/>
        </w:rPr>
        <w:t>Background</w:t>
      </w:r>
    </w:p>
    <w:p w14:paraId="0C15A827" w14:textId="77777777" w:rsidR="00945D32" w:rsidRPr="00E92B8F" w:rsidRDefault="00945D32" w:rsidP="00945D32">
      <w:pPr>
        <w:pStyle w:val="ListParagraph"/>
        <w:spacing w:before="120" w:after="120"/>
        <w:ind w:left="6" w:hanging="8"/>
        <w:jc w:val="both"/>
        <w:rPr>
          <w:rFonts w:asciiTheme="minorHAnsi" w:hAnsiTheme="minorHAnsi" w:cstheme="minorHAnsi"/>
          <w:sz w:val="22"/>
          <w:lang w:val="en-AU"/>
        </w:rPr>
      </w:pPr>
      <w:r w:rsidRPr="00E92B8F">
        <w:rPr>
          <w:rFonts w:asciiTheme="minorHAnsi" w:hAnsiTheme="minorHAnsi" w:cstheme="minorHAnsi"/>
          <w:sz w:val="22"/>
          <w:lang w:val="en-AU"/>
        </w:rPr>
        <w:t xml:space="preserve">Stunting is a condition of failure to grow in children under 5 years old due to chronic malnutrition, especially in the first 1,000 days of their life, which is seen from the length or height below the standard of a child of his age (Ministry of Health, 2018). Stunting rates in Indonesia, based on the Basic Health Research of 2013, reached 37.2% or about 9 million children under five. In other words, 1 in 3 Indonesian children under five have stunting. The prevalence of stunting in toddlers is high or very high in almost all provinces. From the 34 provinces, 15 provinces have a prevalence above 40%, whereas the highest is in East Nusa Tenggara (52%). Even in provinces with the lowest prevalence, in the Riau Islands, one in four children has stunting (26%). Since 2007 to 2013, the prevalence of stunting in Indonesia has not changed significantly. Although development in Indonesia has been quite successful, where poverty </w:t>
      </w:r>
      <w:r w:rsidRPr="00E92B8F">
        <w:rPr>
          <w:rFonts w:asciiTheme="minorHAnsi" w:hAnsiTheme="minorHAnsi" w:cstheme="minorHAnsi"/>
          <w:sz w:val="22"/>
          <w:lang w:val="id-ID"/>
        </w:rPr>
        <w:t>rates</w:t>
      </w:r>
      <w:r w:rsidRPr="00E92B8F">
        <w:rPr>
          <w:rFonts w:asciiTheme="minorHAnsi" w:hAnsiTheme="minorHAnsi" w:cstheme="minorHAnsi"/>
          <w:sz w:val="22"/>
          <w:lang w:val="en-AU"/>
        </w:rPr>
        <w:t xml:space="preserve"> have dropped, access to basic services such as education, health, drinking water and sanitation has increased, but increasing public purchasing power and the availability of basic services have not led to improved nutritional status. Stunting and malnutrition are expected to contribute to a reduction of 2-3% of Gross Domestic Product (GDP) annually. Lessons learned from international good practice have shown that the effectiveness of stunting reduction is determined by program integration and synergy. The Government of Indonesia, both central and regional, already has a variety of programs that can be used to reduce stunting, included in specific or sensitive intervention categories. However, the effectiveness of the program to reduce stunting depends on two things; (a) how comprehensive the program is and the degree of integration and (b) the intensity and quality of the program. Thus, program convergence should be the basis of approach in stunting reduction.</w:t>
      </w:r>
    </w:p>
    <w:p w14:paraId="35E084A9" w14:textId="77777777" w:rsidR="00945D32" w:rsidRPr="00E92B8F" w:rsidRDefault="00945D32" w:rsidP="00945D32">
      <w:pPr>
        <w:pStyle w:val="ListParagraph"/>
        <w:spacing w:before="120" w:after="120"/>
        <w:ind w:left="284" w:hanging="286"/>
        <w:rPr>
          <w:rFonts w:asciiTheme="minorHAnsi" w:hAnsiTheme="minorHAnsi" w:cstheme="minorHAnsi"/>
          <w:sz w:val="22"/>
          <w:lang w:val="en-AU"/>
        </w:rPr>
      </w:pPr>
    </w:p>
    <w:p w14:paraId="014E0C7C" w14:textId="77777777" w:rsidR="00945D32" w:rsidRPr="00E92B8F" w:rsidRDefault="00945D32" w:rsidP="00945D32">
      <w:pPr>
        <w:pStyle w:val="ListParagraph"/>
        <w:spacing w:before="120" w:after="120"/>
        <w:ind w:left="6" w:hanging="8"/>
        <w:jc w:val="both"/>
        <w:rPr>
          <w:rFonts w:asciiTheme="minorHAnsi" w:hAnsiTheme="minorHAnsi" w:cstheme="minorHAnsi"/>
          <w:sz w:val="22"/>
          <w:lang w:val="en-AU"/>
        </w:rPr>
      </w:pPr>
      <w:r w:rsidRPr="00E92B8F">
        <w:rPr>
          <w:rFonts w:asciiTheme="minorHAnsi" w:hAnsiTheme="minorHAnsi" w:cstheme="minorHAnsi"/>
          <w:sz w:val="22"/>
          <w:lang w:val="en-AU"/>
        </w:rPr>
        <w:t xml:space="preserve">The National Strategy to </w:t>
      </w:r>
      <w:r w:rsidRPr="00E92B8F">
        <w:rPr>
          <w:rFonts w:asciiTheme="minorHAnsi" w:hAnsiTheme="minorHAnsi" w:cstheme="minorHAnsi"/>
          <w:sz w:val="22"/>
          <w:lang w:val="id-ID"/>
        </w:rPr>
        <w:t>Accelerate</w:t>
      </w:r>
      <w:r w:rsidRPr="00E92B8F">
        <w:rPr>
          <w:rFonts w:asciiTheme="minorHAnsi" w:hAnsiTheme="minorHAnsi" w:cstheme="minorHAnsi"/>
          <w:sz w:val="22"/>
          <w:lang w:val="en-AU"/>
        </w:rPr>
        <w:t xml:space="preserve"> Stunting Reduction, launched by the Vice President on July 12, 2017, is aimed to consolidate political and leadership support at national and regional levels, strengthening the implementation of multi-sector policy frameworks, and encouraging convergence of national, regional and community programs. The National Strategy to Accelerate Stunting Reduction consists of five pillars; (1) Commitment and vision of the country's supreme leader, (2) National campaign focuses on understanding, change, behavior, political commitment, and accountability, (3) Convergence, coordination, and consolidation of national, regional and community programs, (4) nutrition policy and food security, (5) Monitoring and evaluation. This national strategy prioritizes a number of specific nutritional interventions and sensitive nutritional interventions, with the priority target group households with pregnant women and / or children aged 0-24 months (hereinafter termed households of the First 1000 Days of Life). The National Strategy to Accelerate Stunting Reduction sets 100 districts of priority handling locations by 2018, and plans for gradual extension of handling until all districts are handled by 2021.</w:t>
      </w:r>
    </w:p>
    <w:p w14:paraId="2A41904B" w14:textId="77777777" w:rsidR="00945D32" w:rsidRPr="00E92B8F" w:rsidRDefault="00945D32" w:rsidP="00945D32">
      <w:pPr>
        <w:pStyle w:val="ListParagraph"/>
        <w:spacing w:before="120" w:after="120"/>
        <w:ind w:left="6" w:hanging="8"/>
        <w:jc w:val="both"/>
        <w:rPr>
          <w:rFonts w:asciiTheme="minorHAnsi" w:hAnsiTheme="minorHAnsi" w:cstheme="minorHAnsi"/>
          <w:sz w:val="22"/>
          <w:lang w:val="en-AU"/>
        </w:rPr>
      </w:pPr>
    </w:p>
    <w:p w14:paraId="30495D46" w14:textId="698B96AF" w:rsidR="00945D32" w:rsidRPr="00E92B8F" w:rsidRDefault="00945D32" w:rsidP="00945D32">
      <w:pPr>
        <w:pStyle w:val="ListParagraph"/>
        <w:spacing w:before="120" w:after="120"/>
        <w:ind w:left="6" w:hanging="8"/>
        <w:jc w:val="both"/>
        <w:rPr>
          <w:rFonts w:asciiTheme="minorHAnsi" w:hAnsiTheme="minorHAnsi" w:cstheme="minorHAnsi"/>
          <w:sz w:val="22"/>
          <w:lang w:val="en-AU"/>
        </w:rPr>
      </w:pPr>
      <w:r w:rsidRPr="00E92B8F">
        <w:rPr>
          <w:rFonts w:asciiTheme="minorHAnsi" w:hAnsiTheme="minorHAnsi" w:cstheme="minorHAnsi"/>
          <w:sz w:val="22"/>
          <w:lang w:val="id-ID"/>
        </w:rPr>
        <w:t xml:space="preserve">An IPF component will support implementation of the PforR Program. The IPF component is financed by the Global Financing Facility (GFF) multi-donor trust. The IPF component will finance catalytic investments </w:t>
      </w:r>
      <w:r w:rsidRPr="00E92B8F">
        <w:rPr>
          <w:rFonts w:asciiTheme="minorHAnsi" w:hAnsiTheme="minorHAnsi" w:cstheme="minorHAnsi"/>
          <w:sz w:val="22"/>
          <w:lang w:val="id-ID"/>
        </w:rPr>
        <w:lastRenderedPageBreak/>
        <w:t>to jump-start improvements in implementation capacity and strengthen intervention delivery systems that lay foundation for long term reform and implementation sustainability. Particularly, it will (a) strengthen multi-sectoral coordination by the Secretariat of the Vice President (SoVP); (b) strengthen the capacity of Bappenas (National Planning Development Agency) and Ministry of Finance (MoF) to implement its planning and budgeting functions; (c) provide technical support to sector line agencies responsible for nutrition intervention delivery; (d) increase district capacity to converge stunting interventions and monitor its progress; and (e) strengthen the systems for monitoring, evaluation and continuous learning at the TNP2K Secretariat and Bappenas.</w:t>
      </w:r>
      <w:r w:rsidRPr="00E92B8F">
        <w:rPr>
          <w:rFonts w:asciiTheme="minorHAnsi" w:hAnsiTheme="minorHAnsi" w:cstheme="minorHAnsi"/>
          <w:sz w:val="22"/>
        </w:rPr>
        <w:t xml:space="preserve"> It will also support the government to mitigate environment and social issues relating to stunting reduction efforts (</w:t>
      </w:r>
      <w:r w:rsidR="0021241D">
        <w:rPr>
          <w:rFonts w:asciiTheme="minorHAnsi" w:hAnsiTheme="minorHAnsi" w:cstheme="minorHAnsi"/>
          <w:sz w:val="22"/>
        </w:rPr>
        <w:t xml:space="preserve">e.g., gender, social inclusion, </w:t>
      </w:r>
      <w:r w:rsidRPr="00E92B8F">
        <w:rPr>
          <w:rFonts w:asciiTheme="minorHAnsi" w:hAnsiTheme="minorHAnsi" w:cstheme="minorHAnsi"/>
          <w:sz w:val="22"/>
        </w:rPr>
        <w:t>access</w:t>
      </w:r>
      <w:r w:rsidR="00233FA9">
        <w:rPr>
          <w:rFonts w:asciiTheme="minorHAnsi" w:hAnsiTheme="minorHAnsi" w:cstheme="minorHAnsi"/>
          <w:sz w:val="22"/>
        </w:rPr>
        <w:t xml:space="preserve"> and tailoring of services to meet the needs of</w:t>
      </w:r>
      <w:r w:rsidRPr="00E92B8F">
        <w:rPr>
          <w:rFonts w:asciiTheme="minorHAnsi" w:hAnsiTheme="minorHAnsi" w:cstheme="minorHAnsi"/>
          <w:sz w:val="22"/>
        </w:rPr>
        <w:t xml:space="preserve"> traditional indigenous communities)</w:t>
      </w:r>
      <w:r w:rsidR="0021241D">
        <w:rPr>
          <w:rFonts w:asciiTheme="minorHAnsi" w:hAnsiTheme="minorHAnsi" w:cstheme="minorHAnsi"/>
          <w:sz w:val="22"/>
        </w:rPr>
        <w:t xml:space="preserve"> in line with World Bank Policy 4.10 on indigenous peoples</w:t>
      </w:r>
      <w:r w:rsidRPr="00E92B8F">
        <w:rPr>
          <w:rFonts w:asciiTheme="minorHAnsi" w:hAnsiTheme="minorHAnsi" w:cstheme="minorHAnsi"/>
          <w:sz w:val="22"/>
        </w:rPr>
        <w:t xml:space="preserve">. </w:t>
      </w:r>
    </w:p>
    <w:p w14:paraId="098C051C" w14:textId="77777777" w:rsidR="00945D32" w:rsidRPr="00E92B8F" w:rsidRDefault="00945D32" w:rsidP="00945D32">
      <w:pPr>
        <w:rPr>
          <w:rFonts w:cstheme="minorHAnsi"/>
        </w:rPr>
      </w:pPr>
    </w:p>
    <w:p w14:paraId="5BACC79E" w14:textId="77777777" w:rsidR="00945D32" w:rsidRPr="00E92B8F" w:rsidRDefault="00945D32" w:rsidP="00945D32">
      <w:pPr>
        <w:rPr>
          <w:rFonts w:cstheme="minorHAnsi"/>
          <w:b/>
        </w:rPr>
      </w:pPr>
      <w:r w:rsidRPr="00E92B8F">
        <w:rPr>
          <w:rFonts w:cstheme="minorHAnsi"/>
          <w:b/>
        </w:rPr>
        <w:t>Scope of Work</w:t>
      </w:r>
    </w:p>
    <w:p w14:paraId="0E72E2B0" w14:textId="77777777" w:rsidR="00945D32" w:rsidRPr="00E92B8F" w:rsidRDefault="00945D32" w:rsidP="00945D32">
      <w:pPr>
        <w:rPr>
          <w:rFonts w:cstheme="minorHAnsi"/>
        </w:rPr>
      </w:pPr>
      <w:r w:rsidRPr="00E92B8F">
        <w:rPr>
          <w:rFonts w:cstheme="minorHAnsi"/>
        </w:rPr>
        <w:t>GFF grant comprises of 2 components:</w:t>
      </w:r>
    </w:p>
    <w:p w14:paraId="686F337B" w14:textId="77777777" w:rsidR="00945D32" w:rsidRPr="00E92B8F" w:rsidRDefault="00945D32" w:rsidP="00945D32">
      <w:pPr>
        <w:pStyle w:val="PARA"/>
        <w:rPr>
          <w:rFonts w:asciiTheme="minorHAnsi" w:hAnsiTheme="minorHAnsi" w:cstheme="minorHAnsi"/>
          <w:sz w:val="22"/>
          <w:szCs w:val="22"/>
        </w:rPr>
      </w:pPr>
      <w:r w:rsidRPr="00E92B8F">
        <w:rPr>
          <w:rFonts w:asciiTheme="minorHAnsi" w:hAnsiTheme="minorHAnsi" w:cstheme="minorHAnsi"/>
          <w:b/>
          <w:sz w:val="22"/>
          <w:szCs w:val="22"/>
        </w:rPr>
        <w:t>Component 1: Institutional Strengthening at National Level ($16 million).</w:t>
      </w:r>
      <w:r w:rsidRPr="00E92B8F">
        <w:rPr>
          <w:rFonts w:asciiTheme="minorHAnsi" w:hAnsiTheme="minorHAnsi" w:cstheme="minorHAnsi"/>
          <w:sz w:val="22"/>
          <w:szCs w:val="22"/>
        </w:rPr>
        <w:t xml:space="preserve"> The component will be delivered by SoVP/TNP2K.</w:t>
      </w:r>
    </w:p>
    <w:p w14:paraId="0D16E2B5" w14:textId="77777777" w:rsidR="00945D32" w:rsidRPr="00E92B8F" w:rsidRDefault="00945D32" w:rsidP="00945D32">
      <w:pPr>
        <w:pStyle w:val="ListParagraph"/>
        <w:rPr>
          <w:rFonts w:asciiTheme="minorHAnsi" w:hAnsiTheme="minorHAnsi" w:cstheme="minorHAnsi"/>
          <w:b/>
          <w:sz w:val="22"/>
        </w:rPr>
      </w:pPr>
    </w:p>
    <w:p w14:paraId="2347356B" w14:textId="47B31B9A" w:rsidR="003E1400" w:rsidRDefault="00945D32" w:rsidP="003E1400">
      <w:pPr>
        <w:pStyle w:val="PARA"/>
        <w:numPr>
          <w:ilvl w:val="1"/>
          <w:numId w:val="1"/>
        </w:numPr>
        <w:rPr>
          <w:rFonts w:asciiTheme="minorHAnsi" w:hAnsiTheme="minorHAnsi" w:cstheme="minorHAnsi"/>
          <w:sz w:val="22"/>
          <w:szCs w:val="22"/>
        </w:rPr>
      </w:pPr>
      <w:r w:rsidRPr="00E92B8F">
        <w:rPr>
          <w:rFonts w:asciiTheme="minorHAnsi" w:hAnsiTheme="minorHAnsi" w:cstheme="minorHAnsi"/>
          <w:b/>
          <w:sz w:val="22"/>
          <w:szCs w:val="22"/>
        </w:rPr>
        <w:t xml:space="preserve">Sub-Component 1A: Coordination, Delivery Monitoring and Debottlenecking Capacity of SoVP/TNP2K. </w:t>
      </w:r>
      <w:r w:rsidRPr="00E92B8F">
        <w:rPr>
          <w:rFonts w:asciiTheme="minorHAnsi" w:hAnsiTheme="minorHAnsi" w:cstheme="minorHAnsi"/>
          <w:sz w:val="22"/>
          <w:szCs w:val="22"/>
        </w:rPr>
        <w:t xml:space="preserve">The multi-sectoral and multi-level nature of SRAS requires a strong leadership and management capacity SoVP/TNP2K on planning, implementation, monitoring and evaluation to ensure sound delivery of convergence program. More specifically, this component will: (i) establish a communication and advocacy team to support Pillar 1 of the SRAS, specifically the national awareness campaign as well as national and subnational advocacy including on issues such as food fortification (Pillar 4); (ii) establish results monitoring team to strengthen performance monitoring systems through setting up a centralized monitoring dashboard and conducting a regular performance review and to improve the capacity for resolving bottlenecks through timely identification of implementation problems; (iii) establish an evaluation and innovation team to undertake implementation research/process evaluation to generate lessons learned and facilitate course-correction and evaluation studies to evaluate program’s impact and effectiveness. It will also conduct pilots and innovations on new interventions that fill critical service delivery gaps and strategic areas such as integrated data system and public-private partnership in nutrition service delivery. </w:t>
      </w:r>
      <w:r w:rsidR="0021241D">
        <w:rPr>
          <w:rFonts w:asciiTheme="minorHAnsi" w:hAnsiTheme="minorHAnsi" w:cstheme="minorHAnsi"/>
          <w:sz w:val="22"/>
          <w:szCs w:val="22"/>
        </w:rPr>
        <w:t>This sub-component will also support the advisory panel.</w:t>
      </w:r>
    </w:p>
    <w:p w14:paraId="2D574F19" w14:textId="77777777" w:rsidR="00945D32" w:rsidRPr="00E92B8F" w:rsidRDefault="00945D32" w:rsidP="00945D32">
      <w:pPr>
        <w:pStyle w:val="PARA"/>
        <w:numPr>
          <w:ilvl w:val="0"/>
          <w:numId w:val="0"/>
        </w:numPr>
        <w:ind w:left="720"/>
        <w:rPr>
          <w:rFonts w:asciiTheme="minorHAnsi" w:hAnsiTheme="minorHAnsi" w:cstheme="minorHAnsi"/>
          <w:sz w:val="22"/>
          <w:szCs w:val="22"/>
        </w:rPr>
      </w:pPr>
    </w:p>
    <w:p w14:paraId="09822D21" w14:textId="0E104136" w:rsidR="00945D32" w:rsidRPr="00E92B8F" w:rsidRDefault="00945D32" w:rsidP="00945D32">
      <w:pPr>
        <w:pStyle w:val="PARA"/>
        <w:numPr>
          <w:ilvl w:val="1"/>
          <w:numId w:val="1"/>
        </w:numPr>
        <w:rPr>
          <w:rFonts w:asciiTheme="minorHAnsi" w:hAnsiTheme="minorHAnsi" w:cstheme="minorHAnsi"/>
          <w:sz w:val="22"/>
          <w:szCs w:val="22"/>
        </w:rPr>
      </w:pPr>
      <w:r w:rsidRPr="00E92B8F">
        <w:rPr>
          <w:rFonts w:asciiTheme="minorHAnsi" w:hAnsiTheme="minorHAnsi" w:cstheme="minorHAnsi"/>
          <w:b/>
          <w:sz w:val="22"/>
          <w:szCs w:val="22"/>
        </w:rPr>
        <w:t>Sub-component 1B: Strengthen Capacity of Implementation Agencies.</w:t>
      </w:r>
      <w:r w:rsidRPr="00E92B8F">
        <w:rPr>
          <w:rFonts w:asciiTheme="minorHAnsi" w:hAnsiTheme="minorHAnsi" w:cstheme="minorHAnsi"/>
          <w:sz w:val="22"/>
          <w:szCs w:val="22"/>
        </w:rPr>
        <w:t xml:space="preserve">  The component will strengthen the capacity of line ministries such as MoH, MoEC, MoSA, MoV to support districts and villages to implement local-level convergence instruments and strategic interventions. More specifically the component will: (i) support MoH for strengthening the interpersonal communication program through improved the quality of cascade training and incorporating the use of ICT-based platform; (ii) support MoSA in improving the nutrition-sensitivity of the food assistance program (BNPT) by improving the mix of food, targeting method and monitoring system; (iii) support MoEC in improving the quality of training systems and the nutrition content in the parenting session curriculum for ECED frontline services; and (iv) support MoV in fine-tuning and refining the implementation and monitoring of village convergence.</w:t>
      </w:r>
    </w:p>
    <w:p w14:paraId="620A038F" w14:textId="77777777" w:rsidR="00945D32" w:rsidRPr="00E92B8F" w:rsidRDefault="00945D32" w:rsidP="00945D32">
      <w:pPr>
        <w:pStyle w:val="ListParagraph"/>
        <w:rPr>
          <w:rFonts w:asciiTheme="minorHAnsi" w:hAnsiTheme="minorHAnsi" w:cstheme="minorHAnsi"/>
          <w:b/>
          <w:sz w:val="22"/>
        </w:rPr>
      </w:pPr>
    </w:p>
    <w:p w14:paraId="3537641C" w14:textId="77777777" w:rsidR="00945D32" w:rsidRPr="00E92B8F" w:rsidRDefault="00945D32" w:rsidP="00945D32">
      <w:pPr>
        <w:pStyle w:val="PARA"/>
        <w:numPr>
          <w:ilvl w:val="1"/>
          <w:numId w:val="1"/>
        </w:numPr>
        <w:rPr>
          <w:rFonts w:asciiTheme="minorHAnsi" w:hAnsiTheme="minorHAnsi" w:cstheme="minorHAnsi"/>
          <w:sz w:val="22"/>
          <w:szCs w:val="22"/>
        </w:rPr>
      </w:pPr>
      <w:r w:rsidRPr="00E92B8F">
        <w:rPr>
          <w:rFonts w:asciiTheme="minorHAnsi" w:hAnsiTheme="minorHAnsi" w:cstheme="minorHAnsi"/>
          <w:b/>
          <w:sz w:val="22"/>
          <w:szCs w:val="22"/>
        </w:rPr>
        <w:lastRenderedPageBreak/>
        <w:t>Sub-component 1C: Strengthen the results-based planning and budgeting.</w:t>
      </w:r>
      <w:r w:rsidRPr="00E92B8F">
        <w:rPr>
          <w:rFonts w:asciiTheme="minorHAnsi" w:hAnsiTheme="minorHAnsi" w:cstheme="minorHAnsi"/>
          <w:sz w:val="22"/>
          <w:szCs w:val="22"/>
        </w:rPr>
        <w:t xml:space="preserve">  This component will support Bappenas in operationalizing convergence instruments, specifically it will help: (i) strengthen district capacity to adopt a more location specific approach in planning for interventions delivery; (ii) improve the quality of program planning and budget system; (iii) improve the quality of DAK reporting system by standardizing categories of activities and strengthening KRISNA system; (iv) build capacity for performance expenditure review; (v) strengthen district performance assessment systems, including strengthening a technical secretariat in Bappenas to manage the performance assessment; and (vi) support learning and knowledge sharing as the convergence programs are being scaled up.</w:t>
      </w:r>
    </w:p>
    <w:p w14:paraId="290853E0" w14:textId="77777777" w:rsidR="00945D32" w:rsidRPr="00E92B8F" w:rsidRDefault="00945D32" w:rsidP="00945D32">
      <w:pPr>
        <w:rPr>
          <w:rFonts w:cstheme="minorHAnsi"/>
          <w:b/>
        </w:rPr>
      </w:pPr>
    </w:p>
    <w:p w14:paraId="3F8679B6" w14:textId="20A26BB1" w:rsidR="00945D32" w:rsidRPr="00E92B8F" w:rsidRDefault="00945D32" w:rsidP="00945D32">
      <w:pPr>
        <w:pStyle w:val="PARA"/>
        <w:rPr>
          <w:rFonts w:asciiTheme="minorHAnsi" w:hAnsiTheme="minorHAnsi" w:cstheme="minorHAnsi"/>
          <w:sz w:val="22"/>
          <w:szCs w:val="22"/>
        </w:rPr>
      </w:pPr>
      <w:r w:rsidRPr="00E92B8F">
        <w:rPr>
          <w:rFonts w:asciiTheme="minorHAnsi" w:hAnsiTheme="minorHAnsi" w:cstheme="minorHAnsi"/>
          <w:b/>
          <w:sz w:val="22"/>
          <w:szCs w:val="22"/>
        </w:rPr>
        <w:t xml:space="preserve">Component 2: </w:t>
      </w:r>
      <w:bookmarkStart w:id="1" w:name="_Hlk511825067"/>
      <w:r w:rsidRPr="00E92B8F">
        <w:rPr>
          <w:rFonts w:asciiTheme="minorHAnsi" w:hAnsiTheme="minorHAnsi" w:cstheme="minorHAnsi"/>
          <w:b/>
          <w:sz w:val="22"/>
          <w:szCs w:val="22"/>
        </w:rPr>
        <w:t xml:space="preserve">Strengthen Capacity for District Convergence </w:t>
      </w:r>
      <w:bookmarkEnd w:id="1"/>
      <w:r w:rsidRPr="00E92B8F">
        <w:rPr>
          <w:rFonts w:asciiTheme="minorHAnsi" w:hAnsiTheme="minorHAnsi" w:cstheme="minorHAnsi"/>
          <w:b/>
          <w:sz w:val="22"/>
          <w:szCs w:val="22"/>
        </w:rPr>
        <w:t xml:space="preserve">($4 million). </w:t>
      </w:r>
      <w:r w:rsidRPr="00E92B8F">
        <w:rPr>
          <w:rFonts w:asciiTheme="minorHAnsi" w:hAnsiTheme="minorHAnsi" w:cstheme="minorHAnsi"/>
          <w:sz w:val="22"/>
          <w:szCs w:val="22"/>
        </w:rPr>
        <w:t xml:space="preserve">This component will be delivered by Ministry of Home Affairs. Particularly this component will support the Directorate General of Regional Development in: (a) strengthening the capacity of Provincial and district governments to diagnose the local drivers of stunting, develop local solutions and converge the priority nutrition-intervention delivery at district level; (b) providing technical assistance to sub-district and village level in aligning the Dana Desa utilization for stunting reduction agenda; and (c) developing performance benchmarking for convergence programs across districts; and (d) facilitating the peer-to-peer learning and sharing of best practices across districts. This component will be delivered to priority districts through Technical Assistance Pool at provincial level, with direct responsibility to DG Regional Development-MoHA through daily coordination and supervision of Provincial Bappeda. The World Bank will support DG of Regional Development to pilot the design of this component in 2018 which will be outlined in a ToR for the Provincial Technical Assistance Pool. </w:t>
      </w:r>
      <w:r w:rsidR="00C12D39">
        <w:rPr>
          <w:rFonts w:asciiTheme="minorHAnsi" w:hAnsiTheme="minorHAnsi" w:cstheme="minorHAnsi"/>
          <w:sz w:val="22"/>
          <w:szCs w:val="22"/>
        </w:rPr>
        <w:t>This component will also cover an environment specialist who will advis</w:t>
      </w:r>
      <w:r w:rsidR="008404A3">
        <w:rPr>
          <w:rFonts w:asciiTheme="minorHAnsi" w:hAnsiTheme="minorHAnsi" w:cstheme="minorHAnsi"/>
          <w:sz w:val="22"/>
          <w:szCs w:val="22"/>
        </w:rPr>
        <w:t>e</w:t>
      </w:r>
      <w:r w:rsidR="00C12D39">
        <w:rPr>
          <w:rFonts w:asciiTheme="minorHAnsi" w:hAnsiTheme="minorHAnsi" w:cstheme="minorHAnsi"/>
          <w:sz w:val="22"/>
          <w:szCs w:val="22"/>
        </w:rPr>
        <w:t xml:space="preserve"> the government on coordination and environmental management related to the program, in particular relevant to water resources, sanitation and management of medical waste.  </w:t>
      </w:r>
      <w:r w:rsidRPr="00E92B8F">
        <w:rPr>
          <w:rFonts w:asciiTheme="minorHAnsi" w:hAnsiTheme="minorHAnsi" w:cstheme="minorHAnsi"/>
          <w:sz w:val="22"/>
          <w:szCs w:val="22"/>
        </w:rPr>
        <w:t>This component will be designed in close collaboration with SoVP, Bappenas and all relevant line ministries.</w:t>
      </w:r>
    </w:p>
    <w:p w14:paraId="24F823F2" w14:textId="77777777" w:rsidR="00945D32" w:rsidRPr="00E92B8F" w:rsidRDefault="00945D32" w:rsidP="00945D32">
      <w:pPr>
        <w:pStyle w:val="PARA"/>
        <w:numPr>
          <w:ilvl w:val="0"/>
          <w:numId w:val="0"/>
        </w:numPr>
        <w:ind w:left="360" w:hanging="360"/>
        <w:rPr>
          <w:rFonts w:asciiTheme="minorHAnsi" w:hAnsiTheme="minorHAnsi" w:cstheme="minorHAnsi"/>
          <w:sz w:val="22"/>
          <w:szCs w:val="22"/>
        </w:rPr>
      </w:pPr>
    </w:p>
    <w:p w14:paraId="5E87B2CF" w14:textId="77777777" w:rsidR="00945D32" w:rsidRPr="00E92B8F" w:rsidRDefault="00945D32" w:rsidP="00945D32">
      <w:pPr>
        <w:pStyle w:val="PARA"/>
        <w:numPr>
          <w:ilvl w:val="0"/>
          <w:numId w:val="0"/>
        </w:numPr>
        <w:ind w:left="360" w:hanging="360"/>
        <w:rPr>
          <w:rFonts w:asciiTheme="minorHAnsi" w:hAnsiTheme="minorHAnsi" w:cstheme="minorHAnsi"/>
          <w:b/>
          <w:sz w:val="22"/>
          <w:szCs w:val="22"/>
        </w:rPr>
      </w:pPr>
      <w:r w:rsidRPr="00E92B8F">
        <w:rPr>
          <w:rFonts w:asciiTheme="minorHAnsi" w:hAnsiTheme="minorHAnsi" w:cstheme="minorHAnsi"/>
          <w:b/>
          <w:sz w:val="22"/>
          <w:szCs w:val="22"/>
        </w:rPr>
        <w:t>Output</w:t>
      </w:r>
    </w:p>
    <w:p w14:paraId="16E39C5F" w14:textId="77777777" w:rsidR="00945D32" w:rsidRPr="00E92B8F" w:rsidRDefault="00945D32" w:rsidP="00945D32">
      <w:pPr>
        <w:pStyle w:val="PARA"/>
        <w:numPr>
          <w:ilvl w:val="0"/>
          <w:numId w:val="0"/>
        </w:numPr>
        <w:ind w:left="360" w:hanging="360"/>
        <w:rPr>
          <w:rFonts w:asciiTheme="minorHAnsi" w:hAnsiTheme="minorHAnsi" w:cstheme="minorHAnsi"/>
          <w:sz w:val="22"/>
          <w:szCs w:val="22"/>
        </w:rPr>
      </w:pPr>
    </w:p>
    <w:p w14:paraId="34F2B4F1" w14:textId="77777777" w:rsidR="00945D32" w:rsidRPr="00E92B8F" w:rsidRDefault="00945D32" w:rsidP="00945D32">
      <w:pPr>
        <w:pStyle w:val="ListParagraph"/>
        <w:numPr>
          <w:ilvl w:val="7"/>
          <w:numId w:val="1"/>
        </w:numPr>
        <w:spacing w:before="120" w:after="120"/>
        <w:ind w:left="360"/>
        <w:rPr>
          <w:rFonts w:asciiTheme="minorHAnsi" w:hAnsiTheme="minorHAnsi" w:cstheme="minorHAnsi"/>
          <w:sz w:val="22"/>
          <w:lang w:val="id-ID"/>
        </w:rPr>
      </w:pPr>
      <w:r w:rsidRPr="00E92B8F">
        <w:rPr>
          <w:rFonts w:asciiTheme="minorHAnsi" w:hAnsiTheme="minorHAnsi" w:cstheme="minorHAnsi"/>
          <w:sz w:val="22"/>
          <w:lang w:val="id-ID"/>
        </w:rPr>
        <w:t xml:space="preserve">Strengthen multi-sectoral coordination by the Secretariat of the Vice President (SoVP); </w:t>
      </w:r>
    </w:p>
    <w:p w14:paraId="5E143F84" w14:textId="77777777" w:rsidR="00945D32" w:rsidRPr="00E92B8F" w:rsidRDefault="00945D32" w:rsidP="00945D32">
      <w:pPr>
        <w:pStyle w:val="ListParagraph"/>
        <w:spacing w:before="120" w:after="120"/>
        <w:ind w:left="343" w:hanging="343"/>
        <w:rPr>
          <w:rFonts w:asciiTheme="minorHAnsi" w:hAnsiTheme="minorHAnsi" w:cstheme="minorHAnsi"/>
          <w:sz w:val="22"/>
          <w:lang w:val="id-ID"/>
        </w:rPr>
      </w:pPr>
      <w:r w:rsidRPr="00E92B8F">
        <w:rPr>
          <w:rFonts w:asciiTheme="minorHAnsi" w:hAnsiTheme="minorHAnsi" w:cstheme="minorHAnsi"/>
          <w:sz w:val="22"/>
          <w:lang w:val="id-ID"/>
        </w:rPr>
        <w:t>b.</w:t>
      </w:r>
      <w:r w:rsidRPr="00E92B8F">
        <w:rPr>
          <w:rFonts w:asciiTheme="minorHAnsi" w:hAnsiTheme="minorHAnsi" w:cstheme="minorHAnsi"/>
          <w:sz w:val="22"/>
          <w:lang w:val="id-ID"/>
        </w:rPr>
        <w:tab/>
        <w:t xml:space="preserve">Strengthen the capacity of Bappenas (National Planning Development Agency) and Ministry of Finance (MoF) to implement its planning and budgeting functions; </w:t>
      </w:r>
    </w:p>
    <w:p w14:paraId="49D58D1C" w14:textId="77777777" w:rsidR="00945D32" w:rsidRPr="00E92B8F" w:rsidRDefault="00945D32" w:rsidP="00945D32">
      <w:pPr>
        <w:pStyle w:val="ListParagraph"/>
        <w:spacing w:before="120" w:after="120"/>
        <w:ind w:left="343" w:hanging="343"/>
        <w:rPr>
          <w:rFonts w:asciiTheme="minorHAnsi" w:hAnsiTheme="minorHAnsi" w:cstheme="minorHAnsi"/>
          <w:sz w:val="22"/>
          <w:lang w:val="id-ID"/>
        </w:rPr>
      </w:pPr>
      <w:r w:rsidRPr="00E92B8F">
        <w:rPr>
          <w:rFonts w:asciiTheme="minorHAnsi" w:hAnsiTheme="minorHAnsi" w:cstheme="minorHAnsi"/>
          <w:sz w:val="22"/>
          <w:lang w:val="id-ID"/>
        </w:rPr>
        <w:t>c.</w:t>
      </w:r>
      <w:r w:rsidRPr="00E92B8F">
        <w:rPr>
          <w:rFonts w:asciiTheme="minorHAnsi" w:hAnsiTheme="minorHAnsi" w:cstheme="minorHAnsi"/>
          <w:sz w:val="22"/>
          <w:lang w:val="id-ID"/>
        </w:rPr>
        <w:tab/>
        <w:t xml:space="preserve">Provide technical support to sector line agencies responsible for nutrition intervention delivery; </w:t>
      </w:r>
    </w:p>
    <w:p w14:paraId="20934311" w14:textId="77777777" w:rsidR="00945D32" w:rsidRPr="00E92B8F" w:rsidRDefault="00945D32" w:rsidP="00945D32">
      <w:pPr>
        <w:pStyle w:val="ListParagraph"/>
        <w:spacing w:before="120" w:after="120"/>
        <w:ind w:left="343" w:hanging="343"/>
        <w:rPr>
          <w:rFonts w:asciiTheme="minorHAnsi" w:hAnsiTheme="minorHAnsi" w:cstheme="minorHAnsi"/>
          <w:sz w:val="22"/>
          <w:lang w:val="id-ID"/>
        </w:rPr>
      </w:pPr>
      <w:r w:rsidRPr="00E92B8F">
        <w:rPr>
          <w:rFonts w:asciiTheme="minorHAnsi" w:hAnsiTheme="minorHAnsi" w:cstheme="minorHAnsi"/>
          <w:sz w:val="22"/>
          <w:lang w:val="id-ID"/>
        </w:rPr>
        <w:t>d.</w:t>
      </w:r>
      <w:r w:rsidRPr="00E92B8F">
        <w:rPr>
          <w:rFonts w:asciiTheme="minorHAnsi" w:hAnsiTheme="minorHAnsi" w:cstheme="minorHAnsi"/>
          <w:sz w:val="22"/>
          <w:lang w:val="id-ID"/>
        </w:rPr>
        <w:tab/>
        <w:t xml:space="preserve">Strengthen the systems for monitoring, evaluation and continuous learning at the TNP2K Secretariat and Bappenas; </w:t>
      </w:r>
    </w:p>
    <w:p w14:paraId="4C809920" w14:textId="77777777" w:rsidR="00945D32" w:rsidRPr="00E92B8F" w:rsidRDefault="00945D32" w:rsidP="00945D32">
      <w:pPr>
        <w:pStyle w:val="ListParagraph"/>
        <w:spacing w:before="120" w:after="120"/>
        <w:ind w:left="343" w:hanging="343"/>
        <w:rPr>
          <w:rFonts w:asciiTheme="minorHAnsi" w:hAnsiTheme="minorHAnsi" w:cstheme="minorHAnsi"/>
          <w:sz w:val="22"/>
          <w:lang w:val="id-ID"/>
        </w:rPr>
      </w:pPr>
      <w:r w:rsidRPr="00E92B8F">
        <w:rPr>
          <w:rFonts w:asciiTheme="minorHAnsi" w:hAnsiTheme="minorHAnsi" w:cstheme="minorHAnsi"/>
          <w:sz w:val="22"/>
          <w:lang w:val="id-ID"/>
        </w:rPr>
        <w:t>e.</w:t>
      </w:r>
      <w:r w:rsidRPr="00E92B8F">
        <w:rPr>
          <w:rFonts w:asciiTheme="minorHAnsi" w:hAnsiTheme="minorHAnsi" w:cstheme="minorHAnsi"/>
          <w:sz w:val="22"/>
          <w:lang w:val="id-ID"/>
        </w:rPr>
        <w:tab/>
        <w:t xml:space="preserve">Strengthen the role of provincial governments in assisting districts to manage convergence of priorities nutrition intervention; and </w:t>
      </w:r>
    </w:p>
    <w:p w14:paraId="7C7F3212" w14:textId="77777777" w:rsidR="00945D32" w:rsidRPr="00E92B8F" w:rsidRDefault="00945D32" w:rsidP="00945D32">
      <w:pPr>
        <w:pStyle w:val="PARA"/>
        <w:numPr>
          <w:ilvl w:val="0"/>
          <w:numId w:val="0"/>
        </w:numPr>
        <w:ind w:left="360" w:hanging="360"/>
        <w:rPr>
          <w:rFonts w:asciiTheme="minorHAnsi" w:hAnsiTheme="minorHAnsi" w:cstheme="minorHAnsi"/>
          <w:sz w:val="22"/>
          <w:szCs w:val="22"/>
          <w:lang w:val="id-ID"/>
        </w:rPr>
      </w:pPr>
      <w:r w:rsidRPr="00E92B8F">
        <w:rPr>
          <w:rFonts w:asciiTheme="minorHAnsi" w:hAnsiTheme="minorHAnsi" w:cstheme="minorHAnsi"/>
          <w:sz w:val="22"/>
          <w:szCs w:val="22"/>
          <w:lang w:val="id-ID"/>
        </w:rPr>
        <w:t>f.</w:t>
      </w:r>
      <w:r w:rsidRPr="00E92B8F">
        <w:rPr>
          <w:rFonts w:asciiTheme="minorHAnsi" w:hAnsiTheme="minorHAnsi" w:cstheme="minorHAnsi"/>
          <w:sz w:val="22"/>
          <w:szCs w:val="22"/>
          <w:lang w:val="id-ID"/>
        </w:rPr>
        <w:tab/>
        <w:t xml:space="preserve">Strengthen the district government’s capacity to implement 6 district convergence actions, including in assisting sub-district and village level in aligning the Dana Desa utilization for stunting reduction agenda with the scale up plan as follows: 100 districts in 2018, 160 districts in 2019, 390 districts in 2020 and aiming at near full coverage in 2021.   </w:t>
      </w:r>
    </w:p>
    <w:p w14:paraId="36B0C763" w14:textId="77777777" w:rsidR="00945D32" w:rsidRPr="00E92B8F" w:rsidRDefault="00945D32" w:rsidP="00945D32">
      <w:pPr>
        <w:pStyle w:val="PARA"/>
        <w:numPr>
          <w:ilvl w:val="0"/>
          <w:numId w:val="0"/>
        </w:numPr>
        <w:ind w:left="360" w:hanging="360"/>
        <w:rPr>
          <w:rFonts w:asciiTheme="minorHAnsi" w:hAnsiTheme="minorHAnsi" w:cstheme="minorHAnsi"/>
          <w:sz w:val="22"/>
          <w:szCs w:val="22"/>
          <w:lang w:val="id-ID"/>
        </w:rPr>
      </w:pPr>
    </w:p>
    <w:p w14:paraId="36DDFBB4" w14:textId="77777777" w:rsidR="00945D32" w:rsidRPr="00E92B8F" w:rsidRDefault="00945D32" w:rsidP="00945D32">
      <w:pPr>
        <w:pStyle w:val="PARA"/>
        <w:numPr>
          <w:ilvl w:val="0"/>
          <w:numId w:val="0"/>
        </w:numPr>
        <w:ind w:left="360" w:hanging="360"/>
        <w:rPr>
          <w:rFonts w:asciiTheme="minorHAnsi" w:hAnsiTheme="minorHAnsi" w:cstheme="minorHAnsi"/>
          <w:sz w:val="22"/>
          <w:szCs w:val="22"/>
          <w:lang w:val="id-ID"/>
        </w:rPr>
      </w:pPr>
    </w:p>
    <w:p w14:paraId="7D0E00F4" w14:textId="77777777" w:rsidR="00945D32" w:rsidRPr="00E92B8F" w:rsidRDefault="00945D32" w:rsidP="00945D32">
      <w:pPr>
        <w:pStyle w:val="PARA"/>
        <w:numPr>
          <w:ilvl w:val="0"/>
          <w:numId w:val="0"/>
        </w:numPr>
        <w:ind w:left="360" w:hanging="360"/>
        <w:rPr>
          <w:rFonts w:asciiTheme="minorHAnsi" w:hAnsiTheme="minorHAnsi" w:cstheme="minorHAnsi"/>
          <w:b/>
          <w:sz w:val="22"/>
          <w:szCs w:val="22"/>
        </w:rPr>
      </w:pPr>
      <w:r w:rsidRPr="00E92B8F">
        <w:rPr>
          <w:rFonts w:asciiTheme="minorHAnsi" w:hAnsiTheme="minorHAnsi" w:cstheme="minorHAnsi"/>
          <w:b/>
          <w:sz w:val="22"/>
          <w:szCs w:val="22"/>
        </w:rPr>
        <w:t>Outcomes</w:t>
      </w:r>
    </w:p>
    <w:p w14:paraId="1D47854E" w14:textId="77777777" w:rsidR="00945D32" w:rsidRPr="00E92B8F" w:rsidRDefault="00945D32" w:rsidP="00945D32">
      <w:pPr>
        <w:pStyle w:val="PARA"/>
        <w:numPr>
          <w:ilvl w:val="0"/>
          <w:numId w:val="0"/>
        </w:numPr>
        <w:ind w:left="360" w:hanging="360"/>
        <w:rPr>
          <w:rFonts w:asciiTheme="minorHAnsi" w:hAnsiTheme="minorHAnsi" w:cstheme="minorHAnsi"/>
          <w:sz w:val="22"/>
          <w:szCs w:val="22"/>
        </w:rPr>
      </w:pPr>
    </w:p>
    <w:p w14:paraId="5BD1D421" w14:textId="77777777" w:rsidR="00945D32" w:rsidRPr="00E92B8F" w:rsidRDefault="00945D32" w:rsidP="00945D32">
      <w:pPr>
        <w:pStyle w:val="PARA"/>
        <w:numPr>
          <w:ilvl w:val="0"/>
          <w:numId w:val="0"/>
        </w:numPr>
        <w:rPr>
          <w:rFonts w:asciiTheme="minorHAnsi" w:hAnsiTheme="minorHAnsi" w:cstheme="minorHAnsi"/>
          <w:sz w:val="22"/>
          <w:szCs w:val="22"/>
        </w:rPr>
      </w:pPr>
      <w:r w:rsidRPr="00E92B8F">
        <w:rPr>
          <w:rFonts w:asciiTheme="minorHAnsi" w:hAnsiTheme="minorHAnsi" w:cstheme="minorHAnsi"/>
          <w:sz w:val="22"/>
          <w:szCs w:val="22"/>
          <w:lang w:val="id-ID"/>
        </w:rPr>
        <w:lastRenderedPageBreak/>
        <w:t>Improve the quality of implementation through support to the key government counterparts in implementing convergence stunting reduction programs at both national and local levels</w:t>
      </w:r>
      <w:r w:rsidRPr="00E92B8F">
        <w:rPr>
          <w:rFonts w:asciiTheme="minorHAnsi" w:hAnsiTheme="minorHAnsi" w:cstheme="minorHAnsi"/>
          <w:sz w:val="22"/>
          <w:szCs w:val="22"/>
        </w:rPr>
        <w:t>.</w:t>
      </w:r>
    </w:p>
    <w:p w14:paraId="1BC3EB2E" w14:textId="77777777" w:rsidR="00256AFD" w:rsidRPr="00E92B8F" w:rsidRDefault="00256AFD" w:rsidP="00945D32">
      <w:pPr>
        <w:pStyle w:val="PARA"/>
        <w:numPr>
          <w:ilvl w:val="0"/>
          <w:numId w:val="0"/>
        </w:numPr>
        <w:rPr>
          <w:rFonts w:asciiTheme="minorHAnsi" w:hAnsiTheme="minorHAnsi" w:cstheme="minorHAnsi"/>
          <w:sz w:val="22"/>
          <w:szCs w:val="22"/>
        </w:rPr>
      </w:pPr>
    </w:p>
    <w:p w14:paraId="4621FA7C" w14:textId="77777777" w:rsidR="00256AFD" w:rsidRPr="00E92B8F" w:rsidRDefault="00256AFD" w:rsidP="00945D32">
      <w:pPr>
        <w:pStyle w:val="PARA"/>
        <w:numPr>
          <w:ilvl w:val="0"/>
          <w:numId w:val="0"/>
        </w:numPr>
        <w:rPr>
          <w:rFonts w:asciiTheme="minorHAnsi" w:hAnsiTheme="minorHAnsi" w:cstheme="minorHAnsi"/>
          <w:sz w:val="22"/>
          <w:szCs w:val="22"/>
        </w:rPr>
      </w:pPr>
    </w:p>
    <w:p w14:paraId="2093386C" w14:textId="77777777" w:rsidR="00256AFD" w:rsidRPr="00E92B8F" w:rsidRDefault="00256AFD" w:rsidP="00945D32">
      <w:pPr>
        <w:pStyle w:val="PARA"/>
        <w:numPr>
          <w:ilvl w:val="0"/>
          <w:numId w:val="0"/>
        </w:numPr>
        <w:rPr>
          <w:rFonts w:asciiTheme="minorHAnsi" w:hAnsiTheme="minorHAnsi" w:cstheme="minorHAnsi"/>
          <w:b/>
          <w:sz w:val="22"/>
          <w:szCs w:val="22"/>
        </w:rPr>
      </w:pPr>
      <w:r w:rsidRPr="00E92B8F">
        <w:rPr>
          <w:rFonts w:asciiTheme="minorHAnsi" w:hAnsiTheme="minorHAnsi" w:cstheme="minorHAnsi"/>
          <w:b/>
          <w:sz w:val="22"/>
          <w:szCs w:val="22"/>
        </w:rPr>
        <w:t>Activity Implementation Plan</w:t>
      </w:r>
    </w:p>
    <w:p w14:paraId="4AE844C0" w14:textId="77777777" w:rsidR="00256AFD" w:rsidRPr="00E92B8F" w:rsidRDefault="00256AFD" w:rsidP="00945D32">
      <w:pPr>
        <w:pStyle w:val="PARA"/>
        <w:numPr>
          <w:ilvl w:val="0"/>
          <w:numId w:val="0"/>
        </w:numPr>
        <w:rPr>
          <w:rFonts w:asciiTheme="minorHAnsi" w:hAnsiTheme="minorHAnsi" w:cstheme="minorHAnsi"/>
          <w:sz w:val="22"/>
          <w:szCs w:val="22"/>
        </w:rPr>
      </w:pPr>
    </w:p>
    <w:p w14:paraId="4BA25875" w14:textId="77777777" w:rsidR="00256AFD" w:rsidRPr="00E92B8F" w:rsidRDefault="00256AFD" w:rsidP="00256AFD">
      <w:pPr>
        <w:pStyle w:val="PARA"/>
        <w:numPr>
          <w:ilvl w:val="0"/>
          <w:numId w:val="3"/>
        </w:numPr>
        <w:rPr>
          <w:rFonts w:asciiTheme="minorHAnsi" w:hAnsiTheme="minorHAnsi" w:cstheme="minorHAnsi"/>
          <w:sz w:val="22"/>
          <w:szCs w:val="22"/>
        </w:rPr>
      </w:pPr>
      <w:r w:rsidRPr="00E92B8F">
        <w:rPr>
          <w:rFonts w:asciiTheme="minorHAnsi" w:hAnsiTheme="minorHAnsi" w:cstheme="minorHAnsi"/>
          <w:sz w:val="22"/>
          <w:szCs w:val="22"/>
        </w:rPr>
        <w:t>Implementation Method</w:t>
      </w:r>
    </w:p>
    <w:p w14:paraId="2E28711F" w14:textId="77777777" w:rsidR="00256AFD" w:rsidRPr="00E92B8F" w:rsidRDefault="00256AFD" w:rsidP="00256AFD">
      <w:pPr>
        <w:pStyle w:val="PARA"/>
        <w:numPr>
          <w:ilvl w:val="0"/>
          <w:numId w:val="0"/>
        </w:numPr>
        <w:ind w:left="720"/>
        <w:rPr>
          <w:rFonts w:asciiTheme="minorHAnsi" w:hAnsiTheme="minorHAnsi" w:cstheme="minorHAnsi"/>
          <w:sz w:val="22"/>
          <w:szCs w:val="22"/>
        </w:rPr>
      </w:pPr>
      <w:r w:rsidRPr="00E92B8F">
        <w:rPr>
          <w:rFonts w:asciiTheme="minorHAnsi" w:hAnsiTheme="minorHAnsi" w:cstheme="minorHAnsi"/>
          <w:sz w:val="22"/>
          <w:szCs w:val="22"/>
        </w:rPr>
        <w:t>Grant will fund the activities implementation</w:t>
      </w:r>
    </w:p>
    <w:p w14:paraId="60888C53" w14:textId="77777777" w:rsidR="00256AFD" w:rsidRPr="00E92B8F" w:rsidRDefault="00256AFD" w:rsidP="00256AFD">
      <w:pPr>
        <w:pStyle w:val="PARA"/>
        <w:numPr>
          <w:ilvl w:val="0"/>
          <w:numId w:val="3"/>
        </w:numPr>
        <w:rPr>
          <w:rFonts w:asciiTheme="minorHAnsi" w:hAnsiTheme="minorHAnsi" w:cstheme="minorHAnsi"/>
          <w:sz w:val="22"/>
          <w:szCs w:val="22"/>
        </w:rPr>
      </w:pPr>
      <w:r w:rsidRPr="00E92B8F">
        <w:rPr>
          <w:rFonts w:asciiTheme="minorHAnsi" w:hAnsiTheme="minorHAnsi" w:cstheme="minorHAnsi"/>
          <w:sz w:val="22"/>
          <w:szCs w:val="22"/>
        </w:rPr>
        <w:t>Implementation Schedule</w:t>
      </w:r>
    </w:p>
    <w:p w14:paraId="717C32BA" w14:textId="77777777" w:rsidR="00C437EE" w:rsidRPr="00E92B8F" w:rsidRDefault="00C437EE" w:rsidP="00256AFD">
      <w:pPr>
        <w:pStyle w:val="PARA"/>
        <w:numPr>
          <w:ilvl w:val="0"/>
          <w:numId w:val="0"/>
        </w:numPr>
        <w:ind w:left="720"/>
        <w:rPr>
          <w:rFonts w:asciiTheme="minorHAnsi" w:hAnsiTheme="minorHAnsi" w:cstheme="minorHAnsi"/>
          <w:sz w:val="22"/>
          <w:szCs w:val="22"/>
        </w:rPr>
      </w:pPr>
      <w:r w:rsidRPr="00E92B8F">
        <w:rPr>
          <w:rFonts w:asciiTheme="minorHAnsi" w:hAnsiTheme="minorHAnsi" w:cstheme="minorHAnsi"/>
          <w:sz w:val="22"/>
          <w:szCs w:val="22"/>
        </w:rPr>
        <w:t>From 2018 to 2021</w:t>
      </w:r>
    </w:p>
    <w:p w14:paraId="44B2FCF6" w14:textId="77777777" w:rsidR="00C437EE" w:rsidRPr="00E92B8F" w:rsidRDefault="00C437EE" w:rsidP="00256AFD">
      <w:pPr>
        <w:pStyle w:val="PARA"/>
        <w:numPr>
          <w:ilvl w:val="0"/>
          <w:numId w:val="0"/>
        </w:numPr>
        <w:ind w:left="720"/>
        <w:rPr>
          <w:rFonts w:asciiTheme="minorHAnsi" w:hAnsiTheme="minorHAnsi" w:cstheme="minorHAnsi"/>
          <w:sz w:val="22"/>
          <w:szCs w:val="22"/>
        </w:rPr>
      </w:pPr>
    </w:p>
    <w:p w14:paraId="219F38B8" w14:textId="77777777" w:rsidR="00C437EE" w:rsidRPr="00E92B8F" w:rsidRDefault="00C437EE" w:rsidP="00C437EE">
      <w:pPr>
        <w:pStyle w:val="PARA"/>
        <w:numPr>
          <w:ilvl w:val="0"/>
          <w:numId w:val="3"/>
        </w:numPr>
        <w:rPr>
          <w:rFonts w:asciiTheme="minorHAnsi" w:hAnsiTheme="minorHAnsi" w:cstheme="minorHAnsi"/>
          <w:sz w:val="22"/>
          <w:szCs w:val="22"/>
        </w:rPr>
      </w:pPr>
      <w:r w:rsidRPr="00E92B8F">
        <w:rPr>
          <w:rFonts w:asciiTheme="minorHAnsi" w:hAnsiTheme="minorHAnsi" w:cstheme="minorHAnsi"/>
          <w:sz w:val="22"/>
          <w:szCs w:val="22"/>
        </w:rPr>
        <w:t xml:space="preserve">Disbursement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84"/>
        <w:gridCol w:w="1385"/>
        <w:gridCol w:w="1385"/>
        <w:gridCol w:w="1385"/>
        <w:gridCol w:w="1386"/>
      </w:tblGrid>
      <w:tr w:rsidR="00C437EE" w:rsidRPr="00E92B8F" w14:paraId="7DBE1752" w14:textId="77777777" w:rsidTr="00C16FE0">
        <w:tc>
          <w:tcPr>
            <w:tcW w:w="6923" w:type="dxa"/>
            <w:gridSpan w:val="5"/>
            <w:shd w:val="clear" w:color="auto" w:fill="auto"/>
          </w:tcPr>
          <w:p w14:paraId="744FAC07"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rPr>
              <w:t xml:space="preserve">Disbursement </w:t>
            </w:r>
            <w:r w:rsidRPr="00E92B8F">
              <w:rPr>
                <w:rFonts w:asciiTheme="minorHAnsi" w:hAnsiTheme="minorHAnsi" w:cstheme="minorHAnsi"/>
                <w:sz w:val="22"/>
                <w:lang w:val="id-ID"/>
              </w:rPr>
              <w:t>(USD 000)</w:t>
            </w:r>
          </w:p>
        </w:tc>
        <w:tc>
          <w:tcPr>
            <w:tcW w:w="1386" w:type="dxa"/>
            <w:vMerge w:val="restart"/>
            <w:shd w:val="clear" w:color="auto" w:fill="auto"/>
            <w:vAlign w:val="center"/>
          </w:tcPr>
          <w:p w14:paraId="2F8789CC"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Total</w:t>
            </w:r>
          </w:p>
        </w:tc>
      </w:tr>
      <w:tr w:rsidR="00C437EE" w:rsidRPr="00E92B8F" w14:paraId="751C69DC" w14:textId="77777777" w:rsidTr="00C16FE0">
        <w:tc>
          <w:tcPr>
            <w:tcW w:w="1384" w:type="dxa"/>
            <w:shd w:val="clear" w:color="auto" w:fill="auto"/>
            <w:vAlign w:val="center"/>
          </w:tcPr>
          <w:p w14:paraId="0091982F"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I</w:t>
            </w:r>
          </w:p>
        </w:tc>
        <w:tc>
          <w:tcPr>
            <w:tcW w:w="1384" w:type="dxa"/>
            <w:shd w:val="clear" w:color="auto" w:fill="auto"/>
            <w:vAlign w:val="center"/>
          </w:tcPr>
          <w:p w14:paraId="6C87EC0F"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II</w:t>
            </w:r>
          </w:p>
        </w:tc>
        <w:tc>
          <w:tcPr>
            <w:tcW w:w="1385" w:type="dxa"/>
            <w:shd w:val="clear" w:color="auto" w:fill="auto"/>
            <w:vAlign w:val="center"/>
          </w:tcPr>
          <w:p w14:paraId="3577E301"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III</w:t>
            </w:r>
          </w:p>
        </w:tc>
        <w:tc>
          <w:tcPr>
            <w:tcW w:w="1385" w:type="dxa"/>
            <w:shd w:val="clear" w:color="auto" w:fill="auto"/>
            <w:vAlign w:val="center"/>
          </w:tcPr>
          <w:p w14:paraId="534C5D6D"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IV</w:t>
            </w:r>
          </w:p>
        </w:tc>
        <w:tc>
          <w:tcPr>
            <w:tcW w:w="1385" w:type="dxa"/>
            <w:shd w:val="clear" w:color="auto" w:fill="auto"/>
            <w:vAlign w:val="center"/>
          </w:tcPr>
          <w:p w14:paraId="33A9040D"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lang w:val="id-ID"/>
              </w:rPr>
              <w:t>V</w:t>
            </w:r>
          </w:p>
        </w:tc>
        <w:tc>
          <w:tcPr>
            <w:tcW w:w="1386" w:type="dxa"/>
            <w:vMerge/>
            <w:shd w:val="clear" w:color="auto" w:fill="auto"/>
            <w:vAlign w:val="center"/>
          </w:tcPr>
          <w:p w14:paraId="760D3E50" w14:textId="77777777" w:rsidR="00C437EE" w:rsidRPr="00E92B8F" w:rsidRDefault="00C437EE" w:rsidP="00C16FE0">
            <w:pPr>
              <w:pStyle w:val="ListParagraph"/>
              <w:spacing w:before="120"/>
              <w:ind w:left="0"/>
              <w:jc w:val="center"/>
              <w:rPr>
                <w:rFonts w:asciiTheme="minorHAnsi" w:hAnsiTheme="minorHAnsi" w:cstheme="minorHAnsi"/>
                <w:sz w:val="22"/>
                <w:lang w:val="id-ID"/>
              </w:rPr>
            </w:pPr>
          </w:p>
        </w:tc>
      </w:tr>
      <w:tr w:rsidR="00C437EE" w:rsidRPr="00E92B8F" w14:paraId="2A6D33F6" w14:textId="77777777" w:rsidTr="00C16FE0">
        <w:tc>
          <w:tcPr>
            <w:tcW w:w="1384" w:type="dxa"/>
            <w:shd w:val="clear" w:color="auto" w:fill="auto"/>
            <w:vAlign w:val="center"/>
          </w:tcPr>
          <w:p w14:paraId="5E162537"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500</w:t>
            </w:r>
          </w:p>
        </w:tc>
        <w:tc>
          <w:tcPr>
            <w:tcW w:w="1384" w:type="dxa"/>
            <w:shd w:val="clear" w:color="auto" w:fill="auto"/>
            <w:vAlign w:val="center"/>
          </w:tcPr>
          <w:p w14:paraId="129E9868"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6.000</w:t>
            </w:r>
          </w:p>
        </w:tc>
        <w:tc>
          <w:tcPr>
            <w:tcW w:w="1385" w:type="dxa"/>
            <w:shd w:val="clear" w:color="auto" w:fill="auto"/>
            <w:vAlign w:val="center"/>
          </w:tcPr>
          <w:p w14:paraId="6949970F"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7.000</w:t>
            </w:r>
          </w:p>
        </w:tc>
        <w:tc>
          <w:tcPr>
            <w:tcW w:w="1385" w:type="dxa"/>
            <w:shd w:val="clear" w:color="auto" w:fill="auto"/>
            <w:vAlign w:val="center"/>
          </w:tcPr>
          <w:p w14:paraId="47350D04"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6.500</w:t>
            </w:r>
          </w:p>
        </w:tc>
        <w:tc>
          <w:tcPr>
            <w:tcW w:w="1385" w:type="dxa"/>
            <w:shd w:val="clear" w:color="auto" w:fill="auto"/>
            <w:vAlign w:val="center"/>
          </w:tcPr>
          <w:p w14:paraId="594121E0"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386" w:type="dxa"/>
            <w:shd w:val="clear" w:color="auto" w:fill="auto"/>
            <w:vAlign w:val="center"/>
          </w:tcPr>
          <w:p w14:paraId="32BD7CE5"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20.000</w:t>
            </w:r>
          </w:p>
        </w:tc>
      </w:tr>
    </w:tbl>
    <w:p w14:paraId="3A6F24E2" w14:textId="77777777" w:rsidR="00256AFD" w:rsidRPr="00E92B8F" w:rsidRDefault="00256AFD" w:rsidP="00C437EE">
      <w:pPr>
        <w:pStyle w:val="PARA"/>
        <w:numPr>
          <w:ilvl w:val="0"/>
          <w:numId w:val="0"/>
        </w:numPr>
        <w:ind w:left="720"/>
        <w:rPr>
          <w:rFonts w:asciiTheme="minorHAnsi" w:hAnsiTheme="minorHAnsi" w:cstheme="minorHAnsi"/>
          <w:sz w:val="22"/>
          <w:szCs w:val="22"/>
        </w:rPr>
      </w:pPr>
      <w:r w:rsidRPr="00E92B8F">
        <w:rPr>
          <w:rFonts w:asciiTheme="minorHAnsi" w:hAnsiTheme="minorHAnsi" w:cstheme="minorHAnsi"/>
          <w:sz w:val="22"/>
          <w:szCs w:val="22"/>
        </w:rPr>
        <w:t xml:space="preserve"> </w:t>
      </w:r>
    </w:p>
    <w:p w14:paraId="54E6B4A3" w14:textId="77777777" w:rsidR="00256AFD" w:rsidRPr="00E92B8F" w:rsidRDefault="00C437EE" w:rsidP="00C437EE">
      <w:pPr>
        <w:pStyle w:val="PARA"/>
        <w:numPr>
          <w:ilvl w:val="0"/>
          <w:numId w:val="3"/>
        </w:numPr>
        <w:rPr>
          <w:rFonts w:asciiTheme="minorHAnsi" w:hAnsiTheme="minorHAnsi" w:cstheme="minorHAnsi"/>
          <w:sz w:val="22"/>
          <w:szCs w:val="22"/>
        </w:rPr>
      </w:pPr>
      <w:r w:rsidRPr="00E92B8F">
        <w:rPr>
          <w:rFonts w:asciiTheme="minorHAnsi" w:hAnsiTheme="minorHAnsi" w:cstheme="minorHAnsi"/>
          <w:sz w:val="22"/>
          <w:szCs w:val="22"/>
        </w:rPr>
        <w:t>Allocation per Component and per Category</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1116"/>
        <w:gridCol w:w="1427"/>
        <w:gridCol w:w="1116"/>
        <w:gridCol w:w="1116"/>
        <w:gridCol w:w="1116"/>
      </w:tblGrid>
      <w:tr w:rsidR="00C437EE" w:rsidRPr="00E92B8F" w14:paraId="2FF11040" w14:textId="77777777" w:rsidTr="00C16FE0">
        <w:trPr>
          <w:trHeight w:val="354"/>
        </w:trPr>
        <w:tc>
          <w:tcPr>
            <w:tcW w:w="2706" w:type="dxa"/>
            <w:vMerge w:val="restart"/>
            <w:shd w:val="clear" w:color="auto" w:fill="auto"/>
            <w:vAlign w:val="center"/>
          </w:tcPr>
          <w:p w14:paraId="31ACB672" w14:textId="77777777" w:rsidR="00C437EE" w:rsidRPr="00E92B8F" w:rsidRDefault="00C437EE" w:rsidP="00C16FE0">
            <w:pPr>
              <w:pStyle w:val="ListParagraph"/>
              <w:spacing w:before="120"/>
              <w:ind w:left="0"/>
              <w:jc w:val="center"/>
              <w:rPr>
                <w:rFonts w:asciiTheme="minorHAnsi" w:hAnsiTheme="minorHAnsi" w:cstheme="minorHAnsi"/>
                <w:sz w:val="22"/>
              </w:rPr>
            </w:pPr>
            <w:r w:rsidRPr="00E92B8F">
              <w:rPr>
                <w:rFonts w:asciiTheme="minorHAnsi" w:hAnsiTheme="minorHAnsi" w:cstheme="minorHAnsi"/>
                <w:sz w:val="22"/>
              </w:rPr>
              <w:t>C</w:t>
            </w:r>
            <w:r w:rsidRPr="00E92B8F">
              <w:rPr>
                <w:rFonts w:asciiTheme="minorHAnsi" w:hAnsiTheme="minorHAnsi" w:cstheme="minorHAnsi"/>
                <w:sz w:val="22"/>
                <w:lang w:val="id-ID"/>
              </w:rPr>
              <w:t>omponen</w:t>
            </w:r>
            <w:r w:rsidRPr="00E92B8F">
              <w:rPr>
                <w:rFonts w:asciiTheme="minorHAnsi" w:hAnsiTheme="minorHAnsi" w:cstheme="minorHAnsi"/>
                <w:sz w:val="22"/>
              </w:rPr>
              <w:t>t</w:t>
            </w:r>
          </w:p>
        </w:tc>
        <w:tc>
          <w:tcPr>
            <w:tcW w:w="5578" w:type="dxa"/>
            <w:gridSpan w:val="5"/>
            <w:shd w:val="clear" w:color="auto" w:fill="auto"/>
          </w:tcPr>
          <w:p w14:paraId="49DFF61A" w14:textId="77777777" w:rsidR="00C437EE" w:rsidRPr="00E92B8F" w:rsidRDefault="00C437EE" w:rsidP="00C16FE0">
            <w:pPr>
              <w:pStyle w:val="ListParagraph"/>
              <w:spacing w:before="120"/>
              <w:ind w:left="0"/>
              <w:jc w:val="center"/>
              <w:rPr>
                <w:rFonts w:asciiTheme="minorHAnsi" w:hAnsiTheme="minorHAnsi" w:cstheme="minorHAnsi"/>
                <w:sz w:val="22"/>
                <w:lang w:val="id-ID"/>
              </w:rPr>
            </w:pPr>
            <w:r w:rsidRPr="00E92B8F">
              <w:rPr>
                <w:rFonts w:asciiTheme="minorHAnsi" w:hAnsiTheme="minorHAnsi" w:cstheme="minorHAnsi"/>
                <w:sz w:val="22"/>
              </w:rPr>
              <w:t>Category</w:t>
            </w:r>
            <w:r w:rsidRPr="00E92B8F">
              <w:rPr>
                <w:rFonts w:asciiTheme="minorHAnsi" w:hAnsiTheme="minorHAnsi" w:cstheme="minorHAnsi"/>
                <w:sz w:val="22"/>
                <w:lang w:val="id-ID"/>
              </w:rPr>
              <w:t xml:space="preserve"> (USD 000)</w:t>
            </w:r>
          </w:p>
        </w:tc>
      </w:tr>
      <w:tr w:rsidR="00C437EE" w:rsidRPr="00E92B8F" w14:paraId="6FE2DC88" w14:textId="77777777" w:rsidTr="00C16FE0">
        <w:trPr>
          <w:trHeight w:val="141"/>
        </w:trPr>
        <w:tc>
          <w:tcPr>
            <w:tcW w:w="2706" w:type="dxa"/>
            <w:vMerge/>
            <w:shd w:val="clear" w:color="auto" w:fill="auto"/>
          </w:tcPr>
          <w:p w14:paraId="4E0921B2" w14:textId="77777777" w:rsidR="00C437EE" w:rsidRPr="00E92B8F" w:rsidRDefault="00C437EE" w:rsidP="00C16FE0">
            <w:pPr>
              <w:pStyle w:val="ListParagraph"/>
              <w:spacing w:before="120"/>
              <w:ind w:left="0"/>
              <w:rPr>
                <w:rFonts w:asciiTheme="minorHAnsi" w:hAnsiTheme="minorHAnsi" w:cstheme="minorHAnsi"/>
                <w:sz w:val="22"/>
                <w:lang w:val="id-ID"/>
              </w:rPr>
            </w:pPr>
          </w:p>
        </w:tc>
        <w:tc>
          <w:tcPr>
            <w:tcW w:w="1116" w:type="dxa"/>
            <w:shd w:val="clear" w:color="auto" w:fill="auto"/>
          </w:tcPr>
          <w:p w14:paraId="4F5E7737" w14:textId="77777777" w:rsidR="00C437EE" w:rsidRPr="00E92B8F" w:rsidRDefault="00C437EE" w:rsidP="00C437EE">
            <w:pPr>
              <w:pStyle w:val="ListParagraph"/>
              <w:spacing w:before="120"/>
              <w:ind w:left="0" w:firstLine="0"/>
              <w:jc w:val="center"/>
              <w:rPr>
                <w:rFonts w:asciiTheme="minorHAnsi" w:hAnsiTheme="minorHAnsi" w:cstheme="minorHAnsi"/>
                <w:sz w:val="22"/>
              </w:rPr>
            </w:pPr>
            <w:r w:rsidRPr="00E92B8F">
              <w:rPr>
                <w:rFonts w:asciiTheme="minorHAnsi" w:hAnsiTheme="minorHAnsi" w:cstheme="minorHAnsi"/>
                <w:sz w:val="22"/>
              </w:rPr>
              <w:t>Service</w:t>
            </w:r>
          </w:p>
        </w:tc>
        <w:tc>
          <w:tcPr>
            <w:tcW w:w="1116" w:type="dxa"/>
            <w:shd w:val="clear" w:color="auto" w:fill="auto"/>
          </w:tcPr>
          <w:p w14:paraId="761052BE" w14:textId="77777777" w:rsidR="00C437EE" w:rsidRPr="00E92B8F" w:rsidRDefault="00C437EE" w:rsidP="00C437EE">
            <w:pPr>
              <w:pStyle w:val="ListParagraph"/>
              <w:spacing w:before="120"/>
              <w:ind w:left="61" w:firstLine="0"/>
              <w:jc w:val="center"/>
              <w:rPr>
                <w:rFonts w:asciiTheme="minorHAnsi" w:hAnsiTheme="minorHAnsi" w:cstheme="minorHAnsi"/>
                <w:sz w:val="22"/>
              </w:rPr>
            </w:pPr>
            <w:r w:rsidRPr="00E92B8F">
              <w:rPr>
                <w:rFonts w:asciiTheme="minorHAnsi" w:hAnsiTheme="minorHAnsi" w:cstheme="minorHAnsi"/>
                <w:sz w:val="22"/>
              </w:rPr>
              <w:t>Construction</w:t>
            </w:r>
          </w:p>
        </w:tc>
        <w:tc>
          <w:tcPr>
            <w:tcW w:w="1116" w:type="dxa"/>
            <w:shd w:val="clear" w:color="auto" w:fill="auto"/>
          </w:tcPr>
          <w:p w14:paraId="6B433417" w14:textId="77777777" w:rsidR="00C437EE" w:rsidRPr="00E92B8F" w:rsidRDefault="00C437EE" w:rsidP="00C437EE">
            <w:pPr>
              <w:pStyle w:val="ListParagraph"/>
              <w:spacing w:before="120"/>
              <w:ind w:left="0" w:firstLine="0"/>
              <w:jc w:val="center"/>
              <w:rPr>
                <w:rFonts w:asciiTheme="minorHAnsi" w:hAnsiTheme="minorHAnsi" w:cstheme="minorHAnsi"/>
                <w:sz w:val="22"/>
              </w:rPr>
            </w:pPr>
            <w:r w:rsidRPr="00E92B8F">
              <w:rPr>
                <w:rFonts w:asciiTheme="minorHAnsi" w:hAnsiTheme="minorHAnsi" w:cstheme="minorHAnsi"/>
                <w:sz w:val="22"/>
              </w:rPr>
              <w:t>Goods</w:t>
            </w:r>
          </w:p>
        </w:tc>
        <w:tc>
          <w:tcPr>
            <w:tcW w:w="1116" w:type="dxa"/>
            <w:shd w:val="clear" w:color="auto" w:fill="auto"/>
          </w:tcPr>
          <w:p w14:paraId="0C3233F2" w14:textId="77777777" w:rsidR="00C437EE" w:rsidRPr="00E92B8F" w:rsidRDefault="00C437EE" w:rsidP="00C437EE">
            <w:pPr>
              <w:pStyle w:val="ListParagraph"/>
              <w:spacing w:before="120"/>
              <w:ind w:left="0" w:firstLine="0"/>
              <w:jc w:val="center"/>
              <w:rPr>
                <w:rFonts w:asciiTheme="minorHAnsi" w:hAnsiTheme="minorHAnsi" w:cstheme="minorHAnsi"/>
                <w:sz w:val="22"/>
              </w:rPr>
            </w:pPr>
            <w:r w:rsidRPr="00E92B8F">
              <w:rPr>
                <w:rFonts w:asciiTheme="minorHAnsi" w:hAnsiTheme="minorHAnsi" w:cstheme="minorHAnsi"/>
                <w:sz w:val="22"/>
              </w:rPr>
              <w:t>Training</w:t>
            </w:r>
          </w:p>
        </w:tc>
        <w:tc>
          <w:tcPr>
            <w:tcW w:w="1116" w:type="dxa"/>
            <w:shd w:val="clear" w:color="auto" w:fill="auto"/>
          </w:tcPr>
          <w:p w14:paraId="7CFF7971" w14:textId="77777777" w:rsidR="00C437EE" w:rsidRPr="00E92B8F" w:rsidRDefault="00C437EE" w:rsidP="00C437EE">
            <w:pPr>
              <w:pStyle w:val="ListParagraph"/>
              <w:spacing w:before="120"/>
              <w:ind w:left="0" w:firstLine="0"/>
              <w:jc w:val="center"/>
              <w:rPr>
                <w:rFonts w:asciiTheme="minorHAnsi" w:hAnsiTheme="minorHAnsi" w:cstheme="minorHAnsi"/>
                <w:sz w:val="22"/>
              </w:rPr>
            </w:pPr>
            <w:r w:rsidRPr="00E92B8F">
              <w:rPr>
                <w:rFonts w:asciiTheme="minorHAnsi" w:hAnsiTheme="minorHAnsi" w:cstheme="minorHAnsi"/>
                <w:sz w:val="22"/>
              </w:rPr>
              <w:t>Others</w:t>
            </w:r>
          </w:p>
        </w:tc>
      </w:tr>
      <w:tr w:rsidR="00C437EE" w:rsidRPr="00E92B8F" w14:paraId="31357CEF" w14:textId="77777777" w:rsidTr="00C16FE0">
        <w:trPr>
          <w:trHeight w:val="354"/>
        </w:trPr>
        <w:tc>
          <w:tcPr>
            <w:tcW w:w="2706" w:type="dxa"/>
            <w:shd w:val="clear" w:color="auto" w:fill="auto"/>
          </w:tcPr>
          <w:p w14:paraId="6D33509A" w14:textId="77777777" w:rsidR="00C437EE" w:rsidRPr="00E92B8F" w:rsidRDefault="00C437EE" w:rsidP="00C437EE">
            <w:pPr>
              <w:pStyle w:val="ListParagraph"/>
              <w:spacing w:before="120"/>
              <w:ind w:left="450"/>
              <w:jc w:val="both"/>
              <w:rPr>
                <w:rFonts w:asciiTheme="minorHAnsi" w:hAnsiTheme="minorHAnsi" w:cstheme="minorHAnsi"/>
                <w:sz w:val="22"/>
              </w:rPr>
            </w:pPr>
            <w:r w:rsidRPr="00E92B8F">
              <w:rPr>
                <w:rFonts w:asciiTheme="minorHAnsi" w:hAnsiTheme="minorHAnsi" w:cstheme="minorHAnsi"/>
                <w:sz w:val="22"/>
              </w:rPr>
              <w:t>Category/Component 1.</w:t>
            </w:r>
          </w:p>
        </w:tc>
        <w:tc>
          <w:tcPr>
            <w:tcW w:w="1116" w:type="dxa"/>
            <w:shd w:val="clear" w:color="auto" w:fill="auto"/>
          </w:tcPr>
          <w:p w14:paraId="64A8263E"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8.000</w:t>
            </w:r>
          </w:p>
        </w:tc>
        <w:tc>
          <w:tcPr>
            <w:tcW w:w="1116" w:type="dxa"/>
            <w:shd w:val="clear" w:color="auto" w:fill="auto"/>
          </w:tcPr>
          <w:p w14:paraId="21D013EF"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46997185"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07A4CFEA"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6.000</w:t>
            </w:r>
          </w:p>
        </w:tc>
        <w:tc>
          <w:tcPr>
            <w:tcW w:w="1116" w:type="dxa"/>
            <w:shd w:val="clear" w:color="auto" w:fill="auto"/>
          </w:tcPr>
          <w:p w14:paraId="58C8FA41"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2.000</w:t>
            </w:r>
          </w:p>
        </w:tc>
      </w:tr>
      <w:tr w:rsidR="00C437EE" w:rsidRPr="00E92B8F" w14:paraId="6F69174B" w14:textId="77777777" w:rsidTr="00C16FE0">
        <w:trPr>
          <w:trHeight w:val="465"/>
        </w:trPr>
        <w:tc>
          <w:tcPr>
            <w:tcW w:w="2706" w:type="dxa"/>
            <w:shd w:val="clear" w:color="auto" w:fill="auto"/>
          </w:tcPr>
          <w:p w14:paraId="6C06B72F" w14:textId="77777777" w:rsidR="00C437EE" w:rsidRPr="00E92B8F" w:rsidRDefault="00C437EE" w:rsidP="00C437EE">
            <w:pPr>
              <w:pStyle w:val="ListParagraph"/>
              <w:spacing w:before="120"/>
              <w:ind w:left="450"/>
              <w:rPr>
                <w:rFonts w:asciiTheme="minorHAnsi" w:hAnsiTheme="minorHAnsi" w:cstheme="minorHAnsi"/>
                <w:sz w:val="22"/>
              </w:rPr>
            </w:pPr>
            <w:r w:rsidRPr="00E92B8F">
              <w:rPr>
                <w:rFonts w:asciiTheme="minorHAnsi" w:hAnsiTheme="minorHAnsi" w:cstheme="minorHAnsi"/>
                <w:sz w:val="22"/>
              </w:rPr>
              <w:t>Category/Component 2.</w:t>
            </w:r>
          </w:p>
        </w:tc>
        <w:tc>
          <w:tcPr>
            <w:tcW w:w="1116" w:type="dxa"/>
            <w:shd w:val="clear" w:color="auto" w:fill="auto"/>
          </w:tcPr>
          <w:p w14:paraId="58AE8886"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1.5000</w:t>
            </w:r>
          </w:p>
        </w:tc>
        <w:tc>
          <w:tcPr>
            <w:tcW w:w="1116" w:type="dxa"/>
            <w:shd w:val="clear" w:color="auto" w:fill="auto"/>
          </w:tcPr>
          <w:p w14:paraId="3AB85FA9"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4E3AAE36"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3C3A22F6"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1.500</w:t>
            </w:r>
          </w:p>
        </w:tc>
        <w:tc>
          <w:tcPr>
            <w:tcW w:w="1116" w:type="dxa"/>
            <w:shd w:val="clear" w:color="auto" w:fill="auto"/>
          </w:tcPr>
          <w:p w14:paraId="1D5C0CF0" w14:textId="77777777" w:rsidR="00C437EE" w:rsidRPr="00E92B8F" w:rsidRDefault="00C437EE" w:rsidP="00C16FE0">
            <w:pPr>
              <w:pStyle w:val="ListParagraph"/>
              <w:spacing w:before="120"/>
              <w:ind w:left="0"/>
              <w:jc w:val="right"/>
              <w:rPr>
                <w:rFonts w:asciiTheme="minorHAnsi" w:hAnsiTheme="minorHAnsi" w:cstheme="minorHAnsi"/>
                <w:sz w:val="22"/>
              </w:rPr>
            </w:pPr>
            <w:r w:rsidRPr="00E92B8F">
              <w:rPr>
                <w:rFonts w:asciiTheme="minorHAnsi" w:hAnsiTheme="minorHAnsi" w:cstheme="minorHAnsi"/>
                <w:sz w:val="22"/>
              </w:rPr>
              <w:t>1.000</w:t>
            </w:r>
          </w:p>
        </w:tc>
      </w:tr>
      <w:tr w:rsidR="00C437EE" w:rsidRPr="00E92B8F" w14:paraId="0D342449" w14:textId="77777777" w:rsidTr="00C16FE0">
        <w:trPr>
          <w:trHeight w:val="476"/>
        </w:trPr>
        <w:tc>
          <w:tcPr>
            <w:tcW w:w="2706" w:type="dxa"/>
            <w:shd w:val="clear" w:color="auto" w:fill="auto"/>
          </w:tcPr>
          <w:p w14:paraId="2DAF9CB9" w14:textId="77777777" w:rsidR="00C437EE" w:rsidRPr="00E92B8F" w:rsidRDefault="00C437EE" w:rsidP="00C16FE0">
            <w:pPr>
              <w:pStyle w:val="ListParagraph"/>
              <w:spacing w:before="120"/>
              <w:ind w:left="0"/>
              <w:rPr>
                <w:rFonts w:asciiTheme="minorHAnsi" w:hAnsiTheme="minorHAnsi" w:cstheme="minorHAnsi"/>
                <w:sz w:val="22"/>
              </w:rPr>
            </w:pPr>
          </w:p>
        </w:tc>
        <w:tc>
          <w:tcPr>
            <w:tcW w:w="1116" w:type="dxa"/>
            <w:shd w:val="clear" w:color="auto" w:fill="auto"/>
          </w:tcPr>
          <w:p w14:paraId="451C1E14"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62BAB9EF"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307BE968"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c>
          <w:tcPr>
            <w:tcW w:w="1116" w:type="dxa"/>
            <w:shd w:val="clear" w:color="auto" w:fill="auto"/>
          </w:tcPr>
          <w:p w14:paraId="1CB5FD9F" w14:textId="77777777" w:rsidR="00C437EE" w:rsidRPr="00E92B8F" w:rsidRDefault="00C437EE" w:rsidP="00C16FE0">
            <w:pPr>
              <w:pStyle w:val="ListParagraph"/>
              <w:spacing w:before="120"/>
              <w:ind w:left="0"/>
              <w:jc w:val="right"/>
              <w:rPr>
                <w:rFonts w:asciiTheme="minorHAnsi" w:hAnsiTheme="minorHAnsi" w:cstheme="minorHAnsi"/>
                <w:sz w:val="22"/>
              </w:rPr>
            </w:pPr>
          </w:p>
        </w:tc>
        <w:tc>
          <w:tcPr>
            <w:tcW w:w="1116" w:type="dxa"/>
            <w:shd w:val="clear" w:color="auto" w:fill="auto"/>
          </w:tcPr>
          <w:p w14:paraId="0CCF7124" w14:textId="77777777" w:rsidR="00C437EE" w:rsidRPr="00E92B8F" w:rsidRDefault="00C437EE" w:rsidP="00C16FE0">
            <w:pPr>
              <w:pStyle w:val="ListParagraph"/>
              <w:spacing w:before="120"/>
              <w:ind w:left="0"/>
              <w:jc w:val="right"/>
              <w:rPr>
                <w:rFonts w:asciiTheme="minorHAnsi" w:hAnsiTheme="minorHAnsi" w:cstheme="minorHAnsi"/>
                <w:sz w:val="22"/>
                <w:lang w:val="id-ID"/>
              </w:rPr>
            </w:pPr>
          </w:p>
        </w:tc>
      </w:tr>
    </w:tbl>
    <w:p w14:paraId="2460AC75" w14:textId="77777777" w:rsidR="00C437EE" w:rsidRPr="00E92B8F" w:rsidRDefault="00C437EE" w:rsidP="00C437EE">
      <w:pPr>
        <w:pStyle w:val="PARA"/>
        <w:numPr>
          <w:ilvl w:val="0"/>
          <w:numId w:val="0"/>
        </w:numPr>
        <w:ind w:left="720"/>
        <w:rPr>
          <w:rFonts w:asciiTheme="minorHAnsi" w:hAnsiTheme="minorHAnsi" w:cstheme="minorHAnsi"/>
          <w:sz w:val="22"/>
          <w:szCs w:val="22"/>
        </w:rPr>
      </w:pPr>
    </w:p>
    <w:p w14:paraId="2BC4D73A" w14:textId="77777777" w:rsidR="00256AFD" w:rsidRPr="00E92B8F" w:rsidRDefault="00256AFD" w:rsidP="00945D32">
      <w:pPr>
        <w:pStyle w:val="PARA"/>
        <w:numPr>
          <w:ilvl w:val="0"/>
          <w:numId w:val="0"/>
        </w:numPr>
        <w:rPr>
          <w:rFonts w:asciiTheme="minorHAnsi" w:hAnsiTheme="minorHAnsi" w:cstheme="minorHAnsi"/>
          <w:sz w:val="22"/>
          <w:szCs w:val="22"/>
        </w:rPr>
      </w:pPr>
    </w:p>
    <w:p w14:paraId="398193ED" w14:textId="77777777" w:rsidR="00256AFD" w:rsidRPr="00E92B8F" w:rsidRDefault="00256AFD" w:rsidP="00945D32">
      <w:pPr>
        <w:pStyle w:val="PARA"/>
        <w:numPr>
          <w:ilvl w:val="0"/>
          <w:numId w:val="0"/>
        </w:numPr>
        <w:rPr>
          <w:rFonts w:asciiTheme="minorHAnsi" w:hAnsiTheme="minorHAnsi" w:cstheme="minorHAnsi"/>
          <w:sz w:val="22"/>
          <w:szCs w:val="22"/>
        </w:rPr>
      </w:pPr>
    </w:p>
    <w:p w14:paraId="3B14CC5B" w14:textId="77777777" w:rsidR="00945D32" w:rsidRPr="00E92B8F" w:rsidRDefault="00945D32" w:rsidP="00945D32">
      <w:pPr>
        <w:pStyle w:val="PARA"/>
        <w:numPr>
          <w:ilvl w:val="0"/>
          <w:numId w:val="0"/>
        </w:numPr>
        <w:rPr>
          <w:rFonts w:asciiTheme="minorHAnsi" w:hAnsiTheme="minorHAnsi" w:cstheme="minorHAnsi"/>
          <w:b/>
          <w:sz w:val="22"/>
          <w:szCs w:val="22"/>
        </w:rPr>
      </w:pPr>
      <w:r w:rsidRPr="00E92B8F">
        <w:rPr>
          <w:rFonts w:asciiTheme="minorHAnsi" w:hAnsiTheme="minorHAnsi" w:cstheme="minorHAnsi"/>
          <w:b/>
          <w:sz w:val="22"/>
          <w:szCs w:val="22"/>
        </w:rPr>
        <w:t>Budget</w:t>
      </w:r>
    </w:p>
    <w:p w14:paraId="27F0900F" w14:textId="77777777" w:rsidR="00945D32" w:rsidRPr="00E92B8F" w:rsidRDefault="00945D32" w:rsidP="00945D32">
      <w:pPr>
        <w:pStyle w:val="PARA"/>
        <w:numPr>
          <w:ilvl w:val="0"/>
          <w:numId w:val="0"/>
        </w:numPr>
        <w:rPr>
          <w:rFonts w:asciiTheme="minorHAnsi" w:hAnsiTheme="minorHAnsi" w:cstheme="minorHAnsi"/>
          <w:sz w:val="22"/>
          <w:szCs w:val="22"/>
        </w:rPr>
      </w:pPr>
    </w:p>
    <w:tbl>
      <w:tblPr>
        <w:tblW w:w="8788"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894"/>
        <w:gridCol w:w="1440"/>
        <w:gridCol w:w="1530"/>
        <w:gridCol w:w="1924"/>
      </w:tblGrid>
      <w:tr w:rsidR="00945D32" w:rsidRPr="00E92B8F" w14:paraId="0FC3985D" w14:textId="77777777" w:rsidTr="00C16FE0">
        <w:trPr>
          <w:trHeight w:val="70"/>
        </w:trPr>
        <w:tc>
          <w:tcPr>
            <w:tcW w:w="8788" w:type="dxa"/>
            <w:gridSpan w:val="4"/>
            <w:shd w:val="clear" w:color="auto" w:fill="auto"/>
            <w:vAlign w:val="center"/>
          </w:tcPr>
          <w:p w14:paraId="52D3507C" w14:textId="77777777" w:rsidR="00945D32" w:rsidRPr="00E92B8F" w:rsidRDefault="00256AFD" w:rsidP="00C16FE0">
            <w:pPr>
              <w:pStyle w:val="ListParagraph"/>
              <w:numPr>
                <w:ilvl w:val="0"/>
                <w:numId w:val="2"/>
              </w:numPr>
              <w:spacing w:before="120" w:after="120"/>
              <w:rPr>
                <w:rFonts w:asciiTheme="minorHAnsi" w:hAnsiTheme="minorHAnsi" w:cstheme="minorHAnsi"/>
                <w:b/>
                <w:sz w:val="22"/>
              </w:rPr>
            </w:pPr>
            <w:r w:rsidRPr="00E92B8F">
              <w:rPr>
                <w:rFonts w:asciiTheme="minorHAnsi" w:hAnsiTheme="minorHAnsi" w:cstheme="minorHAnsi"/>
                <w:b/>
                <w:sz w:val="22"/>
              </w:rPr>
              <w:t>Budget Amount</w:t>
            </w:r>
          </w:p>
        </w:tc>
      </w:tr>
      <w:tr w:rsidR="00945D32" w:rsidRPr="00E92B8F" w14:paraId="0A7A447C" w14:textId="77777777" w:rsidTr="00C16FE0">
        <w:trPr>
          <w:trHeight w:val="248"/>
        </w:trPr>
        <w:tc>
          <w:tcPr>
            <w:tcW w:w="3894" w:type="dxa"/>
            <w:vMerge w:val="restart"/>
            <w:shd w:val="clear" w:color="auto" w:fill="DEEAF6" w:themeFill="accent5" w:themeFillTint="33"/>
            <w:vAlign w:val="center"/>
          </w:tcPr>
          <w:p w14:paraId="5DB8F02A" w14:textId="77777777" w:rsidR="00945D32" w:rsidRPr="00E92B8F" w:rsidRDefault="00C437EE" w:rsidP="00C16FE0">
            <w:pPr>
              <w:spacing w:before="120" w:after="120"/>
              <w:rPr>
                <w:rFonts w:cstheme="minorHAnsi"/>
                <w:b/>
                <w:bCs/>
                <w:i/>
                <w:iCs/>
              </w:rPr>
            </w:pPr>
            <w:r w:rsidRPr="00E92B8F">
              <w:rPr>
                <w:rFonts w:cstheme="minorHAnsi"/>
                <w:b/>
                <w:bCs/>
              </w:rPr>
              <w:t>Implementing Organization</w:t>
            </w:r>
          </w:p>
        </w:tc>
        <w:tc>
          <w:tcPr>
            <w:tcW w:w="2970" w:type="dxa"/>
            <w:gridSpan w:val="2"/>
            <w:shd w:val="clear" w:color="auto" w:fill="DEEAF6" w:themeFill="accent5" w:themeFillTint="33"/>
            <w:vAlign w:val="center"/>
          </w:tcPr>
          <w:p w14:paraId="1AE266EF" w14:textId="77777777" w:rsidR="00945D32" w:rsidRPr="00E92B8F" w:rsidRDefault="00945D32" w:rsidP="00C16FE0">
            <w:pPr>
              <w:spacing w:before="120" w:after="120"/>
              <w:jc w:val="center"/>
              <w:rPr>
                <w:rFonts w:cstheme="minorHAnsi"/>
                <w:b/>
                <w:bCs/>
                <w:i/>
                <w:iCs/>
                <w:lang w:val="id-ID"/>
              </w:rPr>
            </w:pPr>
            <w:r w:rsidRPr="00E92B8F">
              <w:rPr>
                <w:rFonts w:cstheme="minorHAnsi"/>
                <w:b/>
                <w:bCs/>
              </w:rPr>
              <w:t>Budget</w:t>
            </w:r>
            <w:r w:rsidRPr="00E92B8F">
              <w:rPr>
                <w:rFonts w:cstheme="minorHAnsi"/>
                <w:b/>
                <w:bCs/>
                <w:lang w:val="id-ID"/>
              </w:rPr>
              <w:t xml:space="preserve"> (USD)</w:t>
            </w:r>
          </w:p>
        </w:tc>
        <w:tc>
          <w:tcPr>
            <w:tcW w:w="1924" w:type="dxa"/>
            <w:vMerge w:val="restart"/>
            <w:shd w:val="clear" w:color="auto" w:fill="DEEAF6" w:themeFill="accent5" w:themeFillTint="33"/>
            <w:vAlign w:val="center"/>
          </w:tcPr>
          <w:p w14:paraId="7A9392F9" w14:textId="77777777" w:rsidR="00945D32" w:rsidRPr="00E92B8F" w:rsidRDefault="00945D32" w:rsidP="00C16FE0">
            <w:pPr>
              <w:spacing w:before="120" w:after="120"/>
              <w:jc w:val="center"/>
              <w:rPr>
                <w:rFonts w:cstheme="minorHAnsi"/>
                <w:b/>
                <w:bCs/>
                <w:lang w:val="id-ID"/>
              </w:rPr>
            </w:pPr>
            <w:r w:rsidRPr="00E92B8F">
              <w:rPr>
                <w:rFonts w:cstheme="minorHAnsi"/>
                <w:b/>
                <w:bCs/>
              </w:rPr>
              <w:t xml:space="preserve">Total </w:t>
            </w:r>
            <w:r w:rsidR="00256AFD" w:rsidRPr="00E92B8F">
              <w:rPr>
                <w:rFonts w:cstheme="minorHAnsi"/>
                <w:b/>
                <w:bCs/>
              </w:rPr>
              <w:t xml:space="preserve">Budget </w:t>
            </w:r>
            <w:r w:rsidRPr="00E92B8F">
              <w:rPr>
                <w:rFonts w:cstheme="minorHAnsi"/>
                <w:b/>
                <w:bCs/>
                <w:lang w:val="id-ID"/>
              </w:rPr>
              <w:t>(USD)</w:t>
            </w:r>
          </w:p>
        </w:tc>
      </w:tr>
      <w:tr w:rsidR="00945D32" w:rsidRPr="00E92B8F" w14:paraId="43777A86" w14:textId="77777777" w:rsidTr="00C16FE0">
        <w:trPr>
          <w:trHeight w:val="177"/>
        </w:trPr>
        <w:tc>
          <w:tcPr>
            <w:tcW w:w="3894" w:type="dxa"/>
            <w:vMerge/>
            <w:shd w:val="clear" w:color="auto" w:fill="auto"/>
            <w:vAlign w:val="center"/>
          </w:tcPr>
          <w:p w14:paraId="0FA1FD6D" w14:textId="77777777" w:rsidR="00945D32" w:rsidRPr="00E92B8F" w:rsidRDefault="00945D32" w:rsidP="00C16FE0">
            <w:pPr>
              <w:spacing w:before="120" w:after="120"/>
              <w:rPr>
                <w:rFonts w:cstheme="minorHAnsi"/>
                <w:b/>
                <w:bCs/>
              </w:rPr>
            </w:pPr>
          </w:p>
        </w:tc>
        <w:tc>
          <w:tcPr>
            <w:tcW w:w="1440" w:type="dxa"/>
            <w:shd w:val="clear" w:color="auto" w:fill="DEEAF6" w:themeFill="accent5" w:themeFillTint="33"/>
            <w:vAlign w:val="center"/>
          </w:tcPr>
          <w:p w14:paraId="5483F0CC" w14:textId="77777777" w:rsidR="00945D32" w:rsidRPr="00E92B8F" w:rsidRDefault="00945D32" w:rsidP="00C16FE0">
            <w:pPr>
              <w:spacing w:before="120" w:after="120"/>
              <w:jc w:val="center"/>
              <w:rPr>
                <w:rFonts w:cstheme="minorHAnsi"/>
                <w:b/>
                <w:bCs/>
                <w:i/>
                <w:iCs/>
              </w:rPr>
            </w:pPr>
            <w:r w:rsidRPr="00E92B8F">
              <w:rPr>
                <w:rFonts w:cstheme="minorHAnsi"/>
                <w:b/>
                <w:bCs/>
              </w:rPr>
              <w:t>Grant</w:t>
            </w:r>
          </w:p>
        </w:tc>
        <w:tc>
          <w:tcPr>
            <w:tcW w:w="1530" w:type="dxa"/>
            <w:shd w:val="clear" w:color="auto" w:fill="DEEAF6" w:themeFill="accent5" w:themeFillTint="33"/>
            <w:vAlign w:val="center"/>
          </w:tcPr>
          <w:p w14:paraId="64B9B6C5" w14:textId="77777777" w:rsidR="00945D32" w:rsidRPr="00E92B8F" w:rsidRDefault="00256AFD" w:rsidP="00C16FE0">
            <w:pPr>
              <w:spacing w:before="120" w:after="120"/>
              <w:jc w:val="center"/>
              <w:rPr>
                <w:rFonts w:cstheme="minorHAnsi"/>
                <w:b/>
                <w:bCs/>
                <w:i/>
                <w:iCs/>
              </w:rPr>
            </w:pPr>
            <w:r w:rsidRPr="00E92B8F">
              <w:rPr>
                <w:rFonts w:cstheme="minorHAnsi"/>
                <w:b/>
                <w:bCs/>
              </w:rPr>
              <w:t>State Financing</w:t>
            </w:r>
          </w:p>
        </w:tc>
        <w:tc>
          <w:tcPr>
            <w:tcW w:w="1924" w:type="dxa"/>
            <w:vMerge/>
            <w:shd w:val="clear" w:color="auto" w:fill="auto"/>
            <w:vAlign w:val="center"/>
          </w:tcPr>
          <w:p w14:paraId="43A59CA7" w14:textId="77777777" w:rsidR="00945D32" w:rsidRPr="00E92B8F" w:rsidRDefault="00945D32" w:rsidP="00C16FE0">
            <w:pPr>
              <w:spacing w:before="120" w:after="120"/>
              <w:rPr>
                <w:rFonts w:cstheme="minorHAnsi"/>
              </w:rPr>
            </w:pPr>
          </w:p>
        </w:tc>
      </w:tr>
      <w:tr w:rsidR="00945D32" w:rsidRPr="00E92B8F" w14:paraId="40B5C7D0" w14:textId="77777777" w:rsidTr="00C16FE0">
        <w:trPr>
          <w:trHeight w:val="36"/>
        </w:trPr>
        <w:tc>
          <w:tcPr>
            <w:tcW w:w="3894" w:type="dxa"/>
            <w:shd w:val="clear" w:color="auto" w:fill="auto"/>
          </w:tcPr>
          <w:p w14:paraId="59A447EF" w14:textId="77777777" w:rsidR="00945D32" w:rsidRPr="00E92B8F" w:rsidRDefault="00945D32" w:rsidP="00C16FE0">
            <w:pPr>
              <w:spacing w:before="120" w:after="120"/>
              <w:rPr>
                <w:rFonts w:cstheme="minorHAnsi"/>
              </w:rPr>
            </w:pPr>
            <w:r w:rsidRPr="00E92B8F">
              <w:rPr>
                <w:rFonts w:cstheme="minorHAnsi"/>
              </w:rPr>
              <w:t>1. Office of the Vice President</w:t>
            </w:r>
          </w:p>
        </w:tc>
        <w:tc>
          <w:tcPr>
            <w:tcW w:w="1440" w:type="dxa"/>
            <w:shd w:val="clear" w:color="auto" w:fill="auto"/>
          </w:tcPr>
          <w:p w14:paraId="0E689330" w14:textId="77777777" w:rsidR="00945D32" w:rsidRPr="00E92B8F" w:rsidRDefault="00945D32" w:rsidP="00C16FE0">
            <w:pPr>
              <w:spacing w:before="120" w:after="120"/>
              <w:jc w:val="right"/>
              <w:rPr>
                <w:rFonts w:cstheme="minorHAnsi"/>
              </w:rPr>
            </w:pPr>
            <w:r w:rsidRPr="00E92B8F">
              <w:rPr>
                <w:rFonts w:cstheme="minorHAnsi"/>
              </w:rPr>
              <w:t>16.000.000</w:t>
            </w:r>
          </w:p>
        </w:tc>
        <w:tc>
          <w:tcPr>
            <w:tcW w:w="1530" w:type="dxa"/>
            <w:shd w:val="clear" w:color="auto" w:fill="auto"/>
          </w:tcPr>
          <w:p w14:paraId="5CE35979" w14:textId="77777777" w:rsidR="00945D32" w:rsidRPr="00E92B8F" w:rsidRDefault="00945D32" w:rsidP="00C16FE0">
            <w:pPr>
              <w:spacing w:before="120" w:after="120"/>
              <w:jc w:val="right"/>
              <w:rPr>
                <w:rFonts w:cstheme="minorHAnsi"/>
              </w:rPr>
            </w:pPr>
          </w:p>
        </w:tc>
        <w:tc>
          <w:tcPr>
            <w:tcW w:w="1924" w:type="dxa"/>
            <w:shd w:val="clear" w:color="auto" w:fill="auto"/>
          </w:tcPr>
          <w:p w14:paraId="18EC6A46" w14:textId="77777777" w:rsidR="00945D32" w:rsidRPr="00E92B8F" w:rsidRDefault="00945D32" w:rsidP="00C16FE0">
            <w:pPr>
              <w:spacing w:before="120" w:after="120"/>
              <w:jc w:val="right"/>
              <w:rPr>
                <w:rFonts w:cstheme="minorHAnsi"/>
              </w:rPr>
            </w:pPr>
            <w:r w:rsidRPr="00E92B8F">
              <w:rPr>
                <w:rFonts w:cstheme="minorHAnsi"/>
              </w:rPr>
              <w:t>15.000.000</w:t>
            </w:r>
          </w:p>
        </w:tc>
      </w:tr>
      <w:tr w:rsidR="00945D32" w:rsidRPr="00E92B8F" w14:paraId="1E1AC0A1" w14:textId="77777777" w:rsidTr="00C16FE0">
        <w:trPr>
          <w:trHeight w:val="36"/>
        </w:trPr>
        <w:tc>
          <w:tcPr>
            <w:tcW w:w="3894" w:type="dxa"/>
            <w:shd w:val="clear" w:color="auto" w:fill="auto"/>
          </w:tcPr>
          <w:p w14:paraId="18BF3BE0" w14:textId="77777777" w:rsidR="00945D32" w:rsidRPr="00E92B8F" w:rsidRDefault="00945D32" w:rsidP="00C16FE0">
            <w:pPr>
              <w:spacing w:before="120" w:after="120"/>
              <w:rPr>
                <w:rFonts w:cstheme="minorHAnsi"/>
              </w:rPr>
            </w:pPr>
            <w:r w:rsidRPr="00E92B8F">
              <w:rPr>
                <w:rFonts w:cstheme="minorHAnsi"/>
                <w:lang w:val="id-ID"/>
              </w:rPr>
              <w:t>2.</w:t>
            </w:r>
            <w:r w:rsidRPr="00E92B8F">
              <w:rPr>
                <w:rFonts w:cstheme="minorHAnsi"/>
              </w:rPr>
              <w:t xml:space="preserve">  Director General of Regional Development Supervision, Ministry of Home Affairs</w:t>
            </w:r>
          </w:p>
        </w:tc>
        <w:tc>
          <w:tcPr>
            <w:tcW w:w="1440" w:type="dxa"/>
            <w:shd w:val="clear" w:color="auto" w:fill="auto"/>
          </w:tcPr>
          <w:p w14:paraId="7B68B486" w14:textId="77777777" w:rsidR="00945D32" w:rsidRPr="00E92B8F" w:rsidRDefault="00945D32" w:rsidP="00C16FE0">
            <w:pPr>
              <w:spacing w:before="120" w:after="120"/>
              <w:jc w:val="right"/>
              <w:rPr>
                <w:rFonts w:cstheme="minorHAnsi"/>
              </w:rPr>
            </w:pPr>
            <w:r w:rsidRPr="00E92B8F">
              <w:rPr>
                <w:rFonts w:cstheme="minorHAnsi"/>
              </w:rPr>
              <w:t>4.000.000</w:t>
            </w:r>
          </w:p>
        </w:tc>
        <w:tc>
          <w:tcPr>
            <w:tcW w:w="1530" w:type="dxa"/>
            <w:shd w:val="clear" w:color="auto" w:fill="auto"/>
          </w:tcPr>
          <w:p w14:paraId="7AE262B3" w14:textId="77777777" w:rsidR="00945D32" w:rsidRPr="00E92B8F" w:rsidRDefault="00945D32" w:rsidP="00C16FE0">
            <w:pPr>
              <w:spacing w:before="120" w:after="120"/>
              <w:jc w:val="right"/>
              <w:rPr>
                <w:rFonts w:cstheme="minorHAnsi"/>
              </w:rPr>
            </w:pPr>
          </w:p>
        </w:tc>
        <w:tc>
          <w:tcPr>
            <w:tcW w:w="1924" w:type="dxa"/>
            <w:shd w:val="clear" w:color="auto" w:fill="auto"/>
          </w:tcPr>
          <w:p w14:paraId="59F16E21" w14:textId="77777777" w:rsidR="00945D32" w:rsidRPr="00E92B8F" w:rsidRDefault="00945D32" w:rsidP="00C16FE0">
            <w:pPr>
              <w:spacing w:before="120" w:after="120"/>
              <w:jc w:val="right"/>
              <w:rPr>
                <w:rFonts w:cstheme="minorHAnsi"/>
              </w:rPr>
            </w:pPr>
            <w:r w:rsidRPr="00E92B8F">
              <w:rPr>
                <w:rFonts w:cstheme="minorHAnsi"/>
              </w:rPr>
              <w:t>4.000.000</w:t>
            </w:r>
          </w:p>
        </w:tc>
      </w:tr>
      <w:tr w:rsidR="00945D32" w:rsidRPr="00E92B8F" w14:paraId="6E2CE7C4" w14:textId="77777777" w:rsidTr="00C16FE0">
        <w:trPr>
          <w:trHeight w:val="36"/>
        </w:trPr>
        <w:tc>
          <w:tcPr>
            <w:tcW w:w="3894" w:type="dxa"/>
            <w:shd w:val="clear" w:color="auto" w:fill="auto"/>
          </w:tcPr>
          <w:p w14:paraId="035CB5C3" w14:textId="77777777" w:rsidR="00945D32" w:rsidRPr="00E92B8F" w:rsidRDefault="00945D32" w:rsidP="00C16FE0">
            <w:pPr>
              <w:spacing w:before="120" w:after="120"/>
              <w:rPr>
                <w:rFonts w:cstheme="minorHAnsi"/>
                <w:lang w:val="id-ID"/>
              </w:rPr>
            </w:pPr>
          </w:p>
        </w:tc>
        <w:tc>
          <w:tcPr>
            <w:tcW w:w="1440" w:type="dxa"/>
            <w:shd w:val="clear" w:color="auto" w:fill="auto"/>
          </w:tcPr>
          <w:p w14:paraId="16B5A214" w14:textId="77777777" w:rsidR="00945D32" w:rsidRPr="00E92B8F" w:rsidRDefault="00945D32" w:rsidP="00C16FE0">
            <w:pPr>
              <w:spacing w:before="120" w:after="120"/>
              <w:jc w:val="right"/>
              <w:rPr>
                <w:rFonts w:cstheme="minorHAnsi"/>
              </w:rPr>
            </w:pPr>
          </w:p>
        </w:tc>
        <w:tc>
          <w:tcPr>
            <w:tcW w:w="1530" w:type="dxa"/>
            <w:shd w:val="clear" w:color="auto" w:fill="auto"/>
          </w:tcPr>
          <w:p w14:paraId="5117A17F" w14:textId="77777777" w:rsidR="00945D32" w:rsidRPr="00E92B8F" w:rsidRDefault="00945D32" w:rsidP="00C16FE0">
            <w:pPr>
              <w:spacing w:before="120" w:after="120"/>
              <w:jc w:val="right"/>
              <w:rPr>
                <w:rFonts w:cstheme="minorHAnsi"/>
              </w:rPr>
            </w:pPr>
          </w:p>
        </w:tc>
        <w:tc>
          <w:tcPr>
            <w:tcW w:w="1924" w:type="dxa"/>
            <w:shd w:val="clear" w:color="auto" w:fill="auto"/>
          </w:tcPr>
          <w:p w14:paraId="129B62E0" w14:textId="77777777" w:rsidR="00945D32" w:rsidRPr="00E92B8F" w:rsidRDefault="00945D32" w:rsidP="00C16FE0">
            <w:pPr>
              <w:spacing w:before="120" w:after="120"/>
              <w:jc w:val="right"/>
              <w:rPr>
                <w:rFonts w:cstheme="minorHAnsi"/>
              </w:rPr>
            </w:pPr>
          </w:p>
        </w:tc>
      </w:tr>
      <w:tr w:rsidR="00945D32" w:rsidRPr="00E92B8F" w14:paraId="4D8FC6F8" w14:textId="77777777" w:rsidTr="00C16FE0">
        <w:trPr>
          <w:trHeight w:val="36"/>
        </w:trPr>
        <w:tc>
          <w:tcPr>
            <w:tcW w:w="3894" w:type="dxa"/>
            <w:shd w:val="clear" w:color="auto" w:fill="auto"/>
          </w:tcPr>
          <w:p w14:paraId="4BC4337A" w14:textId="77777777" w:rsidR="00945D32" w:rsidRPr="00E92B8F" w:rsidRDefault="00945D32" w:rsidP="00C16FE0">
            <w:pPr>
              <w:spacing w:before="120" w:after="120"/>
              <w:rPr>
                <w:rFonts w:cstheme="minorHAnsi"/>
                <w:b/>
                <w:bCs/>
              </w:rPr>
            </w:pPr>
            <w:r w:rsidRPr="00E92B8F">
              <w:rPr>
                <w:rFonts w:cstheme="minorHAnsi"/>
                <w:b/>
                <w:bCs/>
              </w:rPr>
              <w:lastRenderedPageBreak/>
              <w:t>T O T A L</w:t>
            </w:r>
          </w:p>
        </w:tc>
        <w:tc>
          <w:tcPr>
            <w:tcW w:w="1440" w:type="dxa"/>
            <w:shd w:val="clear" w:color="auto" w:fill="auto"/>
          </w:tcPr>
          <w:p w14:paraId="40F7B11A" w14:textId="77777777" w:rsidR="00945D32" w:rsidRPr="00E92B8F" w:rsidRDefault="00945D32" w:rsidP="00C16FE0">
            <w:pPr>
              <w:spacing w:before="120" w:after="120"/>
              <w:jc w:val="right"/>
              <w:rPr>
                <w:rFonts w:cstheme="minorHAnsi"/>
              </w:rPr>
            </w:pPr>
            <w:r w:rsidRPr="00E92B8F">
              <w:rPr>
                <w:rFonts w:cstheme="minorHAnsi"/>
              </w:rPr>
              <w:t>20.000.0000</w:t>
            </w:r>
          </w:p>
        </w:tc>
        <w:tc>
          <w:tcPr>
            <w:tcW w:w="1530" w:type="dxa"/>
            <w:shd w:val="clear" w:color="auto" w:fill="auto"/>
          </w:tcPr>
          <w:p w14:paraId="79520DDB" w14:textId="77777777" w:rsidR="00945D32" w:rsidRPr="00E92B8F" w:rsidRDefault="00945D32" w:rsidP="00C16FE0">
            <w:pPr>
              <w:spacing w:before="120" w:after="120"/>
              <w:jc w:val="right"/>
              <w:rPr>
                <w:rFonts w:cstheme="minorHAnsi"/>
              </w:rPr>
            </w:pPr>
          </w:p>
        </w:tc>
        <w:tc>
          <w:tcPr>
            <w:tcW w:w="1924" w:type="dxa"/>
            <w:shd w:val="clear" w:color="auto" w:fill="auto"/>
          </w:tcPr>
          <w:p w14:paraId="5BEA7B79" w14:textId="77777777" w:rsidR="00945D32" w:rsidRPr="00E92B8F" w:rsidRDefault="00945D32" w:rsidP="00C16FE0">
            <w:pPr>
              <w:spacing w:before="120" w:after="120"/>
              <w:jc w:val="right"/>
              <w:rPr>
                <w:rFonts w:cstheme="minorHAnsi"/>
              </w:rPr>
            </w:pPr>
            <w:r w:rsidRPr="00E92B8F">
              <w:rPr>
                <w:rFonts w:cstheme="minorHAnsi"/>
              </w:rPr>
              <w:t>20.000.0000</w:t>
            </w:r>
          </w:p>
        </w:tc>
      </w:tr>
    </w:tbl>
    <w:p w14:paraId="1FD0F528" w14:textId="77777777" w:rsidR="00945D32" w:rsidRPr="00E92B8F" w:rsidRDefault="00945D32" w:rsidP="00945D32">
      <w:pPr>
        <w:pStyle w:val="PARA"/>
        <w:numPr>
          <w:ilvl w:val="0"/>
          <w:numId w:val="0"/>
        </w:numPr>
        <w:rPr>
          <w:rFonts w:asciiTheme="minorHAnsi" w:hAnsiTheme="minorHAnsi" w:cstheme="minorHAnsi"/>
          <w:sz w:val="22"/>
          <w:szCs w:val="22"/>
        </w:rPr>
      </w:pPr>
    </w:p>
    <w:p w14:paraId="4ADED2B4" w14:textId="77777777" w:rsidR="00945D32" w:rsidRPr="00E92B8F" w:rsidRDefault="00945D32" w:rsidP="00945D32">
      <w:pPr>
        <w:pStyle w:val="PARA"/>
        <w:numPr>
          <w:ilvl w:val="0"/>
          <w:numId w:val="0"/>
        </w:numPr>
        <w:rPr>
          <w:rFonts w:asciiTheme="minorHAnsi" w:hAnsiTheme="minorHAnsi" w:cstheme="minorHAnsi"/>
          <w:sz w:val="22"/>
          <w:szCs w:val="22"/>
        </w:rPr>
      </w:pPr>
    </w:p>
    <w:p w14:paraId="61462D0A" w14:textId="77777777" w:rsidR="00256AFD" w:rsidRPr="00E92B8F" w:rsidRDefault="00C437EE" w:rsidP="00945D32">
      <w:pPr>
        <w:pStyle w:val="PARA"/>
        <w:numPr>
          <w:ilvl w:val="0"/>
          <w:numId w:val="0"/>
        </w:numPr>
        <w:rPr>
          <w:rFonts w:asciiTheme="minorHAnsi" w:hAnsiTheme="minorHAnsi" w:cstheme="minorHAnsi"/>
          <w:b/>
          <w:sz w:val="22"/>
          <w:szCs w:val="22"/>
        </w:rPr>
      </w:pPr>
      <w:r w:rsidRPr="00E92B8F">
        <w:rPr>
          <w:rFonts w:asciiTheme="minorHAnsi" w:hAnsiTheme="minorHAnsi" w:cstheme="minorHAnsi"/>
          <w:b/>
          <w:sz w:val="22"/>
          <w:szCs w:val="22"/>
        </w:rPr>
        <w:t>Management and Implementing Organization</w:t>
      </w:r>
    </w:p>
    <w:p w14:paraId="5C3AB6D1" w14:textId="77777777" w:rsidR="00C437EE" w:rsidRPr="00E92B8F" w:rsidRDefault="00C437EE" w:rsidP="00945D32">
      <w:pPr>
        <w:pStyle w:val="PARA"/>
        <w:numPr>
          <w:ilvl w:val="0"/>
          <w:numId w:val="0"/>
        </w:numPr>
        <w:rPr>
          <w:rFonts w:asciiTheme="minorHAnsi" w:hAnsiTheme="minorHAnsi" w:cstheme="minorHAnsi"/>
          <w:sz w:val="22"/>
          <w:szCs w:val="22"/>
        </w:rPr>
      </w:pPr>
    </w:p>
    <w:p w14:paraId="53845621" w14:textId="77777777" w:rsidR="00C437EE" w:rsidRPr="00E92B8F" w:rsidRDefault="00C437EE" w:rsidP="00C437EE">
      <w:pPr>
        <w:pStyle w:val="PARA"/>
        <w:numPr>
          <w:ilvl w:val="0"/>
          <w:numId w:val="4"/>
        </w:numPr>
        <w:rPr>
          <w:rFonts w:asciiTheme="minorHAnsi" w:hAnsiTheme="minorHAnsi" w:cstheme="minorHAnsi"/>
          <w:sz w:val="22"/>
          <w:szCs w:val="22"/>
        </w:rPr>
      </w:pPr>
      <w:r w:rsidRPr="00E92B8F">
        <w:rPr>
          <w:rFonts w:asciiTheme="minorHAnsi" w:hAnsiTheme="minorHAnsi" w:cstheme="minorHAnsi"/>
          <w:sz w:val="22"/>
          <w:szCs w:val="22"/>
        </w:rPr>
        <w:t>Organization Structure</w:t>
      </w:r>
    </w:p>
    <w:p w14:paraId="16E9008A" w14:textId="77777777" w:rsidR="00C437EE" w:rsidRPr="00E92B8F" w:rsidRDefault="00C437EE" w:rsidP="00C437EE">
      <w:pPr>
        <w:pStyle w:val="PARA"/>
        <w:numPr>
          <w:ilvl w:val="0"/>
          <w:numId w:val="0"/>
        </w:numPr>
        <w:ind w:left="720"/>
        <w:rPr>
          <w:rFonts w:asciiTheme="minorHAnsi" w:hAnsiTheme="minorHAnsi" w:cstheme="minorHAnsi"/>
          <w:sz w:val="22"/>
          <w:szCs w:val="22"/>
        </w:rPr>
      </w:pPr>
    </w:p>
    <w:p w14:paraId="6E1F7DE2" w14:textId="120A2C30" w:rsidR="00C437EE" w:rsidRPr="00E92B8F" w:rsidRDefault="002A3276" w:rsidP="009D1E49">
      <w:pPr>
        <w:pStyle w:val="PARA"/>
        <w:numPr>
          <w:ilvl w:val="0"/>
          <w:numId w:val="0"/>
        </w:num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B268F2F" wp14:editId="40630F72">
            <wp:extent cx="5812271" cy="350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3012" cy="3515495"/>
                    </a:xfrm>
                    <a:prstGeom prst="rect">
                      <a:avLst/>
                    </a:prstGeom>
                    <a:noFill/>
                  </pic:spPr>
                </pic:pic>
              </a:graphicData>
            </a:graphic>
          </wp:inline>
        </w:drawing>
      </w:r>
    </w:p>
    <w:p w14:paraId="492D3399" w14:textId="77777777" w:rsidR="00C437EE" w:rsidRPr="00E92B8F" w:rsidRDefault="00C437EE" w:rsidP="00C437EE">
      <w:pPr>
        <w:pStyle w:val="PARA"/>
        <w:numPr>
          <w:ilvl w:val="0"/>
          <w:numId w:val="0"/>
        </w:numPr>
        <w:ind w:left="720"/>
        <w:rPr>
          <w:rFonts w:asciiTheme="minorHAnsi" w:hAnsiTheme="minorHAnsi" w:cstheme="minorHAnsi"/>
          <w:sz w:val="22"/>
          <w:szCs w:val="22"/>
        </w:rPr>
      </w:pPr>
    </w:p>
    <w:p w14:paraId="66214F05" w14:textId="77777777" w:rsidR="00C437EE" w:rsidRPr="00E92B8F" w:rsidRDefault="009D1E49" w:rsidP="009D1E49">
      <w:pPr>
        <w:pStyle w:val="ListParagraph"/>
        <w:numPr>
          <w:ilvl w:val="0"/>
          <w:numId w:val="4"/>
        </w:numPr>
        <w:spacing w:before="120" w:after="120"/>
        <w:contextualSpacing w:val="0"/>
        <w:jc w:val="both"/>
        <w:rPr>
          <w:rFonts w:asciiTheme="minorHAnsi" w:hAnsiTheme="minorHAnsi" w:cstheme="minorHAnsi"/>
          <w:sz w:val="22"/>
          <w:lang w:val="id-ID"/>
        </w:rPr>
      </w:pPr>
      <w:r w:rsidRPr="00E92B8F">
        <w:rPr>
          <w:rFonts w:asciiTheme="minorHAnsi" w:hAnsiTheme="minorHAnsi" w:cstheme="minorHAnsi"/>
          <w:sz w:val="22"/>
        </w:rPr>
        <w:t>Implementing Agencies Roles</w:t>
      </w:r>
    </w:p>
    <w:p w14:paraId="26E155E0" w14:textId="77777777" w:rsidR="009D1E49" w:rsidRPr="00E92B8F" w:rsidRDefault="00C437EE" w:rsidP="009D1E49">
      <w:pPr>
        <w:pStyle w:val="ListParagraph"/>
        <w:tabs>
          <w:tab w:val="left" w:pos="2880"/>
          <w:tab w:val="left" w:pos="3060"/>
        </w:tabs>
        <w:spacing w:before="120"/>
        <w:ind w:left="2880" w:hanging="2160"/>
        <w:rPr>
          <w:rFonts w:asciiTheme="minorHAnsi" w:hAnsiTheme="minorHAnsi" w:cstheme="minorHAnsi"/>
          <w:sz w:val="22"/>
          <w:lang w:val="en-AU"/>
        </w:rPr>
      </w:pPr>
      <w:r w:rsidRPr="00E92B8F">
        <w:rPr>
          <w:rFonts w:asciiTheme="minorHAnsi" w:hAnsiTheme="minorHAnsi" w:cstheme="minorHAnsi"/>
          <w:sz w:val="22"/>
          <w:lang w:val="en-AU"/>
        </w:rPr>
        <w:t>Chair</w:t>
      </w:r>
      <w:r w:rsidR="009D1E49" w:rsidRPr="00E92B8F">
        <w:rPr>
          <w:rFonts w:asciiTheme="minorHAnsi" w:hAnsiTheme="minorHAnsi" w:cstheme="minorHAnsi"/>
          <w:sz w:val="22"/>
          <w:lang w:val="en-AU"/>
        </w:rPr>
        <w:tab/>
        <w:t>:</w:t>
      </w:r>
      <w:r w:rsidR="009D1E49" w:rsidRPr="00E92B8F">
        <w:rPr>
          <w:rFonts w:asciiTheme="minorHAnsi" w:hAnsiTheme="minorHAnsi" w:cstheme="minorHAnsi"/>
          <w:sz w:val="22"/>
          <w:lang w:val="en-AU"/>
        </w:rPr>
        <w:tab/>
      </w:r>
      <w:r w:rsidRPr="00E92B8F">
        <w:rPr>
          <w:rFonts w:asciiTheme="minorHAnsi" w:hAnsiTheme="minorHAnsi" w:cstheme="minorHAnsi"/>
          <w:sz w:val="22"/>
          <w:lang w:val="en-AU"/>
        </w:rPr>
        <w:t>Vice President of Republic of Indonesia</w:t>
      </w:r>
    </w:p>
    <w:p w14:paraId="2DA82ACC" w14:textId="77777777" w:rsidR="009D1E49" w:rsidRPr="00E92B8F" w:rsidRDefault="00C437EE" w:rsidP="009D1E49">
      <w:pPr>
        <w:pStyle w:val="ListParagraph"/>
        <w:tabs>
          <w:tab w:val="left" w:pos="2880"/>
          <w:tab w:val="left" w:pos="3060"/>
        </w:tabs>
        <w:spacing w:before="120"/>
        <w:ind w:left="2880" w:hanging="2160"/>
        <w:rPr>
          <w:rFonts w:asciiTheme="minorHAnsi" w:hAnsiTheme="minorHAnsi" w:cstheme="minorHAnsi"/>
          <w:sz w:val="22"/>
          <w:lang w:val="en-AU"/>
        </w:rPr>
      </w:pPr>
      <w:r w:rsidRPr="00E92B8F">
        <w:rPr>
          <w:rFonts w:asciiTheme="minorHAnsi" w:hAnsiTheme="minorHAnsi" w:cstheme="minorHAnsi"/>
          <w:sz w:val="22"/>
          <w:lang w:val="en-AU"/>
        </w:rPr>
        <w:t>Co-Chair</w:t>
      </w:r>
      <w:r w:rsidR="009D1E49" w:rsidRPr="00E92B8F">
        <w:rPr>
          <w:rFonts w:asciiTheme="minorHAnsi" w:hAnsiTheme="minorHAnsi" w:cstheme="minorHAnsi"/>
          <w:sz w:val="22"/>
          <w:lang w:val="en-AU"/>
        </w:rPr>
        <w:tab/>
      </w:r>
      <w:r w:rsidRPr="00E92B8F">
        <w:rPr>
          <w:rFonts w:asciiTheme="minorHAnsi" w:hAnsiTheme="minorHAnsi" w:cstheme="minorHAnsi"/>
          <w:sz w:val="22"/>
          <w:lang w:val="en-AU"/>
        </w:rPr>
        <w:t>:</w:t>
      </w:r>
      <w:r w:rsidR="009D1E49" w:rsidRPr="00E92B8F">
        <w:rPr>
          <w:rFonts w:asciiTheme="minorHAnsi" w:hAnsiTheme="minorHAnsi" w:cstheme="minorHAnsi"/>
          <w:sz w:val="22"/>
          <w:lang w:val="en-AU"/>
        </w:rPr>
        <w:tab/>
      </w:r>
      <w:r w:rsidRPr="00E92B8F">
        <w:rPr>
          <w:rFonts w:asciiTheme="minorHAnsi" w:hAnsiTheme="minorHAnsi" w:cstheme="minorHAnsi"/>
          <w:sz w:val="22"/>
          <w:lang w:val="en-AU"/>
        </w:rPr>
        <w:t>Coordinating Minister for Human Development and Culture</w:t>
      </w:r>
    </w:p>
    <w:p w14:paraId="277EA555" w14:textId="77777777" w:rsidR="009D1E49" w:rsidRPr="00E92B8F" w:rsidRDefault="009D1E49" w:rsidP="009D1E49">
      <w:pPr>
        <w:pStyle w:val="ListParagraph"/>
        <w:tabs>
          <w:tab w:val="left" w:pos="2880"/>
          <w:tab w:val="left" w:pos="3060"/>
        </w:tabs>
        <w:spacing w:before="120"/>
        <w:ind w:left="3060" w:hanging="2340"/>
        <w:rPr>
          <w:rFonts w:asciiTheme="minorHAnsi" w:hAnsiTheme="minorHAnsi" w:cstheme="minorHAnsi"/>
          <w:sz w:val="22"/>
          <w:lang w:val="en-AU"/>
        </w:rPr>
      </w:pPr>
      <w:r w:rsidRPr="00E92B8F">
        <w:rPr>
          <w:rFonts w:asciiTheme="minorHAnsi" w:hAnsiTheme="minorHAnsi" w:cstheme="minorHAnsi"/>
          <w:sz w:val="22"/>
          <w:lang w:val="en-AU"/>
        </w:rPr>
        <w:t>Program Coordinator</w:t>
      </w:r>
      <w:r w:rsidRPr="00E92B8F">
        <w:rPr>
          <w:rFonts w:asciiTheme="minorHAnsi" w:hAnsiTheme="minorHAnsi" w:cstheme="minorHAnsi"/>
          <w:sz w:val="22"/>
          <w:lang w:val="en-AU"/>
        </w:rPr>
        <w:tab/>
        <w:t>:</w:t>
      </w:r>
      <w:r w:rsidRPr="00E92B8F">
        <w:rPr>
          <w:rFonts w:asciiTheme="minorHAnsi" w:hAnsiTheme="minorHAnsi" w:cstheme="minorHAnsi"/>
          <w:sz w:val="22"/>
          <w:lang w:val="en-AU"/>
        </w:rPr>
        <w:tab/>
        <w:t>National Development Planning Agency (Bappenas)</w:t>
      </w:r>
      <w:r w:rsidR="00C437EE" w:rsidRPr="00E92B8F">
        <w:rPr>
          <w:rFonts w:asciiTheme="minorHAnsi" w:hAnsiTheme="minorHAnsi" w:cstheme="minorHAnsi"/>
          <w:sz w:val="22"/>
          <w:lang w:val="en-AU"/>
        </w:rPr>
        <w:t xml:space="preserve">, </w:t>
      </w:r>
      <w:r w:rsidRPr="00E92B8F">
        <w:rPr>
          <w:rFonts w:asciiTheme="minorHAnsi" w:hAnsiTheme="minorHAnsi" w:cstheme="minorHAnsi"/>
          <w:sz w:val="22"/>
          <w:lang w:val="en-AU"/>
        </w:rPr>
        <w:t>Ministry of Finance</w:t>
      </w:r>
    </w:p>
    <w:p w14:paraId="409983D2" w14:textId="77777777" w:rsidR="00C437EE" w:rsidRPr="00E92B8F" w:rsidRDefault="009D1E49" w:rsidP="009D1E49">
      <w:pPr>
        <w:pStyle w:val="ListParagraph"/>
        <w:tabs>
          <w:tab w:val="left" w:pos="2880"/>
          <w:tab w:val="left" w:pos="3060"/>
        </w:tabs>
        <w:spacing w:before="120"/>
        <w:ind w:left="3060" w:hanging="2340"/>
        <w:rPr>
          <w:rFonts w:asciiTheme="minorHAnsi" w:hAnsiTheme="minorHAnsi" w:cstheme="minorHAnsi"/>
          <w:sz w:val="22"/>
          <w:lang w:val="en-AU"/>
        </w:rPr>
      </w:pPr>
      <w:r w:rsidRPr="00E92B8F">
        <w:rPr>
          <w:rFonts w:asciiTheme="minorHAnsi" w:hAnsiTheme="minorHAnsi" w:cstheme="minorHAnsi"/>
          <w:sz w:val="22"/>
          <w:lang w:val="en-AU"/>
        </w:rPr>
        <w:t>Members</w:t>
      </w:r>
      <w:r w:rsidRPr="00E92B8F">
        <w:rPr>
          <w:rFonts w:asciiTheme="minorHAnsi" w:hAnsiTheme="minorHAnsi" w:cstheme="minorHAnsi"/>
          <w:sz w:val="22"/>
          <w:lang w:val="en-AU"/>
        </w:rPr>
        <w:tab/>
        <w:t>:</w:t>
      </w:r>
      <w:r w:rsidRPr="00E92B8F">
        <w:rPr>
          <w:rFonts w:asciiTheme="minorHAnsi" w:hAnsiTheme="minorHAnsi" w:cstheme="minorHAnsi"/>
          <w:sz w:val="22"/>
          <w:lang w:val="en-AU"/>
        </w:rPr>
        <w:tab/>
        <w:t>Ministry of Health</w:t>
      </w:r>
      <w:r w:rsidR="00C437EE" w:rsidRPr="00E92B8F">
        <w:rPr>
          <w:rFonts w:asciiTheme="minorHAnsi" w:hAnsiTheme="minorHAnsi" w:cstheme="minorHAnsi"/>
          <w:sz w:val="22"/>
          <w:lang w:val="en-AU"/>
        </w:rPr>
        <w:t xml:space="preserve">, </w:t>
      </w:r>
      <w:r w:rsidRPr="00E92B8F">
        <w:rPr>
          <w:rFonts w:asciiTheme="minorHAnsi" w:hAnsiTheme="minorHAnsi" w:cstheme="minorHAnsi"/>
          <w:sz w:val="22"/>
          <w:lang w:val="en-AU"/>
        </w:rPr>
        <w:t>Ministry of Education and Culture</w:t>
      </w:r>
      <w:r w:rsidR="00C437EE" w:rsidRPr="00E92B8F">
        <w:rPr>
          <w:rFonts w:asciiTheme="minorHAnsi" w:hAnsiTheme="minorHAnsi" w:cstheme="minorHAnsi"/>
          <w:sz w:val="22"/>
          <w:lang w:val="en-AU"/>
        </w:rPr>
        <w:t xml:space="preserve">, </w:t>
      </w:r>
      <w:r w:rsidRPr="00E92B8F">
        <w:rPr>
          <w:rFonts w:asciiTheme="minorHAnsi" w:hAnsiTheme="minorHAnsi" w:cstheme="minorHAnsi"/>
          <w:sz w:val="22"/>
          <w:lang w:val="en-AU"/>
        </w:rPr>
        <w:t>Ministry of Social Affairs</w:t>
      </w:r>
      <w:r w:rsidR="00C437EE" w:rsidRPr="00E92B8F">
        <w:rPr>
          <w:rFonts w:asciiTheme="minorHAnsi" w:hAnsiTheme="minorHAnsi" w:cstheme="minorHAnsi"/>
          <w:sz w:val="22"/>
          <w:lang w:val="en-AU"/>
        </w:rPr>
        <w:t xml:space="preserve">, </w:t>
      </w:r>
      <w:r w:rsidRPr="00E92B8F">
        <w:rPr>
          <w:rFonts w:asciiTheme="minorHAnsi" w:hAnsiTheme="minorHAnsi" w:cstheme="minorHAnsi"/>
          <w:sz w:val="22"/>
          <w:lang w:val="en-AU"/>
        </w:rPr>
        <w:t>Ministry of Home Affairs</w:t>
      </w:r>
      <w:r w:rsidR="00C437EE" w:rsidRPr="00E92B8F">
        <w:rPr>
          <w:rFonts w:asciiTheme="minorHAnsi" w:hAnsiTheme="minorHAnsi" w:cstheme="minorHAnsi"/>
          <w:sz w:val="22"/>
          <w:lang w:val="en-AU"/>
        </w:rPr>
        <w:t xml:space="preserve">, </w:t>
      </w:r>
      <w:r w:rsidRPr="00E92B8F">
        <w:rPr>
          <w:rFonts w:asciiTheme="minorHAnsi" w:hAnsiTheme="minorHAnsi" w:cstheme="minorHAnsi"/>
          <w:color w:val="2A2B2F"/>
          <w:w w:val="105"/>
          <w:sz w:val="22"/>
        </w:rPr>
        <w:t>Ministry of Villages, Development of Disadvantaged Regions</w:t>
      </w:r>
      <w:r w:rsidRPr="00E92B8F">
        <w:rPr>
          <w:rFonts w:asciiTheme="minorHAnsi" w:hAnsiTheme="minorHAnsi" w:cstheme="minorHAnsi"/>
          <w:color w:val="525254"/>
          <w:w w:val="105"/>
          <w:sz w:val="22"/>
        </w:rPr>
        <w:t xml:space="preserve">, </w:t>
      </w:r>
      <w:r w:rsidRPr="00E92B8F">
        <w:rPr>
          <w:rFonts w:asciiTheme="minorHAnsi" w:hAnsiTheme="minorHAnsi" w:cstheme="minorHAnsi"/>
          <w:color w:val="2A2B2F"/>
          <w:w w:val="105"/>
          <w:sz w:val="22"/>
        </w:rPr>
        <w:t>and Transmigration</w:t>
      </w:r>
      <w:r w:rsidR="00C437EE" w:rsidRPr="00E92B8F">
        <w:rPr>
          <w:rFonts w:asciiTheme="minorHAnsi" w:hAnsiTheme="minorHAnsi" w:cstheme="minorHAnsi"/>
          <w:sz w:val="22"/>
          <w:lang w:val="en-AU"/>
        </w:rPr>
        <w:t xml:space="preserve">, </w:t>
      </w:r>
      <w:r w:rsidRPr="00E92B8F">
        <w:rPr>
          <w:rFonts w:asciiTheme="minorHAnsi" w:hAnsiTheme="minorHAnsi" w:cstheme="minorHAnsi"/>
          <w:color w:val="1F1F23"/>
          <w:w w:val="105"/>
          <w:sz w:val="22"/>
        </w:rPr>
        <w:t xml:space="preserve">Indonesian </w:t>
      </w:r>
      <w:r w:rsidRPr="00E92B8F">
        <w:rPr>
          <w:rFonts w:asciiTheme="minorHAnsi" w:hAnsiTheme="minorHAnsi" w:cstheme="minorHAnsi"/>
          <w:color w:val="313134"/>
          <w:w w:val="105"/>
          <w:sz w:val="22"/>
        </w:rPr>
        <w:t xml:space="preserve">Central </w:t>
      </w:r>
      <w:r w:rsidRPr="00E92B8F">
        <w:rPr>
          <w:rFonts w:asciiTheme="minorHAnsi" w:hAnsiTheme="minorHAnsi" w:cstheme="minorHAnsi"/>
          <w:color w:val="1F1F23"/>
          <w:w w:val="105"/>
          <w:sz w:val="22"/>
        </w:rPr>
        <w:t xml:space="preserve">Board </w:t>
      </w:r>
      <w:r w:rsidRPr="00E92B8F">
        <w:rPr>
          <w:rFonts w:asciiTheme="minorHAnsi" w:hAnsiTheme="minorHAnsi" w:cstheme="minorHAnsi"/>
          <w:color w:val="313134"/>
          <w:w w:val="105"/>
          <w:sz w:val="22"/>
        </w:rPr>
        <w:t>of Statistics</w:t>
      </w:r>
    </w:p>
    <w:sectPr w:rsidR="00C437EE" w:rsidRPr="00E92B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D453" w14:textId="77777777" w:rsidR="001A22AA" w:rsidRDefault="001A22AA" w:rsidP="002A3276">
      <w:pPr>
        <w:spacing w:after="0" w:line="240" w:lineRule="auto"/>
      </w:pPr>
      <w:r>
        <w:separator/>
      </w:r>
    </w:p>
  </w:endnote>
  <w:endnote w:type="continuationSeparator" w:id="0">
    <w:p w14:paraId="2C12B588" w14:textId="77777777" w:rsidR="001A22AA" w:rsidRDefault="001A22AA" w:rsidP="002A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00857"/>
      <w:docPartObj>
        <w:docPartGallery w:val="Page Numbers (Bottom of Page)"/>
        <w:docPartUnique/>
      </w:docPartObj>
    </w:sdtPr>
    <w:sdtEndPr>
      <w:rPr>
        <w:noProof/>
      </w:rPr>
    </w:sdtEndPr>
    <w:sdtContent>
      <w:p w14:paraId="468A783D" w14:textId="7C7B2F0E" w:rsidR="002A3276" w:rsidRDefault="002A3276">
        <w:pPr>
          <w:pStyle w:val="Footer"/>
          <w:jc w:val="center"/>
        </w:pPr>
        <w:r>
          <w:fldChar w:fldCharType="begin"/>
        </w:r>
        <w:r>
          <w:instrText xml:space="preserve"> PAGE   \* MERGEFORMAT </w:instrText>
        </w:r>
        <w:r>
          <w:fldChar w:fldCharType="separate"/>
        </w:r>
        <w:r w:rsidR="004910F2">
          <w:rPr>
            <w:noProof/>
          </w:rPr>
          <w:t>1</w:t>
        </w:r>
        <w:r>
          <w:rPr>
            <w:noProof/>
          </w:rPr>
          <w:fldChar w:fldCharType="end"/>
        </w:r>
      </w:p>
    </w:sdtContent>
  </w:sdt>
  <w:p w14:paraId="34921561" w14:textId="77777777" w:rsidR="002A3276" w:rsidRDefault="002A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7721" w14:textId="77777777" w:rsidR="001A22AA" w:rsidRDefault="001A22AA" w:rsidP="002A3276">
      <w:pPr>
        <w:spacing w:after="0" w:line="240" w:lineRule="auto"/>
      </w:pPr>
      <w:r>
        <w:separator/>
      </w:r>
    </w:p>
  </w:footnote>
  <w:footnote w:type="continuationSeparator" w:id="0">
    <w:p w14:paraId="127D1DB9" w14:textId="77777777" w:rsidR="001A22AA" w:rsidRDefault="001A22AA" w:rsidP="002A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6C29" w14:textId="392A523F" w:rsidR="000200BA" w:rsidRDefault="000200BA">
    <w:pPr>
      <w:pStyle w:val="Header"/>
    </w:pPr>
    <w:r>
      <w:t xml:space="preserve">Translation of Government TOR </w:t>
    </w:r>
  </w:p>
  <w:p w14:paraId="27A2067E" w14:textId="7AE2A058" w:rsidR="000200BA" w:rsidRDefault="000200BA">
    <w:pPr>
      <w:pStyle w:val="Header"/>
    </w:pPr>
    <w:r>
      <w:t>Investing in Nutrition and Early Years (P164686) PforR and IPF (Hybrid)</w:t>
    </w:r>
  </w:p>
  <w:p w14:paraId="76DB25E4" w14:textId="476F54F1" w:rsidR="000200BA" w:rsidRDefault="000200BA">
    <w:pPr>
      <w:pStyle w:val="Header"/>
    </w:pPr>
    <w:r>
      <w:t>Received: April 19, 2018</w:t>
    </w:r>
  </w:p>
  <w:p w14:paraId="40F61C41" w14:textId="77D3AAFF" w:rsidR="000200BA" w:rsidRDefault="000200BA">
    <w:pPr>
      <w:pStyle w:val="Header"/>
    </w:pPr>
    <w:r>
      <w:t>Su</w:t>
    </w:r>
    <w:r w:rsidR="0021241D">
      <w:t>bmitted for disclosure: April 23</w:t>
    </w:r>
    <w: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926"/>
    <w:multiLevelType w:val="multilevel"/>
    <w:tmpl w:val="5FDA9200"/>
    <w:lvl w:ilvl="0">
      <w:start w:val="1"/>
      <w:numFmt w:val="decimal"/>
      <w:pStyle w:val="PARA"/>
      <w:lvlText w:val="%1."/>
      <w:lvlJc w:val="left"/>
      <w:pPr>
        <w:ind w:left="360" w:hanging="360"/>
      </w:pPr>
      <w:rPr>
        <w:rFonts w:asciiTheme="minorHAnsi" w:hAnsiTheme="minorHAnsi" w:cstheme="minorHAnsi" w:hint="default"/>
        <w:b w:val="0"/>
        <w:sz w:val="24"/>
      </w:rPr>
    </w:lvl>
    <w:lvl w:ilvl="1">
      <w:start w:val="1"/>
      <w:numFmt w:val="lowerLetter"/>
      <w:lvlText w:val="(%2)"/>
      <w:lvlJc w:val="left"/>
      <w:pPr>
        <w:ind w:left="720" w:hanging="360"/>
      </w:pPr>
      <w:rPr>
        <w:rFonts w:ascii="Calibri" w:eastAsiaTheme="minorEastAsia" w:hAnsi="Calibri" w:cs="Calibri" w:hint="default"/>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B07405"/>
    <w:multiLevelType w:val="hybridMultilevel"/>
    <w:tmpl w:val="4D2E6DB2"/>
    <w:lvl w:ilvl="0" w:tplc="A22E6D02">
      <w:start w:val="1"/>
      <w:numFmt w:val="lowerLetter"/>
      <w:lvlText w:val="%1."/>
      <w:lvlJc w:val="left"/>
      <w:pPr>
        <w:tabs>
          <w:tab w:val="num" w:pos="1440"/>
        </w:tabs>
        <w:ind w:left="1440" w:hanging="360"/>
      </w:pPr>
    </w:lvl>
    <w:lvl w:ilvl="1" w:tplc="579C7174" w:tentative="1">
      <w:start w:val="1"/>
      <w:numFmt w:val="lowerLetter"/>
      <w:lvlText w:val="%2."/>
      <w:lvlJc w:val="left"/>
      <w:pPr>
        <w:ind w:left="1440" w:hanging="360"/>
      </w:pPr>
    </w:lvl>
    <w:lvl w:ilvl="2" w:tplc="CAC43EB8" w:tentative="1">
      <w:start w:val="1"/>
      <w:numFmt w:val="lowerRoman"/>
      <w:lvlText w:val="%3."/>
      <w:lvlJc w:val="right"/>
      <w:pPr>
        <w:ind w:left="2160" w:hanging="180"/>
      </w:pPr>
    </w:lvl>
    <w:lvl w:ilvl="3" w:tplc="6F9C3AB2" w:tentative="1">
      <w:start w:val="1"/>
      <w:numFmt w:val="decimal"/>
      <w:lvlText w:val="%4."/>
      <w:lvlJc w:val="left"/>
      <w:pPr>
        <w:ind w:left="2880" w:hanging="360"/>
      </w:pPr>
    </w:lvl>
    <w:lvl w:ilvl="4" w:tplc="1D8040FE" w:tentative="1">
      <w:start w:val="1"/>
      <w:numFmt w:val="lowerLetter"/>
      <w:lvlText w:val="%5."/>
      <w:lvlJc w:val="left"/>
      <w:pPr>
        <w:ind w:left="3600" w:hanging="360"/>
      </w:pPr>
    </w:lvl>
    <w:lvl w:ilvl="5" w:tplc="9B44F874" w:tentative="1">
      <w:start w:val="1"/>
      <w:numFmt w:val="lowerRoman"/>
      <w:lvlText w:val="%6."/>
      <w:lvlJc w:val="right"/>
      <w:pPr>
        <w:ind w:left="4320" w:hanging="180"/>
      </w:pPr>
    </w:lvl>
    <w:lvl w:ilvl="6" w:tplc="1DB8733E" w:tentative="1">
      <w:start w:val="1"/>
      <w:numFmt w:val="decimal"/>
      <w:lvlText w:val="%7."/>
      <w:lvlJc w:val="left"/>
      <w:pPr>
        <w:ind w:left="5040" w:hanging="360"/>
      </w:pPr>
    </w:lvl>
    <w:lvl w:ilvl="7" w:tplc="8A161178" w:tentative="1">
      <w:start w:val="1"/>
      <w:numFmt w:val="lowerLetter"/>
      <w:lvlText w:val="%8."/>
      <w:lvlJc w:val="left"/>
      <w:pPr>
        <w:ind w:left="5760" w:hanging="360"/>
      </w:pPr>
    </w:lvl>
    <w:lvl w:ilvl="8" w:tplc="70BE8734" w:tentative="1">
      <w:start w:val="1"/>
      <w:numFmt w:val="lowerRoman"/>
      <w:lvlText w:val="%9."/>
      <w:lvlJc w:val="right"/>
      <w:pPr>
        <w:ind w:left="6480" w:hanging="180"/>
      </w:pPr>
    </w:lvl>
  </w:abstractNum>
  <w:abstractNum w:abstractNumId="2" w15:restartNumberingAfterBreak="0">
    <w:nsid w:val="3F5A28CB"/>
    <w:multiLevelType w:val="hybridMultilevel"/>
    <w:tmpl w:val="CCBE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944FC"/>
    <w:multiLevelType w:val="hybridMultilevel"/>
    <w:tmpl w:val="51FA3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34BDB"/>
    <w:multiLevelType w:val="hybridMultilevel"/>
    <w:tmpl w:val="72244BA0"/>
    <w:lvl w:ilvl="0" w:tplc="CA829A5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2"/>
    <w:rsid w:val="000200BA"/>
    <w:rsid w:val="000A0893"/>
    <w:rsid w:val="000A2D35"/>
    <w:rsid w:val="00133DB8"/>
    <w:rsid w:val="001433CF"/>
    <w:rsid w:val="001A22AA"/>
    <w:rsid w:val="0021241D"/>
    <w:rsid w:val="00233FA9"/>
    <w:rsid w:val="00256AFD"/>
    <w:rsid w:val="00293D67"/>
    <w:rsid w:val="002A3276"/>
    <w:rsid w:val="00324B2A"/>
    <w:rsid w:val="003E1400"/>
    <w:rsid w:val="004910F2"/>
    <w:rsid w:val="004C6B99"/>
    <w:rsid w:val="008404A3"/>
    <w:rsid w:val="00945D32"/>
    <w:rsid w:val="009D1E49"/>
    <w:rsid w:val="00BB1F5B"/>
    <w:rsid w:val="00C12D39"/>
    <w:rsid w:val="00C437EE"/>
    <w:rsid w:val="00C86DCC"/>
    <w:rsid w:val="00E23C67"/>
    <w:rsid w:val="00E92B8F"/>
    <w:rsid w:val="00F6290A"/>
    <w:rsid w:val="00F9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C90D"/>
  <w15:chartTrackingRefBased/>
  <w15:docId w15:val="{8778A2F5-BB70-452E-BD6B-5670B3B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Bullet paras,Bullets,Heading 1.1,List Paragraph (numbered (a)),List Paragraph nowy,List Paragraph1,List_Paragraph,Liste 1,Main numbered paragraph,Multilevel para_II,Numbered List Paragraph,Numbered Paragraph,References"/>
    <w:basedOn w:val="Normal"/>
    <w:link w:val="ListParagraphChar"/>
    <w:uiPriority w:val="34"/>
    <w:qFormat/>
    <w:rsid w:val="00945D32"/>
    <w:pPr>
      <w:spacing w:before="40" w:after="0" w:line="240" w:lineRule="auto"/>
      <w:ind w:left="720" w:hanging="425"/>
      <w:contextualSpacing/>
    </w:pPr>
    <w:rPr>
      <w:rFonts w:ascii="Palatino Linotype" w:hAnsi="Palatino Linotype"/>
      <w:sz w:val="18"/>
    </w:rPr>
  </w:style>
  <w:style w:type="character" w:styleId="CommentReference">
    <w:name w:val="annotation reference"/>
    <w:basedOn w:val="DefaultParagraphFont"/>
    <w:uiPriority w:val="99"/>
    <w:semiHidden/>
    <w:unhideWhenUsed/>
    <w:rsid w:val="00945D32"/>
    <w:rPr>
      <w:sz w:val="16"/>
      <w:szCs w:val="16"/>
    </w:rPr>
  </w:style>
  <w:style w:type="paragraph" w:styleId="CommentText">
    <w:name w:val="annotation text"/>
    <w:basedOn w:val="Normal"/>
    <w:link w:val="CommentTextChar"/>
    <w:uiPriority w:val="99"/>
    <w:semiHidden/>
    <w:unhideWhenUsed/>
    <w:rsid w:val="00945D32"/>
    <w:pPr>
      <w:spacing w:before="40" w:after="0" w:line="240" w:lineRule="auto"/>
      <w:ind w:left="425" w:hanging="425"/>
    </w:pPr>
    <w:rPr>
      <w:rFonts w:ascii="Palatino Linotype" w:hAnsi="Palatino Linotype"/>
      <w:sz w:val="20"/>
      <w:szCs w:val="20"/>
    </w:rPr>
  </w:style>
  <w:style w:type="character" w:customStyle="1" w:styleId="CommentTextChar">
    <w:name w:val="Comment Text Char"/>
    <w:basedOn w:val="DefaultParagraphFont"/>
    <w:link w:val="CommentText"/>
    <w:uiPriority w:val="99"/>
    <w:semiHidden/>
    <w:rsid w:val="00945D32"/>
    <w:rPr>
      <w:rFonts w:ascii="Palatino Linotype" w:hAnsi="Palatino Linotype"/>
      <w:sz w:val="20"/>
      <w:szCs w:val="20"/>
    </w:rPr>
  </w:style>
  <w:style w:type="paragraph" w:styleId="BalloonText">
    <w:name w:val="Balloon Text"/>
    <w:basedOn w:val="Normal"/>
    <w:link w:val="BalloonTextChar"/>
    <w:uiPriority w:val="99"/>
    <w:semiHidden/>
    <w:unhideWhenUsed/>
    <w:rsid w:val="0094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32"/>
    <w:rPr>
      <w:rFonts w:ascii="Segoe UI" w:hAnsi="Segoe UI" w:cs="Segoe UI"/>
      <w:sz w:val="18"/>
      <w:szCs w:val="18"/>
    </w:rPr>
  </w:style>
  <w:style w:type="character" w:customStyle="1" w:styleId="ListParagraphChar">
    <w:name w:val="List Paragraph Char"/>
    <w:aliases w:val="123 List Paragraph Char,Bullet paras Char,Bullets Char,Heading 1.1 Char,List Paragraph (numbered (a)) Char,List Paragraph nowy Char,List Paragraph1 Char,List_Paragraph Char,Liste 1 Char,Main numbered paragraph Char,References Char"/>
    <w:basedOn w:val="DefaultParagraphFont"/>
    <w:link w:val="ListParagraph"/>
    <w:uiPriority w:val="34"/>
    <w:qFormat/>
    <w:rsid w:val="00945D32"/>
    <w:rPr>
      <w:rFonts w:ascii="Palatino Linotype" w:hAnsi="Palatino Linotype"/>
      <w:sz w:val="18"/>
    </w:rPr>
  </w:style>
  <w:style w:type="paragraph" w:customStyle="1" w:styleId="PARA">
    <w:name w:val="PARA"/>
    <w:basedOn w:val="ListParagraph"/>
    <w:link w:val="PARAChar"/>
    <w:uiPriority w:val="99"/>
    <w:qFormat/>
    <w:rsid w:val="00945D32"/>
    <w:pPr>
      <w:widowControl w:val="0"/>
      <w:numPr>
        <w:numId w:val="1"/>
      </w:numPr>
      <w:autoSpaceDE w:val="0"/>
      <w:autoSpaceDN w:val="0"/>
      <w:adjustRightInd w:val="0"/>
      <w:spacing w:before="0"/>
      <w:jc w:val="both"/>
    </w:pPr>
    <w:rPr>
      <w:rFonts w:asciiTheme="majorHAnsi" w:eastAsiaTheme="minorEastAsia" w:hAnsiTheme="majorHAnsi" w:cstheme="majorHAnsi"/>
      <w:color w:val="000000"/>
      <w:sz w:val="24"/>
      <w:szCs w:val="24"/>
    </w:rPr>
  </w:style>
  <w:style w:type="character" w:customStyle="1" w:styleId="PARAChar">
    <w:name w:val="PARA Char"/>
    <w:basedOn w:val="ListParagraphChar"/>
    <w:link w:val="PARA"/>
    <w:uiPriority w:val="99"/>
    <w:rsid w:val="00945D32"/>
    <w:rPr>
      <w:rFonts w:asciiTheme="majorHAnsi" w:eastAsiaTheme="minorEastAsia" w:hAnsiTheme="majorHAnsi" w:cstheme="majorHAnsi"/>
      <w:color w:val="000000"/>
      <w:sz w:val="24"/>
      <w:szCs w:val="24"/>
    </w:rPr>
  </w:style>
  <w:style w:type="paragraph" w:styleId="Header">
    <w:name w:val="header"/>
    <w:basedOn w:val="Normal"/>
    <w:link w:val="HeaderChar"/>
    <w:uiPriority w:val="99"/>
    <w:unhideWhenUsed/>
    <w:rsid w:val="002A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276"/>
  </w:style>
  <w:style w:type="paragraph" w:styleId="Footer">
    <w:name w:val="footer"/>
    <w:basedOn w:val="Normal"/>
    <w:link w:val="FooterChar"/>
    <w:uiPriority w:val="99"/>
    <w:unhideWhenUsed/>
    <w:rsid w:val="002A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276"/>
  </w:style>
  <w:style w:type="paragraph" w:styleId="CommentSubject">
    <w:name w:val="annotation subject"/>
    <w:basedOn w:val="CommentText"/>
    <w:next w:val="CommentText"/>
    <w:link w:val="CommentSubjectChar"/>
    <w:uiPriority w:val="99"/>
    <w:semiHidden/>
    <w:unhideWhenUsed/>
    <w:rsid w:val="00C12D39"/>
    <w:pPr>
      <w:spacing w:before="0" w:after="160"/>
      <w:ind w:left="0" w:firstLine="0"/>
    </w:pPr>
    <w:rPr>
      <w:rFonts w:asciiTheme="minorHAnsi" w:hAnsiTheme="minorHAnsi"/>
      <w:b/>
      <w:bCs/>
    </w:rPr>
  </w:style>
  <w:style w:type="character" w:customStyle="1" w:styleId="CommentSubjectChar">
    <w:name w:val="Comment Subject Char"/>
    <w:basedOn w:val="CommentTextChar"/>
    <w:link w:val="CommentSubject"/>
    <w:uiPriority w:val="99"/>
    <w:semiHidden/>
    <w:rsid w:val="00C12D39"/>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mittedBy xmlns="d6267e6a-bf3f-4308-983a-8e32ad3cd070">Samuel Thomas Clark</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4/23/2018</DateSubmission>
    <IsIduRevised xmlns="ee363e03-ffe3-4ea8-891f-7c22e1e48952" xsi:nil="true"/>
    <ReportNumber xmlns="d6267e6a-bf3f-4308-983a-8e32ad3cd070" xsi:nil="true"/>
    <Comment1 xmlns="d6267e6a-bf3f-4308-983a-8e32ad3cd070">This is update the TOR for IPF Component previously disclosed in relation to the ISDS.</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INEYIPFComponentTATORforISDSdisclosure.docx</DocumentName>
    <PublicClassificationApprover xmlns="ee363e03-ffe3-4ea8-891f-7c22e1e48952" xsi:nil="true"/>
    <SendMail xmlns="d6267e6a-bf3f-4308-983a-8e32ad3cd070">sclark@worldbank.org</SendMail>
    <ProjectIDNumber xmlns="d6267e6a-bf3f-4308-983a-8e32ad3cd070">P164686</ProjectIDNumber>
    <UserSubmittedAbstract xmlns="d6267e6a-bf3f-4308-983a-8e32ad3cd0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30603-DB8A-4E62-AAF3-FA1EC903DD7D}">
  <ds:schemaRefs>
    <ds:schemaRef ds:uri="http://schemas.microsoft.com/sharepoint/v3/contenttype/forms"/>
  </ds:schemaRefs>
</ds:datastoreItem>
</file>

<file path=customXml/itemProps2.xml><?xml version="1.0" encoding="utf-8"?>
<ds:datastoreItem xmlns:ds="http://schemas.openxmlformats.org/officeDocument/2006/customXml" ds:itemID="{029233F3-984B-4352-A739-904D4B1FB393}">
  <ds:schemaRefs>
    <ds:schemaRef ds:uri="http://purl.org/dc/elements/1.1/"/>
    <ds:schemaRef ds:uri="ee363e03-ffe3-4ea8-891f-7c22e1e48952"/>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6267e6a-bf3f-4308-983a-8e32ad3cd070"/>
    <ds:schemaRef ds:uri="http://purl.org/dc/dcmitype/"/>
  </ds:schemaRefs>
</ds:datastoreItem>
</file>

<file path=customXml/itemProps3.xml><?xml version="1.0" encoding="utf-8"?>
<ds:datastoreItem xmlns:ds="http://schemas.openxmlformats.org/officeDocument/2006/customXml" ds:itemID="{50171942-9B4A-459C-AD35-9267A14E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23_4_2018_18_37_5_INEYIPFComponentTATORforISDSdisclosure.docx</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23_4_2018_18_37_5_INEYIPFComponentTATORforISDSdisclosure.docx</dc:title>
  <dc:subject/>
  <dc:creator>Christine Panjaitan</dc:creator>
  <cp:keywords/>
  <dc:description/>
  <cp:lastModifiedBy>Andre E. Russo</cp:lastModifiedBy>
  <cp:revision>2</cp:revision>
  <cp:lastPrinted>2018-04-20T06:20:00Z</cp:lastPrinted>
  <dcterms:created xsi:type="dcterms:W3CDTF">2018-04-23T12:49:00Z</dcterms:created>
  <dcterms:modified xsi:type="dcterms:W3CDTF">2018-04-23T12:49:00Z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y fmtid="{D5CDD505-2E9C-101B-9397-08002B2CF9AE}" pid="3" name="RatedBy">
    <vt:lpwstr/>
  </property>
  <property fmtid="{D5CDD505-2E9C-101B-9397-08002B2CF9AE}" pid="4" name="LikedBy">
    <vt:lpwstr/>
  </property>
</Properties>
</file>